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00" w:lineRule="exact"/>
        <w:ind w:left="-2" w:leftChars="-1"/>
        <w:rPr>
          <w:rFonts w:ascii="Times New Roman" w:hAnsi="Times New Roman" w:eastAsia="宋体" w:cs="Times New Roman"/>
          <w:color w:val="auto"/>
          <w:szCs w:val="24"/>
          <w:highlight w:val="none"/>
        </w:rPr>
      </w:pPr>
    </w:p>
    <w:p>
      <w:pPr>
        <w:spacing w:before="156" w:beforeLines="50" w:line="1600" w:lineRule="exact"/>
        <w:ind w:left="634" w:leftChars="-64" w:hanging="768" w:hangingChars="64"/>
        <w:jc w:val="center"/>
        <w:rPr>
          <w:rFonts w:hint="eastAsia" w:ascii="方正小标宋_GBK" w:hAnsi="宋体" w:eastAsia="方正小标宋_GBK" w:cs="Times New Roman"/>
          <w:color w:val="auto"/>
          <w:sz w:val="120"/>
          <w:szCs w:val="120"/>
          <w:highlight w:val="none"/>
        </w:rPr>
      </w:pPr>
      <w:r>
        <w:rPr>
          <w:rFonts w:hint="eastAsia" w:ascii="方正小标宋_GBK" w:hAnsi="宋体" w:eastAsia="方正小标宋_GBK" w:cs="Times New Roman"/>
          <w:color w:val="auto"/>
          <w:sz w:val="120"/>
          <w:szCs w:val="120"/>
          <w:highlight w:val="none"/>
        </w:rPr>
        <w:t>招标文件</w:t>
      </w:r>
    </w:p>
    <w:p>
      <w:pPr>
        <w:spacing w:line="400" w:lineRule="exact"/>
        <w:ind w:left="-2" w:leftChars="-1"/>
        <w:rPr>
          <w:rFonts w:ascii="Times New Roman" w:hAnsi="Times New Roman" w:eastAsia="宋体" w:cs="Times New Roman"/>
          <w:color w:val="auto"/>
          <w:szCs w:val="24"/>
          <w:highlight w:val="none"/>
        </w:rPr>
      </w:pPr>
    </w:p>
    <w:p>
      <w:pPr>
        <w:spacing w:line="400" w:lineRule="exact"/>
        <w:ind w:left="-2" w:leftChars="-1"/>
        <w:rPr>
          <w:rFonts w:ascii="Times New Roman" w:hAnsi="Times New Roman" w:eastAsia="宋体" w:cs="Times New Roman"/>
          <w:color w:val="auto"/>
          <w:szCs w:val="24"/>
          <w:highlight w:val="none"/>
        </w:rPr>
      </w:pPr>
    </w:p>
    <w:p>
      <w:pPr>
        <w:spacing w:line="400" w:lineRule="exact"/>
        <w:ind w:left="-2" w:leftChars="-1"/>
        <w:rPr>
          <w:rFonts w:ascii="Times New Roman" w:hAnsi="Times New Roman" w:eastAsia="宋体" w:cs="Times New Roman"/>
          <w:color w:val="auto"/>
          <w:szCs w:val="24"/>
          <w:highlight w:val="none"/>
        </w:rPr>
      </w:pPr>
    </w:p>
    <w:p>
      <w:pPr>
        <w:spacing w:line="400" w:lineRule="exact"/>
        <w:ind w:left="-2" w:leftChars="-1"/>
        <w:rPr>
          <w:rFonts w:ascii="Times New Roman" w:hAnsi="Times New Roman" w:eastAsia="宋体" w:cs="Times New Roman"/>
          <w:color w:val="auto"/>
          <w:szCs w:val="24"/>
          <w:highlight w:val="none"/>
        </w:rPr>
      </w:pPr>
    </w:p>
    <w:p>
      <w:pPr>
        <w:spacing w:line="400" w:lineRule="exact"/>
        <w:ind w:left="-2" w:leftChars="-1"/>
        <w:rPr>
          <w:rFonts w:ascii="Times New Roman" w:hAnsi="Times New Roman" w:eastAsia="宋体" w:cs="Times New Roman"/>
          <w:color w:val="auto"/>
          <w:szCs w:val="24"/>
          <w:highlight w:val="none"/>
        </w:rPr>
      </w:pPr>
    </w:p>
    <w:p>
      <w:pPr>
        <w:spacing w:line="400" w:lineRule="exact"/>
        <w:ind w:left="-2" w:leftChars="-1"/>
        <w:rPr>
          <w:rFonts w:ascii="Times New Roman" w:hAnsi="Times New Roman" w:eastAsia="宋体" w:cs="Times New Roman"/>
          <w:color w:val="auto"/>
          <w:szCs w:val="24"/>
          <w:highlight w:val="none"/>
        </w:rPr>
      </w:pPr>
    </w:p>
    <w:p>
      <w:pPr>
        <w:spacing w:line="400" w:lineRule="exact"/>
        <w:ind w:left="-2" w:leftChars="-1"/>
        <w:rPr>
          <w:rFonts w:ascii="Times New Roman" w:hAnsi="Times New Roman" w:eastAsia="宋体" w:cs="Times New Roman"/>
          <w:color w:val="auto"/>
          <w:szCs w:val="24"/>
          <w:highlight w:val="none"/>
        </w:rPr>
      </w:pPr>
    </w:p>
    <w:p>
      <w:pPr>
        <w:spacing w:line="400" w:lineRule="exact"/>
        <w:ind w:left="-2" w:leftChars="-1"/>
        <w:rPr>
          <w:rFonts w:ascii="Times New Roman" w:hAnsi="Times New Roman" w:eastAsia="宋体" w:cs="Times New Roman"/>
          <w:color w:val="auto"/>
          <w:szCs w:val="24"/>
          <w:highlight w:val="none"/>
        </w:rPr>
      </w:pPr>
    </w:p>
    <w:p>
      <w:pPr>
        <w:spacing w:line="400" w:lineRule="exact"/>
        <w:ind w:left="-2" w:leftChars="-1"/>
        <w:rPr>
          <w:rFonts w:ascii="Times New Roman" w:hAnsi="Times New Roman" w:eastAsia="宋体" w:cs="Times New Roman"/>
          <w:color w:val="auto"/>
          <w:szCs w:val="24"/>
          <w:highlight w:val="none"/>
        </w:rPr>
      </w:pPr>
    </w:p>
    <w:p>
      <w:pPr>
        <w:spacing w:line="400" w:lineRule="exact"/>
        <w:ind w:left="-2" w:leftChars="-1"/>
        <w:rPr>
          <w:rFonts w:ascii="Times New Roman" w:hAnsi="Times New Roman" w:eastAsia="宋体" w:cs="Times New Roman"/>
          <w:color w:val="auto"/>
          <w:szCs w:val="24"/>
          <w:highlight w:val="none"/>
        </w:rPr>
      </w:pPr>
    </w:p>
    <w:p>
      <w:pPr>
        <w:spacing w:line="400" w:lineRule="exact"/>
        <w:ind w:left="-2" w:leftChars="-1"/>
        <w:rPr>
          <w:rFonts w:ascii="Times New Roman" w:hAnsi="Times New Roman" w:eastAsia="宋体" w:cs="Times New Roman"/>
          <w:color w:val="auto"/>
          <w:szCs w:val="24"/>
          <w:highlight w:val="none"/>
        </w:rPr>
      </w:pPr>
    </w:p>
    <w:p>
      <w:pPr>
        <w:snapToGrid w:val="0"/>
        <w:spacing w:before="156" w:beforeLines="50" w:line="320" w:lineRule="exact"/>
        <w:rPr>
          <w:rFonts w:hint="eastAsia" w:ascii="方正小标宋_GBK" w:hAnsi="宋体" w:eastAsia="方正小标宋_GBK" w:cs="Times New Roman"/>
          <w:bCs/>
          <w:color w:val="auto"/>
          <w:sz w:val="30"/>
          <w:szCs w:val="30"/>
          <w:highlight w:val="none"/>
          <w:lang w:eastAsia="zh-CN"/>
        </w:rPr>
      </w:pPr>
      <w:r>
        <w:rPr>
          <w:rFonts w:hint="eastAsia" w:ascii="方正小标宋_GBK" w:hAnsi="宋体" w:eastAsia="方正小标宋_GBK" w:cs="Times New Roman"/>
          <w:color w:val="auto"/>
          <w:spacing w:val="6"/>
          <w:sz w:val="30"/>
          <w:szCs w:val="72"/>
          <w:highlight w:val="none"/>
        </w:rPr>
        <w:t xml:space="preserve">          项目名称</w:t>
      </w:r>
      <w:r>
        <w:rPr>
          <w:rFonts w:hint="eastAsia" w:ascii="方正小标宋_GBK" w:hAnsi="宋体" w:eastAsia="方正小标宋_GBK" w:cs="Times New Roman"/>
          <w:color w:val="auto"/>
          <w:sz w:val="30"/>
          <w:szCs w:val="72"/>
          <w:highlight w:val="none"/>
        </w:rPr>
        <w:t>:</w:t>
      </w:r>
      <w:r>
        <w:rPr>
          <w:rFonts w:hint="eastAsia" w:ascii="方正小标宋_GBK" w:hAnsi="宋体" w:eastAsia="方正小标宋_GBK" w:cs="Times New Roman"/>
          <w:bCs/>
          <w:color w:val="auto"/>
          <w:sz w:val="30"/>
          <w:szCs w:val="30"/>
          <w:highlight w:val="none"/>
        </w:rPr>
        <w:t xml:space="preserve"> </w:t>
      </w:r>
      <w:r>
        <w:rPr>
          <w:rFonts w:hint="eastAsia" w:ascii="方正小标宋_GBK" w:hAnsi="宋体" w:eastAsia="方正小标宋_GBK" w:cs="Times New Roman"/>
          <w:bCs/>
          <w:color w:val="auto"/>
          <w:sz w:val="30"/>
          <w:szCs w:val="30"/>
          <w:highlight w:val="none"/>
          <w:lang w:eastAsia="zh-CN"/>
        </w:rPr>
        <w:t>防城港市防城区妇幼保健院物业服务</w:t>
      </w:r>
    </w:p>
    <w:p>
      <w:pPr>
        <w:snapToGrid w:val="0"/>
        <w:spacing w:before="156" w:beforeLines="50" w:line="400" w:lineRule="exact"/>
        <w:rPr>
          <w:rFonts w:hint="eastAsia" w:ascii="方正小标宋_GBK" w:hAnsi="宋体" w:eastAsia="方正小标宋_GBK" w:cs="Times New Roman"/>
          <w:b/>
          <w:bCs/>
          <w:color w:val="auto"/>
          <w:sz w:val="30"/>
          <w:szCs w:val="30"/>
          <w:highlight w:val="none"/>
          <w:lang w:eastAsia="zh-CN"/>
        </w:rPr>
      </w:pPr>
      <w:r>
        <w:rPr>
          <w:rFonts w:hint="eastAsia" w:ascii="方正小标宋_GBK" w:hAnsi="宋体" w:eastAsia="方正小标宋_GBK" w:cs="Times New Roman"/>
          <w:color w:val="auto"/>
          <w:spacing w:val="6"/>
          <w:sz w:val="30"/>
          <w:szCs w:val="72"/>
          <w:highlight w:val="none"/>
        </w:rPr>
        <w:t xml:space="preserve">          项目编号</w:t>
      </w:r>
      <w:r>
        <w:rPr>
          <w:rFonts w:hint="eastAsia" w:ascii="方正小标宋_GBK" w:hAnsi="宋体" w:eastAsia="方正小标宋_GBK" w:cs="Times New Roman"/>
          <w:color w:val="auto"/>
          <w:sz w:val="30"/>
          <w:szCs w:val="72"/>
          <w:highlight w:val="none"/>
        </w:rPr>
        <w:t>:</w:t>
      </w:r>
      <w:r>
        <w:rPr>
          <w:rFonts w:hint="eastAsia" w:ascii="方正小标宋_GBK" w:hAnsi="宋体" w:eastAsia="方正小标宋_GBK" w:cs="Times New Roman"/>
          <w:bCs/>
          <w:color w:val="auto"/>
          <w:sz w:val="30"/>
          <w:szCs w:val="30"/>
          <w:highlight w:val="none"/>
          <w:lang w:eastAsia="zh-CN"/>
        </w:rPr>
        <w:t>FCZC2026-G3-030042-QZSZ</w:t>
      </w:r>
    </w:p>
    <w:p>
      <w:pPr>
        <w:spacing w:line="400" w:lineRule="exact"/>
        <w:ind w:left="-2" w:leftChars="-1"/>
        <w:rPr>
          <w:rFonts w:ascii="Times New Roman" w:hAnsi="Times New Roman" w:eastAsia="宋体" w:cs="Times New Roman"/>
          <w:color w:val="auto"/>
          <w:szCs w:val="24"/>
          <w:highlight w:val="none"/>
        </w:rPr>
      </w:pPr>
    </w:p>
    <w:p>
      <w:pPr>
        <w:spacing w:line="400" w:lineRule="exact"/>
        <w:ind w:left="-2" w:leftChars="-1"/>
        <w:rPr>
          <w:rFonts w:ascii="Times New Roman" w:hAnsi="Times New Roman" w:eastAsia="宋体" w:cs="Times New Roman"/>
          <w:color w:val="auto"/>
          <w:szCs w:val="24"/>
          <w:highlight w:val="none"/>
        </w:rPr>
      </w:pPr>
    </w:p>
    <w:p>
      <w:pPr>
        <w:spacing w:line="400" w:lineRule="exact"/>
        <w:ind w:left="-2" w:leftChars="-1"/>
        <w:rPr>
          <w:rFonts w:ascii="Times New Roman" w:hAnsi="Times New Roman" w:eastAsia="宋体" w:cs="Times New Roman"/>
          <w:color w:val="auto"/>
          <w:szCs w:val="24"/>
          <w:highlight w:val="none"/>
        </w:rPr>
      </w:pPr>
    </w:p>
    <w:p>
      <w:pPr>
        <w:spacing w:line="400" w:lineRule="exact"/>
        <w:ind w:left="-2" w:leftChars="-1"/>
        <w:rPr>
          <w:rFonts w:ascii="Times New Roman" w:hAnsi="Times New Roman" w:eastAsia="宋体" w:cs="Times New Roman"/>
          <w:color w:val="auto"/>
          <w:szCs w:val="24"/>
          <w:highlight w:val="none"/>
        </w:rPr>
      </w:pPr>
    </w:p>
    <w:p>
      <w:pPr>
        <w:spacing w:line="400" w:lineRule="exact"/>
        <w:ind w:left="-2" w:leftChars="-1"/>
        <w:rPr>
          <w:rFonts w:ascii="Times New Roman" w:hAnsi="Times New Roman" w:eastAsia="宋体" w:cs="Times New Roman"/>
          <w:color w:val="auto"/>
          <w:szCs w:val="24"/>
          <w:highlight w:val="none"/>
        </w:rPr>
      </w:pPr>
    </w:p>
    <w:p>
      <w:pPr>
        <w:spacing w:line="400" w:lineRule="exact"/>
        <w:ind w:left="-2" w:leftChars="-1"/>
        <w:rPr>
          <w:rFonts w:ascii="Times New Roman" w:hAnsi="Times New Roman" w:eastAsia="宋体" w:cs="Times New Roman"/>
          <w:color w:val="auto"/>
          <w:szCs w:val="24"/>
          <w:highlight w:val="none"/>
        </w:rPr>
      </w:pPr>
    </w:p>
    <w:p>
      <w:pPr>
        <w:spacing w:line="400" w:lineRule="exact"/>
        <w:ind w:left="-2" w:leftChars="-1"/>
        <w:rPr>
          <w:rFonts w:ascii="Times New Roman" w:hAnsi="Times New Roman" w:eastAsia="宋体" w:cs="Times New Roman"/>
          <w:color w:val="auto"/>
          <w:szCs w:val="24"/>
          <w:highlight w:val="none"/>
        </w:rPr>
      </w:pPr>
    </w:p>
    <w:p>
      <w:pPr>
        <w:spacing w:line="400" w:lineRule="exact"/>
        <w:ind w:left="-2" w:leftChars="-1"/>
        <w:rPr>
          <w:rFonts w:ascii="Times New Roman" w:hAnsi="Times New Roman" w:eastAsia="宋体" w:cs="Times New Roman"/>
          <w:color w:val="auto"/>
          <w:szCs w:val="24"/>
          <w:highlight w:val="none"/>
        </w:rPr>
      </w:pPr>
    </w:p>
    <w:p>
      <w:pPr>
        <w:spacing w:line="400" w:lineRule="exact"/>
        <w:ind w:left="-2" w:leftChars="-1"/>
        <w:rPr>
          <w:rFonts w:ascii="Times New Roman" w:hAnsi="Times New Roman" w:eastAsia="宋体" w:cs="Times New Roman"/>
          <w:color w:val="auto"/>
          <w:szCs w:val="24"/>
          <w:highlight w:val="none"/>
        </w:rPr>
      </w:pPr>
    </w:p>
    <w:p>
      <w:pPr>
        <w:spacing w:line="400" w:lineRule="exact"/>
        <w:ind w:left="-2" w:leftChars="-1"/>
        <w:rPr>
          <w:rFonts w:ascii="Times New Roman" w:hAnsi="Times New Roman" w:eastAsia="宋体" w:cs="Times New Roman"/>
          <w:color w:val="auto"/>
          <w:szCs w:val="24"/>
          <w:highlight w:val="none"/>
        </w:rPr>
      </w:pPr>
    </w:p>
    <w:p>
      <w:pPr>
        <w:spacing w:line="400" w:lineRule="exact"/>
        <w:ind w:left="-2" w:leftChars="-1"/>
        <w:rPr>
          <w:rFonts w:ascii="Times New Roman" w:hAnsi="Times New Roman" w:eastAsia="宋体" w:cs="Times New Roman"/>
          <w:color w:val="auto"/>
          <w:szCs w:val="24"/>
          <w:highlight w:val="none"/>
        </w:rPr>
      </w:pPr>
    </w:p>
    <w:p>
      <w:pPr>
        <w:spacing w:line="400" w:lineRule="exact"/>
        <w:ind w:left="-2" w:leftChars="-1"/>
        <w:rPr>
          <w:rFonts w:ascii="Times New Roman" w:hAnsi="Times New Roman" w:eastAsia="宋体" w:cs="Times New Roman"/>
          <w:color w:val="auto"/>
          <w:szCs w:val="24"/>
          <w:highlight w:val="none"/>
        </w:rPr>
      </w:pPr>
    </w:p>
    <w:p>
      <w:pPr>
        <w:spacing w:line="360" w:lineRule="exact"/>
        <w:jc w:val="center"/>
        <w:rPr>
          <w:rFonts w:hint="eastAsia" w:ascii="方正小标宋_GBK" w:hAnsi="微软雅黑" w:eastAsia="方正小标宋_GBK" w:cs="Times New Roman"/>
          <w:color w:val="auto"/>
          <w:sz w:val="32"/>
          <w:szCs w:val="32"/>
          <w:highlight w:val="none"/>
        </w:rPr>
      </w:pPr>
      <w:r>
        <w:rPr>
          <w:rFonts w:hint="eastAsia" w:ascii="方正小标宋_GBK" w:hAnsi="微软雅黑" w:eastAsia="方正小标宋_GBK" w:cs="Times New Roman"/>
          <w:color w:val="auto"/>
          <w:sz w:val="32"/>
          <w:szCs w:val="32"/>
          <w:highlight w:val="none"/>
        </w:rPr>
        <w:t>钦州市政府采购中心</w:t>
      </w:r>
    </w:p>
    <w:p>
      <w:pPr>
        <w:snapToGrid w:val="0"/>
        <w:spacing w:before="156" w:beforeLines="50" w:line="360" w:lineRule="exact"/>
        <w:jc w:val="center"/>
        <w:rPr>
          <w:rFonts w:hint="eastAsia" w:ascii="方正小标宋_GBK" w:hAnsi="宋体" w:eastAsia="方正小标宋_GBK" w:cs="Times New Roman"/>
          <w:color w:val="auto"/>
          <w:sz w:val="30"/>
          <w:szCs w:val="72"/>
          <w:highlight w:val="none"/>
        </w:rPr>
      </w:pPr>
      <w:r>
        <w:rPr>
          <w:rFonts w:hint="eastAsia" w:ascii="方正小标宋_GBK" w:hAnsi="微软雅黑" w:eastAsia="方正小标宋_GBK" w:cs="Times New Roman"/>
          <w:color w:val="auto"/>
          <w:sz w:val="32"/>
          <w:szCs w:val="32"/>
          <w:highlight w:val="none"/>
          <w:lang w:eastAsia="zh-CN"/>
        </w:rPr>
        <w:t>2026年</w:t>
      </w:r>
      <w:r>
        <w:rPr>
          <w:rFonts w:hint="eastAsia" w:ascii="方正小标宋_GBK" w:hAnsi="微软雅黑" w:eastAsia="方正小标宋_GBK" w:cs="Times New Roman"/>
          <w:color w:val="auto"/>
          <w:sz w:val="32"/>
          <w:szCs w:val="32"/>
          <w:highlight w:val="none"/>
          <w:lang w:val="en-US" w:eastAsia="zh-CN"/>
        </w:rPr>
        <w:t>5月</w:t>
      </w:r>
    </w:p>
    <w:p>
      <w:pPr>
        <w:spacing w:line="400" w:lineRule="exact"/>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br w:type="page"/>
      </w:r>
    </w:p>
    <w:p>
      <w:pPr>
        <w:spacing w:line="400" w:lineRule="exact"/>
        <w:rPr>
          <w:rFonts w:ascii="Times New Roman" w:hAnsi="Times New Roman" w:eastAsia="宋体" w:cs="Times New Roman"/>
          <w:color w:val="auto"/>
          <w:szCs w:val="24"/>
          <w:highlight w:val="none"/>
        </w:rPr>
      </w:pPr>
    </w:p>
    <w:p>
      <w:pPr>
        <w:spacing w:line="400" w:lineRule="exact"/>
        <w:jc w:val="center"/>
        <w:rPr>
          <w:rFonts w:ascii="隶书" w:hAnsi="Courier New" w:eastAsia="隶书" w:cs="Courier New"/>
          <w:b/>
          <w:color w:val="auto"/>
          <w:sz w:val="44"/>
          <w:szCs w:val="21"/>
          <w:highlight w:val="none"/>
        </w:rPr>
      </w:pPr>
      <w:r>
        <w:rPr>
          <w:rFonts w:hint="eastAsia" w:ascii="隶书" w:hAnsi="Courier New" w:eastAsia="隶书" w:cs="Courier New"/>
          <w:b/>
          <w:color w:val="auto"/>
          <w:sz w:val="44"/>
          <w:szCs w:val="21"/>
          <w:highlight w:val="none"/>
        </w:rPr>
        <w:t>目   录</w:t>
      </w:r>
    </w:p>
    <w:p>
      <w:pPr>
        <w:spacing w:line="400" w:lineRule="exact"/>
        <w:rPr>
          <w:rFonts w:ascii="Times New Roman" w:hAnsi="Times New Roman" w:eastAsia="宋体" w:cs="Times New Roman"/>
          <w:color w:val="auto"/>
          <w:szCs w:val="24"/>
          <w:highlight w:val="none"/>
        </w:rPr>
      </w:pPr>
    </w:p>
    <w:p>
      <w:pPr>
        <w:pStyle w:val="35"/>
        <w:tabs>
          <w:tab w:val="right" w:leader="dot" w:pos="9710"/>
        </w:tabs>
        <w:spacing w:line="1000" w:lineRule="exact"/>
        <w:rPr>
          <w:rFonts w:hint="eastAsia" w:ascii="方正小标宋_GBK" w:hAnsi="宋体" w:eastAsia="方正小标宋_GBK"/>
          <w:color w:val="auto"/>
          <w:sz w:val="28"/>
          <w:szCs w:val="28"/>
          <w:highlight w:val="none"/>
          <w14:ligatures w14:val="standardContextual"/>
        </w:rPr>
      </w:pPr>
      <w:r>
        <w:rPr>
          <w:rFonts w:hint="eastAsia" w:ascii="方正小标宋_GBK" w:hAnsi="宋体" w:eastAsia="方正小标宋_GBK" w:cs="Times New Roman"/>
          <w:b/>
          <w:color w:val="auto"/>
          <w:sz w:val="28"/>
          <w:szCs w:val="28"/>
          <w:highlight w:val="none"/>
        </w:rPr>
        <w:fldChar w:fldCharType="begin"/>
      </w:r>
      <w:r>
        <w:rPr>
          <w:rFonts w:hint="eastAsia" w:ascii="方正小标宋_GBK" w:hAnsi="宋体" w:eastAsia="方正小标宋_GBK" w:cs="Times New Roman"/>
          <w:b/>
          <w:color w:val="auto"/>
          <w:sz w:val="28"/>
          <w:szCs w:val="28"/>
          <w:highlight w:val="none"/>
        </w:rPr>
        <w:instrText xml:space="preserve"> TOC \o "1-1" \h \z \u </w:instrText>
      </w:r>
      <w:r>
        <w:rPr>
          <w:rFonts w:hint="eastAsia" w:ascii="方正小标宋_GBK" w:hAnsi="宋体" w:eastAsia="方正小标宋_GBK" w:cs="Times New Roman"/>
          <w:b/>
          <w:color w:val="auto"/>
          <w:sz w:val="28"/>
          <w:szCs w:val="28"/>
          <w:highlight w:val="none"/>
        </w:rPr>
        <w:fldChar w:fldCharType="separate"/>
      </w:r>
      <w:r>
        <w:rPr>
          <w:color w:val="auto"/>
          <w:highlight w:val="none"/>
        </w:rPr>
        <w:fldChar w:fldCharType="begin"/>
      </w:r>
      <w:r>
        <w:rPr>
          <w:color w:val="auto"/>
          <w:highlight w:val="none"/>
        </w:rPr>
        <w:instrText xml:space="preserve"> HYPERLINK \l "_Toc173764938" </w:instrText>
      </w:r>
      <w:r>
        <w:rPr>
          <w:color w:val="auto"/>
          <w:highlight w:val="none"/>
        </w:rPr>
        <w:fldChar w:fldCharType="separate"/>
      </w:r>
      <w:r>
        <w:rPr>
          <w:rStyle w:val="57"/>
          <w:rFonts w:hint="eastAsia" w:ascii="方正小标宋_GBK" w:hAnsi="宋体" w:eastAsia="方正小标宋_GBK" w:cs="Times New Roman"/>
          <w:b/>
          <w:bCs/>
          <w:color w:val="auto"/>
          <w:kern w:val="0"/>
          <w:sz w:val="28"/>
          <w:szCs w:val="28"/>
          <w:highlight w:val="none"/>
        </w:rPr>
        <w:t>第一章  公 告</w:t>
      </w:r>
      <w:r>
        <w:rPr>
          <w:rFonts w:hint="eastAsia" w:ascii="方正小标宋_GBK" w:hAnsi="宋体" w:eastAsia="方正小标宋_GBK"/>
          <w:color w:val="auto"/>
          <w:sz w:val="28"/>
          <w:szCs w:val="28"/>
          <w:highlight w:val="none"/>
        </w:rPr>
        <w:tab/>
      </w:r>
      <w:r>
        <w:rPr>
          <w:rFonts w:hint="eastAsia" w:ascii="方正小标宋_GBK" w:hAnsi="宋体" w:eastAsia="方正小标宋_GBK"/>
          <w:color w:val="auto"/>
          <w:sz w:val="28"/>
          <w:szCs w:val="28"/>
          <w:highlight w:val="none"/>
        </w:rPr>
        <w:fldChar w:fldCharType="begin"/>
      </w:r>
      <w:r>
        <w:rPr>
          <w:rFonts w:hint="eastAsia" w:ascii="方正小标宋_GBK" w:hAnsi="宋体" w:eastAsia="方正小标宋_GBK"/>
          <w:color w:val="auto"/>
          <w:sz w:val="28"/>
          <w:szCs w:val="28"/>
          <w:highlight w:val="none"/>
        </w:rPr>
        <w:instrText xml:space="preserve"> PAGEREF _Toc173764938 \h </w:instrText>
      </w:r>
      <w:r>
        <w:rPr>
          <w:rFonts w:hint="eastAsia" w:ascii="方正小标宋_GBK" w:hAnsi="宋体" w:eastAsia="方正小标宋_GBK"/>
          <w:color w:val="auto"/>
          <w:sz w:val="28"/>
          <w:szCs w:val="28"/>
          <w:highlight w:val="none"/>
        </w:rPr>
        <w:fldChar w:fldCharType="separate"/>
      </w:r>
      <w:r>
        <w:rPr>
          <w:rFonts w:hint="eastAsia" w:ascii="方正小标宋_GBK" w:hAnsi="宋体" w:eastAsia="方正小标宋_GBK"/>
          <w:color w:val="auto"/>
          <w:sz w:val="28"/>
          <w:szCs w:val="28"/>
          <w:highlight w:val="none"/>
        </w:rPr>
        <w:t>3</w:t>
      </w:r>
      <w:r>
        <w:rPr>
          <w:rFonts w:hint="eastAsia" w:ascii="方正小标宋_GBK" w:hAnsi="宋体" w:eastAsia="方正小标宋_GBK"/>
          <w:color w:val="auto"/>
          <w:sz w:val="28"/>
          <w:szCs w:val="28"/>
          <w:highlight w:val="none"/>
        </w:rPr>
        <w:fldChar w:fldCharType="end"/>
      </w:r>
      <w:r>
        <w:rPr>
          <w:rFonts w:hint="eastAsia" w:ascii="方正小标宋_GBK" w:hAnsi="宋体" w:eastAsia="方正小标宋_GBK"/>
          <w:color w:val="auto"/>
          <w:sz w:val="28"/>
          <w:szCs w:val="28"/>
          <w:highlight w:val="none"/>
        </w:rPr>
        <w:fldChar w:fldCharType="end"/>
      </w:r>
    </w:p>
    <w:p>
      <w:pPr>
        <w:pStyle w:val="35"/>
        <w:tabs>
          <w:tab w:val="right" w:leader="dot" w:pos="9710"/>
        </w:tabs>
        <w:spacing w:line="1000" w:lineRule="exact"/>
        <w:rPr>
          <w:rFonts w:hint="eastAsia" w:ascii="方正小标宋_GBK" w:hAnsi="宋体" w:eastAsia="方正小标宋_GBK"/>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"_Toc173764939" </w:instrText>
      </w:r>
      <w:r>
        <w:rPr>
          <w:color w:val="auto"/>
          <w:highlight w:val="none"/>
        </w:rPr>
        <w:fldChar w:fldCharType="separate"/>
      </w:r>
      <w:r>
        <w:rPr>
          <w:rStyle w:val="57"/>
          <w:rFonts w:hint="eastAsia" w:ascii="方正小标宋_GBK" w:hAnsi="宋体" w:eastAsia="方正小标宋_GBK" w:cs="Times New Roman"/>
          <w:b/>
          <w:bCs/>
          <w:color w:val="auto"/>
          <w:kern w:val="0"/>
          <w:sz w:val="28"/>
          <w:szCs w:val="28"/>
          <w:highlight w:val="none"/>
        </w:rPr>
        <w:t>第二章  项目需求</w:t>
      </w:r>
      <w:r>
        <w:rPr>
          <w:rFonts w:hint="eastAsia" w:ascii="方正小标宋_GBK" w:hAnsi="宋体" w:eastAsia="方正小标宋_GBK"/>
          <w:color w:val="auto"/>
          <w:sz w:val="28"/>
          <w:szCs w:val="28"/>
          <w:highlight w:val="none"/>
        </w:rPr>
        <w:tab/>
      </w:r>
      <w:r>
        <w:rPr>
          <w:rFonts w:hint="eastAsia" w:ascii="方正小标宋_GBK" w:hAnsi="宋体" w:eastAsia="方正小标宋_GBK"/>
          <w:color w:val="auto"/>
          <w:sz w:val="28"/>
          <w:szCs w:val="28"/>
          <w:highlight w:val="none"/>
        </w:rPr>
        <w:fldChar w:fldCharType="begin"/>
      </w:r>
      <w:r>
        <w:rPr>
          <w:rFonts w:hint="eastAsia" w:ascii="方正小标宋_GBK" w:hAnsi="宋体" w:eastAsia="方正小标宋_GBK"/>
          <w:color w:val="auto"/>
          <w:sz w:val="28"/>
          <w:szCs w:val="28"/>
          <w:highlight w:val="none"/>
        </w:rPr>
        <w:instrText xml:space="preserve"> PAGEREF _Toc173764939 \h </w:instrText>
      </w:r>
      <w:r>
        <w:rPr>
          <w:rFonts w:hint="eastAsia" w:ascii="方正小标宋_GBK" w:hAnsi="宋体" w:eastAsia="方正小标宋_GBK"/>
          <w:color w:val="auto"/>
          <w:sz w:val="28"/>
          <w:szCs w:val="28"/>
          <w:highlight w:val="none"/>
        </w:rPr>
        <w:fldChar w:fldCharType="separate"/>
      </w:r>
      <w:r>
        <w:rPr>
          <w:rFonts w:hint="eastAsia" w:ascii="方正小标宋_GBK" w:hAnsi="宋体" w:eastAsia="方正小标宋_GBK"/>
          <w:color w:val="auto"/>
          <w:sz w:val="28"/>
          <w:szCs w:val="28"/>
          <w:highlight w:val="none"/>
        </w:rPr>
        <w:t>7</w:t>
      </w:r>
      <w:r>
        <w:rPr>
          <w:rFonts w:hint="eastAsia" w:ascii="方正小标宋_GBK" w:hAnsi="宋体" w:eastAsia="方正小标宋_GBK"/>
          <w:color w:val="auto"/>
          <w:sz w:val="28"/>
          <w:szCs w:val="28"/>
          <w:highlight w:val="none"/>
        </w:rPr>
        <w:fldChar w:fldCharType="end"/>
      </w:r>
      <w:r>
        <w:rPr>
          <w:rFonts w:hint="eastAsia" w:ascii="方正小标宋_GBK" w:hAnsi="宋体" w:eastAsia="方正小标宋_GBK"/>
          <w:color w:val="auto"/>
          <w:sz w:val="28"/>
          <w:szCs w:val="28"/>
          <w:highlight w:val="none"/>
        </w:rPr>
        <w:fldChar w:fldCharType="end"/>
      </w:r>
    </w:p>
    <w:p>
      <w:pPr>
        <w:pStyle w:val="35"/>
        <w:tabs>
          <w:tab w:val="right" w:leader="dot" w:pos="9710"/>
        </w:tabs>
        <w:spacing w:line="1000" w:lineRule="exact"/>
        <w:rPr>
          <w:rFonts w:hint="eastAsia" w:ascii="方正小标宋_GBK" w:hAnsi="宋体" w:eastAsia="方正小标宋_GBK"/>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"_Toc173764940" </w:instrText>
      </w:r>
      <w:r>
        <w:rPr>
          <w:color w:val="auto"/>
          <w:highlight w:val="none"/>
        </w:rPr>
        <w:fldChar w:fldCharType="separate"/>
      </w:r>
      <w:r>
        <w:rPr>
          <w:rStyle w:val="57"/>
          <w:rFonts w:hint="eastAsia" w:ascii="方正小标宋_GBK" w:hAnsi="宋体" w:eastAsia="方正小标宋_GBK" w:cs="Times New Roman"/>
          <w:b/>
          <w:bCs/>
          <w:color w:val="auto"/>
          <w:kern w:val="0"/>
          <w:sz w:val="28"/>
          <w:szCs w:val="28"/>
          <w:highlight w:val="none"/>
        </w:rPr>
        <w:t>第三章  投标人须知及前附表</w:t>
      </w:r>
      <w:r>
        <w:rPr>
          <w:rFonts w:hint="eastAsia" w:ascii="方正小标宋_GBK" w:hAnsi="宋体" w:eastAsia="方正小标宋_GBK"/>
          <w:color w:val="auto"/>
          <w:sz w:val="28"/>
          <w:szCs w:val="28"/>
          <w:highlight w:val="none"/>
        </w:rPr>
        <w:tab/>
      </w:r>
      <w:r>
        <w:rPr>
          <w:rFonts w:hint="eastAsia" w:ascii="方正小标宋_GBK" w:hAnsi="宋体" w:eastAsia="方正小标宋_GBK"/>
          <w:color w:val="auto"/>
          <w:sz w:val="28"/>
          <w:szCs w:val="28"/>
          <w:highlight w:val="none"/>
        </w:rPr>
        <w:fldChar w:fldCharType="begin"/>
      </w:r>
      <w:r>
        <w:rPr>
          <w:rFonts w:hint="eastAsia" w:ascii="方正小标宋_GBK" w:hAnsi="宋体" w:eastAsia="方正小标宋_GBK"/>
          <w:color w:val="auto"/>
          <w:sz w:val="28"/>
          <w:szCs w:val="28"/>
          <w:highlight w:val="none"/>
        </w:rPr>
        <w:instrText xml:space="preserve"> PAGEREF _Toc173764940 \h </w:instrText>
      </w:r>
      <w:r>
        <w:rPr>
          <w:rFonts w:hint="eastAsia" w:ascii="方正小标宋_GBK" w:hAnsi="宋体" w:eastAsia="方正小标宋_GBK"/>
          <w:color w:val="auto"/>
          <w:sz w:val="28"/>
          <w:szCs w:val="28"/>
          <w:highlight w:val="none"/>
        </w:rPr>
        <w:fldChar w:fldCharType="separate"/>
      </w:r>
      <w:r>
        <w:rPr>
          <w:rFonts w:hint="eastAsia" w:ascii="方正小标宋_GBK" w:hAnsi="宋体" w:eastAsia="方正小标宋_GBK"/>
          <w:color w:val="auto"/>
          <w:sz w:val="28"/>
          <w:szCs w:val="28"/>
          <w:highlight w:val="none"/>
        </w:rPr>
        <w:t>37</w:t>
      </w:r>
      <w:r>
        <w:rPr>
          <w:rFonts w:hint="eastAsia" w:ascii="方正小标宋_GBK" w:hAnsi="宋体" w:eastAsia="方正小标宋_GBK"/>
          <w:color w:val="auto"/>
          <w:sz w:val="28"/>
          <w:szCs w:val="28"/>
          <w:highlight w:val="none"/>
        </w:rPr>
        <w:fldChar w:fldCharType="end"/>
      </w:r>
      <w:r>
        <w:rPr>
          <w:rFonts w:hint="eastAsia" w:ascii="方正小标宋_GBK" w:hAnsi="宋体" w:eastAsia="方正小标宋_GBK"/>
          <w:color w:val="auto"/>
          <w:sz w:val="28"/>
          <w:szCs w:val="28"/>
          <w:highlight w:val="none"/>
        </w:rPr>
        <w:fldChar w:fldCharType="end"/>
      </w:r>
    </w:p>
    <w:p>
      <w:pPr>
        <w:pStyle w:val="35"/>
        <w:tabs>
          <w:tab w:val="right" w:leader="dot" w:pos="9710"/>
        </w:tabs>
        <w:spacing w:line="1000" w:lineRule="exact"/>
        <w:rPr>
          <w:rFonts w:hint="eastAsia" w:ascii="方正小标宋_GBK" w:hAnsi="宋体" w:eastAsia="方正小标宋_GBK"/>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"_Toc173764941" </w:instrText>
      </w:r>
      <w:r>
        <w:rPr>
          <w:color w:val="auto"/>
          <w:highlight w:val="none"/>
        </w:rPr>
        <w:fldChar w:fldCharType="separate"/>
      </w:r>
      <w:r>
        <w:rPr>
          <w:rStyle w:val="57"/>
          <w:rFonts w:hint="eastAsia" w:ascii="方正小标宋_GBK" w:hAnsi="宋体" w:eastAsia="方正小标宋_GBK" w:cs="Times New Roman"/>
          <w:b/>
          <w:bCs/>
          <w:color w:val="auto"/>
          <w:kern w:val="0"/>
          <w:sz w:val="28"/>
          <w:szCs w:val="28"/>
          <w:highlight w:val="none"/>
        </w:rPr>
        <w:t>第四章  评定标准及推荐原则</w:t>
      </w:r>
      <w:r>
        <w:rPr>
          <w:rFonts w:hint="eastAsia" w:ascii="方正小标宋_GBK" w:hAnsi="宋体" w:eastAsia="方正小标宋_GBK"/>
          <w:color w:val="auto"/>
          <w:sz w:val="28"/>
          <w:szCs w:val="28"/>
          <w:highlight w:val="none"/>
        </w:rPr>
        <w:tab/>
      </w:r>
      <w:r>
        <w:rPr>
          <w:rFonts w:hint="eastAsia" w:ascii="方正小标宋_GBK" w:hAnsi="宋体" w:eastAsia="方正小标宋_GBK"/>
          <w:color w:val="auto"/>
          <w:sz w:val="28"/>
          <w:szCs w:val="28"/>
          <w:highlight w:val="none"/>
        </w:rPr>
        <w:fldChar w:fldCharType="begin"/>
      </w:r>
      <w:r>
        <w:rPr>
          <w:rFonts w:hint="eastAsia" w:ascii="方正小标宋_GBK" w:hAnsi="宋体" w:eastAsia="方正小标宋_GBK"/>
          <w:color w:val="auto"/>
          <w:sz w:val="28"/>
          <w:szCs w:val="28"/>
          <w:highlight w:val="none"/>
        </w:rPr>
        <w:instrText xml:space="preserve"> PAGEREF _Toc173764941 \h </w:instrText>
      </w:r>
      <w:r>
        <w:rPr>
          <w:rFonts w:hint="eastAsia" w:ascii="方正小标宋_GBK" w:hAnsi="宋体" w:eastAsia="方正小标宋_GBK"/>
          <w:color w:val="auto"/>
          <w:sz w:val="28"/>
          <w:szCs w:val="28"/>
          <w:highlight w:val="none"/>
        </w:rPr>
        <w:fldChar w:fldCharType="separate"/>
      </w:r>
      <w:r>
        <w:rPr>
          <w:rFonts w:hint="eastAsia" w:ascii="方正小标宋_GBK" w:hAnsi="宋体" w:eastAsia="方正小标宋_GBK"/>
          <w:color w:val="auto"/>
          <w:sz w:val="28"/>
          <w:szCs w:val="28"/>
          <w:highlight w:val="none"/>
        </w:rPr>
        <w:t>49</w:t>
      </w:r>
      <w:r>
        <w:rPr>
          <w:rFonts w:hint="eastAsia" w:ascii="方正小标宋_GBK" w:hAnsi="宋体" w:eastAsia="方正小标宋_GBK"/>
          <w:color w:val="auto"/>
          <w:sz w:val="28"/>
          <w:szCs w:val="28"/>
          <w:highlight w:val="none"/>
        </w:rPr>
        <w:fldChar w:fldCharType="end"/>
      </w:r>
      <w:r>
        <w:rPr>
          <w:rFonts w:hint="eastAsia" w:ascii="方正小标宋_GBK" w:hAnsi="宋体" w:eastAsia="方正小标宋_GBK"/>
          <w:color w:val="auto"/>
          <w:sz w:val="28"/>
          <w:szCs w:val="28"/>
          <w:highlight w:val="none"/>
        </w:rPr>
        <w:fldChar w:fldCharType="end"/>
      </w:r>
    </w:p>
    <w:p>
      <w:pPr>
        <w:pStyle w:val="35"/>
        <w:tabs>
          <w:tab w:val="right" w:leader="dot" w:pos="9710"/>
        </w:tabs>
        <w:spacing w:line="1000" w:lineRule="exact"/>
        <w:rPr>
          <w:rFonts w:hint="eastAsia" w:ascii="方正小标宋_GBK" w:hAnsi="宋体" w:eastAsia="方正小标宋_GBK"/>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"_Toc173764942" </w:instrText>
      </w:r>
      <w:r>
        <w:rPr>
          <w:color w:val="auto"/>
          <w:highlight w:val="none"/>
        </w:rPr>
        <w:fldChar w:fldCharType="separate"/>
      </w:r>
      <w:r>
        <w:rPr>
          <w:rStyle w:val="57"/>
          <w:rFonts w:hint="eastAsia" w:ascii="方正小标宋_GBK" w:hAnsi="宋体" w:eastAsia="方正小标宋_GBK" w:cs="Times New Roman"/>
          <w:b/>
          <w:bCs/>
          <w:color w:val="auto"/>
          <w:kern w:val="0"/>
          <w:sz w:val="28"/>
          <w:szCs w:val="28"/>
          <w:highlight w:val="none"/>
        </w:rPr>
        <w:t>第五章  政府采购合同主要条款</w:t>
      </w:r>
      <w:r>
        <w:rPr>
          <w:rFonts w:hint="eastAsia" w:ascii="方正小标宋_GBK" w:hAnsi="宋体" w:eastAsia="方正小标宋_GBK"/>
          <w:color w:val="auto"/>
          <w:sz w:val="28"/>
          <w:szCs w:val="28"/>
          <w:highlight w:val="none"/>
        </w:rPr>
        <w:tab/>
      </w:r>
      <w:r>
        <w:rPr>
          <w:rFonts w:hint="eastAsia" w:ascii="方正小标宋_GBK" w:hAnsi="宋体" w:eastAsia="方正小标宋_GBK"/>
          <w:color w:val="auto"/>
          <w:sz w:val="28"/>
          <w:szCs w:val="28"/>
          <w:highlight w:val="none"/>
        </w:rPr>
        <w:fldChar w:fldCharType="begin"/>
      </w:r>
      <w:r>
        <w:rPr>
          <w:rFonts w:hint="eastAsia" w:ascii="方正小标宋_GBK" w:hAnsi="宋体" w:eastAsia="方正小标宋_GBK"/>
          <w:color w:val="auto"/>
          <w:sz w:val="28"/>
          <w:szCs w:val="28"/>
          <w:highlight w:val="none"/>
        </w:rPr>
        <w:instrText xml:space="preserve"> PAGEREF _Toc173764942 \h </w:instrText>
      </w:r>
      <w:r>
        <w:rPr>
          <w:rFonts w:hint="eastAsia" w:ascii="方正小标宋_GBK" w:hAnsi="宋体" w:eastAsia="方正小标宋_GBK"/>
          <w:color w:val="auto"/>
          <w:sz w:val="28"/>
          <w:szCs w:val="28"/>
          <w:highlight w:val="none"/>
        </w:rPr>
        <w:fldChar w:fldCharType="separate"/>
      </w:r>
      <w:r>
        <w:rPr>
          <w:rFonts w:hint="eastAsia" w:ascii="方正小标宋_GBK" w:hAnsi="宋体" w:eastAsia="方正小标宋_GBK"/>
          <w:color w:val="auto"/>
          <w:sz w:val="28"/>
          <w:szCs w:val="28"/>
          <w:highlight w:val="none"/>
        </w:rPr>
        <w:t>56</w:t>
      </w:r>
      <w:r>
        <w:rPr>
          <w:rFonts w:hint="eastAsia" w:ascii="方正小标宋_GBK" w:hAnsi="宋体" w:eastAsia="方正小标宋_GBK"/>
          <w:color w:val="auto"/>
          <w:sz w:val="28"/>
          <w:szCs w:val="28"/>
          <w:highlight w:val="none"/>
        </w:rPr>
        <w:fldChar w:fldCharType="end"/>
      </w:r>
      <w:r>
        <w:rPr>
          <w:rFonts w:hint="eastAsia" w:ascii="方正小标宋_GBK" w:hAnsi="宋体" w:eastAsia="方正小标宋_GBK"/>
          <w:color w:val="auto"/>
          <w:sz w:val="28"/>
          <w:szCs w:val="28"/>
          <w:highlight w:val="none"/>
        </w:rPr>
        <w:fldChar w:fldCharType="end"/>
      </w:r>
    </w:p>
    <w:p>
      <w:pPr>
        <w:pStyle w:val="35"/>
        <w:tabs>
          <w:tab w:val="right" w:leader="dot" w:pos="9710"/>
        </w:tabs>
        <w:spacing w:line="1000" w:lineRule="exact"/>
        <w:rPr>
          <w:rFonts w:hint="eastAsia" w:ascii="方正小标宋_GBK" w:hAnsi="宋体" w:eastAsia="方正小标宋_GBK"/>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"_Toc173764943" </w:instrText>
      </w:r>
      <w:r>
        <w:rPr>
          <w:color w:val="auto"/>
          <w:highlight w:val="none"/>
        </w:rPr>
        <w:fldChar w:fldCharType="separate"/>
      </w:r>
      <w:r>
        <w:rPr>
          <w:rStyle w:val="57"/>
          <w:rFonts w:hint="eastAsia" w:ascii="方正小标宋_GBK" w:hAnsi="宋体" w:eastAsia="方正小标宋_GBK" w:cs="Times New Roman"/>
          <w:b/>
          <w:bCs/>
          <w:color w:val="auto"/>
          <w:kern w:val="0"/>
          <w:sz w:val="28"/>
          <w:szCs w:val="28"/>
          <w:highlight w:val="none"/>
        </w:rPr>
        <w:t>第六章　投标文件格式</w:t>
      </w:r>
      <w:r>
        <w:rPr>
          <w:rFonts w:hint="eastAsia" w:ascii="方正小标宋_GBK" w:hAnsi="宋体" w:eastAsia="方正小标宋_GBK"/>
          <w:color w:val="auto"/>
          <w:sz w:val="28"/>
          <w:szCs w:val="28"/>
          <w:highlight w:val="none"/>
        </w:rPr>
        <w:tab/>
      </w:r>
      <w:r>
        <w:rPr>
          <w:rFonts w:hint="eastAsia" w:ascii="方正小标宋_GBK" w:hAnsi="宋体" w:eastAsia="方正小标宋_GBK"/>
          <w:color w:val="auto"/>
          <w:sz w:val="28"/>
          <w:szCs w:val="28"/>
          <w:highlight w:val="none"/>
        </w:rPr>
        <w:fldChar w:fldCharType="begin"/>
      </w:r>
      <w:r>
        <w:rPr>
          <w:rFonts w:hint="eastAsia" w:ascii="方正小标宋_GBK" w:hAnsi="宋体" w:eastAsia="方正小标宋_GBK"/>
          <w:color w:val="auto"/>
          <w:sz w:val="28"/>
          <w:szCs w:val="28"/>
          <w:highlight w:val="none"/>
        </w:rPr>
        <w:instrText xml:space="preserve"> PAGEREF _Toc173764943 \h </w:instrText>
      </w:r>
      <w:r>
        <w:rPr>
          <w:rFonts w:hint="eastAsia" w:ascii="方正小标宋_GBK" w:hAnsi="宋体" w:eastAsia="方正小标宋_GBK"/>
          <w:color w:val="auto"/>
          <w:sz w:val="28"/>
          <w:szCs w:val="28"/>
          <w:highlight w:val="none"/>
        </w:rPr>
        <w:fldChar w:fldCharType="separate"/>
      </w:r>
      <w:r>
        <w:rPr>
          <w:rFonts w:hint="eastAsia" w:ascii="方正小标宋_GBK" w:hAnsi="宋体" w:eastAsia="方正小标宋_GBK"/>
          <w:color w:val="auto"/>
          <w:sz w:val="28"/>
          <w:szCs w:val="28"/>
          <w:highlight w:val="none"/>
        </w:rPr>
        <w:t>64</w:t>
      </w:r>
      <w:r>
        <w:rPr>
          <w:rFonts w:hint="eastAsia" w:ascii="方正小标宋_GBK" w:hAnsi="宋体" w:eastAsia="方正小标宋_GBK"/>
          <w:color w:val="auto"/>
          <w:sz w:val="28"/>
          <w:szCs w:val="28"/>
          <w:highlight w:val="none"/>
        </w:rPr>
        <w:fldChar w:fldCharType="end"/>
      </w:r>
      <w:r>
        <w:rPr>
          <w:rFonts w:hint="eastAsia" w:ascii="方正小标宋_GBK" w:hAnsi="宋体" w:eastAsia="方正小标宋_GBK"/>
          <w:color w:val="auto"/>
          <w:sz w:val="28"/>
          <w:szCs w:val="28"/>
          <w:highlight w:val="none"/>
        </w:rPr>
        <w:fldChar w:fldCharType="end"/>
      </w:r>
    </w:p>
    <w:p>
      <w:pPr>
        <w:spacing w:line="1000" w:lineRule="exact"/>
        <w:ind w:left="-2" w:leftChars="-1"/>
        <w:rPr>
          <w:rFonts w:ascii="Times New Roman" w:hAnsi="Times New Roman" w:eastAsia="宋体" w:cs="Times New Roman"/>
          <w:color w:val="auto"/>
          <w:szCs w:val="24"/>
          <w:highlight w:val="none"/>
        </w:rPr>
      </w:pPr>
      <w:r>
        <w:rPr>
          <w:rFonts w:hint="eastAsia" w:ascii="方正小标宋_GBK" w:hAnsi="宋体" w:eastAsia="方正小标宋_GBK" w:cs="Times New Roman"/>
          <w:color w:val="auto"/>
          <w:sz w:val="28"/>
          <w:szCs w:val="28"/>
          <w:highlight w:val="none"/>
        </w:rPr>
        <w:fldChar w:fldCharType="end"/>
      </w:r>
    </w:p>
    <w:p>
      <w:pPr>
        <w:widowControl/>
        <w:jc w:val="left"/>
        <w:rPr>
          <w:rFonts w:ascii="Times New Roman" w:hAnsi="Times New Roman" w:eastAsia="宋体" w:cs="Times New Roman"/>
          <w:color w:val="auto"/>
          <w:szCs w:val="24"/>
          <w:highlight w:val="none"/>
        </w:rPr>
        <w:sectPr>
          <w:pgSz w:w="11906" w:h="16838"/>
          <w:pgMar w:top="1246" w:right="1106" w:bottom="1091" w:left="1080" w:header="851" w:footer="992" w:gutter="0"/>
          <w:cols w:space="720" w:num="1"/>
          <w:docGrid w:type="lines" w:linePitch="312" w:charSpace="0"/>
        </w:sectPr>
      </w:pPr>
    </w:p>
    <w:p>
      <w:pPr>
        <w:spacing w:line="400" w:lineRule="exact"/>
        <w:ind w:left="-2" w:leftChars="-1"/>
        <w:rPr>
          <w:rFonts w:ascii="Times New Roman" w:hAnsi="Times New Roman" w:eastAsia="宋体" w:cs="Times New Roman"/>
          <w:color w:val="auto"/>
          <w:szCs w:val="24"/>
          <w:highlight w:val="none"/>
        </w:rPr>
      </w:pPr>
    </w:p>
    <w:p>
      <w:pPr>
        <w:spacing w:line="400" w:lineRule="exact"/>
        <w:rPr>
          <w:rFonts w:ascii="Times New Roman" w:hAnsi="Times New Roman" w:eastAsia="宋体" w:cs="Times New Roman"/>
          <w:color w:val="auto"/>
          <w:szCs w:val="24"/>
          <w:highlight w:val="none"/>
        </w:rPr>
      </w:pPr>
    </w:p>
    <w:p>
      <w:pPr>
        <w:spacing w:line="400" w:lineRule="exact"/>
        <w:rPr>
          <w:rFonts w:ascii="Times New Roman" w:hAnsi="Times New Roman" w:eastAsia="宋体" w:cs="Times New Roman"/>
          <w:color w:val="auto"/>
          <w:szCs w:val="24"/>
          <w:highlight w:val="none"/>
        </w:rPr>
      </w:pPr>
    </w:p>
    <w:p>
      <w:pPr>
        <w:spacing w:line="400" w:lineRule="exact"/>
        <w:rPr>
          <w:rFonts w:ascii="Times New Roman" w:hAnsi="Times New Roman" w:eastAsia="宋体" w:cs="Times New Roman"/>
          <w:color w:val="auto"/>
          <w:szCs w:val="24"/>
          <w:highlight w:val="none"/>
        </w:rPr>
      </w:pPr>
    </w:p>
    <w:p>
      <w:pPr>
        <w:spacing w:line="400" w:lineRule="exact"/>
        <w:rPr>
          <w:rFonts w:ascii="Times New Roman" w:hAnsi="Times New Roman" w:eastAsia="宋体" w:cs="Times New Roman"/>
          <w:color w:val="auto"/>
          <w:szCs w:val="24"/>
          <w:highlight w:val="none"/>
        </w:rPr>
      </w:pPr>
    </w:p>
    <w:p>
      <w:pPr>
        <w:spacing w:line="400" w:lineRule="exact"/>
        <w:rPr>
          <w:rFonts w:ascii="Times New Roman" w:hAnsi="Times New Roman" w:eastAsia="宋体" w:cs="Times New Roman"/>
          <w:color w:val="auto"/>
          <w:szCs w:val="24"/>
          <w:highlight w:val="none"/>
        </w:rPr>
      </w:pPr>
    </w:p>
    <w:p>
      <w:pPr>
        <w:spacing w:line="400" w:lineRule="exact"/>
        <w:rPr>
          <w:rFonts w:ascii="Times New Roman" w:hAnsi="Times New Roman" w:eastAsia="宋体" w:cs="Times New Roman"/>
          <w:color w:val="auto"/>
          <w:szCs w:val="24"/>
          <w:highlight w:val="none"/>
        </w:rPr>
      </w:pPr>
    </w:p>
    <w:p>
      <w:pPr>
        <w:spacing w:line="400" w:lineRule="exact"/>
        <w:rPr>
          <w:rFonts w:ascii="Times New Roman" w:hAnsi="Times New Roman" w:eastAsia="宋体" w:cs="Times New Roman"/>
          <w:color w:val="auto"/>
          <w:szCs w:val="24"/>
          <w:highlight w:val="none"/>
        </w:rPr>
      </w:pPr>
    </w:p>
    <w:p>
      <w:pPr>
        <w:spacing w:line="400" w:lineRule="exact"/>
        <w:rPr>
          <w:rFonts w:ascii="Times New Roman" w:hAnsi="Times New Roman" w:eastAsia="宋体" w:cs="Times New Roman"/>
          <w:color w:val="auto"/>
          <w:szCs w:val="24"/>
          <w:highlight w:val="none"/>
        </w:rPr>
      </w:pPr>
    </w:p>
    <w:p>
      <w:pPr>
        <w:spacing w:line="400" w:lineRule="exact"/>
        <w:rPr>
          <w:rFonts w:ascii="Times New Roman" w:hAnsi="Times New Roman" w:eastAsia="宋体" w:cs="Times New Roman"/>
          <w:color w:val="auto"/>
          <w:szCs w:val="24"/>
          <w:highlight w:val="none"/>
        </w:rPr>
      </w:pPr>
    </w:p>
    <w:p>
      <w:pPr>
        <w:spacing w:line="400" w:lineRule="exact"/>
        <w:rPr>
          <w:rFonts w:ascii="Times New Roman" w:hAnsi="Times New Roman" w:eastAsia="宋体" w:cs="Times New Roman"/>
          <w:color w:val="auto"/>
          <w:szCs w:val="24"/>
          <w:highlight w:val="none"/>
        </w:rPr>
      </w:pPr>
    </w:p>
    <w:p>
      <w:pPr>
        <w:spacing w:line="300" w:lineRule="auto"/>
        <w:jc w:val="center"/>
        <w:outlineLvl w:val="0"/>
        <w:rPr>
          <w:rFonts w:ascii="方正小标宋_GBK" w:hAnsi="Cambria" w:eastAsia="方正小标宋_GBK" w:cs="Times New Roman"/>
          <w:b/>
          <w:bCs/>
          <w:color w:val="auto"/>
          <w:kern w:val="0"/>
          <w:sz w:val="44"/>
          <w:szCs w:val="44"/>
          <w:highlight w:val="none"/>
        </w:rPr>
      </w:pPr>
      <w:bookmarkStart w:id="0" w:name="_Toc173764938"/>
      <w:r>
        <w:rPr>
          <w:rFonts w:hint="eastAsia" w:ascii="方正小标宋_GBK" w:hAnsi="Cambria" w:eastAsia="方正小标宋_GBK" w:cs="Times New Roman"/>
          <w:b/>
          <w:bCs/>
          <w:color w:val="auto"/>
          <w:kern w:val="0"/>
          <w:sz w:val="44"/>
          <w:szCs w:val="44"/>
          <w:highlight w:val="none"/>
        </w:rPr>
        <w:t>第一章  公 告</w:t>
      </w:r>
      <w:bookmarkEnd w:id="0"/>
    </w:p>
    <w:p>
      <w:pPr>
        <w:spacing w:line="440" w:lineRule="exact"/>
        <w:jc w:val="left"/>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br w:type="page"/>
      </w:r>
    </w:p>
    <w:p>
      <w:pPr>
        <w:spacing w:line="440" w:lineRule="exact"/>
        <w:jc w:val="center"/>
        <w:rPr>
          <w:rFonts w:ascii="方正小标宋_GBK" w:hAnsi="Times New Roman" w:eastAsia="方正小标宋_GBK" w:cs="Times New Roman"/>
          <w:b/>
          <w:bCs/>
          <w:color w:val="auto"/>
          <w:sz w:val="36"/>
          <w:szCs w:val="36"/>
          <w:highlight w:val="none"/>
        </w:rPr>
      </w:pPr>
      <w:r>
        <w:rPr>
          <w:rFonts w:hint="eastAsia" w:ascii="方正小标宋_GBK" w:hAnsi="Times New Roman" w:eastAsia="方正小标宋_GBK" w:cs="Times New Roman"/>
          <w:b/>
          <w:bCs/>
          <w:color w:val="auto"/>
          <w:sz w:val="36"/>
          <w:szCs w:val="36"/>
          <w:highlight w:val="none"/>
        </w:rPr>
        <w:t>钦州市政府采购中心关于</w:t>
      </w:r>
      <w:r>
        <w:rPr>
          <w:rFonts w:hint="eastAsia" w:ascii="方正小标宋_GBK" w:hAnsi="Times New Roman" w:eastAsia="方正小标宋_GBK" w:cs="Times New Roman"/>
          <w:b/>
          <w:bCs/>
          <w:color w:val="auto"/>
          <w:sz w:val="36"/>
          <w:szCs w:val="36"/>
          <w:highlight w:val="none"/>
          <w:lang w:eastAsia="zh-CN"/>
        </w:rPr>
        <w:t>防城港市防城区妇幼保健院物业服务</w:t>
      </w:r>
      <w:r>
        <w:rPr>
          <w:rFonts w:hint="eastAsia" w:ascii="方正小标宋_GBK" w:hAnsi="Times New Roman" w:eastAsia="方正小标宋_GBK" w:cs="Times New Roman"/>
          <w:b/>
          <w:bCs/>
          <w:color w:val="auto"/>
          <w:sz w:val="36"/>
          <w:szCs w:val="36"/>
          <w:highlight w:val="none"/>
        </w:rPr>
        <w:t>(</w:t>
      </w:r>
      <w:r>
        <w:rPr>
          <w:rFonts w:hint="eastAsia" w:ascii="方正小标宋_GBK" w:hAnsi="Times New Roman" w:eastAsia="方正小标宋_GBK" w:cs="Times New Roman"/>
          <w:b/>
          <w:bCs/>
          <w:color w:val="auto"/>
          <w:sz w:val="36"/>
          <w:szCs w:val="36"/>
          <w:highlight w:val="none"/>
          <w:lang w:eastAsia="zh-CN"/>
        </w:rPr>
        <w:t>FCZC2026-G3-030042-QZSZ</w:t>
      </w:r>
      <w:r>
        <w:rPr>
          <w:rFonts w:hint="eastAsia" w:ascii="方正小标宋_GBK" w:hAnsi="Times New Roman" w:eastAsia="方正小标宋_GBK" w:cs="Times New Roman"/>
          <w:b/>
          <w:bCs/>
          <w:color w:val="auto"/>
          <w:sz w:val="36"/>
          <w:szCs w:val="36"/>
          <w:highlight w:val="none"/>
        </w:rPr>
        <w:t>)的招标公告</w:t>
      </w:r>
    </w:p>
    <w:p>
      <w:pPr>
        <w:spacing w:line="240" w:lineRule="exact"/>
        <w:ind w:firstLine="200"/>
        <w:jc w:val="center"/>
        <w:rPr>
          <w:rFonts w:ascii="方正小标宋_GBK" w:hAnsi="Times New Roman" w:eastAsia="方正小标宋_GBK" w:cs="Times New Roman"/>
          <w:b/>
          <w:color w:val="auto"/>
          <w:sz w:val="44"/>
          <w:szCs w:val="44"/>
          <w:highlight w:val="none"/>
        </w:rPr>
      </w:pPr>
    </w:p>
    <w:p>
      <w:pPr>
        <w:pBdr>
          <w:top w:val="single" w:color="auto" w:sz="4" w:space="0"/>
          <w:left w:val="single" w:color="auto" w:sz="4" w:space="4"/>
          <w:bottom w:val="single" w:color="auto" w:sz="4" w:space="1"/>
          <w:right w:val="single" w:color="auto" w:sz="4" w:space="4"/>
        </w:pBdr>
        <w:spacing w:line="400" w:lineRule="exact"/>
        <w:ind w:firstLine="420" w:firstLineChars="2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项目概况</w:t>
      </w:r>
    </w:p>
    <w:p>
      <w:pPr>
        <w:pBdr>
          <w:top w:val="single" w:color="auto" w:sz="4" w:space="0"/>
          <w:left w:val="single" w:color="auto" w:sz="4" w:space="4"/>
          <w:bottom w:val="single" w:color="auto" w:sz="4" w:space="1"/>
          <w:right w:val="single" w:color="auto" w:sz="4" w:space="4"/>
        </w:pBdr>
        <w:spacing w:line="400" w:lineRule="exact"/>
        <w:ind w:firstLine="420" w:firstLineChars="200"/>
        <w:rPr>
          <w:rFonts w:hint="eastAsia" w:ascii="宋体" w:hAnsi="宋体" w:eastAsia="宋体" w:cs="Times New Roman"/>
          <w:color w:val="auto"/>
          <w:szCs w:val="21"/>
          <w:highlight w:val="none"/>
        </w:rPr>
      </w:pPr>
      <w:r>
        <w:rPr>
          <w:rFonts w:hint="eastAsia" w:ascii="宋体" w:hAnsi="宋体" w:eastAsia="宋体" w:cs="Times New Roman"/>
          <w:bCs/>
          <w:color w:val="auto"/>
          <w:szCs w:val="21"/>
          <w:highlight w:val="none"/>
          <w:lang w:eastAsia="zh-CN"/>
        </w:rPr>
        <w:t>防城港市防城区妇幼保健院物业服务</w:t>
      </w:r>
      <w:r>
        <w:rPr>
          <w:rFonts w:hint="eastAsia" w:ascii="宋体" w:hAnsi="宋体" w:eastAsia="宋体" w:cs="Times New Roman"/>
          <w:bCs/>
          <w:color w:val="auto"/>
          <w:szCs w:val="21"/>
          <w:highlight w:val="none"/>
        </w:rPr>
        <w:t>招标</w:t>
      </w:r>
      <w:r>
        <w:rPr>
          <w:rFonts w:hint="eastAsia" w:ascii="宋体" w:hAnsi="宋体" w:eastAsia="宋体" w:cs="Times New Roman"/>
          <w:color w:val="auto"/>
          <w:szCs w:val="21"/>
          <w:highlight w:val="none"/>
        </w:rPr>
        <w:t>项目的潜在投标人应在</w:t>
      </w:r>
      <w:bookmarkStart w:id="1" w:name="_Hlk164066481"/>
      <w:r>
        <w:rPr>
          <w:rFonts w:hint="eastAsia" w:ascii="宋体" w:hAnsi="宋体" w:eastAsia="宋体" w:cs="Times New Roman"/>
          <w:color w:val="auto"/>
          <w:szCs w:val="21"/>
          <w:highlight w:val="none"/>
        </w:rPr>
        <w:t>广西政府采购云平台（https://www.gcy.zfcg.gxzf.gov.cn/）</w:t>
      </w:r>
      <w:bookmarkEnd w:id="1"/>
      <w:r>
        <w:rPr>
          <w:rFonts w:hint="eastAsia" w:ascii="宋体" w:hAnsi="宋体" w:eastAsia="宋体" w:cs="Times New Roman"/>
          <w:color w:val="auto"/>
          <w:szCs w:val="21"/>
          <w:highlight w:val="none"/>
        </w:rPr>
        <w:t>获取招标文件，并于</w:t>
      </w:r>
      <w:r>
        <w:rPr>
          <w:rFonts w:hint="eastAsia" w:ascii="宋体" w:hAnsi="宋体" w:eastAsia="宋体" w:cs="Times New Roman"/>
          <w:color w:val="auto"/>
          <w:szCs w:val="21"/>
          <w:highlight w:val="none"/>
          <w:lang w:eastAsia="zh-CN"/>
        </w:rPr>
        <w:t>2026年</w:t>
      </w:r>
      <w:r>
        <w:rPr>
          <w:rFonts w:hint="eastAsia" w:ascii="宋体" w:hAnsi="宋体" w:eastAsia="宋体" w:cs="Times New Roman"/>
          <w:color w:val="auto"/>
          <w:szCs w:val="21"/>
          <w:highlight w:val="none"/>
          <w:lang w:val="en-US" w:eastAsia="zh-CN"/>
        </w:rPr>
        <w:t xml:space="preserve"> </w:t>
      </w:r>
      <w:r>
        <w:rPr>
          <w:rFonts w:hint="eastAsia" w:ascii="宋体" w:hAnsi="宋体" w:eastAsia="宋体" w:cs="Times New Roman"/>
          <w:color w:val="auto"/>
          <w:szCs w:val="21"/>
          <w:highlight w:val="none"/>
        </w:rPr>
        <w:t>月</w:t>
      </w:r>
      <w:r>
        <w:rPr>
          <w:rFonts w:hint="eastAsia" w:ascii="宋体" w:hAnsi="宋体" w:eastAsia="宋体" w:cs="Times New Roman"/>
          <w:color w:val="auto"/>
          <w:szCs w:val="21"/>
          <w:highlight w:val="none"/>
          <w:lang w:val="en-US" w:eastAsia="zh-CN"/>
        </w:rPr>
        <w:t xml:space="preserve"> </w:t>
      </w:r>
      <w:r>
        <w:rPr>
          <w:rFonts w:hint="eastAsia" w:ascii="宋体" w:hAnsi="宋体" w:eastAsia="宋体" w:cs="Times New Roman"/>
          <w:color w:val="auto"/>
          <w:szCs w:val="21"/>
          <w:highlight w:val="none"/>
        </w:rPr>
        <w:t>日</w:t>
      </w:r>
      <w:r>
        <w:rPr>
          <w:rFonts w:ascii="Times New Roman" w:hAnsi="Times New Roman" w:eastAsia="宋体" w:cs="Times New Roman"/>
          <w:color w:val="auto"/>
          <w:szCs w:val="24"/>
          <w:highlight w:val="none"/>
        </w:rPr>
        <w:t>09:30</w:t>
      </w:r>
      <w:r>
        <w:rPr>
          <w:rFonts w:hint="eastAsia" w:ascii="宋体" w:hAnsi="宋体" w:eastAsia="宋体" w:cs="Times New Roman"/>
          <w:color w:val="auto"/>
          <w:szCs w:val="21"/>
          <w:highlight w:val="none"/>
        </w:rPr>
        <w:t>（北京时间）前提交投标文件。</w:t>
      </w:r>
    </w:p>
    <w:p>
      <w:pPr>
        <w:spacing w:line="400" w:lineRule="exact"/>
        <w:rPr>
          <w:rFonts w:ascii="Times New Roman" w:hAnsi="Times New Roman" w:eastAsia="宋体" w:cs="Times New Roman"/>
          <w:b/>
          <w:color w:val="auto"/>
          <w:szCs w:val="24"/>
          <w:highlight w:val="none"/>
        </w:rPr>
      </w:pPr>
      <w:bookmarkStart w:id="2" w:name="_Toc35393621"/>
      <w:bookmarkStart w:id="3" w:name="_Toc28359002"/>
      <w:bookmarkStart w:id="4" w:name="_Toc35393790"/>
      <w:bookmarkStart w:id="5" w:name="_Toc28359079"/>
      <w:bookmarkStart w:id="6" w:name="_Hlk24379207"/>
      <w:bookmarkStart w:id="7" w:name="_Hlk92355554"/>
      <w:r>
        <w:rPr>
          <w:rFonts w:hint="eastAsia" w:ascii="Times New Roman" w:hAnsi="Times New Roman" w:eastAsia="宋体" w:cs="Times New Roman"/>
          <w:b/>
          <w:color w:val="auto"/>
          <w:szCs w:val="24"/>
          <w:highlight w:val="none"/>
        </w:rPr>
        <w:t>一、项目基本情况</w:t>
      </w:r>
      <w:bookmarkEnd w:id="2"/>
      <w:bookmarkEnd w:id="3"/>
      <w:bookmarkEnd w:id="4"/>
      <w:bookmarkEnd w:id="5"/>
    </w:p>
    <w:p>
      <w:pPr>
        <w:spacing w:line="400" w:lineRule="exact"/>
        <w:ind w:firstLine="420" w:firstLineChars="200"/>
        <w:rPr>
          <w:rFonts w:hint="eastAsia"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rPr>
        <w:t>项目编号：</w:t>
      </w:r>
      <w:r>
        <w:rPr>
          <w:rFonts w:hint="eastAsia" w:ascii="宋体" w:hAnsi="宋体" w:eastAsia="宋体" w:cs="Times New Roman"/>
          <w:bCs/>
          <w:color w:val="auto"/>
          <w:szCs w:val="24"/>
          <w:highlight w:val="none"/>
          <w:lang w:eastAsia="zh-CN"/>
        </w:rPr>
        <w:t>FCZC2026-G3-030042-QZSZ</w:t>
      </w:r>
    </w:p>
    <w:p>
      <w:pPr>
        <w:spacing w:line="400" w:lineRule="exact"/>
        <w:ind w:firstLine="420" w:firstLineChars="200"/>
        <w:rPr>
          <w:rFonts w:hint="eastAsia"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rPr>
        <w:t>项目名称：</w:t>
      </w:r>
      <w:bookmarkStart w:id="8" w:name="OLE_LINK1"/>
      <w:r>
        <w:rPr>
          <w:rFonts w:hint="eastAsia" w:ascii="Times New Roman" w:hAnsi="Times New Roman" w:eastAsia="宋体" w:cs="Times New Roman"/>
          <w:color w:val="auto"/>
          <w:szCs w:val="24"/>
          <w:highlight w:val="none"/>
          <w:lang w:eastAsia="zh-CN"/>
        </w:rPr>
        <w:t>防城港市防城区妇幼保健院物业服务</w:t>
      </w:r>
      <w:bookmarkEnd w:id="8"/>
    </w:p>
    <w:bookmarkEnd w:id="6"/>
    <w:p>
      <w:pPr>
        <w:spacing w:line="400" w:lineRule="exact"/>
        <w:ind w:firstLine="420" w:firstLineChars="20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预算总金额</w:t>
      </w:r>
      <w:r>
        <w:rPr>
          <w:rFonts w:ascii="Times New Roman" w:hAnsi="Times New Roman" w:eastAsia="宋体" w:cs="Times New Roman"/>
          <w:color w:val="auto"/>
          <w:szCs w:val="24"/>
          <w:highlight w:val="none"/>
        </w:rPr>
        <w:t>(</w:t>
      </w:r>
      <w:r>
        <w:rPr>
          <w:rFonts w:hint="eastAsia" w:ascii="Times New Roman" w:hAnsi="Times New Roman" w:eastAsia="宋体" w:cs="Times New Roman"/>
          <w:color w:val="auto"/>
          <w:szCs w:val="24"/>
          <w:highlight w:val="none"/>
        </w:rPr>
        <w:t>元</w:t>
      </w:r>
      <w:r>
        <w:rPr>
          <w:rFonts w:ascii="Times New Roman" w:hAnsi="Times New Roman" w:eastAsia="宋体" w:cs="Times New Roman"/>
          <w:color w:val="auto"/>
          <w:szCs w:val="24"/>
          <w:highlight w:val="none"/>
        </w:rPr>
        <w:t>)</w:t>
      </w:r>
      <w:r>
        <w:rPr>
          <w:rFonts w:hint="eastAsia" w:ascii="Times New Roman" w:hAnsi="Times New Roman" w:eastAsia="宋体" w:cs="Times New Roman"/>
          <w:color w:val="auto"/>
          <w:szCs w:val="24"/>
          <w:highlight w:val="none"/>
        </w:rPr>
        <w:t>：</w:t>
      </w:r>
      <w:r>
        <w:rPr>
          <w:rFonts w:hint="eastAsia" w:ascii="Times New Roman" w:hAnsi="Times New Roman" w:eastAsia="宋体" w:cs="Times New Roman"/>
          <w:color w:val="auto"/>
          <w:szCs w:val="24"/>
          <w:highlight w:val="none"/>
          <w:lang w:val="en-US" w:eastAsia="zh-CN"/>
        </w:rPr>
        <w:t>3,801,600.00</w:t>
      </w:r>
    </w:p>
    <w:p>
      <w:pPr>
        <w:spacing w:line="400" w:lineRule="exact"/>
        <w:ind w:firstLine="420" w:firstLineChars="20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采购需求：</w:t>
      </w:r>
    </w:p>
    <w:p>
      <w:pPr>
        <w:spacing w:line="400" w:lineRule="exact"/>
        <w:ind w:firstLine="420" w:firstLineChars="200"/>
        <w:rPr>
          <w:rFonts w:ascii="Times New Roman" w:hAnsi="Times New Roman" w:eastAsia="宋体" w:cs="Times New Roman"/>
          <w:color w:val="auto"/>
          <w:szCs w:val="24"/>
          <w:highlight w:val="none"/>
        </w:rPr>
      </w:pPr>
    </w:p>
    <w:p>
      <w:pPr>
        <w:spacing w:line="400" w:lineRule="exact"/>
        <w:ind w:firstLine="420" w:firstLineChars="200"/>
        <w:rPr>
          <w:rFonts w:hint="eastAsia"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rPr>
        <w:t>标项名称：</w:t>
      </w:r>
      <w:r>
        <w:rPr>
          <w:rFonts w:hint="eastAsia" w:ascii="Times New Roman" w:hAnsi="Times New Roman" w:eastAsia="宋体" w:cs="Times New Roman"/>
          <w:color w:val="auto"/>
          <w:szCs w:val="24"/>
          <w:highlight w:val="none"/>
          <w:lang w:eastAsia="zh-CN"/>
        </w:rPr>
        <w:t>防城港市防城区妇幼保健院物业服务</w:t>
      </w:r>
    </w:p>
    <w:p>
      <w:pPr>
        <w:spacing w:line="400" w:lineRule="exact"/>
        <w:ind w:firstLine="420" w:firstLineChars="20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数量：</w:t>
      </w:r>
    </w:p>
    <w:p>
      <w:pPr>
        <w:spacing w:line="400" w:lineRule="exact"/>
        <w:ind w:firstLine="420" w:firstLineChars="20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预算金额</w:t>
      </w:r>
      <w:r>
        <w:rPr>
          <w:rFonts w:ascii="Times New Roman" w:hAnsi="Times New Roman" w:eastAsia="宋体" w:cs="Times New Roman"/>
          <w:color w:val="auto"/>
          <w:szCs w:val="24"/>
          <w:highlight w:val="none"/>
        </w:rPr>
        <w:t>(</w:t>
      </w:r>
      <w:r>
        <w:rPr>
          <w:rFonts w:hint="eastAsia" w:ascii="Times New Roman" w:hAnsi="Times New Roman" w:eastAsia="宋体" w:cs="Times New Roman"/>
          <w:color w:val="auto"/>
          <w:szCs w:val="24"/>
          <w:highlight w:val="none"/>
        </w:rPr>
        <w:t>元</w:t>
      </w:r>
      <w:r>
        <w:rPr>
          <w:rFonts w:ascii="Times New Roman" w:hAnsi="Times New Roman" w:eastAsia="宋体" w:cs="Times New Roman"/>
          <w:color w:val="auto"/>
          <w:szCs w:val="24"/>
          <w:highlight w:val="none"/>
        </w:rPr>
        <w:t>)</w:t>
      </w:r>
      <w:r>
        <w:rPr>
          <w:rFonts w:hint="eastAsia" w:ascii="Times New Roman" w:hAnsi="Times New Roman" w:eastAsia="宋体" w:cs="Times New Roman"/>
          <w:color w:val="auto"/>
          <w:szCs w:val="24"/>
          <w:highlight w:val="none"/>
        </w:rPr>
        <w:t>：</w:t>
      </w:r>
      <w:r>
        <w:rPr>
          <w:rFonts w:hint="eastAsia" w:ascii="Times New Roman" w:hAnsi="Times New Roman" w:eastAsia="宋体" w:cs="Times New Roman"/>
          <w:color w:val="auto"/>
          <w:szCs w:val="24"/>
          <w:highlight w:val="none"/>
          <w:lang w:val="en-US" w:eastAsia="zh-CN"/>
        </w:rPr>
        <w:t>3,801,600.00</w:t>
      </w:r>
    </w:p>
    <w:p>
      <w:pPr>
        <w:spacing w:line="400" w:lineRule="exact"/>
        <w:ind w:firstLine="420" w:firstLineChars="200"/>
        <w:rPr>
          <w:rFonts w:hint="eastAsia"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rPr>
        <w:t>简要规格描述或项目基本概况介绍、用途：防城港市防城区妇幼保健院所辖本院区、康复中心区、人民银行区的保洁及医疗辅助服务（包含医疗垃圾处理、室内消毒）、安保服务及停车场管理、绿化养护、消防安全及消防器材管理、消防控制室管理、门禁监控系统管理、搬运服务（小型物品、器械及药品搬运服务</w:t>
      </w:r>
      <w:r>
        <w:rPr>
          <w:rFonts w:hint="eastAsia" w:ascii="Times New Roman" w:hAnsi="Times New Roman" w:eastAsia="宋体" w:cs="Times New Roman"/>
          <w:color w:val="auto"/>
          <w:szCs w:val="24"/>
          <w:highlight w:val="none"/>
          <w:lang w:eastAsia="zh-CN"/>
        </w:rPr>
        <w:t>等</w:t>
      </w:r>
      <w:r>
        <w:rPr>
          <w:rFonts w:hint="eastAsia" w:ascii="Times New Roman" w:hAnsi="Times New Roman" w:eastAsia="宋体" w:cs="Times New Roman"/>
          <w:color w:val="auto"/>
          <w:szCs w:val="24"/>
          <w:highlight w:val="none"/>
        </w:rPr>
        <w:t>）、应急事件处理等</w:t>
      </w:r>
      <w:r>
        <w:rPr>
          <w:rFonts w:hint="eastAsia" w:ascii="Times New Roman" w:hAnsi="Times New Roman" w:eastAsia="宋体" w:cs="Times New Roman"/>
          <w:color w:val="auto"/>
          <w:szCs w:val="24"/>
          <w:highlight w:val="none"/>
          <w:lang w:eastAsia="zh-CN"/>
        </w:rPr>
        <w:t>，详见招标文件。</w:t>
      </w:r>
    </w:p>
    <w:p>
      <w:pPr>
        <w:spacing w:line="400" w:lineRule="exact"/>
        <w:ind w:firstLine="420" w:firstLineChars="20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最高限价</w:t>
      </w:r>
      <w:r>
        <w:rPr>
          <w:rFonts w:ascii="Times New Roman" w:hAnsi="Times New Roman" w:eastAsia="宋体" w:cs="Times New Roman"/>
          <w:color w:val="auto"/>
          <w:szCs w:val="24"/>
          <w:highlight w:val="none"/>
        </w:rPr>
        <w:t>(</w:t>
      </w:r>
      <w:r>
        <w:rPr>
          <w:rFonts w:hint="eastAsia" w:ascii="Times New Roman" w:hAnsi="Times New Roman" w:eastAsia="宋体" w:cs="Times New Roman"/>
          <w:color w:val="auto"/>
          <w:szCs w:val="24"/>
          <w:highlight w:val="none"/>
        </w:rPr>
        <w:t>如有</w:t>
      </w:r>
      <w:r>
        <w:rPr>
          <w:rFonts w:ascii="Times New Roman" w:hAnsi="Times New Roman" w:eastAsia="宋体" w:cs="Times New Roman"/>
          <w:color w:val="auto"/>
          <w:szCs w:val="24"/>
          <w:highlight w:val="none"/>
        </w:rPr>
        <w:t>)</w:t>
      </w:r>
      <w:r>
        <w:rPr>
          <w:rFonts w:hint="eastAsia" w:ascii="Times New Roman" w:hAnsi="Times New Roman" w:eastAsia="宋体" w:cs="Times New Roman"/>
          <w:color w:val="auto"/>
          <w:szCs w:val="24"/>
          <w:highlight w:val="none"/>
        </w:rPr>
        <w:t>：</w:t>
      </w:r>
      <w:r>
        <w:rPr>
          <w:rFonts w:hint="eastAsia" w:ascii="Times New Roman" w:hAnsi="Times New Roman" w:eastAsia="宋体" w:cs="Times New Roman"/>
          <w:color w:val="auto"/>
          <w:szCs w:val="24"/>
          <w:highlight w:val="none"/>
          <w:lang w:val="en-US" w:eastAsia="zh-CN"/>
        </w:rPr>
        <w:t xml:space="preserve"> </w:t>
      </w:r>
    </w:p>
    <w:p>
      <w:pPr>
        <w:spacing w:line="400" w:lineRule="exact"/>
        <w:ind w:firstLine="420" w:firstLineChars="20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合同履行期限：自合同签订之日起3年。若年度考核不合格，采购人有权</w:t>
      </w:r>
      <w:r>
        <w:rPr>
          <w:rFonts w:hint="eastAsia" w:ascii="Times New Roman" w:hAnsi="Times New Roman" w:eastAsia="宋体" w:cs="Times New Roman"/>
          <w:color w:val="auto"/>
          <w:szCs w:val="24"/>
          <w:highlight w:val="none"/>
          <w:lang w:val="en-US" w:eastAsia="zh-CN"/>
        </w:rPr>
        <w:t>依法解除合同</w:t>
      </w:r>
      <w:r>
        <w:rPr>
          <w:rFonts w:hint="eastAsia" w:ascii="Times New Roman" w:hAnsi="Times New Roman" w:eastAsia="宋体" w:cs="Times New Roman"/>
          <w:color w:val="auto"/>
          <w:szCs w:val="24"/>
          <w:highlight w:val="none"/>
        </w:rPr>
        <w:t>。</w:t>
      </w:r>
    </w:p>
    <w:p>
      <w:pPr>
        <w:spacing w:line="400" w:lineRule="exact"/>
        <w:ind w:firstLine="420" w:firstLineChars="20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本标项</w:t>
      </w:r>
      <w:r>
        <w:rPr>
          <w:rFonts w:ascii="Times New Roman" w:hAnsi="Times New Roman" w:eastAsia="宋体" w:cs="Times New Roman"/>
          <w:color w:val="auto"/>
          <w:szCs w:val="24"/>
          <w:highlight w:val="none"/>
        </w:rPr>
        <w:t>(</w:t>
      </w:r>
      <w:r>
        <w:rPr>
          <w:rFonts w:hint="eastAsia" w:ascii="Times New Roman" w:hAnsi="Times New Roman" w:eastAsia="宋体" w:cs="Times New Roman"/>
          <w:color w:val="auto"/>
          <w:szCs w:val="24"/>
          <w:highlight w:val="none"/>
        </w:rPr>
        <w:t>否</w:t>
      </w:r>
      <w:r>
        <w:rPr>
          <w:rFonts w:ascii="Times New Roman" w:hAnsi="Times New Roman" w:eastAsia="宋体" w:cs="Times New Roman"/>
          <w:color w:val="auto"/>
          <w:szCs w:val="24"/>
          <w:highlight w:val="none"/>
        </w:rPr>
        <w:t>)</w:t>
      </w:r>
      <w:r>
        <w:rPr>
          <w:rFonts w:hint="eastAsia" w:ascii="Times New Roman" w:hAnsi="Times New Roman" w:eastAsia="宋体" w:cs="Times New Roman"/>
          <w:color w:val="auto"/>
          <w:szCs w:val="24"/>
          <w:highlight w:val="none"/>
        </w:rPr>
        <w:t>接受联合体投标。</w:t>
      </w:r>
    </w:p>
    <w:p>
      <w:pPr>
        <w:spacing w:line="400" w:lineRule="exact"/>
        <w:ind w:firstLine="420" w:firstLineChars="20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备注：</w:t>
      </w:r>
    </w:p>
    <w:p>
      <w:pPr>
        <w:spacing w:line="400" w:lineRule="exact"/>
        <w:ind w:firstLine="420" w:firstLineChars="200"/>
        <w:rPr>
          <w:rFonts w:ascii="Times New Roman" w:hAnsi="Times New Roman" w:eastAsia="宋体" w:cs="Times New Roman"/>
          <w:color w:val="auto"/>
          <w:szCs w:val="24"/>
          <w:highlight w:val="none"/>
        </w:rPr>
      </w:pPr>
    </w:p>
    <w:p>
      <w:pPr>
        <w:spacing w:line="400" w:lineRule="exact"/>
        <w:rPr>
          <w:rFonts w:ascii="Times New Roman" w:hAnsi="Times New Roman" w:eastAsia="宋体" w:cs="Times New Roman"/>
          <w:b/>
          <w:color w:val="auto"/>
          <w:szCs w:val="24"/>
          <w:highlight w:val="none"/>
        </w:rPr>
      </w:pPr>
      <w:bookmarkStart w:id="9" w:name="_Toc28359003"/>
      <w:bookmarkStart w:id="10" w:name="_Toc28359080"/>
      <w:bookmarkStart w:id="11" w:name="_Toc35393622"/>
      <w:bookmarkStart w:id="12" w:name="_Toc35393791"/>
      <w:r>
        <w:rPr>
          <w:rFonts w:hint="eastAsia" w:ascii="Times New Roman" w:hAnsi="Times New Roman" w:eastAsia="宋体" w:cs="Times New Roman"/>
          <w:b/>
          <w:color w:val="auto"/>
          <w:szCs w:val="24"/>
          <w:highlight w:val="none"/>
        </w:rPr>
        <w:t>二、申请人的资格要求：</w:t>
      </w:r>
      <w:bookmarkEnd w:id="9"/>
      <w:bookmarkEnd w:id="10"/>
      <w:bookmarkEnd w:id="11"/>
      <w:bookmarkEnd w:id="12"/>
      <w:bookmarkStart w:id="13" w:name="_Toc28359004"/>
      <w:bookmarkStart w:id="14" w:name="_Toc35393792"/>
      <w:bookmarkStart w:id="15" w:name="_Toc28359081"/>
      <w:bookmarkStart w:id="16" w:name="_Toc35393623"/>
    </w:p>
    <w:p>
      <w:pPr>
        <w:spacing w:line="400" w:lineRule="exact"/>
        <w:ind w:firstLine="420" w:firstLineChars="200"/>
        <w:rPr>
          <w:rFonts w:ascii="Times New Roman" w:hAnsi="Times New Roman" w:eastAsia="宋体" w:cs="Times New Roman"/>
          <w:b/>
          <w:color w:val="auto"/>
          <w:szCs w:val="24"/>
          <w:highlight w:val="none"/>
        </w:rPr>
      </w:pPr>
      <w:r>
        <w:rPr>
          <w:rFonts w:ascii="Times New Roman" w:hAnsi="Times New Roman" w:eastAsia="宋体" w:cs="Times New Roman"/>
          <w:color w:val="auto"/>
          <w:szCs w:val="24"/>
          <w:highlight w:val="none"/>
        </w:rPr>
        <w:t>1.</w:t>
      </w:r>
      <w:r>
        <w:rPr>
          <w:rFonts w:hint="eastAsia" w:ascii="Times New Roman" w:hAnsi="Times New Roman" w:eastAsia="宋体" w:cs="Times New Roman"/>
          <w:color w:val="auto"/>
          <w:szCs w:val="24"/>
          <w:highlight w:val="none"/>
        </w:rPr>
        <w:t>满足《中华人民共和国政府采购法》第二十二条规定；</w:t>
      </w:r>
    </w:p>
    <w:p>
      <w:pPr>
        <w:spacing w:line="400" w:lineRule="exact"/>
        <w:ind w:firstLine="420" w:firstLineChars="200"/>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t>2.</w:t>
      </w:r>
      <w:r>
        <w:rPr>
          <w:rFonts w:hint="eastAsia" w:ascii="Times New Roman" w:hAnsi="Times New Roman" w:eastAsia="宋体" w:cs="Times New Roman"/>
          <w:color w:val="auto"/>
          <w:szCs w:val="24"/>
          <w:highlight w:val="none"/>
        </w:rPr>
        <w:t>落实政府采购政策需满足的资格要求</w:t>
      </w:r>
      <w:r>
        <w:rPr>
          <w:rFonts w:hint="eastAsia" w:ascii="宋体" w:hAnsi="宋体" w:eastAsia="宋体" w:cs="宋体"/>
          <w:color w:val="auto"/>
          <w:szCs w:val="24"/>
          <w:highlight w:val="none"/>
        </w:rPr>
        <w:t>：</w:t>
      </w:r>
      <w:r>
        <w:rPr>
          <w:rFonts w:hint="eastAsia" w:ascii="宋体" w:hAnsi="宋体" w:eastAsia="宋体" w:cs="宋体"/>
          <w:color w:val="auto"/>
          <w:highlight w:val="none"/>
          <w:lang w:val="en-US" w:eastAsia="zh-CN"/>
        </w:rPr>
        <w:t>服务全部由符合政策要求的中小企业承接</w:t>
      </w:r>
    </w:p>
    <w:p>
      <w:pPr>
        <w:spacing w:line="400" w:lineRule="exact"/>
        <w:ind w:firstLine="435"/>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t>3.</w:t>
      </w:r>
      <w:r>
        <w:rPr>
          <w:rFonts w:hint="eastAsia" w:ascii="Times New Roman" w:hAnsi="Times New Roman" w:eastAsia="宋体" w:cs="Times New Roman"/>
          <w:color w:val="auto"/>
          <w:szCs w:val="24"/>
          <w:highlight w:val="none"/>
        </w:rPr>
        <w:t>本项目的特定资格要求：无</w:t>
      </w:r>
    </w:p>
    <w:p>
      <w:pPr>
        <w:spacing w:line="400" w:lineRule="exact"/>
        <w:rPr>
          <w:rFonts w:ascii="Times New Roman" w:hAnsi="Times New Roman" w:eastAsia="宋体" w:cs="Times New Roman"/>
          <w:b/>
          <w:color w:val="auto"/>
          <w:szCs w:val="24"/>
          <w:highlight w:val="none"/>
        </w:rPr>
      </w:pPr>
      <w:r>
        <w:rPr>
          <w:rFonts w:hint="eastAsia" w:ascii="Times New Roman" w:hAnsi="Times New Roman" w:eastAsia="宋体" w:cs="Times New Roman"/>
          <w:b/>
          <w:color w:val="auto"/>
          <w:szCs w:val="24"/>
          <w:highlight w:val="none"/>
        </w:rPr>
        <w:t>三、获取招标文件</w:t>
      </w:r>
      <w:bookmarkEnd w:id="13"/>
      <w:bookmarkEnd w:id="14"/>
      <w:bookmarkEnd w:id="15"/>
      <w:bookmarkEnd w:id="16"/>
    </w:p>
    <w:p>
      <w:pPr>
        <w:spacing w:line="400" w:lineRule="exact"/>
        <w:ind w:firstLine="420" w:firstLineChars="200"/>
        <w:jc w:val="left"/>
        <w:rPr>
          <w:rFonts w:ascii="Times New Roman" w:hAnsi="Times New Roman" w:eastAsia="宋体" w:cs="Times New Roman"/>
          <w:color w:val="auto"/>
          <w:szCs w:val="24"/>
          <w:highlight w:val="none"/>
        </w:rPr>
      </w:pPr>
      <w:bookmarkStart w:id="17" w:name="_Toc38370141"/>
      <w:r>
        <w:rPr>
          <w:rFonts w:hint="eastAsia" w:ascii="Times New Roman" w:hAnsi="Times New Roman" w:eastAsia="宋体" w:cs="Times New Roman"/>
          <w:color w:val="auto"/>
          <w:szCs w:val="24"/>
          <w:highlight w:val="none"/>
        </w:rPr>
        <w:t>时间：</w:t>
      </w:r>
      <w:r>
        <w:rPr>
          <w:rFonts w:hint="eastAsia" w:ascii="Times New Roman" w:hAnsi="Times New Roman" w:eastAsia="宋体" w:cs="Times New Roman"/>
          <w:color w:val="auto"/>
          <w:szCs w:val="24"/>
          <w:highlight w:val="none"/>
          <w:lang w:eastAsia="zh-CN"/>
        </w:rPr>
        <w:t>2026年</w:t>
      </w:r>
      <w:r>
        <w:rPr>
          <w:rFonts w:hint="eastAsia" w:ascii="Times New Roman" w:hAnsi="Times New Roman" w:eastAsia="宋体" w:cs="Times New Roman"/>
          <w:color w:val="auto"/>
          <w:szCs w:val="24"/>
          <w:highlight w:val="none"/>
          <w:lang w:val="en-US" w:eastAsia="zh-CN"/>
        </w:rPr>
        <w:t xml:space="preserve"> </w:t>
      </w:r>
      <w:r>
        <w:rPr>
          <w:rFonts w:hint="eastAsia" w:ascii="Times New Roman" w:hAnsi="Times New Roman" w:eastAsia="宋体" w:cs="Times New Roman"/>
          <w:color w:val="auto"/>
          <w:szCs w:val="24"/>
          <w:highlight w:val="none"/>
        </w:rPr>
        <w:t>月</w:t>
      </w:r>
      <w:r>
        <w:rPr>
          <w:rFonts w:hint="eastAsia" w:ascii="Times New Roman" w:hAnsi="Times New Roman" w:eastAsia="宋体" w:cs="Times New Roman"/>
          <w:color w:val="auto"/>
          <w:szCs w:val="24"/>
          <w:highlight w:val="none"/>
          <w:lang w:val="en-US" w:eastAsia="zh-CN"/>
        </w:rPr>
        <w:t xml:space="preserve"> </w:t>
      </w:r>
      <w:r>
        <w:rPr>
          <w:rFonts w:hint="eastAsia" w:ascii="Times New Roman" w:hAnsi="Times New Roman" w:eastAsia="宋体" w:cs="Times New Roman"/>
          <w:color w:val="auto"/>
          <w:szCs w:val="24"/>
          <w:highlight w:val="none"/>
        </w:rPr>
        <w:t>日至</w:t>
      </w:r>
      <w:r>
        <w:rPr>
          <w:rFonts w:hint="eastAsia" w:ascii="Times New Roman" w:hAnsi="Times New Roman" w:eastAsia="宋体" w:cs="Times New Roman"/>
          <w:color w:val="auto"/>
          <w:szCs w:val="24"/>
          <w:highlight w:val="none"/>
          <w:lang w:eastAsia="zh-CN"/>
        </w:rPr>
        <w:t>2026年</w:t>
      </w:r>
      <w:r>
        <w:rPr>
          <w:rFonts w:hint="eastAsia" w:ascii="Times New Roman" w:hAnsi="Times New Roman" w:eastAsia="宋体" w:cs="Times New Roman"/>
          <w:color w:val="auto"/>
          <w:szCs w:val="24"/>
          <w:highlight w:val="none"/>
          <w:lang w:val="en-US" w:eastAsia="zh-CN"/>
        </w:rPr>
        <w:t xml:space="preserve"> </w:t>
      </w:r>
      <w:r>
        <w:rPr>
          <w:rFonts w:hint="eastAsia" w:ascii="Times New Roman" w:hAnsi="Times New Roman" w:eastAsia="宋体" w:cs="Times New Roman"/>
          <w:color w:val="auto"/>
          <w:szCs w:val="24"/>
          <w:highlight w:val="none"/>
        </w:rPr>
        <w:t>月</w:t>
      </w:r>
      <w:r>
        <w:rPr>
          <w:rFonts w:hint="eastAsia" w:ascii="Times New Roman" w:hAnsi="Times New Roman" w:eastAsia="宋体" w:cs="Times New Roman"/>
          <w:color w:val="auto"/>
          <w:szCs w:val="24"/>
          <w:highlight w:val="none"/>
          <w:lang w:val="en-US" w:eastAsia="zh-CN"/>
        </w:rPr>
        <w:t xml:space="preserve"> </w:t>
      </w:r>
      <w:r>
        <w:rPr>
          <w:rFonts w:hint="eastAsia" w:ascii="Times New Roman" w:hAnsi="Times New Roman" w:eastAsia="宋体" w:cs="Times New Roman"/>
          <w:color w:val="auto"/>
          <w:szCs w:val="24"/>
          <w:highlight w:val="none"/>
        </w:rPr>
        <w:t>日</w:t>
      </w:r>
      <w:r>
        <w:rPr>
          <w:rFonts w:ascii="Times New Roman" w:hAnsi="Times New Roman" w:eastAsia="宋体" w:cs="Times New Roman"/>
          <w:color w:val="auto"/>
          <w:szCs w:val="24"/>
          <w:highlight w:val="none"/>
        </w:rPr>
        <w:t xml:space="preserve"> </w:t>
      </w:r>
      <w:r>
        <w:rPr>
          <w:rFonts w:hint="eastAsia" w:ascii="Times New Roman" w:hAnsi="Times New Roman" w:eastAsia="宋体" w:cs="Times New Roman"/>
          <w:color w:val="auto"/>
          <w:szCs w:val="24"/>
          <w:highlight w:val="none"/>
        </w:rPr>
        <w:t>，每天上午</w:t>
      </w:r>
      <w:r>
        <w:rPr>
          <w:rFonts w:ascii="Times New Roman" w:hAnsi="Times New Roman" w:eastAsia="宋体" w:cs="Times New Roman"/>
          <w:color w:val="auto"/>
          <w:szCs w:val="24"/>
          <w:highlight w:val="none"/>
        </w:rPr>
        <w:t>00:00</w:t>
      </w:r>
      <w:r>
        <w:rPr>
          <w:rFonts w:hint="eastAsia" w:ascii="Times New Roman" w:hAnsi="Times New Roman" w:eastAsia="宋体" w:cs="Times New Roman"/>
          <w:color w:val="auto"/>
          <w:szCs w:val="24"/>
          <w:highlight w:val="none"/>
        </w:rPr>
        <w:t>至</w:t>
      </w:r>
      <w:r>
        <w:rPr>
          <w:rFonts w:ascii="Times New Roman" w:hAnsi="Times New Roman" w:eastAsia="宋体" w:cs="Times New Roman"/>
          <w:color w:val="auto"/>
          <w:szCs w:val="24"/>
          <w:highlight w:val="none"/>
        </w:rPr>
        <w:t>12:00</w:t>
      </w:r>
      <w:r>
        <w:rPr>
          <w:rFonts w:hint="eastAsia" w:ascii="Times New Roman" w:hAnsi="Times New Roman" w:eastAsia="宋体" w:cs="Times New Roman"/>
          <w:color w:val="auto"/>
          <w:szCs w:val="24"/>
          <w:highlight w:val="none"/>
        </w:rPr>
        <w:t>，下午</w:t>
      </w:r>
      <w:r>
        <w:rPr>
          <w:rFonts w:ascii="Times New Roman" w:hAnsi="Times New Roman" w:eastAsia="宋体" w:cs="Times New Roman"/>
          <w:color w:val="auto"/>
          <w:szCs w:val="24"/>
          <w:highlight w:val="none"/>
        </w:rPr>
        <w:t>12:00</w:t>
      </w:r>
      <w:r>
        <w:rPr>
          <w:rFonts w:hint="eastAsia" w:ascii="Times New Roman" w:hAnsi="Times New Roman" w:eastAsia="宋体" w:cs="Times New Roman"/>
          <w:color w:val="auto"/>
          <w:szCs w:val="24"/>
          <w:highlight w:val="none"/>
        </w:rPr>
        <w:t>至</w:t>
      </w:r>
      <w:r>
        <w:rPr>
          <w:rFonts w:ascii="Times New Roman" w:hAnsi="Times New Roman" w:eastAsia="宋体" w:cs="Times New Roman"/>
          <w:color w:val="auto"/>
          <w:szCs w:val="24"/>
          <w:highlight w:val="none"/>
        </w:rPr>
        <w:t>23:59</w:t>
      </w:r>
      <w:r>
        <w:rPr>
          <w:rFonts w:hint="eastAsia" w:ascii="Times New Roman" w:hAnsi="Times New Roman" w:eastAsia="宋体" w:cs="Times New Roman"/>
          <w:color w:val="auto"/>
          <w:szCs w:val="24"/>
          <w:highlight w:val="none"/>
        </w:rPr>
        <w:t>（北京时间，法定节假日除外）</w:t>
      </w:r>
    </w:p>
    <w:p>
      <w:pPr>
        <w:spacing w:line="400" w:lineRule="exact"/>
        <w:ind w:firstLine="420" w:firstLineChars="20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地点</w:t>
      </w:r>
      <w:r>
        <w:rPr>
          <w:rFonts w:ascii="Times New Roman" w:hAnsi="Times New Roman" w:eastAsia="宋体" w:cs="Times New Roman"/>
          <w:color w:val="auto"/>
          <w:szCs w:val="24"/>
          <w:highlight w:val="none"/>
        </w:rPr>
        <w:t>(</w:t>
      </w:r>
      <w:r>
        <w:rPr>
          <w:rFonts w:hint="eastAsia" w:ascii="Times New Roman" w:hAnsi="Times New Roman" w:eastAsia="宋体" w:cs="Times New Roman"/>
          <w:color w:val="auto"/>
          <w:szCs w:val="24"/>
          <w:highlight w:val="none"/>
        </w:rPr>
        <w:t>网址</w:t>
      </w:r>
      <w:r>
        <w:rPr>
          <w:rFonts w:ascii="Times New Roman" w:hAnsi="Times New Roman" w:eastAsia="宋体" w:cs="Times New Roman"/>
          <w:color w:val="auto"/>
          <w:szCs w:val="24"/>
          <w:highlight w:val="none"/>
        </w:rPr>
        <w:t>)</w:t>
      </w:r>
      <w:r>
        <w:rPr>
          <w:rFonts w:hint="eastAsia" w:ascii="Times New Roman" w:hAnsi="Times New Roman" w:eastAsia="宋体" w:cs="Times New Roman"/>
          <w:color w:val="auto"/>
          <w:szCs w:val="24"/>
          <w:highlight w:val="none"/>
        </w:rPr>
        <w:t>：</w:t>
      </w:r>
      <w:r>
        <w:rPr>
          <w:rFonts w:hint="eastAsia" w:ascii="宋体" w:hAnsi="宋体" w:eastAsia="宋体" w:cs="Times New Roman"/>
          <w:color w:val="auto"/>
          <w:szCs w:val="21"/>
          <w:highlight w:val="none"/>
        </w:rPr>
        <w:t>广西政府采购云平台（https://www.gcy.zfcg.gxzf.gov.cn/）</w:t>
      </w:r>
    </w:p>
    <w:p>
      <w:pPr>
        <w:spacing w:line="400" w:lineRule="exact"/>
        <w:ind w:firstLine="420" w:firstLineChars="20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方式：供应商登录广西政府采购云平台</w:t>
      </w:r>
      <w:r>
        <w:rPr>
          <w:rFonts w:ascii="Times New Roman" w:hAnsi="Times New Roman" w:eastAsia="宋体" w:cs="Times New Roman"/>
          <w:color w:val="auto"/>
          <w:szCs w:val="24"/>
          <w:highlight w:val="none"/>
        </w:rPr>
        <w:t>(</w:t>
      </w:r>
      <w:r>
        <w:rPr>
          <w:rFonts w:hint="eastAsia" w:ascii="Times New Roman" w:hAnsi="Times New Roman" w:eastAsia="宋体" w:cs="Times New Roman"/>
          <w:color w:val="auto"/>
          <w:szCs w:val="24"/>
          <w:highlight w:val="none"/>
        </w:rPr>
        <w:t>以下称“政采云平台”</w:t>
      </w:r>
      <w:r>
        <w:rPr>
          <w:rFonts w:ascii="Times New Roman" w:hAnsi="Times New Roman" w:eastAsia="宋体" w:cs="Times New Roman"/>
          <w:color w:val="auto"/>
          <w:szCs w:val="24"/>
          <w:highlight w:val="none"/>
        </w:rPr>
        <w:t>)</w:t>
      </w:r>
      <w:r>
        <w:rPr>
          <w:rFonts w:hint="eastAsia" w:ascii="Times New Roman" w:hAnsi="Times New Roman" w:eastAsia="宋体" w:cs="Times New Roman"/>
          <w:color w:val="auto"/>
          <w:szCs w:val="24"/>
          <w:highlight w:val="none"/>
        </w:rPr>
        <w:t>在线获取招标文件（进入“项目采购”应用选择项目，获取招标文件）</w:t>
      </w:r>
    </w:p>
    <w:p>
      <w:pPr>
        <w:spacing w:line="400" w:lineRule="exact"/>
        <w:ind w:firstLine="420" w:firstLineChars="20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售价</w:t>
      </w:r>
      <w:r>
        <w:rPr>
          <w:rFonts w:ascii="Times New Roman" w:hAnsi="Times New Roman" w:eastAsia="宋体" w:cs="Times New Roman"/>
          <w:color w:val="auto"/>
          <w:szCs w:val="24"/>
          <w:highlight w:val="none"/>
        </w:rPr>
        <w:t>(</w:t>
      </w:r>
      <w:r>
        <w:rPr>
          <w:rFonts w:hint="eastAsia" w:ascii="Times New Roman" w:hAnsi="Times New Roman" w:eastAsia="宋体" w:cs="Times New Roman"/>
          <w:color w:val="auto"/>
          <w:szCs w:val="24"/>
          <w:highlight w:val="none"/>
        </w:rPr>
        <w:t>元</w:t>
      </w:r>
      <w:r>
        <w:rPr>
          <w:rFonts w:ascii="Times New Roman" w:hAnsi="Times New Roman" w:eastAsia="宋体" w:cs="Times New Roman"/>
          <w:color w:val="auto"/>
          <w:szCs w:val="24"/>
          <w:highlight w:val="none"/>
        </w:rPr>
        <w:t>)</w:t>
      </w:r>
      <w:r>
        <w:rPr>
          <w:rFonts w:hint="eastAsia" w:ascii="Times New Roman" w:hAnsi="Times New Roman" w:eastAsia="宋体" w:cs="Times New Roman"/>
          <w:color w:val="auto"/>
          <w:szCs w:val="24"/>
          <w:highlight w:val="none"/>
        </w:rPr>
        <w:t>：</w:t>
      </w:r>
      <w:r>
        <w:rPr>
          <w:rFonts w:ascii="Times New Roman" w:hAnsi="Times New Roman" w:eastAsia="宋体" w:cs="Times New Roman"/>
          <w:color w:val="auto"/>
          <w:szCs w:val="24"/>
          <w:highlight w:val="none"/>
        </w:rPr>
        <w:t xml:space="preserve">0 </w:t>
      </w:r>
    </w:p>
    <w:p>
      <w:pPr>
        <w:spacing w:line="400" w:lineRule="exact"/>
        <w:rPr>
          <w:rFonts w:ascii="Times New Roman" w:hAnsi="Times New Roman" w:eastAsia="宋体" w:cs="Times New Roman"/>
          <w:b/>
          <w:color w:val="auto"/>
          <w:szCs w:val="24"/>
          <w:highlight w:val="none"/>
        </w:rPr>
      </w:pPr>
      <w:r>
        <w:rPr>
          <w:rFonts w:hint="eastAsia" w:ascii="Times New Roman" w:hAnsi="Times New Roman" w:eastAsia="宋体" w:cs="Times New Roman"/>
          <w:b/>
          <w:bCs/>
          <w:color w:val="auto"/>
          <w:szCs w:val="24"/>
          <w:highlight w:val="none"/>
        </w:rPr>
        <w:t>四、</w:t>
      </w:r>
      <w:bookmarkEnd w:id="17"/>
      <w:bookmarkStart w:id="18" w:name="_Toc28359005"/>
      <w:bookmarkStart w:id="19" w:name="_Toc28359082"/>
      <w:bookmarkStart w:id="20" w:name="_Toc35393624"/>
      <w:bookmarkStart w:id="21" w:name="_Toc35393793"/>
      <w:r>
        <w:rPr>
          <w:rFonts w:hint="eastAsia" w:ascii="Times New Roman" w:hAnsi="Times New Roman" w:eastAsia="宋体" w:cs="Times New Roman"/>
          <w:b/>
          <w:color w:val="auto"/>
          <w:szCs w:val="24"/>
          <w:highlight w:val="none"/>
        </w:rPr>
        <w:t>投标文件</w:t>
      </w:r>
      <w:bookmarkEnd w:id="18"/>
      <w:bookmarkEnd w:id="19"/>
      <w:r>
        <w:rPr>
          <w:rFonts w:hint="eastAsia" w:ascii="Times New Roman" w:hAnsi="Times New Roman" w:eastAsia="宋体" w:cs="Times New Roman"/>
          <w:b/>
          <w:color w:val="auto"/>
          <w:szCs w:val="24"/>
          <w:highlight w:val="none"/>
        </w:rPr>
        <w:t>提交截止时间、开标时间和</w:t>
      </w:r>
      <w:bookmarkEnd w:id="20"/>
      <w:bookmarkEnd w:id="21"/>
      <w:r>
        <w:rPr>
          <w:rFonts w:hint="eastAsia" w:ascii="Times New Roman" w:hAnsi="Times New Roman" w:eastAsia="宋体" w:cs="Times New Roman"/>
          <w:b/>
          <w:color w:val="auto"/>
          <w:szCs w:val="24"/>
          <w:highlight w:val="none"/>
        </w:rPr>
        <w:t>地点</w:t>
      </w:r>
    </w:p>
    <w:p>
      <w:pPr>
        <w:spacing w:line="400" w:lineRule="exact"/>
        <w:ind w:firstLine="420" w:firstLineChars="20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提交投标文件截止时间：</w:t>
      </w:r>
      <w:r>
        <w:rPr>
          <w:rFonts w:hint="eastAsia" w:ascii="Times New Roman" w:hAnsi="Times New Roman" w:eastAsia="宋体" w:cs="Times New Roman"/>
          <w:color w:val="auto"/>
          <w:szCs w:val="24"/>
          <w:highlight w:val="none"/>
          <w:lang w:eastAsia="zh-CN"/>
        </w:rPr>
        <w:t>2026年</w:t>
      </w:r>
      <w:r>
        <w:rPr>
          <w:rFonts w:hint="eastAsia" w:ascii="Times New Roman" w:hAnsi="Times New Roman" w:eastAsia="宋体" w:cs="Times New Roman"/>
          <w:color w:val="auto"/>
          <w:szCs w:val="24"/>
          <w:highlight w:val="none"/>
          <w:lang w:val="en-US" w:eastAsia="zh-CN"/>
        </w:rPr>
        <w:t xml:space="preserve"> </w:t>
      </w:r>
      <w:r>
        <w:rPr>
          <w:rFonts w:hint="eastAsia" w:ascii="Times New Roman" w:hAnsi="Times New Roman" w:eastAsia="宋体" w:cs="Times New Roman"/>
          <w:color w:val="auto"/>
          <w:szCs w:val="24"/>
          <w:highlight w:val="none"/>
        </w:rPr>
        <w:t>月</w:t>
      </w:r>
      <w:r>
        <w:rPr>
          <w:rFonts w:hint="eastAsia" w:ascii="Times New Roman" w:hAnsi="Times New Roman" w:eastAsia="宋体" w:cs="Times New Roman"/>
          <w:color w:val="auto"/>
          <w:szCs w:val="24"/>
          <w:highlight w:val="none"/>
          <w:lang w:val="en-US" w:eastAsia="zh-CN"/>
        </w:rPr>
        <w:t xml:space="preserve"> </w:t>
      </w:r>
      <w:r>
        <w:rPr>
          <w:rFonts w:hint="eastAsia" w:ascii="Times New Roman" w:hAnsi="Times New Roman" w:eastAsia="宋体" w:cs="Times New Roman"/>
          <w:color w:val="auto"/>
          <w:szCs w:val="24"/>
          <w:highlight w:val="none"/>
        </w:rPr>
        <w:t>日</w:t>
      </w:r>
      <w:r>
        <w:rPr>
          <w:rFonts w:ascii="Times New Roman" w:hAnsi="Times New Roman" w:eastAsia="宋体" w:cs="Times New Roman"/>
          <w:color w:val="auto"/>
          <w:szCs w:val="24"/>
          <w:highlight w:val="none"/>
        </w:rPr>
        <w:t>09:30</w:t>
      </w:r>
      <w:r>
        <w:rPr>
          <w:rFonts w:hint="eastAsia" w:ascii="Times New Roman" w:hAnsi="Times New Roman" w:eastAsia="宋体" w:cs="Times New Roman"/>
          <w:color w:val="auto"/>
          <w:szCs w:val="24"/>
          <w:highlight w:val="none"/>
        </w:rPr>
        <w:t>（北京时间）</w:t>
      </w:r>
    </w:p>
    <w:p>
      <w:pPr>
        <w:spacing w:line="400" w:lineRule="exact"/>
        <w:ind w:firstLine="420" w:firstLineChars="200"/>
        <w:rPr>
          <w:rFonts w:hint="eastAsia" w:ascii="宋体" w:hAnsi="宋体" w:eastAsia="宋体" w:cs="Courier New"/>
          <w:color w:val="auto"/>
          <w:szCs w:val="21"/>
          <w:highlight w:val="none"/>
        </w:rPr>
      </w:pPr>
      <w:r>
        <w:rPr>
          <w:rFonts w:hint="eastAsia" w:ascii="Times New Roman" w:hAnsi="Times New Roman" w:eastAsia="宋体" w:cs="Times New Roman"/>
          <w:color w:val="auto"/>
          <w:szCs w:val="24"/>
          <w:highlight w:val="none"/>
        </w:rPr>
        <w:t>投标地点</w:t>
      </w:r>
      <w:r>
        <w:rPr>
          <w:rFonts w:ascii="Times New Roman" w:hAnsi="Times New Roman" w:eastAsia="宋体" w:cs="Times New Roman"/>
          <w:color w:val="auto"/>
          <w:szCs w:val="24"/>
          <w:highlight w:val="none"/>
        </w:rPr>
        <w:t>(</w:t>
      </w:r>
      <w:r>
        <w:rPr>
          <w:rFonts w:hint="eastAsia" w:ascii="Times New Roman" w:hAnsi="Times New Roman" w:eastAsia="宋体" w:cs="Times New Roman"/>
          <w:color w:val="auto"/>
          <w:szCs w:val="24"/>
          <w:highlight w:val="none"/>
        </w:rPr>
        <w:t>网址）：</w:t>
      </w:r>
      <w:r>
        <w:rPr>
          <w:rFonts w:hint="eastAsia" w:ascii="宋体" w:hAnsi="宋体" w:eastAsia="宋体" w:cs="Courier New"/>
          <w:color w:val="auto"/>
          <w:szCs w:val="21"/>
          <w:highlight w:val="none"/>
        </w:rPr>
        <w:t>政府采购云平台（https://www.gcy.zfcg.gxzf.gov.cn/）</w:t>
      </w:r>
    </w:p>
    <w:p>
      <w:pPr>
        <w:spacing w:line="400" w:lineRule="exact"/>
        <w:ind w:firstLine="420" w:firstLineChars="200"/>
        <w:rPr>
          <w:rFonts w:hint="eastAsia" w:ascii="宋体" w:hAnsi="宋体" w:eastAsia="宋体" w:cs="Courier New"/>
          <w:color w:val="auto"/>
          <w:szCs w:val="21"/>
          <w:highlight w:val="none"/>
        </w:rPr>
      </w:pPr>
      <w:r>
        <w:rPr>
          <w:rFonts w:hint="eastAsia" w:ascii="宋体" w:hAnsi="宋体" w:eastAsia="宋体" w:cs="Courier New"/>
          <w:color w:val="auto"/>
          <w:szCs w:val="21"/>
          <w:highlight w:val="none"/>
        </w:rPr>
        <w:t>开标时间：</w:t>
      </w:r>
      <w:r>
        <w:rPr>
          <w:rFonts w:hint="eastAsia" w:ascii="宋体" w:hAnsi="宋体" w:eastAsia="宋体" w:cs="Courier New"/>
          <w:color w:val="auto"/>
          <w:szCs w:val="21"/>
          <w:highlight w:val="none"/>
          <w:lang w:eastAsia="zh-CN"/>
        </w:rPr>
        <w:t>2026年</w:t>
      </w:r>
      <w:r>
        <w:rPr>
          <w:rFonts w:hint="eastAsia" w:ascii="宋体" w:hAnsi="宋体" w:eastAsia="宋体" w:cs="Courier New"/>
          <w:color w:val="auto"/>
          <w:szCs w:val="21"/>
          <w:highlight w:val="none"/>
          <w:lang w:val="en-US" w:eastAsia="zh-CN"/>
        </w:rPr>
        <w:t xml:space="preserve"> </w:t>
      </w:r>
      <w:r>
        <w:rPr>
          <w:rFonts w:hint="eastAsia" w:ascii="宋体" w:hAnsi="宋体" w:eastAsia="宋体" w:cs="Courier New"/>
          <w:color w:val="auto"/>
          <w:szCs w:val="21"/>
          <w:highlight w:val="none"/>
        </w:rPr>
        <w:t>月</w:t>
      </w:r>
      <w:r>
        <w:rPr>
          <w:rFonts w:hint="eastAsia" w:ascii="宋体" w:hAnsi="宋体" w:eastAsia="宋体" w:cs="Courier New"/>
          <w:color w:val="auto"/>
          <w:szCs w:val="21"/>
          <w:highlight w:val="none"/>
          <w:lang w:val="en-US" w:eastAsia="zh-CN"/>
        </w:rPr>
        <w:t xml:space="preserve"> </w:t>
      </w:r>
      <w:r>
        <w:rPr>
          <w:rFonts w:hint="eastAsia" w:ascii="宋体" w:hAnsi="宋体" w:eastAsia="宋体" w:cs="Courier New"/>
          <w:color w:val="auto"/>
          <w:szCs w:val="21"/>
          <w:highlight w:val="none"/>
        </w:rPr>
        <w:t>日</w:t>
      </w:r>
      <w:r>
        <w:rPr>
          <w:rFonts w:ascii="Times New Roman" w:hAnsi="Times New Roman" w:eastAsia="宋体" w:cs="Times New Roman"/>
          <w:color w:val="auto"/>
          <w:szCs w:val="24"/>
          <w:highlight w:val="none"/>
        </w:rPr>
        <w:t>09:30</w:t>
      </w:r>
      <w:r>
        <w:rPr>
          <w:rFonts w:hint="eastAsia" w:ascii="宋体" w:hAnsi="宋体" w:eastAsia="宋体" w:cs="Courier New"/>
          <w:color w:val="auto"/>
          <w:szCs w:val="21"/>
          <w:highlight w:val="none"/>
        </w:rPr>
        <w:t>（北京时间）</w:t>
      </w:r>
    </w:p>
    <w:p>
      <w:pPr>
        <w:spacing w:line="400" w:lineRule="exact"/>
        <w:ind w:firstLine="420" w:firstLineChars="200"/>
        <w:rPr>
          <w:rFonts w:hint="eastAsia" w:ascii="宋体" w:hAnsi="宋体" w:eastAsia="宋体" w:cs="Courier New"/>
          <w:color w:val="auto"/>
          <w:szCs w:val="21"/>
          <w:highlight w:val="none"/>
        </w:rPr>
      </w:pPr>
      <w:r>
        <w:rPr>
          <w:rFonts w:hint="eastAsia" w:ascii="宋体" w:hAnsi="宋体" w:eastAsia="宋体" w:cs="Courier New"/>
          <w:color w:val="auto"/>
          <w:szCs w:val="21"/>
          <w:highlight w:val="none"/>
        </w:rPr>
        <w:t>开标地点：</w:t>
      </w:r>
      <w:bookmarkStart w:id="22" w:name="_Toc35393625"/>
      <w:bookmarkStart w:id="23" w:name="_Toc28359084"/>
      <w:bookmarkStart w:id="24" w:name="_Toc28359007"/>
      <w:bookmarkStart w:id="25" w:name="_Toc35393794"/>
      <w:r>
        <w:rPr>
          <w:rFonts w:hint="eastAsia" w:ascii="宋体" w:hAnsi="宋体" w:eastAsia="宋体" w:cs="Courier New"/>
          <w:color w:val="auto"/>
          <w:szCs w:val="21"/>
          <w:highlight w:val="none"/>
        </w:rPr>
        <w:t>广西钦州市金海湾东大街8号市政务服务中心三楼开标室</w:t>
      </w:r>
    </w:p>
    <w:p>
      <w:pPr>
        <w:spacing w:line="400" w:lineRule="exact"/>
        <w:rPr>
          <w:rFonts w:ascii="Times New Roman" w:hAnsi="Times New Roman" w:eastAsia="宋体" w:cs="Times New Roman"/>
          <w:b/>
          <w:color w:val="auto"/>
          <w:szCs w:val="24"/>
          <w:highlight w:val="none"/>
        </w:rPr>
      </w:pPr>
      <w:r>
        <w:rPr>
          <w:rFonts w:hint="eastAsia" w:ascii="Times New Roman" w:hAnsi="Times New Roman" w:eastAsia="宋体" w:cs="Times New Roman"/>
          <w:b/>
          <w:color w:val="auto"/>
          <w:szCs w:val="24"/>
          <w:highlight w:val="none"/>
        </w:rPr>
        <w:t>五、公告期限</w:t>
      </w:r>
      <w:bookmarkEnd w:id="22"/>
      <w:bookmarkEnd w:id="23"/>
      <w:bookmarkEnd w:id="24"/>
      <w:bookmarkEnd w:id="25"/>
    </w:p>
    <w:p>
      <w:pPr>
        <w:spacing w:line="400" w:lineRule="exact"/>
        <w:ind w:firstLine="420" w:firstLineChars="20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自本公告发布之日起</w:t>
      </w:r>
      <w:r>
        <w:rPr>
          <w:rFonts w:ascii="Times New Roman" w:hAnsi="Times New Roman" w:eastAsia="宋体" w:cs="Times New Roman"/>
          <w:color w:val="auto"/>
          <w:szCs w:val="24"/>
          <w:highlight w:val="none"/>
        </w:rPr>
        <w:t>5</w:t>
      </w:r>
      <w:r>
        <w:rPr>
          <w:rFonts w:hint="eastAsia" w:ascii="Times New Roman" w:hAnsi="Times New Roman" w:eastAsia="宋体" w:cs="Times New Roman"/>
          <w:color w:val="auto"/>
          <w:szCs w:val="24"/>
          <w:highlight w:val="none"/>
        </w:rPr>
        <w:t>个工作日。</w:t>
      </w:r>
    </w:p>
    <w:p>
      <w:pPr>
        <w:spacing w:line="400" w:lineRule="exact"/>
        <w:rPr>
          <w:rFonts w:ascii="Times New Roman" w:hAnsi="Times New Roman" w:eastAsia="宋体" w:cs="Times New Roman"/>
          <w:b/>
          <w:color w:val="auto"/>
          <w:szCs w:val="24"/>
          <w:highlight w:val="none"/>
        </w:rPr>
      </w:pPr>
      <w:bookmarkStart w:id="26" w:name="_Toc35393627"/>
      <w:bookmarkStart w:id="27" w:name="_Toc28359008"/>
      <w:bookmarkStart w:id="28" w:name="_Toc28359085"/>
      <w:bookmarkStart w:id="29" w:name="_Toc35393796"/>
      <w:r>
        <w:rPr>
          <w:rFonts w:hint="eastAsia" w:ascii="Times New Roman" w:hAnsi="Times New Roman" w:eastAsia="宋体" w:cs="Times New Roman"/>
          <w:b/>
          <w:color w:val="auto"/>
          <w:szCs w:val="24"/>
          <w:highlight w:val="none"/>
        </w:rPr>
        <w:t>六、其他补充事宜</w:t>
      </w:r>
    </w:p>
    <w:p>
      <w:pPr>
        <w:spacing w:line="400" w:lineRule="exact"/>
        <w:ind w:firstLine="420" w:firstLineChars="200"/>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t>1.</w:t>
      </w:r>
      <w:r>
        <w:rPr>
          <w:rFonts w:hint="eastAsia" w:ascii="Times New Roman" w:hAnsi="Times New Roman" w:eastAsia="宋体" w:cs="Times New Roman"/>
          <w:bCs/>
          <w:color w:val="auto"/>
          <w:szCs w:val="24"/>
          <w:highlight w:val="none"/>
        </w:rPr>
        <w:t>本项目需落实的政府采购政策</w:t>
      </w:r>
      <w:r>
        <w:rPr>
          <w:rFonts w:hint="eastAsia" w:ascii="Times New Roman" w:hAnsi="Times New Roman" w:eastAsia="宋体" w:cs="Times New Roman"/>
          <w:b/>
          <w:color w:val="auto"/>
          <w:szCs w:val="24"/>
          <w:highlight w:val="none"/>
        </w:rPr>
        <w:t>：</w:t>
      </w:r>
    </w:p>
    <w:p>
      <w:pPr>
        <w:spacing w:line="400" w:lineRule="exact"/>
        <w:ind w:firstLine="420" w:firstLineChars="200"/>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t>(1)</w:t>
      </w:r>
      <w:r>
        <w:rPr>
          <w:rFonts w:hint="eastAsia" w:ascii="Times New Roman" w:hAnsi="Times New Roman" w:eastAsia="宋体" w:cs="Times New Roman"/>
          <w:color w:val="auto"/>
          <w:szCs w:val="24"/>
          <w:highlight w:val="none"/>
        </w:rPr>
        <w:t>财政部</w:t>
      </w:r>
      <w:r>
        <w:rPr>
          <w:rFonts w:ascii="Times New Roman" w:hAnsi="Times New Roman" w:eastAsia="宋体" w:cs="Times New Roman"/>
          <w:color w:val="auto"/>
          <w:szCs w:val="24"/>
          <w:highlight w:val="none"/>
        </w:rPr>
        <w:t xml:space="preserve"> </w:t>
      </w:r>
      <w:r>
        <w:rPr>
          <w:rFonts w:hint="eastAsia" w:ascii="Times New Roman" w:hAnsi="Times New Roman" w:eastAsia="宋体" w:cs="Times New Roman"/>
          <w:color w:val="auto"/>
          <w:szCs w:val="24"/>
          <w:highlight w:val="none"/>
        </w:rPr>
        <w:t>工业和信息化部关于印发《政府采购促进中小企业发展管理办法》的通知</w:t>
      </w:r>
      <w:r>
        <w:rPr>
          <w:rFonts w:ascii="Times New Roman" w:hAnsi="Times New Roman" w:eastAsia="宋体" w:cs="Times New Roman"/>
          <w:color w:val="auto"/>
          <w:szCs w:val="24"/>
          <w:highlight w:val="none"/>
        </w:rPr>
        <w:t>(</w:t>
      </w:r>
      <w:r>
        <w:rPr>
          <w:rFonts w:hint="eastAsia" w:ascii="Times New Roman" w:hAnsi="Times New Roman" w:eastAsia="宋体" w:cs="Times New Roman"/>
          <w:color w:val="auto"/>
          <w:szCs w:val="24"/>
          <w:highlight w:val="none"/>
        </w:rPr>
        <w:t>财库﹝</w:t>
      </w:r>
      <w:r>
        <w:rPr>
          <w:rFonts w:ascii="Times New Roman" w:hAnsi="Times New Roman" w:eastAsia="宋体" w:cs="Times New Roman"/>
          <w:color w:val="auto"/>
          <w:szCs w:val="24"/>
          <w:highlight w:val="none"/>
        </w:rPr>
        <w:t>2020</w:t>
      </w:r>
      <w:r>
        <w:rPr>
          <w:rFonts w:hint="eastAsia" w:ascii="Times New Roman" w:hAnsi="Times New Roman" w:eastAsia="宋体" w:cs="Times New Roman"/>
          <w:color w:val="auto"/>
          <w:szCs w:val="24"/>
          <w:highlight w:val="none"/>
        </w:rPr>
        <w:t>﹞</w:t>
      </w:r>
      <w:r>
        <w:rPr>
          <w:rFonts w:ascii="Times New Roman" w:hAnsi="Times New Roman" w:eastAsia="宋体" w:cs="Times New Roman"/>
          <w:color w:val="auto"/>
          <w:szCs w:val="24"/>
          <w:highlight w:val="none"/>
        </w:rPr>
        <w:t>46</w:t>
      </w:r>
      <w:r>
        <w:rPr>
          <w:rFonts w:hint="eastAsia" w:ascii="Times New Roman" w:hAnsi="Times New Roman" w:eastAsia="宋体" w:cs="Times New Roman"/>
          <w:color w:val="auto"/>
          <w:szCs w:val="24"/>
          <w:highlight w:val="none"/>
        </w:rPr>
        <w:t>号</w:t>
      </w:r>
      <w:r>
        <w:rPr>
          <w:rFonts w:ascii="Times New Roman" w:hAnsi="Times New Roman" w:eastAsia="宋体" w:cs="Times New Roman"/>
          <w:color w:val="auto"/>
          <w:szCs w:val="24"/>
          <w:highlight w:val="none"/>
        </w:rPr>
        <w:t>)</w:t>
      </w:r>
    </w:p>
    <w:p>
      <w:pPr>
        <w:spacing w:line="400" w:lineRule="exact"/>
        <w:ind w:firstLine="420" w:firstLineChars="200"/>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t>(2)</w:t>
      </w:r>
      <w:r>
        <w:rPr>
          <w:rFonts w:hint="eastAsia" w:ascii="Times New Roman" w:hAnsi="Times New Roman" w:eastAsia="宋体" w:cs="Times New Roman"/>
          <w:color w:val="auto"/>
          <w:szCs w:val="24"/>
          <w:highlight w:val="none"/>
        </w:rPr>
        <w:t>财政部</w:t>
      </w:r>
      <w:r>
        <w:rPr>
          <w:rFonts w:ascii="Times New Roman" w:hAnsi="Times New Roman" w:eastAsia="宋体" w:cs="Times New Roman"/>
          <w:color w:val="auto"/>
          <w:szCs w:val="24"/>
          <w:highlight w:val="none"/>
        </w:rPr>
        <w:t xml:space="preserve"> </w:t>
      </w:r>
      <w:r>
        <w:rPr>
          <w:rFonts w:hint="eastAsia" w:ascii="Times New Roman" w:hAnsi="Times New Roman" w:eastAsia="宋体" w:cs="Times New Roman"/>
          <w:color w:val="auto"/>
          <w:szCs w:val="24"/>
          <w:highlight w:val="none"/>
        </w:rPr>
        <w:t>司法部关于政府采购支持监狱企业发展有关问题的通知</w:t>
      </w:r>
      <w:r>
        <w:rPr>
          <w:rFonts w:ascii="Times New Roman" w:hAnsi="Times New Roman" w:eastAsia="宋体" w:cs="Times New Roman"/>
          <w:color w:val="auto"/>
          <w:szCs w:val="24"/>
          <w:highlight w:val="none"/>
        </w:rPr>
        <w:t xml:space="preserve"> (</w:t>
      </w:r>
      <w:r>
        <w:rPr>
          <w:rFonts w:hint="eastAsia" w:ascii="Times New Roman" w:hAnsi="Times New Roman" w:eastAsia="宋体" w:cs="Times New Roman"/>
          <w:color w:val="auto"/>
          <w:szCs w:val="24"/>
          <w:highlight w:val="none"/>
        </w:rPr>
        <w:t>财库﹝</w:t>
      </w:r>
      <w:r>
        <w:rPr>
          <w:rFonts w:ascii="Times New Roman" w:hAnsi="Times New Roman" w:eastAsia="宋体" w:cs="Times New Roman"/>
          <w:color w:val="auto"/>
          <w:szCs w:val="24"/>
          <w:highlight w:val="none"/>
        </w:rPr>
        <w:t>2014</w:t>
      </w:r>
      <w:r>
        <w:rPr>
          <w:rFonts w:hint="eastAsia" w:ascii="Times New Roman" w:hAnsi="Times New Roman" w:eastAsia="宋体" w:cs="Times New Roman"/>
          <w:color w:val="auto"/>
          <w:szCs w:val="24"/>
          <w:highlight w:val="none"/>
        </w:rPr>
        <w:t>﹞</w:t>
      </w:r>
      <w:r>
        <w:rPr>
          <w:rFonts w:ascii="Times New Roman" w:hAnsi="Times New Roman" w:eastAsia="宋体" w:cs="Times New Roman"/>
          <w:color w:val="auto"/>
          <w:szCs w:val="24"/>
          <w:highlight w:val="none"/>
        </w:rPr>
        <w:t>68</w:t>
      </w:r>
      <w:r>
        <w:rPr>
          <w:rFonts w:hint="eastAsia" w:ascii="Times New Roman" w:hAnsi="Times New Roman" w:eastAsia="宋体" w:cs="Times New Roman"/>
          <w:color w:val="auto"/>
          <w:szCs w:val="24"/>
          <w:highlight w:val="none"/>
        </w:rPr>
        <w:t>号</w:t>
      </w:r>
      <w:r>
        <w:rPr>
          <w:rFonts w:ascii="Times New Roman" w:hAnsi="Times New Roman" w:eastAsia="宋体" w:cs="Times New Roman"/>
          <w:color w:val="auto"/>
          <w:szCs w:val="24"/>
          <w:highlight w:val="none"/>
        </w:rPr>
        <w:t>)</w:t>
      </w:r>
    </w:p>
    <w:p>
      <w:pPr>
        <w:spacing w:line="400" w:lineRule="exact"/>
        <w:ind w:firstLine="420" w:firstLineChars="200"/>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t>(3)</w:t>
      </w:r>
      <w:r>
        <w:rPr>
          <w:rFonts w:hint="eastAsia" w:ascii="Times New Roman" w:hAnsi="Times New Roman" w:eastAsia="宋体" w:cs="Times New Roman"/>
          <w:color w:val="auto"/>
          <w:szCs w:val="24"/>
          <w:highlight w:val="none"/>
        </w:rPr>
        <w:t>财政部</w:t>
      </w:r>
      <w:r>
        <w:rPr>
          <w:rFonts w:ascii="Times New Roman" w:hAnsi="Times New Roman" w:eastAsia="宋体" w:cs="Times New Roman"/>
          <w:color w:val="auto"/>
          <w:szCs w:val="24"/>
          <w:highlight w:val="none"/>
        </w:rPr>
        <w:t xml:space="preserve"> </w:t>
      </w:r>
      <w:r>
        <w:rPr>
          <w:rFonts w:hint="eastAsia" w:ascii="Times New Roman" w:hAnsi="Times New Roman" w:eastAsia="宋体" w:cs="Times New Roman"/>
          <w:color w:val="auto"/>
          <w:szCs w:val="24"/>
          <w:highlight w:val="none"/>
        </w:rPr>
        <w:t>民政部</w:t>
      </w:r>
      <w:r>
        <w:rPr>
          <w:rFonts w:ascii="Times New Roman" w:hAnsi="Times New Roman" w:eastAsia="宋体" w:cs="Times New Roman"/>
          <w:color w:val="auto"/>
          <w:szCs w:val="24"/>
          <w:highlight w:val="none"/>
        </w:rPr>
        <w:t xml:space="preserve"> </w:t>
      </w:r>
      <w:r>
        <w:rPr>
          <w:rFonts w:hint="eastAsia" w:ascii="Times New Roman" w:hAnsi="Times New Roman" w:eastAsia="宋体" w:cs="Times New Roman"/>
          <w:color w:val="auto"/>
          <w:szCs w:val="24"/>
          <w:highlight w:val="none"/>
        </w:rPr>
        <w:t>中国残疾人联合会关于促进残疾人就业政府采购政策的通知</w:t>
      </w:r>
      <w:r>
        <w:rPr>
          <w:rFonts w:ascii="Times New Roman" w:hAnsi="Times New Roman" w:eastAsia="宋体" w:cs="Times New Roman"/>
          <w:color w:val="auto"/>
          <w:szCs w:val="24"/>
          <w:highlight w:val="none"/>
        </w:rPr>
        <w:t xml:space="preserve"> (</w:t>
      </w:r>
      <w:r>
        <w:rPr>
          <w:rFonts w:hint="eastAsia" w:ascii="Times New Roman" w:hAnsi="Times New Roman" w:eastAsia="宋体" w:cs="Times New Roman"/>
          <w:color w:val="auto"/>
          <w:szCs w:val="24"/>
          <w:highlight w:val="none"/>
        </w:rPr>
        <w:t>财库﹝</w:t>
      </w:r>
      <w:r>
        <w:rPr>
          <w:rFonts w:ascii="Times New Roman" w:hAnsi="Times New Roman" w:eastAsia="宋体" w:cs="Times New Roman"/>
          <w:color w:val="auto"/>
          <w:szCs w:val="24"/>
          <w:highlight w:val="none"/>
        </w:rPr>
        <w:t>2017</w:t>
      </w:r>
      <w:r>
        <w:rPr>
          <w:rFonts w:hint="eastAsia" w:ascii="Times New Roman" w:hAnsi="Times New Roman" w:eastAsia="宋体" w:cs="Times New Roman"/>
          <w:color w:val="auto"/>
          <w:szCs w:val="24"/>
          <w:highlight w:val="none"/>
        </w:rPr>
        <w:t>﹞</w:t>
      </w:r>
      <w:r>
        <w:rPr>
          <w:rFonts w:ascii="Times New Roman" w:hAnsi="Times New Roman" w:eastAsia="宋体" w:cs="Times New Roman"/>
          <w:color w:val="auto"/>
          <w:szCs w:val="24"/>
          <w:highlight w:val="none"/>
        </w:rPr>
        <w:t>141</w:t>
      </w:r>
      <w:r>
        <w:rPr>
          <w:rFonts w:hint="eastAsia" w:ascii="Times New Roman" w:hAnsi="Times New Roman" w:eastAsia="宋体" w:cs="Times New Roman"/>
          <w:color w:val="auto"/>
          <w:szCs w:val="24"/>
          <w:highlight w:val="none"/>
        </w:rPr>
        <w:t>号</w:t>
      </w:r>
      <w:r>
        <w:rPr>
          <w:rFonts w:ascii="Times New Roman" w:hAnsi="Times New Roman" w:eastAsia="宋体" w:cs="Times New Roman"/>
          <w:color w:val="auto"/>
          <w:szCs w:val="24"/>
          <w:highlight w:val="none"/>
        </w:rPr>
        <w:t>)</w:t>
      </w:r>
    </w:p>
    <w:p>
      <w:pPr>
        <w:spacing w:line="400" w:lineRule="exact"/>
        <w:ind w:firstLine="420" w:firstLineChars="200"/>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t>2.</w:t>
      </w:r>
      <w:bookmarkStart w:id="30" w:name="_Hlk91598380"/>
      <w:r>
        <w:rPr>
          <w:rFonts w:hint="eastAsia" w:ascii="Times New Roman" w:hAnsi="Times New Roman" w:eastAsia="宋体" w:cs="Times New Roman"/>
          <w:color w:val="auto"/>
          <w:szCs w:val="24"/>
          <w:highlight w:val="none"/>
        </w:rPr>
        <w:t>全流程电子化</w:t>
      </w:r>
      <w:bookmarkEnd w:id="30"/>
      <w:r>
        <w:rPr>
          <w:rFonts w:hint="eastAsia" w:ascii="Times New Roman" w:hAnsi="Times New Roman" w:eastAsia="宋体" w:cs="Times New Roman"/>
          <w:color w:val="auto"/>
          <w:szCs w:val="24"/>
          <w:highlight w:val="none"/>
        </w:rPr>
        <w:t>要求：</w:t>
      </w:r>
    </w:p>
    <w:p>
      <w:pPr>
        <w:spacing w:line="400" w:lineRule="exact"/>
        <w:ind w:firstLine="420" w:firstLineChars="20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本项目为全流程电子化项目，潜在投标人应做好参与全流程电子化交易的充分准备，熟悉掌握电子化采购项目操作指南</w:t>
      </w:r>
      <w:bookmarkStart w:id="31" w:name="_Hlk154044590"/>
      <w:r>
        <w:rPr>
          <w:rFonts w:ascii="Times New Roman" w:hAnsi="Times New Roman" w:eastAsia="宋体" w:cs="Times New Roman"/>
          <w:color w:val="auto"/>
          <w:szCs w:val="24"/>
          <w:highlight w:val="none"/>
        </w:rPr>
        <w:t>(</w:t>
      </w:r>
      <w:r>
        <w:rPr>
          <w:rFonts w:hint="eastAsia" w:ascii="Times New Roman" w:hAnsi="Times New Roman" w:eastAsia="宋体" w:cs="Times New Roman"/>
          <w:color w:val="auto"/>
          <w:szCs w:val="24"/>
          <w:highlight w:val="none"/>
        </w:rPr>
        <w:t>操作指南：政采云电子卖场首页右上角—服务中心—帮助文档—项目采购</w:t>
      </w:r>
      <w:r>
        <w:rPr>
          <w:rFonts w:ascii="Times New Roman" w:hAnsi="Times New Roman" w:eastAsia="宋体" w:cs="Times New Roman"/>
          <w:color w:val="auto"/>
          <w:szCs w:val="24"/>
          <w:highlight w:val="none"/>
        </w:rPr>
        <w:t>)</w:t>
      </w:r>
      <w:r>
        <w:rPr>
          <w:rFonts w:hint="eastAsia" w:ascii="Times New Roman" w:hAnsi="Times New Roman" w:eastAsia="宋体" w:cs="Times New Roman"/>
          <w:color w:val="auto"/>
          <w:szCs w:val="24"/>
          <w:highlight w:val="none"/>
        </w:rPr>
        <w:t>，及时完成</w:t>
      </w:r>
      <w:r>
        <w:rPr>
          <w:rFonts w:ascii="Times New Roman" w:hAnsi="Times New Roman" w:eastAsia="宋体" w:cs="Times New Roman"/>
          <w:color w:val="auto"/>
          <w:szCs w:val="24"/>
          <w:highlight w:val="none"/>
        </w:rPr>
        <w:t>CA</w:t>
      </w:r>
      <w:r>
        <w:rPr>
          <w:rFonts w:hint="eastAsia" w:ascii="Times New Roman" w:hAnsi="Times New Roman" w:eastAsia="宋体" w:cs="Times New Roman"/>
          <w:color w:val="auto"/>
          <w:szCs w:val="24"/>
          <w:highlight w:val="none"/>
        </w:rPr>
        <w:t>申领和绑定</w:t>
      </w:r>
      <w:r>
        <w:rPr>
          <w:rFonts w:ascii="Times New Roman" w:hAnsi="Times New Roman" w:eastAsia="宋体" w:cs="Times New Roman"/>
          <w:color w:val="auto"/>
          <w:szCs w:val="24"/>
          <w:highlight w:val="none"/>
        </w:rPr>
        <w:t>(</w:t>
      </w:r>
      <w:r>
        <w:rPr>
          <w:rFonts w:hint="eastAsia" w:ascii="Times New Roman" w:hAnsi="Times New Roman" w:eastAsia="宋体" w:cs="Times New Roman"/>
          <w:color w:val="auto"/>
          <w:szCs w:val="24"/>
          <w:highlight w:val="none"/>
        </w:rPr>
        <w:t>操作指南：政采云电子卖场首页右上角—帮助文档—入驻与配置—</w:t>
      </w:r>
      <w:r>
        <w:rPr>
          <w:rFonts w:ascii="Times New Roman" w:hAnsi="Times New Roman" w:eastAsia="宋体" w:cs="Times New Roman"/>
          <w:color w:val="auto"/>
          <w:szCs w:val="24"/>
          <w:highlight w:val="none"/>
        </w:rPr>
        <w:t>CA</w:t>
      </w:r>
      <w:r>
        <w:rPr>
          <w:rFonts w:hint="eastAsia" w:ascii="Times New Roman" w:hAnsi="Times New Roman" w:eastAsia="宋体" w:cs="Times New Roman"/>
          <w:color w:val="auto"/>
          <w:szCs w:val="24"/>
          <w:highlight w:val="none"/>
        </w:rPr>
        <w:t>管理；</w:t>
      </w:r>
      <w:r>
        <w:rPr>
          <w:rFonts w:ascii="Times New Roman" w:hAnsi="Times New Roman" w:eastAsia="宋体" w:cs="Times New Roman"/>
          <w:color w:val="auto"/>
          <w:szCs w:val="24"/>
          <w:highlight w:val="none"/>
        </w:rPr>
        <w:t>CA</w:t>
      </w:r>
      <w:r>
        <w:rPr>
          <w:rFonts w:hint="eastAsia" w:ascii="Times New Roman" w:hAnsi="Times New Roman" w:eastAsia="宋体" w:cs="Times New Roman"/>
          <w:color w:val="auto"/>
          <w:szCs w:val="24"/>
          <w:highlight w:val="none"/>
        </w:rPr>
        <w:t>证书申领路径：政采云平台—我的工作台右上角—</w:t>
      </w:r>
      <w:r>
        <w:rPr>
          <w:rFonts w:ascii="Times New Roman" w:hAnsi="Times New Roman" w:eastAsia="宋体" w:cs="Times New Roman"/>
          <w:color w:val="auto"/>
          <w:szCs w:val="24"/>
          <w:highlight w:val="none"/>
        </w:rPr>
        <w:t>CA</w:t>
      </w:r>
      <w:r>
        <w:rPr>
          <w:rFonts w:hint="eastAsia" w:ascii="Times New Roman" w:hAnsi="Times New Roman" w:eastAsia="宋体" w:cs="Times New Roman"/>
          <w:color w:val="auto"/>
          <w:szCs w:val="24"/>
          <w:highlight w:val="none"/>
        </w:rPr>
        <w:t>管理—</w:t>
      </w:r>
      <w:r>
        <w:rPr>
          <w:rFonts w:ascii="Times New Roman" w:hAnsi="Times New Roman" w:eastAsia="宋体" w:cs="Times New Roman"/>
          <w:color w:val="auto"/>
          <w:szCs w:val="24"/>
          <w:highlight w:val="none"/>
        </w:rPr>
        <w:t>CA</w:t>
      </w:r>
      <w:r>
        <w:rPr>
          <w:rFonts w:hint="eastAsia" w:ascii="Times New Roman" w:hAnsi="Times New Roman" w:eastAsia="宋体" w:cs="Times New Roman"/>
          <w:color w:val="auto"/>
          <w:szCs w:val="24"/>
          <w:highlight w:val="none"/>
        </w:rPr>
        <w:t>证书申领</w:t>
      </w:r>
      <w:r>
        <w:rPr>
          <w:rFonts w:ascii="Times New Roman" w:hAnsi="Times New Roman" w:eastAsia="宋体" w:cs="Times New Roman"/>
          <w:color w:val="auto"/>
          <w:szCs w:val="24"/>
          <w:highlight w:val="none"/>
        </w:rPr>
        <w:t>)</w:t>
      </w:r>
      <w:bookmarkEnd w:id="31"/>
      <w:r>
        <w:rPr>
          <w:rFonts w:hint="eastAsia" w:ascii="Times New Roman" w:hAnsi="Times New Roman" w:eastAsia="宋体" w:cs="Times New Roman"/>
          <w:color w:val="auto"/>
          <w:szCs w:val="24"/>
          <w:highlight w:val="none"/>
        </w:rPr>
        <w:t>。因未注册入库、未办理</w:t>
      </w:r>
      <w:r>
        <w:rPr>
          <w:rFonts w:ascii="Times New Roman" w:hAnsi="Times New Roman" w:eastAsia="宋体" w:cs="Times New Roman"/>
          <w:color w:val="auto"/>
          <w:szCs w:val="24"/>
          <w:highlight w:val="none"/>
        </w:rPr>
        <w:t>CA</w:t>
      </w:r>
      <w:r>
        <w:rPr>
          <w:rFonts w:hint="eastAsia" w:ascii="Times New Roman" w:hAnsi="Times New Roman" w:eastAsia="宋体" w:cs="Times New Roman"/>
          <w:color w:val="auto"/>
          <w:szCs w:val="24"/>
          <w:highlight w:val="none"/>
        </w:rPr>
        <w:t>数字证书、</w:t>
      </w:r>
      <w:r>
        <w:rPr>
          <w:rFonts w:ascii="Times New Roman" w:hAnsi="Times New Roman" w:eastAsia="宋体" w:cs="Times New Roman"/>
          <w:color w:val="auto"/>
          <w:szCs w:val="24"/>
          <w:highlight w:val="none"/>
        </w:rPr>
        <w:t>CA</w:t>
      </w:r>
      <w:r>
        <w:rPr>
          <w:rFonts w:hint="eastAsia" w:ascii="Times New Roman" w:hAnsi="Times New Roman" w:eastAsia="宋体" w:cs="Times New Roman"/>
          <w:color w:val="auto"/>
          <w:szCs w:val="24"/>
          <w:highlight w:val="none"/>
        </w:rPr>
        <w:t>证书故障、操作不当等原因造成投标失败等后果由投标人承担。</w:t>
      </w:r>
    </w:p>
    <w:p>
      <w:pPr>
        <w:spacing w:line="400" w:lineRule="exact"/>
        <w:ind w:firstLine="420" w:firstLineChars="200"/>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t>(1)</w:t>
      </w:r>
      <w:r>
        <w:rPr>
          <w:rFonts w:hint="eastAsia" w:ascii="Times New Roman" w:hAnsi="Times New Roman" w:eastAsia="宋体" w:cs="Times New Roman"/>
          <w:color w:val="auto"/>
          <w:szCs w:val="24"/>
          <w:highlight w:val="none"/>
        </w:rPr>
        <w:t>依法获取招标文件：投标人须在获取招标文件时间内登录</w:t>
      </w:r>
      <w:r>
        <w:rPr>
          <w:color w:val="auto"/>
          <w:highlight w:val="none"/>
        </w:rPr>
        <w:fldChar w:fldCharType="begin"/>
      </w:r>
      <w:r>
        <w:rPr>
          <w:color w:val="auto"/>
          <w:highlight w:val="none"/>
        </w:rPr>
        <w:instrText xml:space="preserve"> HYPERLINK "https://www.zcygov.cn/" </w:instrText>
      </w:r>
      <w:r>
        <w:rPr>
          <w:color w:val="auto"/>
          <w:highlight w:val="none"/>
        </w:rPr>
        <w:fldChar w:fldCharType="separate"/>
      </w:r>
      <w:r>
        <w:rPr>
          <w:rFonts w:hint="eastAsia" w:ascii="Times New Roman" w:hAnsi="Times New Roman" w:eastAsia="宋体" w:cs="Times New Roman"/>
          <w:color w:val="auto"/>
          <w:szCs w:val="24"/>
          <w:highlight w:val="none"/>
          <w:u w:val="single"/>
        </w:rPr>
        <w:t>政府采购云平台</w:t>
      </w:r>
      <w:r>
        <w:rPr>
          <w:rFonts w:hint="eastAsia" w:ascii="Times New Roman" w:hAnsi="Times New Roman" w:eastAsia="宋体" w:cs="Times New Roman"/>
          <w:color w:val="auto"/>
          <w:szCs w:val="24"/>
          <w:highlight w:val="none"/>
          <w:u w:val="single"/>
        </w:rPr>
        <w:fldChar w:fldCharType="end"/>
      </w:r>
      <w:r>
        <w:rPr>
          <w:rFonts w:hint="eastAsia" w:ascii="Times New Roman" w:hAnsi="Times New Roman" w:eastAsia="宋体" w:cs="Times New Roman"/>
          <w:color w:val="auto"/>
          <w:szCs w:val="24"/>
          <w:highlight w:val="none"/>
        </w:rPr>
        <w:t>申请下载招标文件才视作依法获取招标文件。</w:t>
      </w:r>
    </w:p>
    <w:p>
      <w:pPr>
        <w:spacing w:line="400" w:lineRule="exact"/>
        <w:ind w:firstLine="420" w:firstLineChars="200"/>
        <w:rPr>
          <w:rFonts w:ascii="Times New Roman" w:hAnsi="Times New Roman" w:eastAsia="宋体" w:cs="Times New Roman"/>
          <w:b/>
          <w:color w:val="auto"/>
          <w:szCs w:val="24"/>
          <w:highlight w:val="none"/>
        </w:rPr>
      </w:pPr>
      <w:r>
        <w:rPr>
          <w:rFonts w:ascii="Times New Roman" w:hAnsi="Times New Roman" w:eastAsia="宋体" w:cs="Times New Roman"/>
          <w:color w:val="auto"/>
          <w:szCs w:val="24"/>
          <w:highlight w:val="none"/>
        </w:rPr>
        <w:t>(2)</w:t>
      </w:r>
      <w:r>
        <w:rPr>
          <w:rFonts w:hint="eastAsia" w:ascii="Times New Roman" w:hAnsi="Times New Roman" w:eastAsia="宋体" w:cs="Times New Roman"/>
          <w:color w:val="auto"/>
          <w:szCs w:val="24"/>
          <w:highlight w:val="none"/>
        </w:rPr>
        <w:t>投标人应通过广西政府采购云平台客户端制作投标文件，供应商自行前往下载安装</w:t>
      </w:r>
      <w:bookmarkStart w:id="32" w:name="_Hlk154044625"/>
      <w:r>
        <w:rPr>
          <w:rFonts w:hint="eastAsia" w:ascii="Times New Roman" w:hAnsi="Times New Roman" w:eastAsia="宋体" w:cs="Times New Roman"/>
          <w:color w:val="auto"/>
          <w:szCs w:val="24"/>
          <w:highlight w:val="none"/>
        </w:rPr>
        <w:t>（</w:t>
      </w:r>
      <w:bookmarkStart w:id="33" w:name="_Hlk152682913"/>
      <w:r>
        <w:rPr>
          <w:rFonts w:ascii="Times New Roman" w:hAnsi="Times New Roman" w:eastAsia="宋体" w:cs="Times New Roman"/>
          <w:color w:val="auto"/>
          <w:szCs w:val="24"/>
          <w:highlight w:val="none"/>
        </w:rPr>
        <w:fldChar w:fldCharType="begin"/>
      </w:r>
      <w:r>
        <w:rPr>
          <w:rFonts w:ascii="Times New Roman" w:hAnsi="Times New Roman" w:eastAsia="宋体" w:cs="Times New Roman"/>
          <w:color w:val="auto"/>
          <w:szCs w:val="24"/>
          <w:highlight w:val="none"/>
        </w:rPr>
        <w:instrText xml:space="preserve">HYPERLINK "https://sitecdn.zcycdn.com/zcy-client/bidding-client-new/official/guangxi/GuangXiSetup.exe"</w:instrText>
      </w:r>
      <w:r>
        <w:rPr>
          <w:rFonts w:ascii="Times New Roman" w:hAnsi="Times New Roman" w:eastAsia="宋体" w:cs="Times New Roman"/>
          <w:color w:val="auto"/>
          <w:szCs w:val="24"/>
          <w:highlight w:val="none"/>
        </w:rPr>
        <w:fldChar w:fldCharType="separate"/>
      </w:r>
      <w:r>
        <w:rPr>
          <w:rFonts w:hint="eastAsia" w:ascii="Times New Roman" w:hAnsi="Times New Roman" w:eastAsia="宋体" w:cs="Times New Roman"/>
          <w:color w:val="auto"/>
          <w:szCs w:val="24"/>
          <w:highlight w:val="none"/>
          <w:u w:val="single"/>
        </w:rPr>
        <w:t>客户端下载</w:t>
      </w:r>
      <w:r>
        <w:rPr>
          <w:rFonts w:ascii="Times New Roman" w:hAnsi="Times New Roman" w:eastAsia="宋体" w:cs="Times New Roman"/>
          <w:color w:val="auto"/>
          <w:szCs w:val="24"/>
          <w:highlight w:val="none"/>
        </w:rPr>
        <w:fldChar w:fldCharType="end"/>
      </w:r>
      <w:bookmarkEnd w:id="33"/>
      <w:r>
        <w:rPr>
          <w:rFonts w:hint="eastAsia" w:ascii="Times New Roman" w:hAnsi="Times New Roman" w:eastAsia="宋体" w:cs="Times New Roman"/>
          <w:color w:val="auto"/>
          <w:szCs w:val="24"/>
          <w:highlight w:val="none"/>
        </w:rPr>
        <w:t>）</w:t>
      </w:r>
      <w:bookmarkEnd w:id="32"/>
      <w:r>
        <w:rPr>
          <w:rFonts w:hint="eastAsia" w:ascii="Times New Roman" w:hAnsi="Times New Roman" w:eastAsia="宋体" w:cs="Times New Roman"/>
          <w:color w:val="auto"/>
          <w:szCs w:val="24"/>
          <w:highlight w:val="none"/>
        </w:rPr>
        <w:t>。</w:t>
      </w:r>
    </w:p>
    <w:p>
      <w:pPr>
        <w:spacing w:line="400" w:lineRule="exact"/>
        <w:ind w:firstLine="420" w:firstLineChars="200"/>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t>(3)</w:t>
      </w:r>
      <w:r>
        <w:rPr>
          <w:rFonts w:hint="eastAsia" w:ascii="Times New Roman" w:hAnsi="Times New Roman" w:eastAsia="宋体" w:cs="Times New Roman"/>
          <w:color w:val="auto"/>
          <w:szCs w:val="24"/>
          <w:highlight w:val="none"/>
        </w:rPr>
        <w:t>投标人须按照招标文件和政府采购云平台的要求进行编制、上传、加密、提交、解密投标文件，投标文件在线提交截止时间后，政府采购云平台自动提取全部投标文件，各投标人须在提交截止时间后</w:t>
      </w:r>
      <w:r>
        <w:rPr>
          <w:rFonts w:ascii="Times New Roman" w:hAnsi="Times New Roman" w:eastAsia="宋体" w:cs="Times New Roman"/>
          <w:color w:val="auto"/>
          <w:szCs w:val="24"/>
          <w:highlight w:val="none"/>
        </w:rPr>
        <w:t>30</w:t>
      </w:r>
      <w:r>
        <w:rPr>
          <w:rFonts w:hint="eastAsia" w:ascii="Times New Roman" w:hAnsi="Times New Roman" w:eastAsia="宋体" w:cs="Times New Roman"/>
          <w:color w:val="auto"/>
          <w:szCs w:val="24"/>
          <w:highlight w:val="none"/>
        </w:rPr>
        <w:t>分钟内对已上传政府采购云平台的投标文件进行解密，参与本项目的全部投标人在规定的解密时限内解密完成或解密时限结束后，我中心开启投标文件；投标人在解密时限内未完成解密的，政府采购云平台默认为投标人放弃参与投标。</w:t>
      </w:r>
    </w:p>
    <w:p>
      <w:pPr>
        <w:spacing w:line="400" w:lineRule="exact"/>
        <w:ind w:firstLine="420" w:firstLineChars="200"/>
        <w:rPr>
          <w:rFonts w:ascii="Times New Roman" w:hAnsi="Times New Roman" w:eastAsia="宋体" w:cs="Times New Roman"/>
          <w:b/>
          <w:color w:val="auto"/>
          <w:szCs w:val="24"/>
          <w:highlight w:val="none"/>
        </w:rPr>
      </w:pPr>
      <w:r>
        <w:rPr>
          <w:rFonts w:ascii="Times New Roman" w:hAnsi="Times New Roman" w:eastAsia="宋体" w:cs="Times New Roman"/>
          <w:color w:val="auto"/>
          <w:szCs w:val="24"/>
          <w:highlight w:val="none"/>
        </w:rPr>
        <w:t>(4)</w:t>
      </w:r>
      <w:r>
        <w:rPr>
          <w:rFonts w:ascii="Times New Roman" w:hAnsi="Times New Roman" w:eastAsia="宋体" w:cs="Times New Roman"/>
          <w:b/>
          <w:color w:val="auto"/>
          <w:szCs w:val="24"/>
          <w:highlight w:val="none"/>
        </w:rPr>
        <w:t xml:space="preserve"> </w:t>
      </w:r>
      <w:r>
        <w:rPr>
          <w:rFonts w:hint="eastAsia" w:ascii="Times New Roman" w:hAnsi="Times New Roman" w:eastAsia="宋体" w:cs="Times New Roman"/>
          <w:color w:val="auto"/>
          <w:szCs w:val="24"/>
          <w:highlight w:val="none"/>
        </w:rPr>
        <w:t>投标人法定代表人或委托代理人须按时登录</w:t>
      </w:r>
      <w:bookmarkStart w:id="34" w:name="_Hlk90367388"/>
      <w:r>
        <w:rPr>
          <w:rFonts w:hint="eastAsia" w:ascii="宋体" w:hAnsi="宋体" w:eastAsia="宋体" w:cs="Courier New"/>
          <w:color w:val="auto"/>
          <w:szCs w:val="21"/>
          <w:highlight w:val="none"/>
        </w:rPr>
        <w:t>政采云远程开标大厅</w:t>
      </w:r>
      <w:bookmarkEnd w:id="34"/>
      <w:r>
        <w:rPr>
          <w:rFonts w:hint="eastAsia" w:ascii="Times New Roman" w:hAnsi="Times New Roman" w:eastAsia="宋体" w:cs="Times New Roman"/>
          <w:color w:val="auto"/>
          <w:szCs w:val="24"/>
          <w:highlight w:val="none"/>
        </w:rPr>
        <w:t>，保持全程在线并关注开标评标进度，评标期间评标委员会提出澄清等要求时，投标人须在规定时间内进行应答，否则按招标文件或政采云平台的相关规定执行。</w:t>
      </w:r>
    </w:p>
    <w:p>
      <w:pPr>
        <w:spacing w:line="400" w:lineRule="exact"/>
        <w:ind w:firstLine="420" w:firstLineChars="200"/>
        <w:rPr>
          <w:rFonts w:hint="eastAsia" w:ascii="Times New Roman" w:hAnsi="宋体" w:eastAsia="宋体" w:cs="Times New Roman"/>
          <w:color w:val="auto"/>
          <w:szCs w:val="24"/>
          <w:highlight w:val="none"/>
        </w:rPr>
      </w:pPr>
      <w:r>
        <w:rPr>
          <w:rFonts w:ascii="Times New Roman" w:hAnsi="Times New Roman" w:eastAsia="宋体" w:cs="Times New Roman"/>
          <w:color w:val="auto"/>
          <w:szCs w:val="24"/>
          <w:highlight w:val="none"/>
        </w:rPr>
        <w:t>(5)</w:t>
      </w:r>
      <w:r>
        <w:rPr>
          <w:rFonts w:hint="eastAsia" w:ascii="Times New Roman" w:hAnsi="Times New Roman" w:eastAsia="宋体" w:cs="Times New Roman"/>
          <w:color w:val="auto"/>
          <w:szCs w:val="24"/>
          <w:highlight w:val="none"/>
        </w:rPr>
        <w:t>投标人参与投标过程中涉及政府采购云平台的问题，请咨询政采云</w:t>
      </w:r>
      <w:r>
        <w:rPr>
          <w:rFonts w:hint="eastAsia" w:ascii="Times New Roman" w:hAnsi="宋体" w:eastAsia="宋体" w:cs="Times New Roman"/>
          <w:color w:val="auto"/>
          <w:szCs w:val="24"/>
          <w:highlight w:val="none"/>
        </w:rPr>
        <w:t>技术支持热线：</w:t>
      </w:r>
      <w:r>
        <w:rPr>
          <w:rFonts w:ascii="Times New Roman" w:hAnsi="宋体" w:eastAsia="宋体" w:cs="Times New Roman"/>
          <w:color w:val="auto"/>
          <w:szCs w:val="24"/>
          <w:highlight w:val="none"/>
        </w:rPr>
        <w:t>95763</w:t>
      </w:r>
      <w:r>
        <w:rPr>
          <w:rFonts w:hint="eastAsia" w:ascii="Times New Roman" w:hAnsi="宋体" w:eastAsia="宋体" w:cs="Times New Roman"/>
          <w:color w:val="auto"/>
          <w:szCs w:val="24"/>
          <w:highlight w:val="none"/>
        </w:rPr>
        <w:t>。</w:t>
      </w:r>
    </w:p>
    <w:p>
      <w:pPr>
        <w:spacing w:line="400" w:lineRule="exact"/>
        <w:ind w:firstLine="420" w:firstLineChars="200"/>
        <w:rPr>
          <w:rFonts w:hint="eastAsia" w:ascii="Times New Roman" w:hAnsi="宋体" w:eastAsia="宋体" w:cs="Times New Roman"/>
          <w:color w:val="auto"/>
          <w:szCs w:val="24"/>
          <w:highlight w:val="none"/>
        </w:rPr>
      </w:pPr>
      <w:r>
        <w:rPr>
          <w:rFonts w:hint="eastAsia" w:ascii="Times New Roman" w:hAnsi="宋体" w:eastAsia="宋体" w:cs="Times New Roman"/>
          <w:color w:val="auto"/>
          <w:szCs w:val="24"/>
          <w:highlight w:val="none"/>
          <w:lang w:val="en-US" w:eastAsia="zh-CN"/>
        </w:rPr>
        <w:t>3</w:t>
      </w:r>
      <w:r>
        <w:rPr>
          <w:rFonts w:ascii="Times New Roman" w:hAnsi="宋体" w:eastAsia="宋体" w:cs="Times New Roman"/>
          <w:color w:val="auto"/>
          <w:szCs w:val="24"/>
          <w:highlight w:val="none"/>
        </w:rPr>
        <w:t>.</w:t>
      </w:r>
      <w:r>
        <w:rPr>
          <w:rFonts w:hint="eastAsia" w:ascii="Times New Roman" w:hAnsi="宋体" w:eastAsia="宋体" w:cs="Times New Roman"/>
          <w:color w:val="auto"/>
          <w:szCs w:val="24"/>
          <w:highlight w:val="none"/>
        </w:rPr>
        <w:t>查询媒体：</w:t>
      </w:r>
      <w:bookmarkStart w:id="35" w:name="_Hlk97804124"/>
      <w:r>
        <w:rPr>
          <w:rFonts w:ascii="Times New Roman" w:hAnsi="Times New Roman" w:eastAsia="宋体" w:cs="Times New Roman"/>
          <w:color w:val="auto"/>
          <w:szCs w:val="24"/>
          <w:highlight w:val="none"/>
        </w:rPr>
        <w:fldChar w:fldCharType="begin"/>
      </w:r>
      <w:r>
        <w:rPr>
          <w:rFonts w:ascii="Times New Roman" w:hAnsi="Times New Roman" w:eastAsia="宋体" w:cs="Times New Roman"/>
          <w:color w:val="auto"/>
          <w:szCs w:val="24"/>
          <w:highlight w:val="none"/>
        </w:rPr>
        <w:instrText xml:space="preserve">HYPERLINK "http://www.ccgp.gov.cn/"</w:instrText>
      </w:r>
      <w:r>
        <w:rPr>
          <w:rFonts w:ascii="Times New Roman" w:hAnsi="Times New Roman" w:eastAsia="宋体" w:cs="Times New Roman"/>
          <w:color w:val="auto"/>
          <w:szCs w:val="24"/>
          <w:highlight w:val="none"/>
        </w:rPr>
        <w:fldChar w:fldCharType="separate"/>
      </w:r>
      <w:r>
        <w:rPr>
          <w:rFonts w:hint="eastAsia" w:ascii="Times New Roman" w:hAnsi="宋体" w:eastAsia="宋体" w:cs="Times New Roman"/>
          <w:color w:val="auto"/>
          <w:szCs w:val="24"/>
          <w:highlight w:val="none"/>
          <w:u w:val="single"/>
        </w:rPr>
        <w:t>中国政府采购网</w:t>
      </w:r>
      <w:r>
        <w:rPr>
          <w:rFonts w:ascii="Times New Roman" w:hAnsi="Times New Roman" w:eastAsia="宋体" w:cs="Times New Roman"/>
          <w:color w:val="auto"/>
          <w:szCs w:val="24"/>
          <w:highlight w:val="none"/>
        </w:rPr>
        <w:fldChar w:fldCharType="end"/>
      </w:r>
      <w:r>
        <w:rPr>
          <w:rFonts w:hint="eastAsia" w:ascii="Times New Roman" w:hAnsi="宋体" w:eastAsia="宋体" w:cs="Times New Roman"/>
          <w:color w:val="auto"/>
          <w:szCs w:val="24"/>
          <w:highlight w:val="none"/>
        </w:rPr>
        <w:t>、</w:t>
      </w:r>
      <w:r>
        <w:rPr>
          <w:color w:val="auto"/>
          <w:highlight w:val="none"/>
        </w:rPr>
        <w:fldChar w:fldCharType="begin"/>
      </w:r>
      <w:r>
        <w:rPr>
          <w:color w:val="auto"/>
          <w:highlight w:val="none"/>
        </w:rPr>
        <w:instrText xml:space="preserve"> HYPERLINK "http://zfcg.gxzf.gov.cn/" </w:instrText>
      </w:r>
      <w:r>
        <w:rPr>
          <w:color w:val="auto"/>
          <w:highlight w:val="none"/>
        </w:rPr>
        <w:fldChar w:fldCharType="separate"/>
      </w:r>
      <w:r>
        <w:rPr>
          <w:rFonts w:hint="eastAsia" w:ascii="Times New Roman" w:hAnsi="宋体" w:eastAsia="宋体" w:cs="Times New Roman"/>
          <w:color w:val="auto"/>
          <w:szCs w:val="24"/>
          <w:highlight w:val="none"/>
          <w:u w:val="single"/>
        </w:rPr>
        <w:t>广西政府采购网</w:t>
      </w:r>
      <w:r>
        <w:rPr>
          <w:rFonts w:hint="eastAsia" w:ascii="Times New Roman" w:hAnsi="宋体" w:eastAsia="宋体" w:cs="Times New Roman"/>
          <w:color w:val="auto"/>
          <w:szCs w:val="24"/>
          <w:highlight w:val="none"/>
          <w:u w:val="single"/>
        </w:rPr>
        <w:fldChar w:fldCharType="end"/>
      </w:r>
      <w:r>
        <w:rPr>
          <w:rFonts w:hint="eastAsia" w:ascii="Times New Roman" w:hAnsi="宋体" w:eastAsia="宋体" w:cs="Times New Roman"/>
          <w:color w:val="auto"/>
          <w:szCs w:val="24"/>
          <w:highlight w:val="none"/>
        </w:rPr>
        <w:t>。</w:t>
      </w:r>
      <w:bookmarkEnd w:id="35"/>
    </w:p>
    <w:p>
      <w:pPr>
        <w:spacing w:line="400" w:lineRule="exact"/>
        <w:ind w:firstLine="420" w:firstLineChars="200"/>
        <w:jc w:val="left"/>
        <w:rPr>
          <w:rFonts w:hint="eastAsia" w:ascii="Times New Roman" w:hAnsi="宋体" w:eastAsia="宋体" w:cs="Times New Roman"/>
          <w:color w:val="auto"/>
          <w:szCs w:val="24"/>
          <w:highlight w:val="none"/>
        </w:rPr>
      </w:pPr>
      <w:r>
        <w:rPr>
          <w:rFonts w:hint="eastAsia" w:ascii="Times New Roman" w:hAnsi="宋体" w:eastAsia="宋体" w:cs="Times New Roman"/>
          <w:color w:val="auto"/>
          <w:szCs w:val="24"/>
          <w:highlight w:val="none"/>
          <w:lang w:val="en-US" w:eastAsia="zh-CN"/>
        </w:rPr>
        <w:t>4</w:t>
      </w:r>
      <w:r>
        <w:rPr>
          <w:rFonts w:ascii="Times New Roman" w:hAnsi="宋体" w:eastAsia="宋体" w:cs="Times New Roman"/>
          <w:color w:val="auto"/>
          <w:szCs w:val="24"/>
          <w:highlight w:val="none"/>
        </w:rPr>
        <w:t>.</w:t>
      </w:r>
      <w:r>
        <w:rPr>
          <w:rFonts w:hint="eastAsia" w:ascii="Times New Roman" w:hAnsi="宋体" w:eastAsia="宋体" w:cs="Times New Roman"/>
          <w:color w:val="auto"/>
          <w:szCs w:val="24"/>
          <w:highlight w:val="none"/>
        </w:rPr>
        <w:t>钦州市政府采购中心联系方式：</w:t>
      </w:r>
    </w:p>
    <w:p>
      <w:pPr>
        <w:spacing w:line="400" w:lineRule="exact"/>
        <w:ind w:firstLine="420" w:firstLineChars="200"/>
        <w:jc w:val="left"/>
        <w:rPr>
          <w:rFonts w:hint="eastAsia" w:ascii="Times New Roman" w:hAnsi="宋体" w:eastAsia="宋体" w:cs="Times New Roman"/>
          <w:color w:val="auto"/>
          <w:szCs w:val="24"/>
          <w:highlight w:val="none"/>
        </w:rPr>
      </w:pPr>
      <w:r>
        <w:rPr>
          <w:rFonts w:ascii="Times New Roman" w:hAnsi="宋体" w:eastAsia="宋体" w:cs="Times New Roman"/>
          <w:color w:val="auto"/>
          <w:szCs w:val="24"/>
          <w:highlight w:val="none"/>
        </w:rPr>
        <w:t>(1)</w:t>
      </w:r>
      <w:r>
        <w:rPr>
          <w:rFonts w:hint="eastAsia" w:ascii="Times New Roman" w:hAnsi="宋体" w:eastAsia="宋体" w:cs="Times New Roman"/>
          <w:color w:val="auto"/>
          <w:szCs w:val="24"/>
          <w:highlight w:val="none"/>
        </w:rPr>
        <w:t>采购部</w:t>
      </w:r>
      <w:r>
        <w:rPr>
          <w:rFonts w:ascii="Times New Roman" w:hAnsi="宋体" w:eastAsia="宋体" w:cs="Times New Roman"/>
          <w:color w:val="auto"/>
          <w:szCs w:val="24"/>
          <w:highlight w:val="none"/>
        </w:rPr>
        <w:t>(</w:t>
      </w:r>
      <w:r>
        <w:rPr>
          <w:rFonts w:hint="eastAsia" w:ascii="Times New Roman" w:hAnsi="宋体" w:eastAsia="宋体" w:cs="Times New Roman"/>
          <w:color w:val="auto"/>
          <w:szCs w:val="24"/>
          <w:highlight w:val="none"/>
        </w:rPr>
        <w:t>招标文件</w:t>
      </w:r>
      <w:r>
        <w:rPr>
          <w:rFonts w:ascii="Times New Roman" w:hAnsi="宋体" w:eastAsia="宋体" w:cs="Times New Roman"/>
          <w:color w:val="auto"/>
          <w:szCs w:val="24"/>
          <w:highlight w:val="none"/>
        </w:rPr>
        <w:t>)</w:t>
      </w:r>
    </w:p>
    <w:p>
      <w:pPr>
        <w:spacing w:line="400" w:lineRule="exact"/>
        <w:ind w:firstLine="420" w:firstLineChars="200"/>
        <w:jc w:val="left"/>
        <w:rPr>
          <w:rFonts w:hint="eastAsia" w:ascii="Times New Roman" w:hAnsi="宋体" w:eastAsia="宋体" w:cs="Times New Roman"/>
          <w:color w:val="auto"/>
          <w:szCs w:val="24"/>
          <w:highlight w:val="none"/>
        </w:rPr>
      </w:pPr>
      <w:r>
        <w:rPr>
          <w:rFonts w:hint="eastAsia" w:ascii="Times New Roman" w:hAnsi="宋体" w:eastAsia="宋体" w:cs="Times New Roman"/>
          <w:color w:val="auto"/>
          <w:szCs w:val="24"/>
          <w:highlight w:val="none"/>
        </w:rPr>
        <w:t>联系人：</w:t>
      </w:r>
      <w:r>
        <w:rPr>
          <w:rFonts w:hint="eastAsia" w:ascii="Times New Roman" w:hAnsi="宋体" w:eastAsia="宋体" w:cs="Times New Roman"/>
          <w:color w:val="auto"/>
          <w:szCs w:val="24"/>
          <w:highlight w:val="none"/>
          <w:lang w:val="en-US" w:eastAsia="zh-CN"/>
        </w:rPr>
        <w:t>黄忠秀</w:t>
      </w:r>
      <w:r>
        <w:rPr>
          <w:rFonts w:ascii="Times New Roman" w:hAnsi="宋体" w:eastAsia="宋体" w:cs="Times New Roman"/>
          <w:color w:val="auto"/>
          <w:szCs w:val="24"/>
          <w:highlight w:val="none"/>
        </w:rPr>
        <w:t xml:space="preserve">   </w:t>
      </w:r>
      <w:r>
        <w:rPr>
          <w:rFonts w:hint="eastAsia" w:ascii="Times New Roman" w:hAnsi="宋体" w:eastAsia="宋体" w:cs="Times New Roman"/>
          <w:color w:val="auto"/>
          <w:szCs w:val="24"/>
          <w:highlight w:val="none"/>
        </w:rPr>
        <w:t>联系方式：</w:t>
      </w:r>
      <w:r>
        <w:rPr>
          <w:rFonts w:ascii="Times New Roman" w:hAnsi="宋体" w:eastAsia="宋体" w:cs="Times New Roman"/>
          <w:color w:val="auto"/>
          <w:szCs w:val="24"/>
          <w:highlight w:val="none"/>
        </w:rPr>
        <w:t>0777-2886022</w:t>
      </w:r>
    </w:p>
    <w:p>
      <w:pPr>
        <w:spacing w:line="400" w:lineRule="exact"/>
        <w:ind w:firstLine="420" w:firstLineChars="200"/>
        <w:jc w:val="left"/>
        <w:rPr>
          <w:rFonts w:hint="eastAsia" w:ascii="Times New Roman" w:hAnsi="宋体" w:eastAsia="宋体" w:cs="Times New Roman"/>
          <w:color w:val="auto"/>
          <w:szCs w:val="24"/>
          <w:highlight w:val="none"/>
        </w:rPr>
      </w:pPr>
      <w:r>
        <w:rPr>
          <w:rFonts w:ascii="Times New Roman" w:hAnsi="宋体" w:eastAsia="宋体" w:cs="Times New Roman"/>
          <w:color w:val="auto"/>
          <w:szCs w:val="24"/>
          <w:highlight w:val="none"/>
        </w:rPr>
        <w:t>(2)</w:t>
      </w:r>
      <w:r>
        <w:rPr>
          <w:rFonts w:hint="eastAsia" w:ascii="Times New Roman" w:hAnsi="宋体" w:eastAsia="宋体" w:cs="Times New Roman"/>
          <w:color w:val="auto"/>
          <w:szCs w:val="24"/>
          <w:highlight w:val="none"/>
        </w:rPr>
        <w:t>综合二部</w:t>
      </w:r>
      <w:r>
        <w:rPr>
          <w:rFonts w:ascii="Times New Roman" w:hAnsi="宋体" w:eastAsia="宋体" w:cs="Times New Roman"/>
          <w:color w:val="auto"/>
          <w:szCs w:val="24"/>
          <w:highlight w:val="none"/>
        </w:rPr>
        <w:t>(</w:t>
      </w:r>
      <w:r>
        <w:rPr>
          <w:rFonts w:hint="eastAsia" w:ascii="Times New Roman" w:hAnsi="宋体" w:eastAsia="宋体" w:cs="Times New Roman"/>
          <w:color w:val="auto"/>
          <w:szCs w:val="24"/>
          <w:highlight w:val="none"/>
        </w:rPr>
        <w:t>保证金、开评标、中标及合同管理</w:t>
      </w:r>
      <w:r>
        <w:rPr>
          <w:rFonts w:ascii="Times New Roman" w:hAnsi="宋体" w:eastAsia="宋体" w:cs="Times New Roman"/>
          <w:color w:val="auto"/>
          <w:szCs w:val="24"/>
          <w:highlight w:val="none"/>
        </w:rPr>
        <w:t>)</w:t>
      </w:r>
    </w:p>
    <w:p>
      <w:pPr>
        <w:spacing w:line="400" w:lineRule="exact"/>
        <w:ind w:firstLine="420" w:firstLineChars="200"/>
        <w:jc w:val="left"/>
        <w:rPr>
          <w:rFonts w:hint="eastAsia" w:ascii="Times New Roman" w:hAnsi="宋体" w:eastAsia="宋体" w:cs="Times New Roman"/>
          <w:color w:val="auto"/>
          <w:szCs w:val="24"/>
          <w:highlight w:val="none"/>
        </w:rPr>
      </w:pPr>
      <w:r>
        <w:rPr>
          <w:rFonts w:hint="eastAsia" w:ascii="Times New Roman" w:hAnsi="宋体" w:eastAsia="宋体" w:cs="Times New Roman"/>
          <w:color w:val="auto"/>
          <w:szCs w:val="24"/>
          <w:highlight w:val="none"/>
        </w:rPr>
        <w:t>联系人：陈侃</w:t>
      </w:r>
      <w:r>
        <w:rPr>
          <w:rFonts w:hint="eastAsia" w:ascii="Times New Roman" w:hAnsi="宋体" w:eastAsia="宋体" w:cs="Times New Roman"/>
          <w:color w:val="auto"/>
          <w:szCs w:val="24"/>
          <w:highlight w:val="none"/>
          <w:lang w:eastAsia="zh-CN"/>
        </w:rPr>
        <w:t>、</w:t>
      </w:r>
      <w:r>
        <w:rPr>
          <w:rFonts w:ascii="Times New Roman" w:hAnsi="宋体" w:eastAsia="宋体" w:cs="Times New Roman"/>
          <w:color w:val="auto"/>
          <w:szCs w:val="24"/>
          <w:highlight w:val="none"/>
        </w:rPr>
        <w:t xml:space="preserve"> </w:t>
      </w:r>
      <w:r>
        <w:rPr>
          <w:rFonts w:hint="eastAsia" w:ascii="Times New Roman" w:hAnsi="宋体" w:eastAsia="宋体" w:cs="Times New Roman"/>
          <w:color w:val="auto"/>
          <w:szCs w:val="24"/>
          <w:highlight w:val="none"/>
        </w:rPr>
        <w:t>陈启梅</w:t>
      </w:r>
      <w:r>
        <w:rPr>
          <w:rFonts w:ascii="Times New Roman" w:hAnsi="宋体" w:eastAsia="宋体" w:cs="Times New Roman"/>
          <w:color w:val="auto"/>
          <w:szCs w:val="24"/>
          <w:highlight w:val="none"/>
        </w:rPr>
        <w:t xml:space="preserve"> </w:t>
      </w:r>
      <w:r>
        <w:rPr>
          <w:rFonts w:hint="eastAsia" w:ascii="Times New Roman" w:hAnsi="宋体" w:eastAsia="宋体" w:cs="Times New Roman"/>
          <w:color w:val="auto"/>
          <w:szCs w:val="24"/>
          <w:highlight w:val="none"/>
        </w:rPr>
        <w:t>联系方式：</w:t>
      </w:r>
      <w:r>
        <w:rPr>
          <w:rFonts w:ascii="Times New Roman" w:hAnsi="宋体" w:eastAsia="宋体" w:cs="Times New Roman"/>
          <w:color w:val="auto"/>
          <w:szCs w:val="24"/>
          <w:highlight w:val="none"/>
        </w:rPr>
        <w:t xml:space="preserve"> 0777-2886006</w:t>
      </w:r>
    </w:p>
    <w:p>
      <w:pPr>
        <w:spacing w:line="400" w:lineRule="exact"/>
        <w:rPr>
          <w:rFonts w:ascii="Times New Roman" w:hAnsi="Times New Roman" w:eastAsia="宋体" w:cs="Times New Roman"/>
          <w:b/>
          <w:color w:val="auto"/>
          <w:szCs w:val="24"/>
          <w:highlight w:val="none"/>
        </w:rPr>
      </w:pPr>
      <w:r>
        <w:rPr>
          <w:rFonts w:hint="eastAsia" w:ascii="Times New Roman" w:hAnsi="Times New Roman" w:eastAsia="宋体" w:cs="Times New Roman"/>
          <w:b/>
          <w:color w:val="auto"/>
          <w:szCs w:val="24"/>
          <w:highlight w:val="none"/>
        </w:rPr>
        <w:t>七、对本次招标提出询问，请按以下方式联系</w:t>
      </w:r>
      <w:bookmarkEnd w:id="26"/>
      <w:bookmarkEnd w:id="27"/>
      <w:bookmarkEnd w:id="28"/>
      <w:bookmarkEnd w:id="29"/>
    </w:p>
    <w:bookmarkEnd w:id="7"/>
    <w:p>
      <w:pPr>
        <w:spacing w:line="400" w:lineRule="exact"/>
        <w:ind w:firstLine="420" w:firstLineChars="200"/>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t>1.</w:t>
      </w:r>
      <w:r>
        <w:rPr>
          <w:rFonts w:hint="eastAsia" w:ascii="Times New Roman" w:hAnsi="Times New Roman" w:eastAsia="宋体" w:cs="Times New Roman"/>
          <w:color w:val="auto"/>
          <w:szCs w:val="24"/>
          <w:highlight w:val="none"/>
        </w:rPr>
        <w:t>采购人信息</w:t>
      </w:r>
    </w:p>
    <w:p>
      <w:pPr>
        <w:spacing w:line="400" w:lineRule="exact"/>
        <w:ind w:firstLine="420" w:firstLineChars="200"/>
        <w:rPr>
          <w:rFonts w:hint="eastAsia"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rPr>
        <w:t>名称：</w:t>
      </w:r>
      <w:r>
        <w:rPr>
          <w:rFonts w:hint="eastAsia" w:ascii="Times New Roman" w:hAnsi="Times New Roman" w:eastAsia="宋体" w:cs="Times New Roman"/>
          <w:color w:val="auto"/>
          <w:szCs w:val="24"/>
          <w:highlight w:val="none"/>
          <w:lang w:eastAsia="zh-CN"/>
        </w:rPr>
        <w:t>防城港市防城区妇幼保健院</w:t>
      </w:r>
    </w:p>
    <w:p>
      <w:pPr>
        <w:spacing w:line="400" w:lineRule="exact"/>
        <w:ind w:firstLine="420" w:firstLineChars="200"/>
        <w:rPr>
          <w:rFonts w:hint="eastAsia"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rPr>
        <w:t>地址：</w:t>
      </w:r>
      <w:r>
        <w:rPr>
          <w:rFonts w:hint="eastAsia" w:ascii="Times New Roman" w:hAnsi="Times New Roman" w:eastAsia="宋体" w:cs="Times New Roman"/>
          <w:color w:val="auto"/>
          <w:szCs w:val="24"/>
          <w:highlight w:val="none"/>
          <w:lang w:eastAsia="zh-CN"/>
        </w:rPr>
        <w:t>防城港市防城区慈爱路117号</w:t>
      </w:r>
    </w:p>
    <w:p>
      <w:pPr>
        <w:spacing w:line="400" w:lineRule="exact"/>
        <w:ind w:firstLine="420" w:firstLineChars="200"/>
        <w:rPr>
          <w:rFonts w:hint="eastAsia" w:ascii="Times New Roman" w:hAnsi="Times New Roman" w:eastAsia="宋体" w:cs="Times New Roman"/>
          <w:color w:val="auto"/>
          <w:szCs w:val="24"/>
          <w:highlight w:val="none"/>
          <w:lang w:val="en-US" w:eastAsia="zh-CN"/>
        </w:rPr>
      </w:pPr>
      <w:r>
        <w:rPr>
          <w:rFonts w:hint="eastAsia" w:ascii="Times New Roman" w:hAnsi="Times New Roman" w:eastAsia="宋体" w:cs="Times New Roman"/>
          <w:color w:val="auto"/>
          <w:szCs w:val="24"/>
          <w:highlight w:val="none"/>
        </w:rPr>
        <w:t>项目联系人：汪崇轶</w:t>
      </w:r>
    </w:p>
    <w:p>
      <w:pPr>
        <w:spacing w:line="400" w:lineRule="exact"/>
        <w:ind w:firstLine="420" w:firstLineChars="200"/>
        <w:rPr>
          <w:rFonts w:hint="default" w:ascii="Times New Roman" w:hAnsi="Times New Roman" w:eastAsia="宋体" w:cs="Times New Roman"/>
          <w:color w:val="auto"/>
          <w:szCs w:val="24"/>
          <w:highlight w:val="none"/>
          <w:lang w:val="en-US" w:eastAsia="zh-CN"/>
        </w:rPr>
      </w:pPr>
      <w:r>
        <w:rPr>
          <w:rFonts w:hint="eastAsia" w:ascii="Times New Roman" w:hAnsi="Times New Roman" w:eastAsia="宋体" w:cs="Times New Roman"/>
          <w:color w:val="auto"/>
          <w:szCs w:val="24"/>
          <w:highlight w:val="none"/>
        </w:rPr>
        <w:t>项目联系方式</w:t>
      </w:r>
      <w:bookmarkStart w:id="36" w:name="_Toc28359009"/>
      <w:bookmarkStart w:id="37" w:name="_Toc28359086"/>
      <w:r>
        <w:rPr>
          <w:rFonts w:hint="eastAsia" w:ascii="Times New Roman" w:hAnsi="Times New Roman" w:eastAsia="宋体" w:cs="Times New Roman"/>
          <w:color w:val="auto"/>
          <w:szCs w:val="24"/>
          <w:highlight w:val="none"/>
        </w:rPr>
        <w:t>：</w:t>
      </w:r>
      <w:r>
        <w:rPr>
          <w:rFonts w:hint="eastAsia" w:ascii="Times New Roman" w:hAnsi="Times New Roman" w:eastAsia="宋体" w:cs="Times New Roman"/>
          <w:color w:val="auto"/>
          <w:szCs w:val="24"/>
          <w:highlight w:val="none"/>
          <w:lang w:val="en-US" w:eastAsia="zh-CN"/>
        </w:rPr>
        <w:t>0770-3271083</w:t>
      </w:r>
    </w:p>
    <w:p>
      <w:pPr>
        <w:spacing w:line="400" w:lineRule="exact"/>
        <w:ind w:firstLine="420" w:firstLineChars="200"/>
        <w:rPr>
          <w:rFonts w:ascii="Times New Roman" w:hAnsi="Times New Roman" w:eastAsia="宋体" w:cs="Times New Roman"/>
          <w:color w:val="auto"/>
          <w:szCs w:val="24"/>
          <w:highlight w:val="none"/>
        </w:rPr>
      </w:pPr>
      <w:bookmarkStart w:id="38" w:name="_Hlk92356946"/>
      <w:r>
        <w:rPr>
          <w:rFonts w:ascii="Times New Roman" w:hAnsi="Times New Roman" w:eastAsia="宋体" w:cs="Times New Roman"/>
          <w:color w:val="auto"/>
          <w:szCs w:val="24"/>
          <w:highlight w:val="none"/>
        </w:rPr>
        <w:t>2.</w:t>
      </w:r>
      <w:r>
        <w:rPr>
          <w:rFonts w:hint="eastAsia" w:ascii="Times New Roman" w:hAnsi="Times New Roman" w:eastAsia="宋体" w:cs="Times New Roman"/>
          <w:color w:val="auto"/>
          <w:szCs w:val="24"/>
          <w:highlight w:val="none"/>
        </w:rPr>
        <w:t>采购代理机构信息</w:t>
      </w:r>
      <w:bookmarkEnd w:id="36"/>
      <w:bookmarkEnd w:id="37"/>
    </w:p>
    <w:p>
      <w:pPr>
        <w:spacing w:line="400" w:lineRule="exact"/>
        <w:ind w:firstLine="420" w:firstLineChars="20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名称：钦州市政府采购中心</w:t>
      </w:r>
    </w:p>
    <w:p>
      <w:pPr>
        <w:spacing w:line="400" w:lineRule="exact"/>
        <w:ind w:firstLine="420" w:firstLineChars="20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地址：钦州市金海湾东大街</w:t>
      </w:r>
      <w:r>
        <w:rPr>
          <w:rFonts w:ascii="Times New Roman" w:hAnsi="Times New Roman" w:eastAsia="宋体" w:cs="Times New Roman"/>
          <w:color w:val="auto"/>
          <w:szCs w:val="24"/>
          <w:highlight w:val="none"/>
        </w:rPr>
        <w:t>8</w:t>
      </w:r>
      <w:r>
        <w:rPr>
          <w:rFonts w:hint="eastAsia" w:ascii="Times New Roman" w:hAnsi="Times New Roman" w:eastAsia="宋体" w:cs="Times New Roman"/>
          <w:color w:val="auto"/>
          <w:szCs w:val="24"/>
          <w:highlight w:val="none"/>
        </w:rPr>
        <w:t>号</w:t>
      </w:r>
    </w:p>
    <w:p>
      <w:pPr>
        <w:spacing w:line="400" w:lineRule="exact"/>
        <w:ind w:firstLine="420" w:firstLineChars="200"/>
        <w:rPr>
          <w:rFonts w:hint="eastAsia" w:ascii="Times New Roman" w:hAnsi="Times New Roman" w:eastAsia="宋体" w:cs="Times New Roman"/>
          <w:color w:val="auto"/>
          <w:szCs w:val="24"/>
          <w:highlight w:val="none"/>
          <w:lang w:val="en-US" w:eastAsia="zh-CN"/>
        </w:rPr>
      </w:pPr>
      <w:r>
        <w:rPr>
          <w:rFonts w:hint="eastAsia" w:ascii="Times New Roman" w:hAnsi="Times New Roman" w:eastAsia="宋体" w:cs="Times New Roman"/>
          <w:color w:val="auto"/>
          <w:szCs w:val="24"/>
          <w:highlight w:val="none"/>
        </w:rPr>
        <w:t>项目联系人：</w:t>
      </w:r>
      <w:r>
        <w:rPr>
          <w:rFonts w:hint="eastAsia" w:ascii="Times New Roman" w:hAnsi="Times New Roman" w:eastAsia="宋体" w:cs="Times New Roman"/>
          <w:color w:val="auto"/>
          <w:szCs w:val="24"/>
          <w:highlight w:val="none"/>
          <w:lang w:val="en-US" w:eastAsia="zh-CN"/>
        </w:rPr>
        <w:t>黄忠秀</w:t>
      </w:r>
    </w:p>
    <w:p>
      <w:pPr>
        <w:spacing w:line="400" w:lineRule="exact"/>
        <w:ind w:firstLine="420" w:firstLineChars="20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项目联系方式：</w:t>
      </w:r>
      <w:bookmarkStart w:id="39" w:name="_Toc28359010"/>
      <w:bookmarkStart w:id="40" w:name="_Toc28359087"/>
      <w:r>
        <w:rPr>
          <w:rFonts w:hint="eastAsia" w:ascii="Times New Roman" w:hAnsi="Times New Roman" w:eastAsia="宋体" w:cs="Times New Roman"/>
          <w:color w:val="auto"/>
          <w:szCs w:val="24"/>
          <w:highlight w:val="none"/>
        </w:rPr>
        <w:t>0777-2886022</w:t>
      </w:r>
    </w:p>
    <w:bookmarkEnd w:id="38"/>
    <w:bookmarkEnd w:id="39"/>
    <w:bookmarkEnd w:id="40"/>
    <w:p>
      <w:pPr>
        <w:spacing w:line="400" w:lineRule="exact"/>
        <w:jc w:val="left"/>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br w:type="page"/>
      </w:r>
    </w:p>
    <w:p>
      <w:pPr>
        <w:spacing w:line="400" w:lineRule="exact"/>
        <w:jc w:val="left"/>
        <w:rPr>
          <w:rFonts w:ascii="Times New Roman" w:hAnsi="Times New Roman" w:eastAsia="宋体" w:cs="Times New Roman"/>
          <w:color w:val="auto"/>
          <w:szCs w:val="24"/>
          <w:highlight w:val="none"/>
        </w:rPr>
      </w:pPr>
    </w:p>
    <w:p>
      <w:pPr>
        <w:spacing w:line="400" w:lineRule="exact"/>
        <w:jc w:val="left"/>
        <w:rPr>
          <w:rFonts w:ascii="Times New Roman" w:hAnsi="Times New Roman" w:eastAsia="宋体" w:cs="Times New Roman"/>
          <w:color w:val="auto"/>
          <w:szCs w:val="24"/>
          <w:highlight w:val="none"/>
        </w:rPr>
      </w:pPr>
    </w:p>
    <w:p>
      <w:pPr>
        <w:spacing w:line="400" w:lineRule="exact"/>
        <w:jc w:val="left"/>
        <w:rPr>
          <w:rFonts w:ascii="Times New Roman" w:hAnsi="Times New Roman" w:eastAsia="宋体" w:cs="Times New Roman"/>
          <w:color w:val="auto"/>
          <w:szCs w:val="24"/>
          <w:highlight w:val="none"/>
        </w:rPr>
      </w:pPr>
    </w:p>
    <w:p>
      <w:pPr>
        <w:spacing w:line="400" w:lineRule="exact"/>
        <w:jc w:val="left"/>
        <w:rPr>
          <w:rFonts w:ascii="Times New Roman" w:hAnsi="Times New Roman" w:eastAsia="宋体" w:cs="Times New Roman"/>
          <w:color w:val="auto"/>
          <w:szCs w:val="24"/>
          <w:highlight w:val="none"/>
        </w:rPr>
      </w:pPr>
    </w:p>
    <w:p>
      <w:pPr>
        <w:spacing w:line="400" w:lineRule="exact"/>
        <w:jc w:val="left"/>
        <w:rPr>
          <w:rFonts w:ascii="Times New Roman" w:hAnsi="Times New Roman" w:eastAsia="宋体" w:cs="Times New Roman"/>
          <w:color w:val="auto"/>
          <w:szCs w:val="24"/>
          <w:highlight w:val="none"/>
        </w:rPr>
      </w:pPr>
    </w:p>
    <w:p>
      <w:pPr>
        <w:spacing w:line="400" w:lineRule="exact"/>
        <w:jc w:val="left"/>
        <w:rPr>
          <w:rFonts w:ascii="Times New Roman" w:hAnsi="Times New Roman" w:eastAsia="宋体" w:cs="Times New Roman"/>
          <w:color w:val="auto"/>
          <w:szCs w:val="24"/>
          <w:highlight w:val="none"/>
        </w:rPr>
      </w:pPr>
    </w:p>
    <w:p>
      <w:pPr>
        <w:spacing w:line="400" w:lineRule="exact"/>
        <w:jc w:val="left"/>
        <w:rPr>
          <w:rFonts w:ascii="Times New Roman" w:hAnsi="Times New Roman" w:eastAsia="宋体" w:cs="Times New Roman"/>
          <w:color w:val="auto"/>
          <w:szCs w:val="24"/>
          <w:highlight w:val="none"/>
        </w:rPr>
      </w:pPr>
    </w:p>
    <w:p>
      <w:pPr>
        <w:spacing w:line="400" w:lineRule="exact"/>
        <w:jc w:val="left"/>
        <w:rPr>
          <w:rFonts w:ascii="Times New Roman" w:hAnsi="Times New Roman" w:eastAsia="宋体" w:cs="Times New Roman"/>
          <w:color w:val="auto"/>
          <w:szCs w:val="24"/>
          <w:highlight w:val="none"/>
        </w:rPr>
      </w:pPr>
    </w:p>
    <w:p>
      <w:pPr>
        <w:spacing w:line="400" w:lineRule="exact"/>
        <w:jc w:val="left"/>
        <w:rPr>
          <w:rFonts w:ascii="Times New Roman" w:hAnsi="Times New Roman" w:eastAsia="宋体" w:cs="Times New Roman"/>
          <w:color w:val="auto"/>
          <w:szCs w:val="24"/>
          <w:highlight w:val="none"/>
        </w:rPr>
      </w:pPr>
    </w:p>
    <w:p>
      <w:pPr>
        <w:spacing w:line="400" w:lineRule="exact"/>
        <w:jc w:val="left"/>
        <w:rPr>
          <w:rFonts w:ascii="Times New Roman" w:hAnsi="Times New Roman" w:eastAsia="宋体" w:cs="Times New Roman"/>
          <w:color w:val="auto"/>
          <w:szCs w:val="24"/>
          <w:highlight w:val="none"/>
        </w:rPr>
      </w:pPr>
    </w:p>
    <w:p>
      <w:pPr>
        <w:spacing w:line="400" w:lineRule="exact"/>
        <w:jc w:val="left"/>
        <w:rPr>
          <w:rFonts w:ascii="Times New Roman" w:hAnsi="Times New Roman" w:eastAsia="宋体" w:cs="Times New Roman"/>
          <w:color w:val="auto"/>
          <w:szCs w:val="24"/>
          <w:highlight w:val="none"/>
        </w:rPr>
      </w:pPr>
    </w:p>
    <w:p>
      <w:pPr>
        <w:spacing w:line="300" w:lineRule="auto"/>
        <w:jc w:val="center"/>
        <w:outlineLvl w:val="0"/>
        <w:rPr>
          <w:rFonts w:ascii="Cambria" w:hAnsi="Cambria" w:eastAsia="方正小标宋_GBK" w:cs="Times New Roman"/>
          <w:b/>
          <w:bCs/>
          <w:color w:val="auto"/>
          <w:kern w:val="0"/>
          <w:sz w:val="44"/>
          <w:szCs w:val="32"/>
          <w:highlight w:val="none"/>
        </w:rPr>
      </w:pPr>
      <w:bookmarkStart w:id="41" w:name="_Toc352700402"/>
      <w:bookmarkStart w:id="42" w:name="_Toc173764939"/>
      <w:r>
        <w:rPr>
          <w:rFonts w:hint="eastAsia" w:ascii="Cambria" w:hAnsi="Cambria" w:eastAsia="方正小标宋_GBK" w:cs="Times New Roman"/>
          <w:b/>
          <w:bCs/>
          <w:color w:val="auto"/>
          <w:kern w:val="0"/>
          <w:sz w:val="44"/>
          <w:szCs w:val="32"/>
          <w:highlight w:val="none"/>
        </w:rPr>
        <w:t>第二章</w:t>
      </w:r>
      <w:r>
        <w:rPr>
          <w:rFonts w:ascii="Cambria" w:hAnsi="Cambria" w:eastAsia="方正小标宋_GBK" w:cs="Times New Roman"/>
          <w:b/>
          <w:bCs/>
          <w:color w:val="auto"/>
          <w:kern w:val="0"/>
          <w:sz w:val="44"/>
          <w:szCs w:val="32"/>
          <w:highlight w:val="none"/>
        </w:rPr>
        <w:t xml:space="preserve">  </w:t>
      </w:r>
      <w:bookmarkEnd w:id="41"/>
      <w:r>
        <w:rPr>
          <w:rFonts w:hint="eastAsia" w:ascii="Cambria" w:hAnsi="Cambria" w:eastAsia="方正小标宋_GBK" w:cs="Times New Roman"/>
          <w:b/>
          <w:bCs/>
          <w:color w:val="auto"/>
          <w:kern w:val="0"/>
          <w:sz w:val="44"/>
          <w:szCs w:val="32"/>
          <w:highlight w:val="none"/>
        </w:rPr>
        <w:t>项目需求</w:t>
      </w:r>
      <w:bookmarkEnd w:id="42"/>
      <w:bookmarkStart w:id="43" w:name="_Toc352700403"/>
    </w:p>
    <w:p>
      <w:pPr>
        <w:spacing w:line="800" w:lineRule="exact"/>
        <w:ind w:left="-291" w:leftChars="-202" w:hanging="133" w:hangingChars="30"/>
        <w:jc w:val="center"/>
        <w:rPr>
          <w:rFonts w:ascii="Times New Roman" w:hAnsi="Times New Roman" w:eastAsia="宋体" w:cs="Times New Roman"/>
          <w:b/>
          <w:color w:val="auto"/>
          <w:szCs w:val="24"/>
          <w:highlight w:val="none"/>
        </w:rPr>
      </w:pPr>
      <w:r>
        <w:rPr>
          <w:rFonts w:hint="eastAsia" w:ascii="方正小标宋_GBK" w:hAnsi="Times New Roman" w:eastAsia="方正小标宋_GBK" w:cs="Times New Roman"/>
          <w:b/>
          <w:color w:val="auto"/>
          <w:sz w:val="44"/>
          <w:szCs w:val="44"/>
          <w:highlight w:val="none"/>
        </w:rPr>
        <w:br w:type="page"/>
      </w:r>
      <w:r>
        <w:rPr>
          <w:rFonts w:hint="eastAsia" w:ascii="方正小标宋_GBK" w:hAnsi="Times New Roman" w:eastAsia="方正小标宋_GBK" w:cs="Times New Roman"/>
          <w:b/>
          <w:color w:val="auto"/>
          <w:sz w:val="44"/>
          <w:szCs w:val="44"/>
          <w:highlight w:val="none"/>
        </w:rPr>
        <w:t>项目需求</w:t>
      </w:r>
    </w:p>
    <w:p>
      <w:pPr>
        <w:rPr>
          <w:rFonts w:hint="eastAsia" w:ascii="黑体" w:hAnsi="黑体" w:eastAsia="黑体" w:cs="黑体"/>
          <w:bCs/>
          <w:color w:val="auto"/>
          <w:sz w:val="28"/>
          <w:szCs w:val="28"/>
          <w:highlight w:val="none"/>
          <w:lang w:eastAsia="zh-CN"/>
        </w:rPr>
      </w:pPr>
    </w:p>
    <w:p>
      <w:pPr>
        <w:pageBreakBefore w:val="0"/>
        <w:widowControl w:val="0"/>
        <w:kinsoku/>
        <w:wordWrap/>
        <w:overflowPunct/>
        <w:topLinePunct w:val="0"/>
        <w:autoSpaceDE/>
        <w:autoSpaceDN/>
        <w:bidi w:val="0"/>
        <w:snapToGrid/>
        <w:spacing w:line="420" w:lineRule="exact"/>
        <w:ind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说明：</w:t>
      </w:r>
    </w:p>
    <w:p>
      <w:pPr>
        <w:pageBreakBefore w:val="0"/>
        <w:widowControl w:val="0"/>
        <w:kinsoku/>
        <w:wordWrap/>
        <w:overflowPunct/>
        <w:topLinePunct w:val="0"/>
        <w:autoSpaceDE/>
        <w:autoSpaceDN/>
        <w:bidi w:val="0"/>
        <w:snapToGrid/>
        <w:spacing w:line="42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1.投标人要实质上相当于或优于参考本项目服务需求要求。</w:t>
      </w:r>
    </w:p>
    <w:p>
      <w:pPr>
        <w:pageBreakBefore w:val="0"/>
        <w:widowControl w:val="0"/>
        <w:kinsoku/>
        <w:wordWrap/>
        <w:overflowPunct/>
        <w:topLinePunct w:val="0"/>
        <w:autoSpaceDE/>
        <w:autoSpaceDN/>
        <w:bidi w:val="0"/>
        <w:snapToGrid/>
        <w:spacing w:line="42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2.标注★号的为关键条款，投标人提供的</w:t>
      </w:r>
      <w:r>
        <w:rPr>
          <w:rFonts w:hint="eastAsia" w:ascii="宋体" w:hAnsi="宋体" w:eastAsia="宋体" w:cs="宋体"/>
          <w:color w:val="auto"/>
          <w:sz w:val="21"/>
          <w:szCs w:val="21"/>
          <w:highlight w:val="none"/>
          <w:lang w:val="en-US" w:eastAsia="zh-CN"/>
        </w:rPr>
        <w:t>服务</w:t>
      </w:r>
      <w:r>
        <w:rPr>
          <w:rFonts w:hint="eastAsia" w:ascii="宋体" w:hAnsi="宋体" w:eastAsia="宋体" w:cs="宋体"/>
          <w:color w:val="auto"/>
          <w:sz w:val="21"/>
          <w:szCs w:val="21"/>
          <w:highlight w:val="none"/>
        </w:rPr>
        <w:t>必须满足或优于，否则投标无效。</w:t>
      </w:r>
    </w:p>
    <w:p>
      <w:pPr>
        <w:keepNext w:val="0"/>
        <w:keepLines w:val="0"/>
        <w:pageBreakBefore w:val="0"/>
        <w:widowControl w:val="0"/>
        <w:kinsoku/>
        <w:wordWrap/>
        <w:overflowPunct/>
        <w:topLinePunct w:val="0"/>
        <w:autoSpaceDE/>
        <w:autoSpaceDN/>
        <w:bidi w:val="0"/>
        <w:snapToGrid/>
        <w:spacing w:line="420" w:lineRule="exact"/>
        <w:rPr>
          <w:rFonts w:hint="eastAsia" w:ascii="宋体" w:hAnsi="宋体" w:eastAsia="宋体" w:cs="宋体"/>
          <w:b/>
          <w:bCs/>
          <w:color w:val="auto"/>
          <w:sz w:val="21"/>
          <w:szCs w:val="21"/>
          <w:highlight w:val="none"/>
        </w:rPr>
      </w:pPr>
    </w:p>
    <w:p>
      <w:pPr>
        <w:keepNext w:val="0"/>
        <w:keepLines w:val="0"/>
        <w:pageBreakBefore w:val="0"/>
        <w:widowControl w:val="0"/>
        <w:kinsoku/>
        <w:wordWrap/>
        <w:overflowPunct/>
        <w:topLinePunct w:val="0"/>
        <w:autoSpaceDE/>
        <w:autoSpaceDN/>
        <w:bidi w:val="0"/>
        <w:snapToGrid/>
        <w:spacing w:line="360" w:lineRule="auto"/>
        <w:ind w:firstLine="42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采购服务需求：</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right="0" w:rightChars="0"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一、</w:t>
      </w:r>
      <w:r>
        <w:rPr>
          <w:rFonts w:hint="eastAsia" w:ascii="宋体" w:hAnsi="宋体" w:eastAsia="宋体" w:cs="宋体"/>
          <w:color w:val="auto"/>
          <w:sz w:val="21"/>
          <w:szCs w:val="21"/>
          <w:highlight w:val="none"/>
          <w:lang w:val="en-US" w:eastAsia="en-US"/>
        </w:rPr>
        <w:t>物业服务范围及基本情况</w:t>
      </w:r>
    </w:p>
    <w:p>
      <w:pPr>
        <w:keepNext w:val="0"/>
        <w:keepLines w:val="0"/>
        <w:pageBreakBefore w:val="0"/>
        <w:widowControl w:val="0"/>
        <w:kinsoku/>
        <w:wordWrap/>
        <w:overflowPunct/>
        <w:topLinePunct w:val="0"/>
        <w:autoSpaceDE/>
        <w:autoSpaceDN/>
        <w:bidi w:val="0"/>
        <w:adjustRightInd/>
        <w:spacing w:beforeAutospacing="0" w:afterAutospacing="0" w:line="360" w:lineRule="auto"/>
        <w:ind w:left="0" w:right="0" w:rightChars="0" w:firstLine="422"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1.</w:t>
      </w:r>
      <w:r>
        <w:rPr>
          <w:rFonts w:hint="eastAsia" w:ascii="宋体" w:hAnsi="宋体" w:eastAsia="宋体" w:cs="宋体"/>
          <w:b/>
          <w:color w:val="auto"/>
          <w:sz w:val="21"/>
          <w:szCs w:val="21"/>
          <w:highlight w:val="none"/>
        </w:rPr>
        <w:t>服务项目范围：</w:t>
      </w:r>
      <w:r>
        <w:rPr>
          <w:rFonts w:hint="eastAsia" w:ascii="宋体" w:hAnsi="宋体" w:eastAsia="宋体" w:cs="宋体"/>
          <w:color w:val="auto"/>
          <w:kern w:val="0"/>
          <w:sz w:val="21"/>
          <w:szCs w:val="21"/>
          <w:highlight w:val="none"/>
        </w:rPr>
        <w:t>防城港市防城区妇幼保健院</w:t>
      </w:r>
      <w:r>
        <w:rPr>
          <w:rFonts w:hint="eastAsia" w:ascii="宋体" w:hAnsi="宋体" w:eastAsia="宋体" w:cs="宋体"/>
          <w:color w:val="auto"/>
          <w:sz w:val="21"/>
          <w:szCs w:val="21"/>
          <w:highlight w:val="none"/>
          <w:lang w:val="en-US" w:eastAsia="zh-CN"/>
        </w:rPr>
        <w:t>物业服务</w:t>
      </w:r>
    </w:p>
    <w:p>
      <w:pPr>
        <w:keepNext w:val="0"/>
        <w:keepLines w:val="0"/>
        <w:pageBreakBefore w:val="0"/>
        <w:widowControl w:val="0"/>
        <w:kinsoku/>
        <w:wordWrap/>
        <w:overflowPunct/>
        <w:topLinePunct w:val="0"/>
        <w:autoSpaceDE/>
        <w:autoSpaceDN/>
        <w:bidi w:val="0"/>
        <w:adjustRightInd/>
        <w:snapToGrid/>
        <w:spacing w:line="360" w:lineRule="auto"/>
        <w:ind w:left="0" w:right="0" w:rightChars="0" w:firstLine="422" w:firstLineChars="200"/>
        <w:jc w:val="both"/>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2.服务地点：</w:t>
      </w:r>
      <w:r>
        <w:rPr>
          <w:rFonts w:hint="eastAsia" w:ascii="宋体" w:hAnsi="宋体" w:eastAsia="宋体" w:cs="宋体"/>
          <w:b w:val="0"/>
          <w:bCs w:val="0"/>
          <w:color w:val="auto"/>
          <w:sz w:val="21"/>
          <w:szCs w:val="21"/>
          <w:highlight w:val="none"/>
          <w:lang w:val="en-US" w:eastAsia="zh-CN"/>
        </w:rPr>
        <w:t>防城港市防城区慈爱路117号</w:t>
      </w:r>
    </w:p>
    <w:p>
      <w:pPr>
        <w:pStyle w:val="316"/>
        <w:pageBreakBefore w:val="0"/>
        <w:widowControl w:val="0"/>
        <w:kinsoku/>
        <w:wordWrap/>
        <w:overflowPunct/>
        <w:topLinePunct w:val="0"/>
        <w:autoSpaceDE/>
        <w:autoSpaceDN/>
        <w:bidi w:val="0"/>
        <w:adjustRightInd/>
        <w:spacing w:line="360" w:lineRule="auto"/>
        <w:ind w:firstLine="422" w:firstLineChars="200"/>
        <w:jc w:val="both"/>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3.</w:t>
      </w:r>
      <w:r>
        <w:rPr>
          <w:rFonts w:hint="eastAsia" w:ascii="宋体" w:hAnsi="宋体" w:eastAsia="宋体" w:cs="宋体"/>
          <w:b/>
          <w:color w:val="auto"/>
          <w:sz w:val="21"/>
          <w:szCs w:val="21"/>
          <w:highlight w:val="none"/>
        </w:rPr>
        <w:t>服务项目范围：</w:t>
      </w:r>
      <w:r>
        <w:rPr>
          <w:rFonts w:hint="eastAsia" w:ascii="宋体" w:hAnsi="宋体" w:eastAsia="宋体" w:cs="宋体"/>
          <w:b w:val="0"/>
          <w:bCs w:val="0"/>
          <w:color w:val="auto"/>
          <w:sz w:val="21"/>
          <w:szCs w:val="21"/>
          <w:highlight w:val="none"/>
          <w:lang w:val="en-US" w:eastAsia="zh-CN"/>
        </w:rPr>
        <w:t>防城港市防城区妇幼保健院所辖本院区、康复中心区、人民银行院区的保洁及医疗辅助服务（包含医疗垃圾处理、室内消毒）、安保服务及停车场管理、绿化养护、消防安全及消防器材管理、消防控制室管理、门禁监控系统管理、搬运服务（小型物品、器械及药品搬运服务等）、应急事件处理等，服务人数</w:t>
      </w:r>
      <w:r>
        <w:rPr>
          <w:rFonts w:hint="eastAsia" w:ascii="宋体" w:hAnsi="宋体" w:eastAsia="宋体" w:cs="宋体"/>
          <w:color w:val="auto"/>
          <w:sz w:val="21"/>
          <w:szCs w:val="21"/>
          <w:highlight w:val="none"/>
          <w:lang w:val="en-US" w:eastAsia="zh-CN"/>
        </w:rPr>
        <w:t>详见（人员配备和</w:t>
      </w:r>
      <w:r>
        <w:rPr>
          <w:rFonts w:hint="eastAsia" w:ascii="宋体" w:hAnsi="宋体" w:eastAsia="宋体" w:cs="宋体"/>
          <w:color w:val="auto"/>
          <w:sz w:val="21"/>
          <w:szCs w:val="21"/>
          <w:highlight w:val="none"/>
        </w:rPr>
        <w:t>岗位职责要求表</w:t>
      </w:r>
      <w:r>
        <w:rPr>
          <w:rFonts w:hint="eastAsia" w:ascii="宋体" w:hAnsi="宋体" w:eastAsia="宋体" w:cs="宋体"/>
          <w:b w:val="0"/>
          <w:bCs w:val="0"/>
          <w:color w:val="auto"/>
          <w:sz w:val="21"/>
          <w:szCs w:val="21"/>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0" w:right="0" w:rightChars="0"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二、服务内容和工作标准要求</w:t>
      </w:r>
    </w:p>
    <w:p>
      <w:pPr>
        <w:pageBreakBefore w:val="0"/>
        <w:widowControl w:val="0"/>
        <w:kinsoku/>
        <w:wordWrap/>
        <w:overflowPunct/>
        <w:topLinePunct w:val="0"/>
        <w:autoSpaceDE/>
        <w:autoSpaceDN/>
        <w:bidi w:val="0"/>
        <w:adjustRightInd/>
        <w:spacing w:line="360" w:lineRule="auto"/>
        <w:ind w:firstLine="422" w:firstLineChars="200"/>
        <w:jc w:val="both"/>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一</w:t>
      </w:r>
      <w:r>
        <w:rPr>
          <w:rFonts w:hint="eastAsia" w:ascii="宋体" w:hAnsi="宋体" w:eastAsia="宋体" w:cs="宋体"/>
          <w:b/>
          <w:bCs/>
          <w:color w:val="auto"/>
          <w:sz w:val="21"/>
          <w:szCs w:val="21"/>
          <w:highlight w:val="none"/>
          <w:lang w:eastAsia="zh-CN"/>
        </w:rPr>
        <w:t>）</w:t>
      </w:r>
      <w:r>
        <w:rPr>
          <w:rFonts w:hint="eastAsia" w:ascii="宋体" w:hAnsi="宋体" w:eastAsia="宋体" w:cs="宋体"/>
          <w:color w:val="auto"/>
          <w:sz w:val="21"/>
          <w:szCs w:val="21"/>
          <w:highlight w:val="none"/>
          <w:lang w:val="en-US" w:eastAsia="zh-CN"/>
        </w:rPr>
        <w:t>服务内容</w:t>
      </w:r>
    </w:p>
    <w:p>
      <w:pPr>
        <w:pageBreakBefore w:val="0"/>
        <w:widowControl w:val="0"/>
        <w:kinsoku/>
        <w:wordWrap/>
        <w:overflowPunct/>
        <w:topLinePunct w:val="0"/>
        <w:autoSpaceDE/>
        <w:autoSpaceDN/>
        <w:bidi w:val="0"/>
        <w:adjustRightInd/>
        <w:spacing w:line="360" w:lineRule="auto"/>
        <w:ind w:firstLine="422" w:firstLineChars="200"/>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1.保洁服务内容</w:t>
      </w:r>
    </w:p>
    <w:p>
      <w:pPr>
        <w:spacing w:line="360" w:lineRule="auto"/>
        <w:ind w:firstLine="420" w:firstLineChars="20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根据医院各科室的特点，</w:t>
      </w:r>
      <w:r>
        <w:rPr>
          <w:rFonts w:hint="eastAsia" w:ascii="宋体" w:hAnsi="宋体" w:eastAsia="宋体" w:cs="宋体"/>
          <w:b w:val="0"/>
          <w:bCs w:val="0"/>
          <w:color w:val="auto"/>
          <w:sz w:val="21"/>
          <w:szCs w:val="21"/>
          <w:highlight w:val="none"/>
        </w:rPr>
        <w:t>中标人</w:t>
      </w:r>
      <w:r>
        <w:rPr>
          <w:rFonts w:hint="eastAsia" w:ascii="宋体" w:hAnsi="宋体" w:eastAsia="宋体" w:cs="宋体"/>
          <w:b/>
          <w:bCs/>
          <w:i w:val="0"/>
          <w:iCs w:val="0"/>
          <w:color w:val="auto"/>
          <w:sz w:val="21"/>
          <w:szCs w:val="21"/>
          <w:highlight w:val="none"/>
          <w:lang w:val="en-US" w:eastAsia="zh-CN"/>
        </w:rPr>
        <w:t>应自带</w:t>
      </w:r>
      <w:r>
        <w:rPr>
          <w:rFonts w:hint="eastAsia" w:ascii="宋体" w:hAnsi="宋体" w:eastAsia="宋体" w:cs="宋体"/>
          <w:b w:val="0"/>
          <w:bCs w:val="0"/>
          <w:i w:val="0"/>
          <w:iCs w:val="0"/>
          <w:color w:val="auto"/>
          <w:sz w:val="21"/>
          <w:szCs w:val="21"/>
          <w:highlight w:val="none"/>
          <w:lang w:val="en-US" w:eastAsia="zh-CN"/>
        </w:rPr>
        <w:t>清洁工具（如拖地机、扫把、拖把、垃圾铲、生活垃圾袋等）</w:t>
      </w:r>
      <w:r>
        <w:rPr>
          <w:rFonts w:hint="eastAsia" w:ascii="宋体" w:hAnsi="宋体" w:eastAsia="宋体" w:cs="宋体"/>
          <w:b w:val="0"/>
          <w:bCs w:val="0"/>
          <w:color w:val="auto"/>
          <w:sz w:val="21"/>
          <w:szCs w:val="21"/>
          <w:highlight w:val="none"/>
          <w:lang w:val="en-US" w:eastAsia="zh-CN"/>
        </w:rPr>
        <w:t>对服务区域内提供合理时段的室内外清洁服务，每天24小时卫生符合保洁要求，包括大楼内的楼梯、大厅、走廊、屋顶天台、吊顶、平台、雨棚、电梯厅、电梯间、卫生间、茶水间、花盆、会议室、接待室、办公区域、公共活动场所的台（地）面、明沟、墙面、门、窗、灯具、果壳箱等设施和器皿等所有公共部位设施，规划内的道路、园林、停车场（库）、垃圾房等所有公共场地及设施和“门前三包”区域的日常保洁保养以及垃圾、废弃物清理和灭“四害”等院区规划范围内的所有环境卫生保洁。使其有一个整洁、安静、安全的就医环境。</w:t>
      </w:r>
    </w:p>
    <w:p>
      <w:pPr>
        <w:keepNext w:val="0"/>
        <w:keepLines w:val="0"/>
        <w:pageBreakBefore w:val="0"/>
        <w:widowControl w:val="0"/>
        <w:numPr>
          <w:ilvl w:val="-1"/>
          <w:numId w:val="0"/>
        </w:numP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1.1公共区域日常服务内容：地面、扶手、门窗玻璃、门及门窗框、玻璃幕墙及有关附体，沙发、桌子、各类宣传牌、橱窗及有关附体，天花板、栏杆、消防楼梯区域等，及时清除各种垃圾等杂物，无积灰、印迹、污渍。PVC地面定期进行抛光、喷磨、刷洗、补蜡、全面保养打蜡，石材地面定期晶面处理及保养。卫生间除正常保洁外还要求做到无异味，地面墙面干净无积水，夏季点蚊香或定时喷洒灭虫剂，投放樟脑丸</w:t>
      </w:r>
      <w:r>
        <w:rPr>
          <w:rFonts w:hint="eastAsia" w:ascii="宋体" w:hAnsi="宋体" w:eastAsia="宋体" w:cs="宋体"/>
          <w:b w:val="0"/>
          <w:bCs w:val="0"/>
          <w:color w:val="auto"/>
          <w:sz w:val="21"/>
          <w:szCs w:val="21"/>
          <w:highlight w:val="none"/>
          <w:shd w:val="clear" w:color="FFFFFF" w:fill="D9D9D9"/>
          <w:lang w:val="en-US" w:eastAsia="zh-CN"/>
        </w:rPr>
        <w:t>。</w:t>
      </w:r>
    </w:p>
    <w:p>
      <w:pPr>
        <w:keepNext w:val="0"/>
        <w:keepLines w:val="0"/>
        <w:pageBreakBefore w:val="0"/>
        <w:widowControl w:val="0"/>
        <w:numPr>
          <w:ilvl w:val="-1"/>
          <w:numId w:val="0"/>
        </w:numP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1.2办公区域、会议室等特定区域保洁服务内容：地面、大厅石材墙面、天花板、门窗玻璃、门及门窗框、墙壁附体，灯具、音响、垃圾桶等公用设施表面，电梯及卫生间，办公室内储衣柜和桌椅表面等严格按要求做好清洁、清运及日常消杀工作，无积灰、印迹、污渍。桌面整理，随时保持清洁。石材、灯具清洁 医疗综合楼及行政楼已使用区域暂时空置的房间卫生保洁，确保地面、桌面、玻璃面整洁干净。白色墙面及顶面如有污渍等应及时清除。PVC地面定期进行抛光、喷磨、刷洗、补蜡、全面保养打蜡，石材地面定期晶面处理及保养。</w:t>
      </w:r>
    </w:p>
    <w:p>
      <w:pPr>
        <w:keepNext w:val="0"/>
        <w:keepLines w:val="0"/>
        <w:pageBreakBefore w:val="0"/>
        <w:widowControl w:val="0"/>
        <w:numPr>
          <w:ilvl w:val="-1"/>
          <w:numId w:val="0"/>
        </w:numP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1.3负责服务范围门诊部、病区等医疗场所内的清洁卫生，按照院感要求完成消毒工作（包括内墙、玻璃、高处灯具、通风口、地面、室内家具、楼梯、走廊、通道、窗户、门、桌、椅、床、柜、宣传栏、洗手间、公共通道等）。</w:t>
      </w:r>
    </w:p>
    <w:p>
      <w:pPr>
        <w:keepNext w:val="0"/>
        <w:keepLines w:val="0"/>
        <w:pageBreakBefore w:val="0"/>
        <w:widowControl w:val="0"/>
        <w:numPr>
          <w:ilvl w:val="-1"/>
          <w:numId w:val="0"/>
        </w:numP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1.4顶棚等边缘区域保洁服务内容：屋顶屋面、沟槽、地面、雨棚及边角区域，各种附体的表面清洁，不积水、不留杂物，排水通畅。</w:t>
      </w:r>
    </w:p>
    <w:p>
      <w:pPr>
        <w:keepNext w:val="0"/>
        <w:keepLines w:val="0"/>
        <w:pageBreakBefore w:val="0"/>
        <w:widowControl w:val="0"/>
        <w:numPr>
          <w:ilvl w:val="-1"/>
          <w:numId w:val="0"/>
        </w:numP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1.5电梯保洁服务内容：保持电梯轿厢内外无果壳、纸屑等杂物，无污渍、无灰尘、手印、鞋印，表面光亮可映出人影。</w:t>
      </w:r>
      <w:r>
        <w:rPr>
          <w:rFonts w:hint="eastAsia" w:ascii="宋体" w:hAnsi="宋体" w:eastAsia="宋体" w:cs="宋体"/>
          <w:b/>
          <w:bCs/>
          <w:color w:val="auto"/>
          <w:sz w:val="21"/>
          <w:szCs w:val="21"/>
          <w:highlight w:val="none"/>
          <w:lang w:val="en-US" w:eastAsia="zh-CN"/>
        </w:rPr>
        <w:t>应</w:t>
      </w:r>
      <w:r>
        <w:rPr>
          <w:rFonts w:hint="eastAsia" w:ascii="宋体" w:hAnsi="宋体" w:eastAsia="宋体" w:cs="宋体"/>
          <w:b w:val="0"/>
          <w:bCs w:val="0"/>
          <w:color w:val="auto"/>
          <w:sz w:val="21"/>
          <w:szCs w:val="21"/>
          <w:highlight w:val="none"/>
          <w:lang w:val="en-US" w:eastAsia="zh-CN"/>
        </w:rPr>
        <w:t>负责对所有电梯每天消毒一次，并进行登记。</w:t>
      </w:r>
    </w:p>
    <w:p>
      <w:pPr>
        <w:keepNext w:val="0"/>
        <w:keepLines w:val="0"/>
        <w:pageBreakBefore w:val="0"/>
        <w:widowControl w:val="0"/>
        <w:numPr>
          <w:ilvl w:val="-1"/>
          <w:numId w:val="0"/>
        </w:numP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1.6不锈钢保洁服务内容：包括所有不锈钢制品、设施、设备，除有明确规定的保洁要求外。哑光不锈钢表面无污渍、无灰尘∶镜面不锈钢表面光亮，三米内能清晰映出人影。</w:t>
      </w:r>
    </w:p>
    <w:p>
      <w:pPr>
        <w:pageBreakBefore w:val="0"/>
        <w:widowControl w:val="0"/>
        <w:kinsoku/>
        <w:wordWrap/>
        <w:overflowPunct/>
        <w:topLinePunct w:val="0"/>
        <w:autoSpaceDE/>
        <w:autoSpaceDN/>
        <w:bidi w:val="0"/>
        <w:adjustRightInd/>
        <w:spacing w:line="360" w:lineRule="auto"/>
        <w:ind w:firstLine="422" w:firstLineChars="200"/>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2.安保服务内容</w:t>
      </w:r>
    </w:p>
    <w:p>
      <w:pPr>
        <w:keepNext w:val="0"/>
        <w:keepLines w:val="0"/>
        <w:pageBreakBefore w:val="0"/>
        <w:widowControl w:val="0"/>
        <w:numPr>
          <w:ilvl w:val="-1"/>
          <w:numId w:val="0"/>
        </w:numPr>
        <w:kinsoku/>
        <w:wordWrap/>
        <w:overflowPunct/>
        <w:topLinePunct w:val="0"/>
        <w:autoSpaceDE/>
        <w:autoSpaceDN/>
        <w:bidi w:val="0"/>
        <w:adjustRightInd/>
        <w:snapToGrid/>
        <w:spacing w:line="360" w:lineRule="auto"/>
        <w:ind w:firstLine="422" w:firstLineChars="200"/>
        <w:jc w:val="both"/>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（1）★治安管理：保安管理人员必须持保安证上岗，做好日常防盗、防聚众闹事等工作。保证日常办公、治疗环境井然有序，重大活动顺利进行；</w:t>
      </w:r>
    </w:p>
    <w:p>
      <w:pPr>
        <w:keepNext w:val="0"/>
        <w:keepLines w:val="0"/>
        <w:pageBreakBefore w:val="0"/>
        <w:widowControl w:val="0"/>
        <w:numPr>
          <w:ilvl w:val="-1"/>
          <w:numId w:val="0"/>
        </w:numP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（2）交通管理：维护医院交通秩序，车辆停放整齐，防止交通事故的发生和车辆破损、被盗。</w:t>
      </w:r>
    </w:p>
    <w:p>
      <w:pPr>
        <w:keepNext w:val="0"/>
        <w:keepLines w:val="0"/>
        <w:pageBreakBefore w:val="0"/>
        <w:widowControl w:val="0"/>
        <w:numPr>
          <w:ilvl w:val="-1"/>
          <w:numId w:val="0"/>
        </w:numP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（3）紧急事件和突发事件的安全管理；</w:t>
      </w:r>
    </w:p>
    <w:p>
      <w:pPr>
        <w:keepNext w:val="0"/>
        <w:keepLines w:val="0"/>
        <w:pageBreakBefore w:val="0"/>
        <w:widowControl w:val="0"/>
        <w:numPr>
          <w:ilvl w:val="-1"/>
          <w:numId w:val="0"/>
        </w:numP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（4）安保人员负责院内办公桌椅等勤杂搬运工作。</w:t>
      </w:r>
    </w:p>
    <w:p>
      <w:pPr>
        <w:pageBreakBefore w:val="0"/>
        <w:widowControl w:val="0"/>
        <w:kinsoku/>
        <w:wordWrap/>
        <w:overflowPunct/>
        <w:topLinePunct w:val="0"/>
        <w:autoSpaceDE/>
        <w:autoSpaceDN/>
        <w:bidi w:val="0"/>
        <w:adjustRightInd/>
        <w:spacing w:line="360" w:lineRule="auto"/>
        <w:ind w:firstLine="422" w:firstLineChars="200"/>
        <w:jc w:val="both"/>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3.停车场管理</w:t>
      </w:r>
      <w:r>
        <w:rPr>
          <w:rFonts w:hint="eastAsia" w:ascii="宋体" w:hAnsi="宋体" w:eastAsia="宋体" w:cs="宋体"/>
          <w:b/>
          <w:bCs/>
          <w:color w:val="auto"/>
          <w:sz w:val="21"/>
          <w:szCs w:val="21"/>
          <w:highlight w:val="none"/>
        </w:rPr>
        <w:t>内容</w:t>
      </w:r>
    </w:p>
    <w:p>
      <w:pPr>
        <w:keepNext w:val="0"/>
        <w:keepLines w:val="0"/>
        <w:pageBreakBefore w:val="0"/>
        <w:widowControl w:val="0"/>
        <w:numPr>
          <w:ilvl w:val="-1"/>
          <w:numId w:val="0"/>
        </w:numP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3.1 物业公司于合同期间负责管理医院停车场，制定并执行停车场管理规范，完善安全管理体系，确保车辆停放安全，准确无误地收取停车费，保障辖区交通车辆出入有序，维持停车场设施设备的正常安全运行，预防事故发生。明确停车场管理的保管责任及车位使用规定，并向进入停车场的车主清晰告知相关责任关系。</w:t>
      </w:r>
    </w:p>
    <w:p>
      <w:pPr>
        <w:keepNext w:val="0"/>
        <w:keepLines w:val="0"/>
        <w:pageBreakBefore w:val="0"/>
        <w:widowControl w:val="0"/>
        <w:numPr>
          <w:ilvl w:val="-1"/>
          <w:numId w:val="0"/>
        </w:numP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3.2负责停车场内停泊车辆的管理工作，维护车道交通秩序，确保车道、车场出入口及周边区域无阻。</w:t>
      </w:r>
    </w:p>
    <w:p>
      <w:pPr>
        <w:keepNext w:val="0"/>
        <w:keepLines w:val="0"/>
        <w:pageBreakBefore w:val="0"/>
        <w:widowControl w:val="0"/>
        <w:numPr>
          <w:ilvl w:val="-1"/>
          <w:numId w:val="0"/>
        </w:numP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3.3实行24小时轮流值班制度，服从统一安排与调度。</w:t>
      </w:r>
    </w:p>
    <w:p>
      <w:pPr>
        <w:pageBreakBefore w:val="0"/>
        <w:widowControl w:val="0"/>
        <w:kinsoku/>
        <w:wordWrap/>
        <w:overflowPunct/>
        <w:topLinePunct w:val="0"/>
        <w:autoSpaceDE/>
        <w:autoSpaceDN/>
        <w:bidi w:val="0"/>
        <w:adjustRightInd/>
        <w:spacing w:line="360" w:lineRule="auto"/>
        <w:ind w:firstLine="422" w:firstLineChars="200"/>
        <w:jc w:val="both"/>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4.消防服务及管理</w:t>
      </w:r>
      <w:r>
        <w:rPr>
          <w:rFonts w:hint="eastAsia" w:ascii="宋体" w:hAnsi="宋体" w:eastAsia="宋体" w:cs="宋体"/>
          <w:b/>
          <w:bCs/>
          <w:color w:val="auto"/>
          <w:sz w:val="21"/>
          <w:szCs w:val="21"/>
          <w:highlight w:val="none"/>
        </w:rPr>
        <w:t>内容</w:t>
      </w:r>
    </w:p>
    <w:p>
      <w:pPr>
        <w:keepNext w:val="0"/>
        <w:keepLines w:val="0"/>
        <w:pageBreakBefore w:val="0"/>
        <w:widowControl w:val="0"/>
        <w:numPr>
          <w:ilvl w:val="-1"/>
          <w:numId w:val="0"/>
        </w:numP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4.1消防控制室需安排专人24小时值班，值班人员</w:t>
      </w:r>
      <w:r>
        <w:rPr>
          <w:rFonts w:hint="eastAsia" w:ascii="宋体" w:hAnsi="宋体" w:eastAsia="宋体" w:cs="宋体"/>
          <w:b/>
          <w:bCs/>
          <w:color w:val="auto"/>
          <w:sz w:val="21"/>
          <w:szCs w:val="21"/>
          <w:highlight w:val="none"/>
          <w:lang w:val="en-US" w:eastAsia="zh-CN"/>
        </w:rPr>
        <w:t>应</w:t>
      </w:r>
      <w:r>
        <w:rPr>
          <w:rFonts w:hint="eastAsia" w:ascii="宋体" w:hAnsi="宋体" w:eastAsia="宋体" w:cs="宋体"/>
          <w:b w:val="0"/>
          <w:bCs w:val="0"/>
          <w:color w:val="auto"/>
          <w:sz w:val="21"/>
          <w:szCs w:val="21"/>
          <w:highlight w:val="none"/>
          <w:lang w:val="en-US" w:eastAsia="zh-CN"/>
        </w:rPr>
        <w:t>熟练掌握消防控制设备的操作方法及应急处置流程。</w:t>
      </w:r>
    </w:p>
    <w:p>
      <w:pPr>
        <w:keepNext w:val="0"/>
        <w:keepLines w:val="0"/>
        <w:pageBreakBefore w:val="0"/>
        <w:widowControl w:val="0"/>
        <w:numPr>
          <w:ilvl w:val="-1"/>
          <w:numId w:val="0"/>
        </w:numP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4.2值班期间需严格监控消防控制设备的运行状态，对火灾报警信号、故障信号等各类信息及时响应，并做好详细记录，确保信息传递的准确性和时效性。</w:t>
      </w:r>
    </w:p>
    <w:p>
      <w:pPr>
        <w:keepNext w:val="0"/>
        <w:keepLines w:val="0"/>
        <w:pageBreakBefore w:val="0"/>
        <w:widowControl w:val="0"/>
        <w:numPr>
          <w:ilvl w:val="-1"/>
          <w:numId w:val="0"/>
        </w:numP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4.3定期对消防控制设备进行巡查、测试和维护，确保设备处于正常工作状态，发现问题及时报告并协助维修人员进行处理。</w:t>
      </w:r>
    </w:p>
    <w:p>
      <w:pPr>
        <w:keepNext w:val="0"/>
        <w:keepLines w:val="0"/>
        <w:pageBreakBefore w:val="0"/>
        <w:widowControl w:val="0"/>
        <w:numPr>
          <w:ilvl w:val="-1"/>
          <w:numId w:val="0"/>
        </w:numP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4.4严格遵守消防控制室的管理制度，不得擅自离岗、串岗或做与工作无关的事情，保持值班区域的整洁和安静。</w:t>
      </w:r>
    </w:p>
    <w:p>
      <w:pPr>
        <w:keepNext w:val="0"/>
        <w:keepLines w:val="0"/>
        <w:pageBreakBefore w:val="0"/>
        <w:widowControl w:val="0"/>
        <w:numPr>
          <w:ilvl w:val="-1"/>
          <w:numId w:val="0"/>
        </w:numP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4.5配合消防部门和医院相关部门开展消防安全检查和演练活动，提供必要的支持和协助，不断增强自身的消防安全意识和应急处置能力。</w:t>
      </w:r>
    </w:p>
    <w:p>
      <w:pPr>
        <w:pageBreakBefore w:val="0"/>
        <w:widowControl w:val="0"/>
        <w:kinsoku/>
        <w:wordWrap/>
        <w:overflowPunct/>
        <w:topLinePunct w:val="0"/>
        <w:autoSpaceDE/>
        <w:autoSpaceDN/>
        <w:bidi w:val="0"/>
        <w:adjustRightInd/>
        <w:spacing w:line="360" w:lineRule="auto"/>
        <w:ind w:firstLine="422" w:firstLineChars="200"/>
        <w:jc w:val="both"/>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5.洗衣房服务</w:t>
      </w:r>
      <w:r>
        <w:rPr>
          <w:rFonts w:hint="eastAsia" w:ascii="宋体" w:hAnsi="宋体" w:eastAsia="宋体" w:cs="宋体"/>
          <w:b/>
          <w:bCs/>
          <w:color w:val="auto"/>
          <w:sz w:val="21"/>
          <w:szCs w:val="21"/>
          <w:highlight w:val="none"/>
        </w:rPr>
        <w:t>内容</w:t>
      </w:r>
    </w:p>
    <w:p>
      <w:pPr>
        <w:keepNext w:val="0"/>
        <w:keepLines w:val="0"/>
        <w:pageBreakBefore w:val="0"/>
        <w:widowControl w:val="0"/>
        <w:numPr>
          <w:ilvl w:val="-1"/>
          <w:numId w:val="0"/>
        </w:numP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负责清洗医院内病人及医护人员的衣物、被褥等织物。严格按照卫生标准进行分类清洗，对于病人使用过的衣物被褥，需先进行消毒处理后再清洗。清洗过程中使用符合环保和卫生要求的洗涤剂，确保洗净后的衣物被褥无污渍、无异味，手感柔软。清洗后的衣物被褥要进行高温烘干或紫外线消毒等二次消毒措施，保证其卫生安全。将洗净消毒后的衣物被褥整齐折叠、分类存放，并及时送回相应的科室或病房。同时，要建立衣物被褥清洗记录，包括清洗时间、数量、所属科室等信息，以便查询和追溯。对于有特殊要求的衣物被褥，如感染科的织物，要按照正确的处理流程进行清洗和消毒。 </w:t>
      </w:r>
    </w:p>
    <w:p>
      <w:pPr>
        <w:pageBreakBefore w:val="0"/>
        <w:widowControl w:val="0"/>
        <w:kinsoku/>
        <w:wordWrap/>
        <w:overflowPunct/>
        <w:topLinePunct w:val="0"/>
        <w:autoSpaceDE/>
        <w:autoSpaceDN/>
        <w:bidi w:val="0"/>
        <w:adjustRightInd/>
        <w:spacing w:line="360" w:lineRule="auto"/>
        <w:ind w:firstLine="422" w:firstLineChars="200"/>
        <w:jc w:val="both"/>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6.医院的医疗/生活垃圾清运服务内容</w:t>
      </w:r>
    </w:p>
    <w:p>
      <w:pPr>
        <w:spacing w:line="360" w:lineRule="auto"/>
        <w:ind w:firstLine="420" w:firstLineChars="20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由1名专管员专职管理按照</w:t>
      </w:r>
      <w:r>
        <w:rPr>
          <w:rFonts w:hint="eastAsia" w:ascii="宋体" w:hAnsi="宋体" w:eastAsia="宋体" w:cs="宋体"/>
          <w:color w:val="auto"/>
          <w:sz w:val="21"/>
          <w:szCs w:val="21"/>
          <w:highlight w:val="none"/>
        </w:rPr>
        <w:t>《医疗废物管理条例》</w:t>
      </w:r>
      <w:r>
        <w:rPr>
          <w:rFonts w:hint="eastAsia" w:ascii="宋体" w:hAnsi="宋体" w:eastAsia="宋体" w:cs="宋体"/>
          <w:b w:val="0"/>
          <w:bCs w:val="0"/>
          <w:color w:val="auto"/>
          <w:sz w:val="21"/>
          <w:szCs w:val="21"/>
          <w:highlight w:val="none"/>
          <w:lang w:val="en-US" w:eastAsia="zh-CN"/>
        </w:rPr>
        <w:t>、生活垃圾分类管理要求进行管理。专职员工2次/天及时收集并分类整理垃圾，符合院感要求。用黄色专用标识垃圾袋、专用箱收放，使用专用车使用污物电梯运送，绝对禁止使用客梯，做好医疗和生活等垃圾登记、交接工作。转运站工具摆放整齐，垃圾存量不超过三分之二且做到日产日清，定期清洗，每天消毒一次，无明显积水，无蚊蝇飞舞。垃圾清运工具应保持清洁无破损，清运过程中不得产生二次污染。各类垃圾运到规定的地方，再将垃圾运到垃圾转运站，其中公共区域、卫生间无堆积垃圾。化粪池、污水池及时清理杂物，确保排放。物业公司做好与医疗垃圾回收公司之间的交接工作，物业公司需对医院范围的输液瓶进行收集并统一存放。</w:t>
      </w:r>
    </w:p>
    <w:p>
      <w:pPr>
        <w:spacing w:line="420" w:lineRule="exact"/>
        <w:ind w:firstLine="420"/>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7.防止院内交叉感染管理服务内容</w:t>
      </w:r>
    </w:p>
    <w:p>
      <w:pPr>
        <w:spacing w:line="420" w:lineRule="exact"/>
        <w:ind w:firstLine="42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7.1保洁工作应遵循《医疗机构环境表面清洁与消毒管理规范》、《医院消毒卫生标准》、《医疗机构 消毒技术规范》、《病区医院感染管理规范》等清洁消毒要求。</w:t>
      </w:r>
    </w:p>
    <w:p>
      <w:pPr>
        <w:spacing w:line="420" w:lineRule="exact"/>
        <w:ind w:firstLine="42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7.2环境、物体表面应保持清洁、干燥，当受到肉眼可见污染时应及时清洁与消毒。对频繁接触的物体 表面应每天清洁、消毒，不允许出现霉菌。</w:t>
      </w:r>
    </w:p>
    <w:p>
      <w:pPr>
        <w:spacing w:line="420" w:lineRule="exact"/>
        <w:ind w:firstLine="42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7.3日常应遵循“先清洁再消毒”的原则，采取湿式卫生的清洁方式。遇特殊感染时应强化清洁与消毒， 遵循“先消毒再清洁再消毒”原则。</w:t>
      </w:r>
    </w:p>
    <w:p>
      <w:pPr>
        <w:spacing w:line="420" w:lineRule="exact"/>
        <w:ind w:firstLine="42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7.4清洁顺序应遵循“由上而下、由里到外、由洁到污”；有多名患者共同居住的病房，应遵循清洁单 元化操作。</w:t>
      </w:r>
    </w:p>
    <w:p>
      <w:pPr>
        <w:spacing w:line="420" w:lineRule="exact"/>
        <w:ind w:firstLine="42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7.5擦拭布、地巾擦拭物表时，按“S”或“Z” ，“后退式”方式进行，不可重复擦拭已经清洁过的区域。</w:t>
      </w:r>
    </w:p>
    <w:p>
      <w:pPr>
        <w:spacing w:line="420" w:lineRule="exact"/>
        <w:ind w:firstLine="42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7.6物体表面根据区域风险等级及特殊区域要求，使用清洁布巾或消毒布巾擦拭。擦拭不同患者单元的物品之间应更换布巾，遵循“一床一巾一消毒”原则，擦拭面积超过 1 ㎡时要将抹布翻到清洁面后再继续 使用，各面使用完应及时更换；不同病房及区域之间应更换地拖，遵循“一室一地拖一消毒”原则，每巾 使用面积≤20 ㎡。各种擦拭布巾、地巾及保洁手套应分区域使用，用后污巾分开收集并送往医院指定地点 统一清洗消毒，指定地方干燥备用。</w:t>
      </w:r>
    </w:p>
    <w:p>
      <w:pPr>
        <w:spacing w:line="420" w:lineRule="exact"/>
        <w:ind w:firstLine="42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7.7不将使用后或污染的擦拭布巾或地巾重复浸泡至清洁用水、使用中清洁剂和消毒剂内。 </w:t>
      </w:r>
    </w:p>
    <w:p>
      <w:pPr>
        <w:spacing w:line="420" w:lineRule="exact"/>
        <w:ind w:firstLine="42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7.8每日清洁、消毒结束后清洁盛放容器，保持外表清洁，不可出现肉眼可见污物或污渍。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right="0" w:rightChars="0"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（二）服务工作标准要求</w:t>
      </w:r>
    </w:p>
    <w:p>
      <w:pPr>
        <w:keepNext/>
        <w:keepLines/>
        <w:pageBreakBefore w:val="0"/>
        <w:widowControl w:val="0"/>
        <w:kinsoku/>
        <w:wordWrap/>
        <w:overflowPunct/>
        <w:topLinePunct w:val="0"/>
        <w:autoSpaceDE/>
        <w:autoSpaceDN/>
        <w:bidi w:val="0"/>
        <w:adjustRightInd/>
        <w:snapToGrid/>
        <w:spacing w:before="157" w:beforeLines="50" w:after="157" w:afterLines="50" w:line="360" w:lineRule="auto"/>
        <w:ind w:firstLine="422" w:firstLineChars="200"/>
        <w:jc w:val="both"/>
        <w:textAlignment w:val="auto"/>
        <w:outlineLvl w:val="9"/>
        <w:rPr>
          <w:rFonts w:hint="eastAsia" w:ascii="宋体" w:hAnsi="宋体" w:eastAsia="宋体" w:cs="宋体"/>
          <w:b/>
          <w:bCs/>
          <w:color w:val="auto"/>
          <w:kern w:val="0"/>
          <w:sz w:val="21"/>
          <w:szCs w:val="21"/>
          <w:highlight w:val="none"/>
        </w:rPr>
      </w:pPr>
      <w:bookmarkStart w:id="44" w:name="_Toc19921"/>
      <w:r>
        <w:rPr>
          <w:rFonts w:hint="eastAsia" w:ascii="宋体" w:hAnsi="宋体" w:eastAsia="宋体" w:cs="宋体"/>
          <w:b/>
          <w:bCs/>
          <w:color w:val="auto"/>
          <w:kern w:val="0"/>
          <w:sz w:val="21"/>
          <w:szCs w:val="21"/>
          <w:highlight w:val="none"/>
          <w:lang w:val="en-US" w:eastAsia="zh-CN"/>
        </w:rPr>
        <w:t>1、</w:t>
      </w:r>
      <w:r>
        <w:rPr>
          <w:rFonts w:hint="eastAsia" w:ascii="宋体" w:hAnsi="宋体" w:eastAsia="宋体" w:cs="宋体"/>
          <w:b/>
          <w:bCs/>
          <w:color w:val="auto"/>
          <w:kern w:val="0"/>
          <w:sz w:val="21"/>
          <w:szCs w:val="21"/>
          <w:highlight w:val="none"/>
        </w:rPr>
        <w:t>保洁服务质量标准</w:t>
      </w:r>
      <w:bookmarkEnd w:id="44"/>
    </w:p>
    <w:p>
      <w:pPr>
        <w:pageBreakBefore w:val="0"/>
        <w:widowControl w:val="0"/>
        <w:kinsoku/>
        <w:wordWrap/>
        <w:overflowPunct/>
        <w:topLinePunct w:val="0"/>
        <w:autoSpaceDE/>
        <w:autoSpaceDN/>
        <w:bidi w:val="0"/>
        <w:adjustRightInd/>
        <w:spacing w:line="360" w:lineRule="auto"/>
        <w:ind w:firstLine="422"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1.1</w:t>
      </w:r>
      <w:r>
        <w:rPr>
          <w:rFonts w:hint="eastAsia" w:ascii="宋体" w:hAnsi="宋体" w:eastAsia="宋体" w:cs="宋体"/>
          <w:color w:val="auto"/>
          <w:sz w:val="21"/>
          <w:szCs w:val="21"/>
          <w:highlight w:val="none"/>
        </w:rPr>
        <w:t>地面服务标准</w:t>
      </w:r>
    </w:p>
    <w:p>
      <w:pPr>
        <w:pageBreakBefore w:val="0"/>
        <w:widowControl w:val="0"/>
        <w:kinsoku/>
        <w:wordWrap/>
        <w:overflowPunct/>
        <w:topLinePunct w:val="0"/>
        <w:autoSpaceDE/>
        <w:autoSpaceDN/>
        <w:bidi w:val="0"/>
        <w:adjustRightInd/>
        <w:spacing w:line="360" w:lineRule="auto"/>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(1)经常巡视，随时清除垃圾、杂物；</w:t>
      </w:r>
    </w:p>
    <w:p>
      <w:pPr>
        <w:pageBreakBefore w:val="0"/>
        <w:widowControl w:val="0"/>
        <w:kinsoku/>
        <w:wordWrap/>
        <w:overflowPunct/>
        <w:topLinePunct w:val="0"/>
        <w:autoSpaceDE/>
        <w:autoSpaceDN/>
        <w:bidi w:val="0"/>
        <w:adjustRightInd/>
        <w:spacing w:line="360" w:lineRule="auto"/>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(2)病房、学习室、各种办公室、护士站、仓库、医护值班室做到地面清洁，无积水、无垃圾、无死角、无化学烧伤。</w:t>
      </w:r>
    </w:p>
    <w:p>
      <w:pPr>
        <w:pageBreakBefore w:val="0"/>
        <w:widowControl w:val="0"/>
        <w:kinsoku/>
        <w:wordWrap/>
        <w:overflowPunct/>
        <w:topLinePunct w:val="0"/>
        <w:autoSpaceDE/>
        <w:autoSpaceDN/>
        <w:bidi w:val="0"/>
        <w:adjustRightInd/>
        <w:spacing w:line="360" w:lineRule="auto"/>
        <w:ind w:firstLine="422"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1.2</w:t>
      </w:r>
      <w:r>
        <w:rPr>
          <w:rFonts w:hint="eastAsia" w:ascii="宋体" w:hAnsi="宋体" w:eastAsia="宋体" w:cs="宋体"/>
          <w:color w:val="auto"/>
          <w:sz w:val="21"/>
          <w:szCs w:val="21"/>
          <w:highlight w:val="none"/>
        </w:rPr>
        <w:t>玻璃服务标准</w:t>
      </w:r>
    </w:p>
    <w:p>
      <w:pPr>
        <w:pageBreakBefore w:val="0"/>
        <w:widowControl w:val="0"/>
        <w:kinsoku/>
        <w:wordWrap/>
        <w:overflowPunct/>
        <w:topLinePunct w:val="0"/>
        <w:autoSpaceDE/>
        <w:autoSpaceDN/>
        <w:bidi w:val="0"/>
        <w:adjustRightInd/>
        <w:spacing w:line="360" w:lineRule="auto"/>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每月定期擦拭（医疗仪器除外），遇有特殊情况随时擦拭，保持明亮无灰尘。</w:t>
      </w:r>
    </w:p>
    <w:p>
      <w:pPr>
        <w:pageBreakBefore w:val="0"/>
        <w:widowControl w:val="0"/>
        <w:kinsoku/>
        <w:wordWrap/>
        <w:overflowPunct/>
        <w:topLinePunct w:val="0"/>
        <w:autoSpaceDE/>
        <w:autoSpaceDN/>
        <w:bidi w:val="0"/>
        <w:adjustRightInd/>
        <w:spacing w:line="360" w:lineRule="auto"/>
        <w:ind w:firstLine="422"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1.3</w:t>
      </w:r>
      <w:r>
        <w:rPr>
          <w:rFonts w:hint="eastAsia" w:ascii="宋体" w:hAnsi="宋体" w:eastAsia="宋体" w:cs="宋体"/>
          <w:color w:val="auto"/>
          <w:sz w:val="21"/>
          <w:szCs w:val="21"/>
          <w:highlight w:val="none"/>
        </w:rPr>
        <w:t>室内墙壁、门及其他固定配置物品服务标准</w:t>
      </w:r>
    </w:p>
    <w:p>
      <w:pPr>
        <w:pageBreakBefore w:val="0"/>
        <w:widowControl w:val="0"/>
        <w:kinsoku/>
        <w:wordWrap/>
        <w:overflowPunct/>
        <w:topLinePunct w:val="0"/>
        <w:autoSpaceDE/>
        <w:autoSpaceDN/>
        <w:bidi w:val="0"/>
        <w:adjustRightInd/>
        <w:spacing w:line="360" w:lineRule="auto"/>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(1)定期擦拭，做到无积尘、无污渍；</w:t>
      </w:r>
    </w:p>
    <w:p>
      <w:pPr>
        <w:pageBreakBefore w:val="0"/>
        <w:widowControl w:val="0"/>
        <w:kinsoku/>
        <w:wordWrap/>
        <w:overflowPunct/>
        <w:topLinePunct w:val="0"/>
        <w:autoSpaceDE/>
        <w:autoSpaceDN/>
        <w:bidi w:val="0"/>
        <w:adjustRightInd/>
        <w:spacing w:line="360" w:lineRule="auto"/>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(2)物品摆放有序，灯具光亮无积尘；</w:t>
      </w:r>
    </w:p>
    <w:p>
      <w:pPr>
        <w:pageBreakBefore w:val="0"/>
        <w:widowControl w:val="0"/>
        <w:kinsoku/>
        <w:wordWrap/>
        <w:overflowPunct/>
        <w:topLinePunct w:val="0"/>
        <w:autoSpaceDE/>
        <w:autoSpaceDN/>
        <w:bidi w:val="0"/>
        <w:adjustRightInd/>
        <w:spacing w:line="360" w:lineRule="auto"/>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(3)床头柜、物品柜、窗台、餐桌每天擦拭，采用“一桌一巾”，保持无积尘，达到规定的卫生标准；</w:t>
      </w:r>
    </w:p>
    <w:p>
      <w:pPr>
        <w:pageBreakBefore w:val="0"/>
        <w:widowControl w:val="0"/>
        <w:kinsoku/>
        <w:wordWrap/>
        <w:overflowPunct/>
        <w:topLinePunct w:val="0"/>
        <w:autoSpaceDE/>
        <w:autoSpaceDN/>
        <w:bidi w:val="0"/>
        <w:adjustRightInd/>
        <w:spacing w:line="360" w:lineRule="auto"/>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(4)患者出院后随时对其使用过的物品、床、床头柜、杂物柜、对讲机按钮、吸氧装置等进行擦拭、消毒。</w:t>
      </w:r>
    </w:p>
    <w:p>
      <w:pPr>
        <w:pageBreakBefore w:val="0"/>
        <w:widowControl w:val="0"/>
        <w:kinsoku/>
        <w:wordWrap/>
        <w:overflowPunct/>
        <w:topLinePunct w:val="0"/>
        <w:autoSpaceDE/>
        <w:autoSpaceDN/>
        <w:bidi w:val="0"/>
        <w:adjustRightInd/>
        <w:spacing w:line="360" w:lineRule="auto"/>
        <w:ind w:firstLine="422"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1.4</w:t>
      </w:r>
      <w:r>
        <w:rPr>
          <w:rFonts w:hint="eastAsia" w:ascii="宋体" w:hAnsi="宋体" w:eastAsia="宋体" w:cs="宋体"/>
          <w:color w:val="auto"/>
          <w:sz w:val="21"/>
          <w:szCs w:val="21"/>
          <w:highlight w:val="none"/>
        </w:rPr>
        <w:t>病房卫生间服务标准</w:t>
      </w:r>
    </w:p>
    <w:p>
      <w:pPr>
        <w:pageBreakBefore w:val="0"/>
        <w:widowControl w:val="0"/>
        <w:kinsoku/>
        <w:wordWrap/>
        <w:overflowPunct/>
        <w:topLinePunct w:val="0"/>
        <w:autoSpaceDE/>
        <w:autoSpaceDN/>
        <w:bidi w:val="0"/>
        <w:adjustRightInd/>
        <w:spacing w:line="360" w:lineRule="auto"/>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(1)每日定时用专用工具消毒，保持地面、墙角、墙面干净，无积水，无杂物；</w:t>
      </w:r>
    </w:p>
    <w:p>
      <w:pPr>
        <w:pageBreakBefore w:val="0"/>
        <w:widowControl w:val="0"/>
        <w:kinsoku/>
        <w:wordWrap/>
        <w:overflowPunct/>
        <w:topLinePunct w:val="0"/>
        <w:autoSpaceDE/>
        <w:autoSpaceDN/>
        <w:bidi w:val="0"/>
        <w:adjustRightInd/>
        <w:spacing w:line="360" w:lineRule="auto"/>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(2)物品摆放整洁，镜面光亮，无水迹；</w:t>
      </w:r>
    </w:p>
    <w:p>
      <w:pPr>
        <w:pageBreakBefore w:val="0"/>
        <w:widowControl w:val="0"/>
        <w:kinsoku/>
        <w:wordWrap/>
        <w:overflowPunct/>
        <w:topLinePunct w:val="0"/>
        <w:autoSpaceDE/>
        <w:autoSpaceDN/>
        <w:bidi w:val="0"/>
        <w:adjustRightInd/>
        <w:spacing w:line="360" w:lineRule="auto"/>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(3)水池、浴盆、便池无水锈，无尿碱、无异味、无化学烧伤；</w:t>
      </w:r>
    </w:p>
    <w:p>
      <w:pPr>
        <w:pageBreakBefore w:val="0"/>
        <w:widowControl w:val="0"/>
        <w:kinsoku/>
        <w:wordWrap/>
        <w:overflowPunct/>
        <w:topLinePunct w:val="0"/>
        <w:autoSpaceDE/>
        <w:autoSpaceDN/>
        <w:bidi w:val="0"/>
        <w:adjustRightInd/>
        <w:spacing w:line="360" w:lineRule="auto"/>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(4)水龙头等不锈钢物品光亮整洁，无锈蚀；</w:t>
      </w:r>
    </w:p>
    <w:p>
      <w:pPr>
        <w:pageBreakBefore w:val="0"/>
        <w:widowControl w:val="0"/>
        <w:kinsoku/>
        <w:wordWrap/>
        <w:overflowPunct/>
        <w:topLinePunct w:val="0"/>
        <w:autoSpaceDE/>
        <w:autoSpaceDN/>
        <w:bidi w:val="0"/>
        <w:adjustRightInd/>
        <w:spacing w:line="360" w:lineRule="auto"/>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(5)始终保持卫生间空气清新；</w:t>
      </w:r>
    </w:p>
    <w:p>
      <w:pPr>
        <w:pageBreakBefore w:val="0"/>
        <w:widowControl w:val="0"/>
        <w:kinsoku/>
        <w:wordWrap/>
        <w:overflowPunct/>
        <w:topLinePunct w:val="0"/>
        <w:autoSpaceDE/>
        <w:autoSpaceDN/>
        <w:bidi w:val="0"/>
        <w:adjustRightInd/>
        <w:spacing w:line="360" w:lineRule="auto"/>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(6)便器、水箱等设施发生故障随时处理，必要时报告采购人。及时帮病人倒痰盂。</w:t>
      </w:r>
    </w:p>
    <w:p>
      <w:pPr>
        <w:pageBreakBefore w:val="0"/>
        <w:widowControl w:val="0"/>
        <w:kinsoku/>
        <w:wordWrap/>
        <w:overflowPunct/>
        <w:topLinePunct w:val="0"/>
        <w:autoSpaceDE/>
        <w:autoSpaceDN/>
        <w:bidi w:val="0"/>
        <w:adjustRightInd/>
        <w:spacing w:line="360" w:lineRule="auto"/>
        <w:ind w:firstLine="422"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1.5</w:t>
      </w:r>
      <w:r>
        <w:rPr>
          <w:rFonts w:hint="eastAsia" w:ascii="宋体" w:hAnsi="宋体" w:eastAsia="宋体" w:cs="宋体"/>
          <w:color w:val="auto"/>
          <w:sz w:val="21"/>
          <w:szCs w:val="21"/>
          <w:highlight w:val="none"/>
        </w:rPr>
        <w:t>楼梯服务标准</w:t>
      </w:r>
    </w:p>
    <w:p>
      <w:pPr>
        <w:pageBreakBefore w:val="0"/>
        <w:widowControl w:val="0"/>
        <w:kinsoku/>
        <w:wordWrap/>
        <w:overflowPunct/>
        <w:topLinePunct w:val="0"/>
        <w:autoSpaceDE/>
        <w:autoSpaceDN/>
        <w:bidi w:val="0"/>
        <w:adjustRightInd/>
        <w:spacing w:line="360" w:lineRule="auto"/>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(1)地面保持干净，整洁，无污垢，无杂物；</w:t>
      </w:r>
    </w:p>
    <w:p>
      <w:pPr>
        <w:pageBreakBefore w:val="0"/>
        <w:widowControl w:val="0"/>
        <w:kinsoku/>
        <w:wordWrap/>
        <w:overflowPunct/>
        <w:topLinePunct w:val="0"/>
        <w:autoSpaceDE/>
        <w:autoSpaceDN/>
        <w:bidi w:val="0"/>
        <w:adjustRightInd/>
        <w:spacing w:line="360" w:lineRule="auto"/>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(2)墙面干净；楼梯扶手无污渍。</w:t>
      </w:r>
    </w:p>
    <w:p>
      <w:pPr>
        <w:pageBreakBefore w:val="0"/>
        <w:widowControl w:val="0"/>
        <w:kinsoku/>
        <w:wordWrap/>
        <w:overflowPunct/>
        <w:topLinePunct w:val="0"/>
        <w:autoSpaceDE/>
        <w:autoSpaceDN/>
        <w:bidi w:val="0"/>
        <w:adjustRightInd/>
        <w:spacing w:line="360" w:lineRule="auto"/>
        <w:ind w:firstLine="422"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1.6</w:t>
      </w:r>
      <w:r>
        <w:rPr>
          <w:rFonts w:hint="eastAsia" w:ascii="宋体" w:hAnsi="宋体" w:eastAsia="宋体" w:cs="宋体"/>
          <w:color w:val="auto"/>
          <w:sz w:val="21"/>
          <w:szCs w:val="21"/>
          <w:highlight w:val="none"/>
        </w:rPr>
        <w:t>杂物间服务标准</w:t>
      </w:r>
    </w:p>
    <w:p>
      <w:pPr>
        <w:pageBreakBefore w:val="0"/>
        <w:widowControl w:val="0"/>
        <w:kinsoku/>
        <w:wordWrap/>
        <w:overflowPunct/>
        <w:topLinePunct w:val="0"/>
        <w:autoSpaceDE/>
        <w:autoSpaceDN/>
        <w:bidi w:val="0"/>
        <w:adjustRightInd/>
        <w:spacing w:line="360" w:lineRule="auto"/>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(1)物品摆放有序，地面干净，门窗整洁，无污垢；</w:t>
      </w:r>
    </w:p>
    <w:p>
      <w:pPr>
        <w:pageBreakBefore w:val="0"/>
        <w:widowControl w:val="0"/>
        <w:kinsoku/>
        <w:wordWrap/>
        <w:overflowPunct/>
        <w:topLinePunct w:val="0"/>
        <w:autoSpaceDE/>
        <w:autoSpaceDN/>
        <w:bidi w:val="0"/>
        <w:adjustRightInd/>
        <w:spacing w:line="360" w:lineRule="auto"/>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(2)垃圾桶及时倾倒，桶外清洁干净，无垃圾，无积垢。</w:t>
      </w:r>
    </w:p>
    <w:p>
      <w:pPr>
        <w:pageBreakBefore w:val="0"/>
        <w:widowControl w:val="0"/>
        <w:kinsoku/>
        <w:wordWrap/>
        <w:overflowPunct/>
        <w:topLinePunct w:val="0"/>
        <w:autoSpaceDE/>
        <w:autoSpaceDN/>
        <w:bidi w:val="0"/>
        <w:adjustRightInd/>
        <w:spacing w:line="360" w:lineRule="auto"/>
        <w:ind w:firstLine="422"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1.7</w:t>
      </w:r>
      <w:r>
        <w:rPr>
          <w:rFonts w:hint="eastAsia" w:ascii="宋体" w:hAnsi="宋体" w:eastAsia="宋体" w:cs="宋体"/>
          <w:color w:val="auto"/>
          <w:sz w:val="21"/>
          <w:szCs w:val="21"/>
          <w:highlight w:val="none"/>
        </w:rPr>
        <w:t>开水间服务标准</w:t>
      </w:r>
    </w:p>
    <w:p>
      <w:pPr>
        <w:pageBreakBefore w:val="0"/>
        <w:widowControl w:val="0"/>
        <w:kinsoku/>
        <w:wordWrap/>
        <w:overflowPunct/>
        <w:topLinePunct w:val="0"/>
        <w:autoSpaceDE/>
        <w:autoSpaceDN/>
        <w:bidi w:val="0"/>
        <w:adjustRightInd/>
        <w:spacing w:line="360" w:lineRule="auto"/>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(1)地面、门窗干净，无积水，无灰尘，无污垢，无杂物；</w:t>
      </w:r>
    </w:p>
    <w:p>
      <w:pPr>
        <w:pageBreakBefore w:val="0"/>
        <w:widowControl w:val="0"/>
        <w:kinsoku/>
        <w:wordWrap/>
        <w:overflowPunct/>
        <w:topLinePunct w:val="0"/>
        <w:autoSpaceDE/>
        <w:autoSpaceDN/>
        <w:bidi w:val="0"/>
        <w:adjustRightInd/>
        <w:spacing w:line="360" w:lineRule="auto"/>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(2)开水炉及消毒柜外表光洁，无积垢。</w:t>
      </w:r>
    </w:p>
    <w:p>
      <w:pPr>
        <w:pageBreakBefore w:val="0"/>
        <w:widowControl w:val="0"/>
        <w:kinsoku/>
        <w:wordWrap/>
        <w:overflowPunct/>
        <w:topLinePunct w:val="0"/>
        <w:autoSpaceDE/>
        <w:autoSpaceDN/>
        <w:bidi w:val="0"/>
        <w:adjustRightInd/>
        <w:spacing w:line="360" w:lineRule="auto"/>
        <w:ind w:firstLine="422"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1.8</w:t>
      </w:r>
      <w:r>
        <w:rPr>
          <w:rFonts w:hint="eastAsia" w:ascii="宋体" w:hAnsi="宋体" w:eastAsia="宋体" w:cs="宋体"/>
          <w:color w:val="auto"/>
          <w:sz w:val="21"/>
          <w:szCs w:val="21"/>
          <w:highlight w:val="none"/>
        </w:rPr>
        <w:t>公共区域服务标准</w:t>
      </w:r>
    </w:p>
    <w:p>
      <w:pPr>
        <w:pageBreakBefore w:val="0"/>
        <w:widowControl w:val="0"/>
        <w:kinsoku/>
        <w:wordWrap/>
        <w:overflowPunct/>
        <w:topLinePunct w:val="0"/>
        <w:autoSpaceDE/>
        <w:autoSpaceDN/>
        <w:bidi w:val="0"/>
        <w:adjustRightInd/>
        <w:spacing w:line="360" w:lineRule="auto"/>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(1)地面经常巡视，随时清除垃圾、杂物、无积水、无垃圾、无死角、无化学烧伤；</w:t>
      </w:r>
    </w:p>
    <w:p>
      <w:pPr>
        <w:pageBreakBefore w:val="0"/>
        <w:widowControl w:val="0"/>
        <w:kinsoku/>
        <w:wordWrap/>
        <w:overflowPunct/>
        <w:topLinePunct w:val="0"/>
        <w:autoSpaceDE/>
        <w:autoSpaceDN/>
        <w:bidi w:val="0"/>
        <w:adjustRightInd/>
        <w:spacing w:line="360" w:lineRule="auto"/>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(2)每日定时用专用工具消毒，保持地面、墙角、墙面干净，无积水，无杂物；</w:t>
      </w:r>
    </w:p>
    <w:p>
      <w:pPr>
        <w:pageBreakBefore w:val="0"/>
        <w:widowControl w:val="0"/>
        <w:kinsoku/>
        <w:wordWrap/>
        <w:overflowPunct/>
        <w:topLinePunct w:val="0"/>
        <w:autoSpaceDE/>
        <w:autoSpaceDN/>
        <w:bidi w:val="0"/>
        <w:adjustRightInd/>
        <w:spacing w:line="360" w:lineRule="auto"/>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(3)物品摆放整洁，镜面光亮，无水迹；</w:t>
      </w:r>
    </w:p>
    <w:p>
      <w:pPr>
        <w:pageBreakBefore w:val="0"/>
        <w:widowControl w:val="0"/>
        <w:kinsoku/>
        <w:wordWrap/>
        <w:overflowPunct/>
        <w:topLinePunct w:val="0"/>
        <w:autoSpaceDE/>
        <w:autoSpaceDN/>
        <w:bidi w:val="0"/>
        <w:adjustRightInd/>
        <w:spacing w:line="360" w:lineRule="auto"/>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(4)水池、浴盆、便池无水锈，无尿碱、无异味、无化学烧伤；</w:t>
      </w:r>
    </w:p>
    <w:p>
      <w:pPr>
        <w:pageBreakBefore w:val="0"/>
        <w:widowControl w:val="0"/>
        <w:kinsoku/>
        <w:wordWrap/>
        <w:overflowPunct/>
        <w:topLinePunct w:val="0"/>
        <w:autoSpaceDE/>
        <w:autoSpaceDN/>
        <w:bidi w:val="0"/>
        <w:adjustRightInd/>
        <w:spacing w:line="360" w:lineRule="auto"/>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(5)水龙头等不锈钢物品光亮整洁，无锈蚀；</w:t>
      </w:r>
    </w:p>
    <w:p>
      <w:pPr>
        <w:pageBreakBefore w:val="0"/>
        <w:widowControl w:val="0"/>
        <w:kinsoku/>
        <w:wordWrap/>
        <w:overflowPunct/>
        <w:topLinePunct w:val="0"/>
        <w:autoSpaceDE/>
        <w:autoSpaceDN/>
        <w:bidi w:val="0"/>
        <w:adjustRightInd/>
        <w:spacing w:line="360" w:lineRule="auto"/>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(6)始终保持卫生间空气清新；</w:t>
      </w:r>
    </w:p>
    <w:p>
      <w:pPr>
        <w:pageBreakBefore w:val="0"/>
        <w:widowControl w:val="0"/>
        <w:kinsoku/>
        <w:wordWrap/>
        <w:overflowPunct/>
        <w:topLinePunct w:val="0"/>
        <w:autoSpaceDE/>
        <w:autoSpaceDN/>
        <w:bidi w:val="0"/>
        <w:adjustRightInd/>
        <w:spacing w:line="360" w:lineRule="auto"/>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(7)便器、水箱等硬件设施发生故障及时报告采购人派人维修。</w:t>
      </w:r>
    </w:p>
    <w:p>
      <w:pPr>
        <w:pageBreakBefore w:val="0"/>
        <w:widowControl w:val="0"/>
        <w:kinsoku/>
        <w:wordWrap/>
        <w:overflowPunct/>
        <w:topLinePunct w:val="0"/>
        <w:autoSpaceDE/>
        <w:autoSpaceDN/>
        <w:bidi w:val="0"/>
        <w:adjustRightInd/>
        <w:spacing w:line="360" w:lineRule="auto"/>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(8)玻璃定期擦拭，保持明亮无灰尘。</w:t>
      </w:r>
    </w:p>
    <w:p>
      <w:pPr>
        <w:pageBreakBefore w:val="0"/>
        <w:widowControl w:val="0"/>
        <w:kinsoku/>
        <w:wordWrap/>
        <w:overflowPunct/>
        <w:topLinePunct w:val="0"/>
        <w:autoSpaceDE/>
        <w:autoSpaceDN/>
        <w:bidi w:val="0"/>
        <w:adjustRightInd/>
        <w:spacing w:line="360" w:lineRule="auto"/>
        <w:ind w:firstLine="422"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1.9</w:t>
      </w:r>
      <w:r>
        <w:rPr>
          <w:rFonts w:hint="eastAsia" w:ascii="宋体" w:hAnsi="宋体" w:eastAsia="宋体" w:cs="宋体"/>
          <w:color w:val="auto"/>
          <w:sz w:val="21"/>
          <w:szCs w:val="21"/>
          <w:highlight w:val="none"/>
        </w:rPr>
        <w:t>阳台、天井服务标准</w:t>
      </w:r>
    </w:p>
    <w:p>
      <w:pPr>
        <w:pageBreakBefore w:val="0"/>
        <w:widowControl w:val="0"/>
        <w:kinsoku/>
        <w:wordWrap/>
        <w:overflowPunct/>
        <w:topLinePunct w:val="0"/>
        <w:autoSpaceDE/>
        <w:autoSpaceDN/>
        <w:bidi w:val="0"/>
        <w:adjustRightInd/>
        <w:spacing w:line="360" w:lineRule="auto"/>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随时保持干净、整洁、无污垢、无杂物、无烟头，每日清扫。</w:t>
      </w:r>
    </w:p>
    <w:p>
      <w:pPr>
        <w:pageBreakBefore w:val="0"/>
        <w:widowControl w:val="0"/>
        <w:kinsoku/>
        <w:wordWrap/>
        <w:overflowPunct/>
        <w:topLinePunct w:val="0"/>
        <w:autoSpaceDE/>
        <w:autoSpaceDN/>
        <w:bidi w:val="0"/>
        <w:adjustRightInd/>
        <w:spacing w:line="360" w:lineRule="auto"/>
        <w:ind w:firstLine="422" w:firstLineChars="200"/>
        <w:jc w:val="both"/>
        <w:textAlignment w:val="auto"/>
        <w:outlineLvl w:val="9"/>
        <w:rPr>
          <w:rFonts w:hint="eastAsia" w:ascii="宋体" w:hAnsi="宋体" w:eastAsia="宋体" w:cs="宋体"/>
          <w:color w:val="auto"/>
          <w:kern w:val="0"/>
          <w:sz w:val="21"/>
          <w:szCs w:val="21"/>
          <w:highlight w:val="none"/>
        </w:rPr>
      </w:pPr>
      <w:r>
        <w:rPr>
          <w:rFonts w:hint="eastAsia" w:ascii="宋体" w:hAnsi="宋体" w:eastAsia="宋体" w:cs="宋体"/>
          <w:b/>
          <w:bCs/>
          <w:color w:val="auto"/>
          <w:sz w:val="21"/>
          <w:szCs w:val="21"/>
          <w:highlight w:val="none"/>
          <w:lang w:val="en-US" w:eastAsia="zh-CN"/>
        </w:rPr>
        <w:t>1.10</w:t>
      </w:r>
      <w:r>
        <w:rPr>
          <w:rFonts w:hint="eastAsia" w:ascii="宋体" w:hAnsi="宋体" w:eastAsia="宋体" w:cs="宋体"/>
          <w:color w:val="auto"/>
          <w:kern w:val="0"/>
          <w:sz w:val="21"/>
          <w:szCs w:val="21"/>
          <w:highlight w:val="none"/>
        </w:rPr>
        <w:t>外围环境服务标准</w:t>
      </w:r>
    </w:p>
    <w:p>
      <w:pPr>
        <w:pageBreakBefore w:val="0"/>
        <w:widowControl w:val="0"/>
        <w:kinsoku/>
        <w:wordWrap/>
        <w:overflowPunct/>
        <w:topLinePunct w:val="0"/>
        <w:autoSpaceDE/>
        <w:autoSpaceDN/>
        <w:bidi w:val="0"/>
        <w:adjustRightInd/>
        <w:spacing w:line="360" w:lineRule="auto"/>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(1)路面：目视干净，无烟头，无落叶，无痰迹，无积水，无堆积杂物，无大块石头等杂物。</w:t>
      </w:r>
    </w:p>
    <w:p>
      <w:pPr>
        <w:pageBreakBefore w:val="0"/>
        <w:widowControl w:val="0"/>
        <w:kinsoku/>
        <w:wordWrap/>
        <w:overflowPunct/>
        <w:topLinePunct w:val="0"/>
        <w:autoSpaceDE/>
        <w:autoSpaceDN/>
        <w:bidi w:val="0"/>
        <w:adjustRightInd/>
        <w:spacing w:line="360" w:lineRule="auto"/>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(2)果皮箱、垃圾桶：无异味，无蚊蝇乱飞，周边无污水，无散落垃圾。</w:t>
      </w:r>
    </w:p>
    <w:p>
      <w:pPr>
        <w:pageBreakBefore w:val="0"/>
        <w:widowControl w:val="0"/>
        <w:kinsoku/>
        <w:wordWrap/>
        <w:overflowPunct/>
        <w:topLinePunct w:val="0"/>
        <w:autoSpaceDE/>
        <w:autoSpaceDN/>
        <w:bidi w:val="0"/>
        <w:adjustRightInd/>
        <w:spacing w:line="360" w:lineRule="auto"/>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(3)绿化地：花丛内无瓜果皮壳、枯叶、饮料盒、纸屑、碎石，动物粪便等杂物。</w:t>
      </w:r>
    </w:p>
    <w:p>
      <w:pPr>
        <w:pageBreakBefore w:val="0"/>
        <w:widowControl w:val="0"/>
        <w:kinsoku/>
        <w:wordWrap/>
        <w:overflowPunct/>
        <w:topLinePunct w:val="0"/>
        <w:autoSpaceDE/>
        <w:autoSpaceDN/>
        <w:bidi w:val="0"/>
        <w:adjustRightInd/>
        <w:spacing w:line="360" w:lineRule="auto"/>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(4)灯杆：无张贴，无灰尘，无蜘蛛网。</w:t>
      </w:r>
    </w:p>
    <w:p>
      <w:pPr>
        <w:pageBreakBefore w:val="0"/>
        <w:widowControl w:val="0"/>
        <w:kinsoku/>
        <w:wordWrap/>
        <w:overflowPunct/>
        <w:topLinePunct w:val="0"/>
        <w:autoSpaceDE/>
        <w:autoSpaceDN/>
        <w:bidi w:val="0"/>
        <w:adjustRightInd/>
        <w:spacing w:line="360" w:lineRule="auto"/>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(5)天台（花园）：无堆积杂物，无石块，无落叶，无纸屑，无烟头，等杂物。</w:t>
      </w:r>
    </w:p>
    <w:p>
      <w:pPr>
        <w:pageBreakBefore w:val="0"/>
        <w:widowControl w:val="0"/>
        <w:kinsoku/>
        <w:wordWrap/>
        <w:overflowPunct/>
        <w:topLinePunct w:val="0"/>
        <w:autoSpaceDE/>
        <w:autoSpaceDN/>
        <w:bidi w:val="0"/>
        <w:adjustRightInd/>
        <w:spacing w:line="360" w:lineRule="auto"/>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(6)楼顶天台和地下停车场管道、设施：表面干净，无污迹，无蜘蛛网，烟感器，出风口无灰尘，无污迹，无蜘蛛网</w:t>
      </w:r>
    </w:p>
    <w:p>
      <w:pPr>
        <w:pageBreakBefore w:val="0"/>
        <w:widowControl w:val="0"/>
        <w:kinsoku/>
        <w:wordWrap/>
        <w:overflowPunct/>
        <w:topLinePunct w:val="0"/>
        <w:autoSpaceDE/>
        <w:autoSpaceDN/>
        <w:bidi w:val="0"/>
        <w:adjustRightInd/>
        <w:spacing w:line="360" w:lineRule="auto"/>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(7)外墙玻璃：干净明亮，无污渍，无胶点，无漆点，无手印，水渍。</w:t>
      </w:r>
    </w:p>
    <w:p>
      <w:pPr>
        <w:pageBreakBefore w:val="0"/>
        <w:widowControl w:val="0"/>
        <w:kinsoku/>
        <w:wordWrap/>
        <w:overflowPunct/>
        <w:topLinePunct w:val="0"/>
        <w:autoSpaceDE/>
        <w:autoSpaceDN/>
        <w:bidi w:val="0"/>
        <w:adjustRightInd/>
        <w:spacing w:line="360" w:lineRule="auto"/>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(8)休闲椅：表面无灰尘，无张贴，无污渍，无杂物，无蜘蛛网。</w:t>
      </w:r>
    </w:p>
    <w:p>
      <w:pPr>
        <w:pageBreakBefore w:val="0"/>
        <w:widowControl w:val="0"/>
        <w:kinsoku/>
        <w:wordWrap/>
        <w:overflowPunct/>
        <w:topLinePunct w:val="0"/>
        <w:autoSpaceDE/>
        <w:autoSpaceDN/>
        <w:bidi w:val="0"/>
        <w:adjustRightInd/>
        <w:spacing w:line="360" w:lineRule="auto"/>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(9)排水沟：无杂物，无杂草，无纸屑烟头，积水、异味。</w:t>
      </w:r>
    </w:p>
    <w:p>
      <w:pPr>
        <w:pStyle w:val="1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(10)公共走廊：无杂物</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无烟头</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无纸屑</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无</w:t>
      </w:r>
      <w:r>
        <w:rPr>
          <w:rFonts w:hint="eastAsia" w:ascii="宋体" w:hAnsi="宋体" w:eastAsia="宋体" w:cs="宋体"/>
          <w:color w:val="auto"/>
          <w:sz w:val="21"/>
          <w:szCs w:val="21"/>
          <w:highlight w:val="none"/>
        </w:rPr>
        <w:t>泥土</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无胶渍</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无手印</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无张贴</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无乱画现象</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无污渍</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无</w:t>
      </w:r>
      <w:r>
        <w:rPr>
          <w:rFonts w:hint="eastAsia" w:ascii="宋体" w:hAnsi="宋体" w:eastAsia="宋体" w:cs="宋体"/>
          <w:color w:val="auto"/>
          <w:sz w:val="21"/>
          <w:szCs w:val="21"/>
          <w:highlight w:val="none"/>
        </w:rPr>
        <w:t>水渍。</w:t>
      </w:r>
    </w:p>
    <w:p>
      <w:pPr>
        <w:pageBreakBefore w:val="0"/>
        <w:widowControl w:val="0"/>
        <w:kinsoku/>
        <w:wordWrap/>
        <w:overflowPunct/>
        <w:topLinePunct w:val="0"/>
        <w:autoSpaceDE/>
        <w:autoSpaceDN/>
        <w:bidi w:val="0"/>
        <w:adjustRightInd/>
        <w:spacing w:line="360" w:lineRule="auto"/>
        <w:ind w:firstLine="420" w:firstLineChars="20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(11)指示牌、宣传牌类：表面干净光亮，无灰尘，无张贴，无蜘蛛网。</w:t>
      </w:r>
    </w:p>
    <w:p>
      <w:pPr>
        <w:keepNext/>
        <w:keepLines/>
        <w:pageBreakBefore w:val="0"/>
        <w:widowControl w:val="0"/>
        <w:kinsoku/>
        <w:wordWrap/>
        <w:overflowPunct/>
        <w:topLinePunct w:val="0"/>
        <w:autoSpaceDE/>
        <w:autoSpaceDN/>
        <w:bidi w:val="0"/>
        <w:adjustRightInd/>
        <w:snapToGrid/>
        <w:spacing w:before="157" w:beforeLines="50" w:after="157" w:afterLines="50" w:line="360" w:lineRule="auto"/>
        <w:ind w:firstLine="422" w:firstLineChars="200"/>
        <w:jc w:val="both"/>
        <w:textAlignment w:val="auto"/>
        <w:outlineLvl w:val="9"/>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2、安保服务质量标准</w:t>
      </w:r>
    </w:p>
    <w:p>
      <w:pPr>
        <w:pageBreakBefore w:val="0"/>
        <w:widowControl w:val="0"/>
        <w:kinsoku/>
        <w:wordWrap/>
        <w:overflowPunct/>
        <w:topLinePunct w:val="0"/>
        <w:autoSpaceDE/>
        <w:autoSpaceDN/>
        <w:bidi w:val="0"/>
        <w:adjustRightInd/>
        <w:spacing w:line="360" w:lineRule="auto"/>
        <w:ind w:firstLine="420" w:firstLineChars="200"/>
        <w:jc w:val="both"/>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（1）严格落实日常防盗防控措施，实行24小时不间断巡逻，重点加强门诊、病房、药房、收费处、停车场等区域巡查，巡逻覆盖率100%，有效防范盗窃、财物丢失等治安事件，治安事故发生率为0。</w:t>
      </w:r>
    </w:p>
    <w:p>
      <w:pPr>
        <w:pageBreakBefore w:val="0"/>
        <w:widowControl w:val="0"/>
        <w:kinsoku/>
        <w:wordWrap/>
        <w:overflowPunct/>
        <w:topLinePunct w:val="0"/>
        <w:autoSpaceDE/>
        <w:autoSpaceDN/>
        <w:bidi w:val="0"/>
        <w:adjustRightInd/>
        <w:spacing w:line="360" w:lineRule="auto"/>
        <w:ind w:firstLine="420" w:firstLineChars="200"/>
        <w:jc w:val="both"/>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（2）医院重大活动、会议、义诊期间，安排专人全程安保值守，做好现场秩序维护、人员疏导工作，确保重大活动全程顺利开展，无安全干扰事件。</w:t>
      </w:r>
    </w:p>
    <w:p>
      <w:pPr>
        <w:pageBreakBefore w:val="0"/>
        <w:widowControl w:val="0"/>
        <w:kinsoku/>
        <w:wordWrap/>
        <w:overflowPunct/>
        <w:topLinePunct w:val="0"/>
        <w:autoSpaceDE/>
        <w:autoSpaceDN/>
        <w:bidi w:val="0"/>
        <w:adjustRightInd/>
        <w:spacing w:line="360" w:lineRule="auto"/>
        <w:ind w:firstLine="420" w:firstLineChars="200"/>
        <w:jc w:val="both"/>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（3）发生突发事件时，安保人员3分钟内到达现场，采取管控、疏散、报警等应急措施，配合医院、公安、消防等部门开展处置工作，降低事件影响，突发事件处置及时率100%。</w:t>
      </w:r>
    </w:p>
    <w:p>
      <w:pPr>
        <w:pageBreakBefore w:val="0"/>
        <w:widowControl w:val="0"/>
        <w:kinsoku/>
        <w:wordWrap/>
        <w:overflowPunct/>
        <w:topLinePunct w:val="0"/>
        <w:autoSpaceDE/>
        <w:autoSpaceDN/>
        <w:bidi w:val="0"/>
        <w:adjustRightInd/>
        <w:spacing w:line="360" w:lineRule="auto"/>
        <w:ind w:firstLine="420" w:firstLineChars="200"/>
        <w:jc w:val="both"/>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（4）定期参与医院应急演练，每半年至少参与1次，持续提升应急处置实战能力。</w:t>
      </w:r>
    </w:p>
    <w:p>
      <w:pPr>
        <w:keepNext/>
        <w:keepLines/>
        <w:pageBreakBefore w:val="0"/>
        <w:widowControl w:val="0"/>
        <w:kinsoku/>
        <w:wordWrap/>
        <w:overflowPunct/>
        <w:topLinePunct w:val="0"/>
        <w:autoSpaceDE/>
        <w:autoSpaceDN/>
        <w:bidi w:val="0"/>
        <w:adjustRightInd/>
        <w:snapToGrid/>
        <w:spacing w:before="157" w:beforeLines="50" w:after="157" w:afterLines="50" w:line="360" w:lineRule="auto"/>
        <w:ind w:firstLine="422" w:firstLineChars="200"/>
        <w:jc w:val="both"/>
        <w:textAlignment w:val="auto"/>
        <w:outlineLvl w:val="9"/>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3、停车场管理服务质量标准</w:t>
      </w:r>
    </w:p>
    <w:p>
      <w:pPr>
        <w:pageBreakBefore w:val="0"/>
        <w:widowControl w:val="0"/>
        <w:kinsoku/>
        <w:wordWrap/>
        <w:overflowPunct/>
        <w:topLinePunct w:val="0"/>
        <w:autoSpaceDE/>
        <w:autoSpaceDN/>
        <w:bidi w:val="0"/>
        <w:adjustRightInd/>
        <w:spacing w:line="360" w:lineRule="auto"/>
        <w:ind w:firstLine="420" w:firstLineChars="200"/>
        <w:jc w:val="both"/>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（1）全面负责医院院内交通秩序维护，合理疏导进出车辆，引导车辆按划定区域规范停放，杜绝乱停乱放、占用消防通道、急救通道现象，车辆停放整齐率≥98%。</w:t>
      </w:r>
    </w:p>
    <w:p>
      <w:pPr>
        <w:pageBreakBefore w:val="0"/>
        <w:widowControl w:val="0"/>
        <w:kinsoku/>
        <w:wordWrap/>
        <w:overflowPunct/>
        <w:topLinePunct w:val="0"/>
        <w:autoSpaceDE/>
        <w:autoSpaceDN/>
        <w:bidi w:val="0"/>
        <w:adjustRightInd/>
        <w:spacing w:line="360" w:lineRule="auto"/>
        <w:ind w:firstLine="420" w:firstLineChars="200"/>
        <w:jc w:val="both"/>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（2）加强车辆通行管控，及时排查交通隐患，避免车辆剐蹭、碰撞等交通事故，保障院内交通正常，交通事故发生率为0。</w:t>
      </w:r>
    </w:p>
    <w:p>
      <w:pPr>
        <w:pageBreakBefore w:val="0"/>
        <w:widowControl w:val="0"/>
        <w:kinsoku/>
        <w:wordWrap/>
        <w:overflowPunct/>
        <w:topLinePunct w:val="0"/>
        <w:autoSpaceDE/>
        <w:autoSpaceDN/>
        <w:bidi w:val="0"/>
        <w:adjustRightInd/>
        <w:spacing w:line="360" w:lineRule="auto"/>
        <w:ind w:firstLine="420" w:firstLineChars="200"/>
        <w:jc w:val="both"/>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（3）实时维护车道、出入口及周边区域交通秩序，安排专人疏导车流，避免拥堵、剐蹭事故，确保车道内出入口车辆通行，无长时间排队滞留情况，交通拥堵处置响应时间≤5分钟。</w:t>
      </w:r>
    </w:p>
    <w:p>
      <w:pPr>
        <w:pageBreakBefore w:val="0"/>
        <w:widowControl w:val="0"/>
        <w:kinsoku/>
        <w:wordWrap/>
        <w:overflowPunct/>
        <w:topLinePunct w:val="0"/>
        <w:autoSpaceDE/>
        <w:autoSpaceDN/>
        <w:bidi w:val="0"/>
        <w:adjustRightInd/>
        <w:spacing w:line="360" w:lineRule="auto"/>
        <w:ind w:firstLine="420" w:firstLineChars="200"/>
        <w:jc w:val="both"/>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（4）优先保障医院急救车辆、公务车辆、就诊患者车辆通行，设置专用应急通道及就诊车辆优先区域，通道无滞留率100%，杜绝占用应急通道行为。</w:t>
      </w:r>
    </w:p>
    <w:p>
      <w:pPr>
        <w:keepNext/>
        <w:keepLines/>
        <w:pageBreakBefore w:val="0"/>
        <w:widowControl w:val="0"/>
        <w:kinsoku/>
        <w:wordWrap/>
        <w:overflowPunct/>
        <w:topLinePunct w:val="0"/>
        <w:autoSpaceDE/>
        <w:autoSpaceDN/>
        <w:bidi w:val="0"/>
        <w:adjustRightInd/>
        <w:spacing w:line="360" w:lineRule="auto"/>
        <w:ind w:firstLine="422" w:firstLineChars="200"/>
        <w:jc w:val="both"/>
        <w:textAlignment w:val="auto"/>
        <w:outlineLvl w:val="9"/>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4、消防服务及管理质量标准</w:t>
      </w:r>
    </w:p>
    <w:p>
      <w:pPr>
        <w:pStyle w:val="33"/>
        <w:pageBreakBefore w:val="0"/>
        <w:widowControl w:val="0"/>
        <w:kinsoku/>
        <w:wordWrap/>
        <w:overflowPunct/>
        <w:topLinePunct w:val="0"/>
        <w:autoSpaceDE/>
        <w:autoSpaceDN/>
        <w:bidi w:val="0"/>
        <w:adjustRightInd/>
        <w:spacing w:line="360" w:lineRule="auto"/>
        <w:ind w:firstLine="420" w:firstLineChars="200"/>
        <w:jc w:val="both"/>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（1）接到火灾报警信号后，值班人员应在1分钟内完成报警位置确认，立即通知就近巡查人员或安保人员在3分钟内到场核实。</w:t>
      </w:r>
    </w:p>
    <w:p>
      <w:pPr>
        <w:pStyle w:val="33"/>
        <w:pageBreakBefore w:val="0"/>
        <w:widowControl w:val="0"/>
        <w:kinsoku/>
        <w:wordWrap/>
        <w:overflowPunct/>
        <w:topLinePunct w:val="0"/>
        <w:autoSpaceDE/>
        <w:autoSpaceDN/>
        <w:bidi w:val="0"/>
        <w:adjustRightInd/>
        <w:spacing w:line="360" w:lineRule="auto"/>
        <w:ind w:firstLine="420" w:firstLineChars="200"/>
        <w:jc w:val="both"/>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（2）接到故障报警信号后，及时记录故障点位、故障类型及发生时间，在30分钟内通知维保人员处理，故障排除前应采取有效替代防范措施。</w:t>
      </w:r>
    </w:p>
    <w:p>
      <w:pPr>
        <w:pStyle w:val="33"/>
        <w:pageBreakBefore w:val="0"/>
        <w:widowControl w:val="0"/>
        <w:kinsoku/>
        <w:wordWrap/>
        <w:overflowPunct/>
        <w:topLinePunct w:val="0"/>
        <w:autoSpaceDE/>
        <w:autoSpaceDN/>
        <w:bidi w:val="0"/>
        <w:adjustRightInd/>
        <w:spacing w:line="360" w:lineRule="auto"/>
        <w:ind w:firstLine="420" w:firstLineChars="200"/>
        <w:jc w:val="both"/>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（3）按照设备说明书及年度维保计划，定期对消防控制设备及末端设备进行测试，每月至少完成一次主备电切换测试，每季度至少完成一次系统联动测试。</w:t>
      </w:r>
    </w:p>
    <w:p>
      <w:pPr>
        <w:pStyle w:val="33"/>
        <w:pageBreakBefore w:val="0"/>
        <w:widowControl w:val="0"/>
        <w:kinsoku/>
        <w:wordWrap/>
        <w:overflowPunct/>
        <w:topLinePunct w:val="0"/>
        <w:autoSpaceDE/>
        <w:autoSpaceDN/>
        <w:bidi w:val="0"/>
        <w:adjustRightInd/>
        <w:spacing w:line="360" w:lineRule="auto"/>
        <w:ind w:firstLine="420" w:firstLineChars="200"/>
        <w:jc w:val="both"/>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（4）消防主机、图形显示装置、视频监控等设备保持24小时正常运行，不得随意关闭或切换至手动状态。</w:t>
      </w:r>
    </w:p>
    <w:p>
      <w:pPr>
        <w:pStyle w:val="33"/>
        <w:pageBreakBefore w:val="0"/>
        <w:widowControl w:val="0"/>
        <w:kinsoku/>
        <w:wordWrap/>
        <w:overflowPunct/>
        <w:topLinePunct w:val="0"/>
        <w:autoSpaceDE/>
        <w:autoSpaceDN/>
        <w:bidi w:val="0"/>
        <w:adjustRightInd/>
        <w:spacing w:line="360" w:lineRule="auto"/>
        <w:ind w:firstLine="420" w:firstLineChars="200"/>
        <w:jc w:val="both"/>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（5）发现设备故障或异常，立即填写报修单报修，并跟踪维修进度直至恢复正常，维修记录归档备查。</w:t>
      </w:r>
    </w:p>
    <w:p>
      <w:pPr>
        <w:pStyle w:val="33"/>
        <w:pageBreakBefore w:val="0"/>
        <w:widowControl w:val="0"/>
        <w:kinsoku/>
        <w:wordWrap/>
        <w:overflowPunct/>
        <w:topLinePunct w:val="0"/>
        <w:autoSpaceDE/>
        <w:autoSpaceDN/>
        <w:bidi w:val="0"/>
        <w:adjustRightInd/>
        <w:spacing w:line="360" w:lineRule="auto"/>
        <w:ind w:firstLine="420" w:firstLineChars="200"/>
        <w:jc w:val="both"/>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（6）全程参与医院组织的消防安全演练，主动承担消防控制室应急操作、现场引导等工作，配合完成演练流程，演练参与率100%。</w:t>
      </w:r>
    </w:p>
    <w:p>
      <w:pPr>
        <w:pStyle w:val="33"/>
        <w:pageBreakBefore w:val="0"/>
        <w:widowControl w:val="0"/>
        <w:kinsoku/>
        <w:wordWrap/>
        <w:overflowPunct/>
        <w:topLinePunct w:val="0"/>
        <w:autoSpaceDE/>
        <w:autoSpaceDN/>
        <w:bidi w:val="0"/>
        <w:adjustRightInd/>
        <w:spacing w:line="360" w:lineRule="auto"/>
        <w:ind w:firstLine="420" w:firstLineChars="200"/>
        <w:jc w:val="both"/>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（7）定期参加消防安全培训，每季度至少参与1次专项培训，持续提升消防安全意识和应急处置能力，培训考核合格率100%。</w:t>
      </w:r>
    </w:p>
    <w:p>
      <w:pPr>
        <w:keepNext/>
        <w:keepLines/>
        <w:pageBreakBefore w:val="0"/>
        <w:widowControl w:val="0"/>
        <w:kinsoku/>
        <w:wordWrap/>
        <w:overflowPunct/>
        <w:topLinePunct w:val="0"/>
        <w:autoSpaceDE/>
        <w:autoSpaceDN/>
        <w:bidi w:val="0"/>
        <w:adjustRightInd/>
        <w:snapToGrid/>
        <w:spacing w:before="157" w:beforeLines="50" w:after="157" w:afterLines="50" w:line="360" w:lineRule="auto"/>
        <w:ind w:firstLine="422" w:firstLineChars="200"/>
        <w:jc w:val="both"/>
        <w:textAlignment w:val="auto"/>
        <w:outlineLvl w:val="9"/>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5、洗衣房服务质量标准</w:t>
      </w:r>
    </w:p>
    <w:p>
      <w:pPr>
        <w:pStyle w:val="33"/>
        <w:pageBreakBefore w:val="0"/>
        <w:widowControl w:val="0"/>
        <w:kinsoku/>
        <w:wordWrap/>
        <w:overflowPunct/>
        <w:topLinePunct w:val="0"/>
        <w:autoSpaceDE/>
        <w:autoSpaceDN/>
        <w:bidi w:val="0"/>
        <w:adjustRightInd/>
        <w:spacing w:line="360" w:lineRule="auto"/>
        <w:ind w:firstLine="420" w:firstLineChars="20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（1）严格执行织物分类清洗制度，按医护人员织物、病人织物、感染科特殊织物三类分开清洗，分类准确率100%，无混洗情况。</w:t>
      </w:r>
    </w:p>
    <w:p>
      <w:pPr>
        <w:pStyle w:val="33"/>
        <w:pageBreakBefore w:val="0"/>
        <w:widowControl w:val="0"/>
        <w:kinsoku/>
        <w:wordWrap/>
        <w:overflowPunct/>
        <w:topLinePunct w:val="0"/>
        <w:autoSpaceDE/>
        <w:autoSpaceDN/>
        <w:bidi w:val="0"/>
        <w:adjustRightInd/>
        <w:spacing w:line="360" w:lineRule="auto"/>
        <w:ind w:firstLine="420" w:firstLineChars="20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（2）清洗流程规范，病人及医护织物按标准流程分拣、清洗；感染科等特殊织物单独封装、单独上机清洗，专用清洗设备使用率100%。</w:t>
      </w:r>
    </w:p>
    <w:p>
      <w:pPr>
        <w:pStyle w:val="33"/>
        <w:pageBreakBefore w:val="0"/>
        <w:widowControl w:val="0"/>
        <w:kinsoku/>
        <w:wordWrap/>
        <w:overflowPunct/>
        <w:topLinePunct w:val="0"/>
        <w:autoSpaceDE/>
        <w:autoSpaceDN/>
        <w:bidi w:val="0"/>
        <w:adjustRightInd/>
        <w:spacing w:line="360" w:lineRule="auto"/>
        <w:ind w:firstLine="420" w:firstLineChars="20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（3）洗净后的织物无污渍、无血渍、无药渍、无异味，污渍清除率100%，异味去除率100%。</w:t>
      </w:r>
    </w:p>
    <w:p>
      <w:pPr>
        <w:pStyle w:val="33"/>
        <w:pageBreakBefore w:val="0"/>
        <w:widowControl w:val="0"/>
        <w:kinsoku/>
        <w:wordWrap/>
        <w:overflowPunct/>
        <w:topLinePunct w:val="0"/>
        <w:autoSpaceDE/>
        <w:autoSpaceDN/>
        <w:bidi w:val="0"/>
        <w:adjustRightInd/>
        <w:spacing w:line="360" w:lineRule="auto"/>
        <w:ind w:firstLine="420" w:firstLineChars="20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（4）织物清洗后手感柔软，无破损、无变形、无掉色，完好率≥99%，无因清洗操作不当导致的织物损坏情况。</w:t>
      </w:r>
    </w:p>
    <w:p>
      <w:pPr>
        <w:pStyle w:val="33"/>
        <w:pageBreakBefore w:val="0"/>
        <w:widowControl w:val="0"/>
        <w:kinsoku/>
        <w:wordWrap/>
        <w:overflowPunct/>
        <w:topLinePunct w:val="0"/>
        <w:autoSpaceDE/>
        <w:autoSpaceDN/>
        <w:bidi w:val="0"/>
        <w:adjustRightInd/>
        <w:spacing w:line="360" w:lineRule="auto"/>
        <w:ind w:firstLine="420" w:firstLineChars="20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（5）洗净消毒后的织物按科室、病房、使用人群整齐折叠、分类存放，分类存放准确率100%，存放区域洁净干燥，无二次污染。</w:t>
      </w:r>
    </w:p>
    <w:p>
      <w:pPr>
        <w:pStyle w:val="33"/>
        <w:pageBreakBefore w:val="0"/>
        <w:widowControl w:val="0"/>
        <w:kinsoku/>
        <w:wordWrap/>
        <w:overflowPunct/>
        <w:topLinePunct w:val="0"/>
        <w:autoSpaceDE/>
        <w:autoSpaceDN/>
        <w:bidi w:val="0"/>
        <w:adjustRightInd/>
        <w:spacing w:line="360" w:lineRule="auto"/>
        <w:ind w:firstLine="420" w:firstLineChars="20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（6）执行及时配送制度，织物清洗完成后24小时内送达对应科室/病房，急件织物4小时内送达，配送及时率≥99%。</w:t>
      </w:r>
    </w:p>
    <w:p>
      <w:pPr>
        <w:keepNext/>
        <w:keepLines/>
        <w:pageBreakBefore w:val="0"/>
        <w:widowControl w:val="0"/>
        <w:kinsoku/>
        <w:wordWrap/>
        <w:overflowPunct/>
        <w:topLinePunct w:val="0"/>
        <w:autoSpaceDE/>
        <w:autoSpaceDN/>
        <w:bidi w:val="0"/>
        <w:adjustRightInd/>
        <w:snapToGrid/>
        <w:spacing w:line="360" w:lineRule="auto"/>
        <w:ind w:firstLine="422" w:firstLineChars="200"/>
        <w:jc w:val="both"/>
        <w:textAlignment w:val="auto"/>
        <w:outlineLvl w:val="2"/>
        <w:rPr>
          <w:rFonts w:hint="eastAsia" w:ascii="宋体" w:hAnsi="宋体" w:eastAsia="宋体" w:cs="宋体"/>
          <w:b/>
          <w:bCs/>
          <w:color w:val="auto"/>
          <w:kern w:val="0"/>
          <w:sz w:val="21"/>
          <w:szCs w:val="21"/>
          <w:highlight w:val="none"/>
          <w:lang w:val="en-US" w:eastAsia="zh-CN" w:bidi="ar-SA"/>
        </w:rPr>
      </w:pPr>
      <w:bookmarkStart w:id="45" w:name="_Toc28101"/>
      <w:bookmarkStart w:id="46" w:name="_Toc19083"/>
      <w:bookmarkStart w:id="47" w:name="_Toc6022"/>
      <w:r>
        <w:rPr>
          <w:rFonts w:hint="eastAsia" w:ascii="宋体" w:hAnsi="宋体" w:eastAsia="宋体" w:cs="宋体"/>
          <w:b/>
          <w:bCs/>
          <w:color w:val="auto"/>
          <w:kern w:val="0"/>
          <w:sz w:val="21"/>
          <w:szCs w:val="21"/>
          <w:highlight w:val="none"/>
          <w:lang w:val="en-US" w:eastAsia="zh-CN" w:bidi="ar-SA"/>
        </w:rPr>
        <w:t>6、生活垃圾、医疗废物垃圾管理标准</w:t>
      </w:r>
      <w:bookmarkEnd w:id="45"/>
      <w:bookmarkEnd w:id="46"/>
      <w:bookmarkEnd w:id="47"/>
    </w:p>
    <w:p>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(1)生活垃圾、医疗废弃垃圾日产日清。</w:t>
      </w:r>
    </w:p>
    <w:p>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(2)根据废物的成分和特性统一进行无害化、规范化处置；并在转移过程中采取防散落、防流失、防渗漏、防残留、防残液滴漏等防止污染环境的措施，确保规范收集。推动垃圾车时，门要关好，安全运送。</w:t>
      </w:r>
    </w:p>
    <w:p>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(4)对需要初级消毒和销毁的医疗固体废物及时进行初级处理，分类包装放置周转箱内。</w:t>
      </w:r>
    </w:p>
    <w:p>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(5)交接有签名，统计无错误，表格材料无遗失。   </w:t>
      </w:r>
    </w:p>
    <w:p>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(6)可回收类医疗废弃物无私自截留、无流失。</w:t>
      </w:r>
    </w:p>
    <w:p>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(7)每日医疗废弃物交接三联单由科室、垃圾处理场</w:t>
      </w:r>
      <w:r>
        <w:rPr>
          <w:rFonts w:hint="eastAsia" w:ascii="宋体" w:hAnsi="宋体" w:eastAsia="宋体" w:cs="宋体"/>
          <w:color w:val="auto"/>
          <w:sz w:val="21"/>
          <w:szCs w:val="21"/>
          <w:highlight w:val="none"/>
          <w:lang w:eastAsia="zh-CN"/>
        </w:rPr>
        <w:t>留存</w:t>
      </w:r>
      <w:r>
        <w:rPr>
          <w:rFonts w:hint="eastAsia" w:ascii="宋体" w:hAnsi="宋体" w:eastAsia="宋体" w:cs="宋体"/>
          <w:color w:val="auto"/>
          <w:sz w:val="21"/>
          <w:szCs w:val="21"/>
          <w:highlight w:val="none"/>
        </w:rPr>
        <w:t>。</w:t>
      </w:r>
    </w:p>
    <w:p>
      <w:pPr>
        <w:spacing w:line="420" w:lineRule="exact"/>
        <w:ind w:firstLine="420"/>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7、防止院内交叉感染管理服务标准</w:t>
      </w:r>
    </w:p>
    <w:tbl>
      <w:tblPr>
        <w:tblStyle w:val="49"/>
        <w:tblpPr w:leftFromText="180" w:rightFromText="180" w:vertAnchor="text" w:horzAnchor="page" w:tblpX="1455" w:tblpY="475"/>
        <w:tblOverlap w:val="never"/>
        <w:tblW w:w="89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1"/>
        <w:gridCol w:w="1149"/>
        <w:gridCol w:w="2110"/>
        <w:gridCol w:w="49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1" w:type="dxa"/>
            <w:noWrap w:val="0"/>
            <w:vAlign w:val="top"/>
          </w:tcPr>
          <w:p>
            <w:pPr>
              <w:spacing w:line="320" w:lineRule="exact"/>
              <w:ind w:firstLine="0" w:firstLineChars="0"/>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序号</w:t>
            </w:r>
          </w:p>
        </w:tc>
        <w:tc>
          <w:tcPr>
            <w:tcW w:w="1149" w:type="dxa"/>
            <w:noWrap w:val="0"/>
            <w:vAlign w:val="top"/>
          </w:tcPr>
          <w:p>
            <w:pPr>
              <w:spacing w:line="32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部位</w:t>
            </w:r>
          </w:p>
        </w:tc>
        <w:tc>
          <w:tcPr>
            <w:tcW w:w="2110" w:type="dxa"/>
            <w:noWrap w:val="0"/>
            <w:vAlign w:val="top"/>
          </w:tcPr>
          <w:p>
            <w:pPr>
              <w:spacing w:line="32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种类</w:t>
            </w:r>
          </w:p>
        </w:tc>
        <w:tc>
          <w:tcPr>
            <w:tcW w:w="4978" w:type="dxa"/>
            <w:noWrap w:val="0"/>
            <w:vAlign w:val="top"/>
          </w:tcPr>
          <w:p>
            <w:pPr>
              <w:spacing w:line="32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作业方法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1" w:type="dxa"/>
            <w:vMerge w:val="restart"/>
            <w:noWrap w:val="0"/>
            <w:vAlign w:val="top"/>
          </w:tcPr>
          <w:p>
            <w:pPr>
              <w:spacing w:line="320" w:lineRule="exact"/>
              <w:ind w:firstLine="105" w:firstLineChars="5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c>
          <w:tcPr>
            <w:tcW w:w="1149" w:type="dxa"/>
            <w:vMerge w:val="restart"/>
            <w:noWrap w:val="0"/>
            <w:vAlign w:val="center"/>
          </w:tcPr>
          <w:p>
            <w:pPr>
              <w:spacing w:line="320" w:lineRule="exact"/>
              <w:ind w:firstLine="0" w:firstLineChars="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床、桌、操作台、病人用物、室内、外环境保洁</w:t>
            </w:r>
          </w:p>
        </w:tc>
        <w:tc>
          <w:tcPr>
            <w:tcW w:w="2110" w:type="dxa"/>
            <w:noWrap w:val="0"/>
            <w:vAlign w:val="center"/>
          </w:tcPr>
          <w:p>
            <w:pPr>
              <w:spacing w:line="320" w:lineRule="exact"/>
              <w:ind w:firstLine="0" w:firstLineChars="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1）普通病房</w:t>
            </w:r>
          </w:p>
        </w:tc>
        <w:tc>
          <w:tcPr>
            <w:tcW w:w="4978" w:type="dxa"/>
            <w:noWrap w:val="0"/>
            <w:vAlign w:val="center"/>
          </w:tcPr>
          <w:p>
            <w:pPr>
              <w:spacing w:line="320" w:lineRule="exac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每天清水及使用500mg/L含氯消毒剂擦拭消毒至少2次，如遇污染随时消毒，住院患者增多以及传染性疾病流行期适当增加消毒频次。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1" w:type="dxa"/>
            <w:vMerge w:val="continue"/>
            <w:noWrap w:val="0"/>
            <w:vAlign w:val="top"/>
          </w:tcPr>
          <w:p>
            <w:pPr>
              <w:spacing w:line="320" w:lineRule="exact"/>
              <w:ind w:firstLine="105" w:firstLineChars="50"/>
              <w:jc w:val="center"/>
              <w:rPr>
                <w:rFonts w:hint="eastAsia" w:ascii="宋体" w:hAnsi="宋体" w:eastAsia="宋体" w:cs="宋体"/>
                <w:color w:val="auto"/>
                <w:kern w:val="0"/>
                <w:sz w:val="21"/>
                <w:szCs w:val="21"/>
                <w:highlight w:val="none"/>
              </w:rPr>
            </w:pPr>
          </w:p>
        </w:tc>
        <w:tc>
          <w:tcPr>
            <w:tcW w:w="1149" w:type="dxa"/>
            <w:vMerge w:val="continue"/>
            <w:noWrap w:val="0"/>
            <w:vAlign w:val="center"/>
          </w:tcPr>
          <w:p>
            <w:pPr>
              <w:spacing w:line="320" w:lineRule="exact"/>
              <w:rPr>
                <w:rFonts w:hint="eastAsia" w:ascii="宋体" w:hAnsi="宋体" w:eastAsia="宋体" w:cs="宋体"/>
                <w:color w:val="auto"/>
                <w:kern w:val="0"/>
                <w:sz w:val="21"/>
                <w:szCs w:val="21"/>
                <w:highlight w:val="none"/>
              </w:rPr>
            </w:pPr>
          </w:p>
        </w:tc>
        <w:tc>
          <w:tcPr>
            <w:tcW w:w="2110" w:type="dxa"/>
            <w:noWrap w:val="0"/>
            <w:vAlign w:val="center"/>
          </w:tcPr>
          <w:p>
            <w:pPr>
              <w:spacing w:line="320" w:lineRule="exact"/>
              <w:ind w:firstLine="0" w:firstLineChars="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2）特殊区域（手术室、产房、新生儿科、供应室、检验科）</w:t>
            </w:r>
          </w:p>
        </w:tc>
        <w:tc>
          <w:tcPr>
            <w:tcW w:w="4978" w:type="dxa"/>
            <w:noWrap w:val="0"/>
            <w:vAlign w:val="center"/>
          </w:tcPr>
          <w:p>
            <w:pPr>
              <w:spacing w:line="320" w:lineRule="exac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每天使用500mg/L-1000mg/L含氯消毒剂擦拭消毒至少2次，如遇污染随时消毒，住院患者增多以及传染性疾病流行期适当增加消毒频次以及消毒剂浓度。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1" w:type="dxa"/>
            <w:vMerge w:val="continue"/>
            <w:noWrap w:val="0"/>
            <w:vAlign w:val="top"/>
          </w:tcPr>
          <w:p>
            <w:pPr>
              <w:spacing w:line="320" w:lineRule="exact"/>
              <w:ind w:firstLine="105" w:firstLineChars="50"/>
              <w:jc w:val="center"/>
              <w:rPr>
                <w:rFonts w:hint="eastAsia" w:ascii="宋体" w:hAnsi="宋体" w:eastAsia="宋体" w:cs="宋体"/>
                <w:color w:val="auto"/>
                <w:kern w:val="0"/>
                <w:sz w:val="21"/>
                <w:szCs w:val="21"/>
                <w:highlight w:val="none"/>
              </w:rPr>
            </w:pPr>
          </w:p>
        </w:tc>
        <w:tc>
          <w:tcPr>
            <w:tcW w:w="1149" w:type="dxa"/>
            <w:vMerge w:val="continue"/>
            <w:noWrap w:val="0"/>
            <w:vAlign w:val="center"/>
          </w:tcPr>
          <w:p>
            <w:pPr>
              <w:spacing w:line="320" w:lineRule="exact"/>
              <w:rPr>
                <w:rFonts w:hint="eastAsia" w:ascii="宋体" w:hAnsi="宋体" w:eastAsia="宋体" w:cs="宋体"/>
                <w:color w:val="auto"/>
                <w:kern w:val="0"/>
                <w:sz w:val="21"/>
                <w:szCs w:val="21"/>
                <w:highlight w:val="none"/>
              </w:rPr>
            </w:pPr>
          </w:p>
        </w:tc>
        <w:tc>
          <w:tcPr>
            <w:tcW w:w="2110" w:type="dxa"/>
            <w:noWrap w:val="0"/>
            <w:vAlign w:val="center"/>
          </w:tcPr>
          <w:p>
            <w:pPr>
              <w:spacing w:line="320" w:lineRule="exact"/>
              <w:ind w:firstLine="0" w:firstLineChars="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3）被血液、体液污染或传染性疾病患者</w:t>
            </w:r>
          </w:p>
        </w:tc>
        <w:tc>
          <w:tcPr>
            <w:tcW w:w="4978" w:type="dxa"/>
            <w:noWrap w:val="0"/>
            <w:vAlign w:val="center"/>
          </w:tcPr>
          <w:p>
            <w:pPr>
              <w:spacing w:line="320" w:lineRule="exac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使用2000mg/L含氯消毒剂擦拭消毒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1" w:type="dxa"/>
            <w:vMerge w:val="continue"/>
            <w:noWrap w:val="0"/>
            <w:vAlign w:val="top"/>
          </w:tcPr>
          <w:p>
            <w:pPr>
              <w:spacing w:line="320" w:lineRule="exact"/>
              <w:ind w:firstLine="105" w:firstLineChars="50"/>
              <w:jc w:val="center"/>
              <w:rPr>
                <w:rFonts w:hint="eastAsia" w:ascii="宋体" w:hAnsi="宋体" w:eastAsia="宋体" w:cs="宋体"/>
                <w:color w:val="auto"/>
                <w:kern w:val="0"/>
                <w:sz w:val="21"/>
                <w:szCs w:val="21"/>
                <w:highlight w:val="none"/>
              </w:rPr>
            </w:pPr>
          </w:p>
        </w:tc>
        <w:tc>
          <w:tcPr>
            <w:tcW w:w="1149" w:type="dxa"/>
            <w:vMerge w:val="continue"/>
            <w:noWrap w:val="0"/>
            <w:vAlign w:val="center"/>
          </w:tcPr>
          <w:p>
            <w:pPr>
              <w:spacing w:line="320" w:lineRule="exact"/>
              <w:rPr>
                <w:rFonts w:hint="eastAsia" w:ascii="宋体" w:hAnsi="宋体" w:eastAsia="宋体" w:cs="宋体"/>
                <w:color w:val="auto"/>
                <w:kern w:val="0"/>
                <w:sz w:val="21"/>
                <w:szCs w:val="21"/>
                <w:highlight w:val="none"/>
              </w:rPr>
            </w:pPr>
          </w:p>
        </w:tc>
        <w:tc>
          <w:tcPr>
            <w:tcW w:w="2110" w:type="dxa"/>
            <w:noWrap w:val="0"/>
            <w:vAlign w:val="center"/>
          </w:tcPr>
          <w:p>
            <w:pPr>
              <w:spacing w:line="320" w:lineRule="exact"/>
              <w:ind w:firstLine="0" w:firstLineChars="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4）多重耐药菌患者</w:t>
            </w:r>
          </w:p>
        </w:tc>
        <w:tc>
          <w:tcPr>
            <w:tcW w:w="4978" w:type="dxa"/>
            <w:noWrap w:val="0"/>
            <w:vAlign w:val="center"/>
          </w:tcPr>
          <w:p>
            <w:pPr>
              <w:spacing w:line="320" w:lineRule="exac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使用1000mg/L含氯消毒剂擦拭消毒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1" w:type="dxa"/>
            <w:vMerge w:val="restart"/>
            <w:noWrap w:val="0"/>
            <w:vAlign w:val="top"/>
          </w:tcPr>
          <w:p>
            <w:pPr>
              <w:spacing w:line="320" w:lineRule="exact"/>
              <w:ind w:firstLine="0" w:firstLine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p>
        </w:tc>
        <w:tc>
          <w:tcPr>
            <w:tcW w:w="1149" w:type="dxa"/>
            <w:vMerge w:val="restart"/>
            <w:noWrap w:val="0"/>
            <w:vAlign w:val="center"/>
          </w:tcPr>
          <w:p>
            <w:pPr>
              <w:spacing w:line="320" w:lineRule="exact"/>
              <w:ind w:firstLine="0" w:firstLineChars="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毛巾用后清洗消毒方法</w:t>
            </w:r>
          </w:p>
        </w:tc>
        <w:tc>
          <w:tcPr>
            <w:tcW w:w="2110" w:type="dxa"/>
            <w:noWrap w:val="0"/>
            <w:vAlign w:val="center"/>
          </w:tcPr>
          <w:p>
            <w:pPr>
              <w:spacing w:line="320" w:lineRule="exact"/>
              <w:ind w:firstLine="0" w:firstLineChars="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1）普通病人</w:t>
            </w:r>
          </w:p>
        </w:tc>
        <w:tc>
          <w:tcPr>
            <w:tcW w:w="4978" w:type="dxa"/>
            <w:noWrap w:val="0"/>
            <w:vAlign w:val="center"/>
          </w:tcPr>
          <w:p>
            <w:pPr>
              <w:spacing w:line="320" w:lineRule="exac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使用500mg/L含氯消毒剂浸泡消毒30分钟后，清水洗净，晾干备用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1" w:type="dxa"/>
            <w:vMerge w:val="continue"/>
            <w:noWrap w:val="0"/>
            <w:vAlign w:val="top"/>
          </w:tcPr>
          <w:p>
            <w:pPr>
              <w:spacing w:line="320" w:lineRule="exact"/>
              <w:ind w:firstLine="105" w:firstLineChars="50"/>
              <w:jc w:val="center"/>
              <w:rPr>
                <w:rFonts w:hint="eastAsia" w:ascii="宋体" w:hAnsi="宋体" w:eastAsia="宋体" w:cs="宋体"/>
                <w:color w:val="auto"/>
                <w:kern w:val="0"/>
                <w:sz w:val="21"/>
                <w:szCs w:val="21"/>
                <w:highlight w:val="none"/>
              </w:rPr>
            </w:pPr>
          </w:p>
        </w:tc>
        <w:tc>
          <w:tcPr>
            <w:tcW w:w="1149" w:type="dxa"/>
            <w:vMerge w:val="continue"/>
            <w:noWrap w:val="0"/>
            <w:vAlign w:val="center"/>
          </w:tcPr>
          <w:p>
            <w:pPr>
              <w:spacing w:line="320" w:lineRule="exact"/>
              <w:rPr>
                <w:rFonts w:hint="eastAsia" w:ascii="宋体" w:hAnsi="宋体" w:eastAsia="宋体" w:cs="宋体"/>
                <w:color w:val="auto"/>
                <w:kern w:val="0"/>
                <w:sz w:val="21"/>
                <w:szCs w:val="21"/>
                <w:highlight w:val="none"/>
              </w:rPr>
            </w:pPr>
          </w:p>
        </w:tc>
        <w:tc>
          <w:tcPr>
            <w:tcW w:w="2110" w:type="dxa"/>
            <w:noWrap w:val="0"/>
            <w:vAlign w:val="center"/>
          </w:tcPr>
          <w:p>
            <w:pPr>
              <w:spacing w:line="320" w:lineRule="exact"/>
              <w:ind w:firstLine="0" w:firstLineChars="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2）被血液、体液污染或传染病患者</w:t>
            </w:r>
          </w:p>
        </w:tc>
        <w:tc>
          <w:tcPr>
            <w:tcW w:w="4978" w:type="dxa"/>
            <w:noWrap w:val="0"/>
            <w:vAlign w:val="center"/>
          </w:tcPr>
          <w:p>
            <w:pPr>
              <w:spacing w:line="320" w:lineRule="exac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使用2000mg/L含氯消毒剂浸泡消毒30分钟后，清水洗净，晾干备用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1" w:type="dxa"/>
            <w:vMerge w:val="continue"/>
            <w:noWrap w:val="0"/>
            <w:vAlign w:val="top"/>
          </w:tcPr>
          <w:p>
            <w:pPr>
              <w:spacing w:line="320" w:lineRule="exact"/>
              <w:ind w:firstLine="105" w:firstLineChars="50"/>
              <w:jc w:val="center"/>
              <w:rPr>
                <w:rFonts w:hint="eastAsia" w:ascii="宋体" w:hAnsi="宋体" w:eastAsia="宋体" w:cs="宋体"/>
                <w:color w:val="auto"/>
                <w:kern w:val="0"/>
                <w:sz w:val="21"/>
                <w:szCs w:val="21"/>
                <w:highlight w:val="none"/>
              </w:rPr>
            </w:pPr>
          </w:p>
        </w:tc>
        <w:tc>
          <w:tcPr>
            <w:tcW w:w="1149" w:type="dxa"/>
            <w:vMerge w:val="continue"/>
            <w:noWrap w:val="0"/>
            <w:vAlign w:val="center"/>
          </w:tcPr>
          <w:p>
            <w:pPr>
              <w:spacing w:line="320" w:lineRule="exact"/>
              <w:rPr>
                <w:rFonts w:hint="eastAsia" w:ascii="宋体" w:hAnsi="宋体" w:eastAsia="宋体" w:cs="宋体"/>
                <w:color w:val="auto"/>
                <w:kern w:val="0"/>
                <w:sz w:val="21"/>
                <w:szCs w:val="21"/>
                <w:highlight w:val="none"/>
              </w:rPr>
            </w:pPr>
          </w:p>
        </w:tc>
        <w:tc>
          <w:tcPr>
            <w:tcW w:w="2110" w:type="dxa"/>
            <w:noWrap w:val="0"/>
            <w:vAlign w:val="center"/>
          </w:tcPr>
          <w:p>
            <w:pPr>
              <w:spacing w:line="320" w:lineRule="exact"/>
              <w:ind w:firstLine="0" w:firstLineChars="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3）多重耐药菌患者</w:t>
            </w:r>
          </w:p>
        </w:tc>
        <w:tc>
          <w:tcPr>
            <w:tcW w:w="4978" w:type="dxa"/>
            <w:noWrap w:val="0"/>
            <w:vAlign w:val="center"/>
          </w:tcPr>
          <w:p>
            <w:pPr>
              <w:spacing w:line="320" w:lineRule="exac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使用1000mg/L含氯消毒剂擦拭消毒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1" w:type="dxa"/>
            <w:vMerge w:val="continue"/>
            <w:noWrap w:val="0"/>
            <w:vAlign w:val="top"/>
          </w:tcPr>
          <w:p>
            <w:pPr>
              <w:spacing w:line="320" w:lineRule="exact"/>
              <w:ind w:firstLine="105" w:firstLineChars="50"/>
              <w:jc w:val="center"/>
              <w:rPr>
                <w:rFonts w:hint="eastAsia" w:ascii="宋体" w:hAnsi="宋体" w:eastAsia="宋体" w:cs="宋体"/>
                <w:color w:val="auto"/>
                <w:kern w:val="0"/>
                <w:sz w:val="21"/>
                <w:szCs w:val="21"/>
                <w:highlight w:val="none"/>
              </w:rPr>
            </w:pPr>
          </w:p>
        </w:tc>
        <w:tc>
          <w:tcPr>
            <w:tcW w:w="1149" w:type="dxa"/>
            <w:vMerge w:val="continue"/>
            <w:noWrap w:val="0"/>
            <w:vAlign w:val="center"/>
          </w:tcPr>
          <w:p>
            <w:pPr>
              <w:spacing w:line="320" w:lineRule="exact"/>
              <w:rPr>
                <w:rFonts w:hint="eastAsia" w:ascii="宋体" w:hAnsi="宋体" w:eastAsia="宋体" w:cs="宋体"/>
                <w:color w:val="auto"/>
                <w:kern w:val="0"/>
                <w:sz w:val="21"/>
                <w:szCs w:val="21"/>
                <w:highlight w:val="none"/>
              </w:rPr>
            </w:pPr>
          </w:p>
        </w:tc>
        <w:tc>
          <w:tcPr>
            <w:tcW w:w="2110" w:type="dxa"/>
            <w:noWrap w:val="0"/>
            <w:vAlign w:val="center"/>
          </w:tcPr>
          <w:p>
            <w:pPr>
              <w:spacing w:line="320" w:lineRule="exact"/>
              <w:ind w:firstLine="0" w:firstLineChars="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4）医、护办公室、治疗室、换药室、门窗用毛巾</w:t>
            </w:r>
          </w:p>
        </w:tc>
        <w:tc>
          <w:tcPr>
            <w:tcW w:w="4978" w:type="dxa"/>
            <w:noWrap w:val="0"/>
            <w:vAlign w:val="center"/>
          </w:tcPr>
          <w:p>
            <w:pPr>
              <w:spacing w:line="320" w:lineRule="exac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使用500mg/L含氯消毒剂浸泡消毒30分钟后，清水洗净，晾干备用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1" w:type="dxa"/>
            <w:vMerge w:val="continue"/>
            <w:noWrap w:val="0"/>
            <w:vAlign w:val="top"/>
          </w:tcPr>
          <w:p>
            <w:pPr>
              <w:spacing w:line="320" w:lineRule="exact"/>
              <w:ind w:firstLine="105" w:firstLineChars="50"/>
              <w:jc w:val="center"/>
              <w:rPr>
                <w:rFonts w:hint="eastAsia" w:ascii="宋体" w:hAnsi="宋体" w:eastAsia="宋体" w:cs="宋体"/>
                <w:color w:val="auto"/>
                <w:kern w:val="0"/>
                <w:sz w:val="21"/>
                <w:szCs w:val="21"/>
                <w:highlight w:val="none"/>
              </w:rPr>
            </w:pPr>
          </w:p>
        </w:tc>
        <w:tc>
          <w:tcPr>
            <w:tcW w:w="1149" w:type="dxa"/>
            <w:noWrap w:val="0"/>
            <w:vAlign w:val="center"/>
          </w:tcPr>
          <w:p>
            <w:pPr>
              <w:spacing w:line="320" w:lineRule="exact"/>
              <w:ind w:firstLine="0" w:firstLineChars="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备注</w:t>
            </w:r>
          </w:p>
        </w:tc>
        <w:tc>
          <w:tcPr>
            <w:tcW w:w="7088" w:type="dxa"/>
            <w:gridSpan w:val="2"/>
            <w:noWrap w:val="0"/>
            <w:vAlign w:val="center"/>
          </w:tcPr>
          <w:p>
            <w:pPr>
              <w:spacing w:line="320" w:lineRule="exact"/>
              <w:ind w:firstLine="0" w:firstLineChars="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1、一床一巾，分区使用，用后未经消毒不能重复使用。毛巾用后清洗消毒按院感要求放在指定位置，按标识存放。所有毛巾均不能使用脱毛毛巾。</w:t>
            </w:r>
          </w:p>
          <w:p>
            <w:pPr>
              <w:spacing w:line="320" w:lineRule="exact"/>
              <w:ind w:firstLine="0" w:firstLineChars="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2、毛巾使用规范颜色标识分类：绿色：治疗室、医生办公室、更衣室、值班室；紫色：诊室；蓝色：椅子、电梯、楼梯扶手；咖啡色：病室、抢救室、处置室、留观室。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7" w:hRule="atLeast"/>
        </w:trPr>
        <w:tc>
          <w:tcPr>
            <w:tcW w:w="741" w:type="dxa"/>
            <w:noWrap w:val="0"/>
            <w:vAlign w:val="center"/>
          </w:tcPr>
          <w:p>
            <w:pPr>
              <w:spacing w:line="320" w:lineRule="exact"/>
              <w:ind w:firstLine="0" w:firstLine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p>
        </w:tc>
        <w:tc>
          <w:tcPr>
            <w:tcW w:w="1149" w:type="dxa"/>
            <w:noWrap w:val="0"/>
            <w:vAlign w:val="center"/>
          </w:tcPr>
          <w:p>
            <w:pPr>
              <w:pStyle w:val="19"/>
              <w:ind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厕所蹲盆</w:t>
            </w:r>
          </w:p>
          <w:p>
            <w:pPr>
              <w:spacing w:line="320" w:lineRule="exact"/>
              <w:ind w:firstLine="210" w:firstLineChars="100"/>
              <w:rPr>
                <w:rFonts w:hint="eastAsia" w:ascii="宋体" w:hAnsi="宋体" w:eastAsia="宋体" w:cs="宋体"/>
                <w:color w:val="auto"/>
                <w:kern w:val="0"/>
                <w:sz w:val="21"/>
                <w:szCs w:val="21"/>
                <w:highlight w:val="none"/>
              </w:rPr>
            </w:pPr>
          </w:p>
        </w:tc>
        <w:tc>
          <w:tcPr>
            <w:tcW w:w="7088" w:type="dxa"/>
            <w:gridSpan w:val="2"/>
            <w:noWrap w:val="0"/>
            <w:vAlign w:val="center"/>
          </w:tcPr>
          <w:p>
            <w:pPr>
              <w:pStyle w:val="19"/>
              <w:ind w:firstLine="0" w:firstLineChars="0"/>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用含有效氯1000mg/L消佳净浸泡30分钟后清洗干净。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7" w:hRule="atLeast"/>
        </w:trPr>
        <w:tc>
          <w:tcPr>
            <w:tcW w:w="741" w:type="dxa"/>
            <w:noWrap w:val="0"/>
            <w:vAlign w:val="center"/>
          </w:tcPr>
          <w:p>
            <w:pPr>
              <w:spacing w:line="320" w:lineRule="exact"/>
              <w:ind w:firstLine="0" w:firstLine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p>
        </w:tc>
        <w:tc>
          <w:tcPr>
            <w:tcW w:w="1149" w:type="dxa"/>
            <w:noWrap w:val="0"/>
            <w:vAlign w:val="center"/>
          </w:tcPr>
          <w:p>
            <w:pPr>
              <w:spacing w:line="320" w:lineRule="exact"/>
              <w:ind w:firstLine="0" w:firstLineChars="0"/>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洗手盆</w:t>
            </w:r>
          </w:p>
        </w:tc>
        <w:tc>
          <w:tcPr>
            <w:tcW w:w="7088" w:type="dxa"/>
            <w:gridSpan w:val="2"/>
            <w:noWrap w:val="0"/>
            <w:vAlign w:val="center"/>
          </w:tcPr>
          <w:p>
            <w:pPr>
              <w:pStyle w:val="19"/>
              <w:ind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用含有效氯500mg/L消佳净浸泡30分钟后清洗干净，遇特殊感染时浓度加至1000mg/L。</w:t>
            </w:r>
          </w:p>
          <w:p>
            <w:pPr>
              <w:spacing w:line="320" w:lineRule="exact"/>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7" w:hRule="atLeast"/>
        </w:trPr>
        <w:tc>
          <w:tcPr>
            <w:tcW w:w="741" w:type="dxa"/>
            <w:noWrap w:val="0"/>
            <w:vAlign w:val="center"/>
          </w:tcPr>
          <w:p>
            <w:pPr>
              <w:spacing w:line="320" w:lineRule="exact"/>
              <w:ind w:firstLine="0" w:firstLine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w:t>
            </w:r>
          </w:p>
        </w:tc>
        <w:tc>
          <w:tcPr>
            <w:tcW w:w="8237" w:type="dxa"/>
            <w:gridSpan w:val="3"/>
            <w:noWrap w:val="0"/>
            <w:vAlign w:val="center"/>
          </w:tcPr>
          <w:p>
            <w:pPr>
              <w:spacing w:line="320" w:lineRule="exact"/>
              <w:ind w:firstLine="0" w:firstLineChars="0"/>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遇呕吐物或喷溅物时，用吸湿材料清理，再用含有效氯5000mg/L消佳净清洗干净。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7" w:hRule="atLeast"/>
        </w:trPr>
        <w:tc>
          <w:tcPr>
            <w:tcW w:w="741" w:type="dxa"/>
            <w:vMerge w:val="restart"/>
            <w:noWrap w:val="0"/>
            <w:vAlign w:val="center"/>
          </w:tcPr>
          <w:p>
            <w:pPr>
              <w:tabs>
                <w:tab w:val="left" w:pos="260"/>
              </w:tabs>
              <w:spacing w:line="320" w:lineRule="exact"/>
              <w:ind w:firstLine="0" w:firstLine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w:t>
            </w:r>
          </w:p>
        </w:tc>
        <w:tc>
          <w:tcPr>
            <w:tcW w:w="1149" w:type="dxa"/>
            <w:vMerge w:val="restart"/>
            <w:noWrap w:val="0"/>
            <w:vAlign w:val="center"/>
          </w:tcPr>
          <w:p>
            <w:pPr>
              <w:spacing w:line="320" w:lineRule="exact"/>
              <w:ind w:firstLine="0" w:firstLineChars="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地面</w:t>
            </w:r>
          </w:p>
        </w:tc>
        <w:tc>
          <w:tcPr>
            <w:tcW w:w="2110" w:type="dxa"/>
            <w:noWrap w:val="0"/>
            <w:vAlign w:val="center"/>
          </w:tcPr>
          <w:p>
            <w:pPr>
              <w:spacing w:line="320" w:lineRule="exact"/>
              <w:ind w:firstLine="0" w:firstLineChars="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1）普通病房</w:t>
            </w:r>
          </w:p>
        </w:tc>
        <w:tc>
          <w:tcPr>
            <w:tcW w:w="4978" w:type="dxa"/>
            <w:noWrap w:val="0"/>
            <w:vAlign w:val="top"/>
          </w:tcPr>
          <w:p>
            <w:pPr>
              <w:spacing w:line="320" w:lineRule="exac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每天使用500mg/L含氯消毒剂湿拖消毒，如遇污染随时消毒，住院患者增多以及传染性疾病流行期适当增加消毒频次。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1" w:type="dxa"/>
            <w:vMerge w:val="continue"/>
            <w:noWrap w:val="0"/>
            <w:vAlign w:val="top"/>
          </w:tcPr>
          <w:p>
            <w:pPr>
              <w:spacing w:line="320" w:lineRule="exact"/>
              <w:ind w:firstLine="105" w:firstLineChars="50"/>
              <w:jc w:val="center"/>
              <w:rPr>
                <w:rFonts w:hint="eastAsia" w:ascii="宋体" w:hAnsi="宋体" w:eastAsia="宋体" w:cs="宋体"/>
                <w:color w:val="auto"/>
                <w:kern w:val="0"/>
                <w:sz w:val="21"/>
                <w:szCs w:val="21"/>
                <w:highlight w:val="none"/>
              </w:rPr>
            </w:pPr>
          </w:p>
        </w:tc>
        <w:tc>
          <w:tcPr>
            <w:tcW w:w="1149" w:type="dxa"/>
            <w:vMerge w:val="continue"/>
            <w:noWrap w:val="0"/>
            <w:vAlign w:val="top"/>
          </w:tcPr>
          <w:p>
            <w:pPr>
              <w:spacing w:line="320" w:lineRule="exact"/>
              <w:rPr>
                <w:rFonts w:hint="eastAsia" w:ascii="宋体" w:hAnsi="宋体" w:eastAsia="宋体" w:cs="宋体"/>
                <w:color w:val="auto"/>
                <w:kern w:val="0"/>
                <w:sz w:val="21"/>
                <w:szCs w:val="21"/>
                <w:highlight w:val="none"/>
              </w:rPr>
            </w:pPr>
          </w:p>
        </w:tc>
        <w:tc>
          <w:tcPr>
            <w:tcW w:w="2110" w:type="dxa"/>
            <w:noWrap w:val="0"/>
            <w:vAlign w:val="center"/>
          </w:tcPr>
          <w:p>
            <w:pPr>
              <w:spacing w:line="320" w:lineRule="exact"/>
              <w:ind w:firstLine="0" w:firstLineChars="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2）特殊区域（手术室、产房、新生儿科、供应室、检验科）</w:t>
            </w:r>
          </w:p>
        </w:tc>
        <w:tc>
          <w:tcPr>
            <w:tcW w:w="4978" w:type="dxa"/>
            <w:noWrap w:val="0"/>
            <w:vAlign w:val="top"/>
          </w:tcPr>
          <w:p>
            <w:pPr>
              <w:spacing w:line="320" w:lineRule="exac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每天使用500-1000mg/L含氯消毒剂湿拖消毒至少2次，如遇污染随时消毒，住院患者增多以及传染性疾病流行期适当增加消毒频次以及消毒剂浓度。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1" w:type="dxa"/>
            <w:vMerge w:val="continue"/>
            <w:noWrap w:val="0"/>
            <w:vAlign w:val="top"/>
          </w:tcPr>
          <w:p>
            <w:pPr>
              <w:spacing w:line="320" w:lineRule="exact"/>
              <w:ind w:firstLine="105" w:firstLineChars="50"/>
              <w:jc w:val="center"/>
              <w:rPr>
                <w:rFonts w:hint="eastAsia" w:ascii="宋体" w:hAnsi="宋体" w:eastAsia="宋体" w:cs="宋体"/>
                <w:color w:val="auto"/>
                <w:kern w:val="0"/>
                <w:sz w:val="21"/>
                <w:szCs w:val="21"/>
                <w:highlight w:val="none"/>
              </w:rPr>
            </w:pPr>
          </w:p>
        </w:tc>
        <w:tc>
          <w:tcPr>
            <w:tcW w:w="1149" w:type="dxa"/>
            <w:vMerge w:val="continue"/>
            <w:noWrap w:val="0"/>
            <w:vAlign w:val="top"/>
          </w:tcPr>
          <w:p>
            <w:pPr>
              <w:spacing w:line="320" w:lineRule="exact"/>
              <w:rPr>
                <w:rFonts w:hint="eastAsia" w:ascii="宋体" w:hAnsi="宋体" w:eastAsia="宋体" w:cs="宋体"/>
                <w:color w:val="auto"/>
                <w:kern w:val="0"/>
                <w:sz w:val="21"/>
                <w:szCs w:val="21"/>
                <w:highlight w:val="none"/>
              </w:rPr>
            </w:pPr>
          </w:p>
        </w:tc>
        <w:tc>
          <w:tcPr>
            <w:tcW w:w="2110" w:type="dxa"/>
            <w:noWrap w:val="0"/>
            <w:vAlign w:val="center"/>
          </w:tcPr>
          <w:p>
            <w:pPr>
              <w:spacing w:line="320" w:lineRule="exact"/>
              <w:ind w:firstLine="0" w:firstLineChars="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3）被血液、体液污染或传染性疾病患者</w:t>
            </w:r>
          </w:p>
        </w:tc>
        <w:tc>
          <w:tcPr>
            <w:tcW w:w="4978" w:type="dxa"/>
            <w:noWrap w:val="0"/>
            <w:vAlign w:val="top"/>
          </w:tcPr>
          <w:p>
            <w:pPr>
              <w:spacing w:line="320" w:lineRule="exac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使用2000mg/L含氯消毒剂湿拖消毒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1" w:type="dxa"/>
            <w:vMerge w:val="continue"/>
            <w:noWrap w:val="0"/>
            <w:vAlign w:val="top"/>
          </w:tcPr>
          <w:p>
            <w:pPr>
              <w:spacing w:line="320" w:lineRule="exact"/>
              <w:ind w:firstLine="105" w:firstLineChars="50"/>
              <w:jc w:val="center"/>
              <w:rPr>
                <w:rFonts w:hint="eastAsia" w:ascii="宋体" w:hAnsi="宋体" w:eastAsia="宋体" w:cs="宋体"/>
                <w:color w:val="auto"/>
                <w:kern w:val="0"/>
                <w:sz w:val="21"/>
                <w:szCs w:val="21"/>
                <w:highlight w:val="none"/>
              </w:rPr>
            </w:pPr>
          </w:p>
        </w:tc>
        <w:tc>
          <w:tcPr>
            <w:tcW w:w="1149" w:type="dxa"/>
            <w:vMerge w:val="continue"/>
            <w:noWrap w:val="0"/>
            <w:vAlign w:val="top"/>
          </w:tcPr>
          <w:p>
            <w:pPr>
              <w:spacing w:line="320" w:lineRule="exact"/>
              <w:rPr>
                <w:rFonts w:hint="eastAsia" w:ascii="宋体" w:hAnsi="宋体" w:eastAsia="宋体" w:cs="宋体"/>
                <w:color w:val="auto"/>
                <w:kern w:val="0"/>
                <w:sz w:val="21"/>
                <w:szCs w:val="21"/>
                <w:highlight w:val="none"/>
              </w:rPr>
            </w:pPr>
          </w:p>
        </w:tc>
        <w:tc>
          <w:tcPr>
            <w:tcW w:w="2110" w:type="dxa"/>
            <w:noWrap w:val="0"/>
            <w:vAlign w:val="center"/>
          </w:tcPr>
          <w:p>
            <w:pPr>
              <w:spacing w:line="320" w:lineRule="exact"/>
              <w:ind w:firstLine="0" w:firstLineChars="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4）多重耐药菌患者</w:t>
            </w:r>
          </w:p>
        </w:tc>
        <w:tc>
          <w:tcPr>
            <w:tcW w:w="4978" w:type="dxa"/>
            <w:noWrap w:val="0"/>
            <w:vAlign w:val="top"/>
          </w:tcPr>
          <w:p>
            <w:pPr>
              <w:spacing w:line="320" w:lineRule="exac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使用1000mg/L含氯消毒剂湿拖消毒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1" w:type="dxa"/>
            <w:vMerge w:val="restart"/>
            <w:noWrap w:val="0"/>
            <w:vAlign w:val="top"/>
          </w:tcPr>
          <w:p>
            <w:pPr>
              <w:spacing w:line="320" w:lineRule="exact"/>
              <w:ind w:firstLine="0" w:firstLine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w:t>
            </w:r>
          </w:p>
        </w:tc>
        <w:tc>
          <w:tcPr>
            <w:tcW w:w="1149" w:type="dxa"/>
            <w:vMerge w:val="restart"/>
            <w:noWrap w:val="0"/>
            <w:vAlign w:val="top"/>
          </w:tcPr>
          <w:p>
            <w:pPr>
              <w:spacing w:line="320" w:lineRule="exact"/>
              <w:ind w:firstLine="0" w:firstLineChars="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拖把用后清洗消毒方法</w:t>
            </w:r>
          </w:p>
        </w:tc>
        <w:tc>
          <w:tcPr>
            <w:tcW w:w="2110" w:type="dxa"/>
            <w:noWrap w:val="0"/>
            <w:vAlign w:val="center"/>
          </w:tcPr>
          <w:p>
            <w:pPr>
              <w:spacing w:line="320" w:lineRule="exact"/>
              <w:ind w:firstLine="0" w:firstLineChars="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1）普通病人</w:t>
            </w:r>
          </w:p>
        </w:tc>
        <w:tc>
          <w:tcPr>
            <w:tcW w:w="4978" w:type="dxa"/>
            <w:noWrap w:val="0"/>
            <w:vAlign w:val="top"/>
          </w:tcPr>
          <w:p>
            <w:pPr>
              <w:spacing w:line="320" w:lineRule="exac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使用500mg/L含氯消毒剂浸泡消毒30分钟后，清水洗净，晾干备用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1" w:type="dxa"/>
            <w:vMerge w:val="continue"/>
            <w:noWrap w:val="0"/>
            <w:vAlign w:val="top"/>
          </w:tcPr>
          <w:p>
            <w:pPr>
              <w:spacing w:line="320" w:lineRule="exact"/>
              <w:ind w:firstLine="105" w:firstLineChars="50"/>
              <w:jc w:val="center"/>
              <w:rPr>
                <w:rFonts w:hint="eastAsia" w:ascii="宋体" w:hAnsi="宋体" w:eastAsia="宋体" w:cs="宋体"/>
                <w:color w:val="auto"/>
                <w:kern w:val="0"/>
                <w:sz w:val="21"/>
                <w:szCs w:val="21"/>
                <w:highlight w:val="none"/>
              </w:rPr>
            </w:pPr>
          </w:p>
        </w:tc>
        <w:tc>
          <w:tcPr>
            <w:tcW w:w="1149" w:type="dxa"/>
            <w:vMerge w:val="continue"/>
            <w:noWrap w:val="0"/>
            <w:vAlign w:val="top"/>
          </w:tcPr>
          <w:p>
            <w:pPr>
              <w:spacing w:line="320" w:lineRule="exact"/>
              <w:rPr>
                <w:rFonts w:hint="eastAsia" w:ascii="宋体" w:hAnsi="宋体" w:eastAsia="宋体" w:cs="宋体"/>
                <w:color w:val="auto"/>
                <w:kern w:val="0"/>
                <w:sz w:val="21"/>
                <w:szCs w:val="21"/>
                <w:highlight w:val="none"/>
              </w:rPr>
            </w:pPr>
          </w:p>
        </w:tc>
        <w:tc>
          <w:tcPr>
            <w:tcW w:w="2110" w:type="dxa"/>
            <w:noWrap w:val="0"/>
            <w:vAlign w:val="center"/>
          </w:tcPr>
          <w:p>
            <w:pPr>
              <w:spacing w:line="320" w:lineRule="exact"/>
              <w:ind w:firstLine="0" w:firstLineChars="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2）被血液、体液污染或传染病患者</w:t>
            </w:r>
          </w:p>
        </w:tc>
        <w:tc>
          <w:tcPr>
            <w:tcW w:w="4978" w:type="dxa"/>
            <w:noWrap w:val="0"/>
            <w:vAlign w:val="top"/>
          </w:tcPr>
          <w:p>
            <w:pPr>
              <w:spacing w:line="320" w:lineRule="exac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使用2000mg/L含氯消毒剂浸泡消毒30分钟后，清水洗净，晾干备用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1" w:type="dxa"/>
            <w:vMerge w:val="continue"/>
            <w:noWrap w:val="0"/>
            <w:vAlign w:val="top"/>
          </w:tcPr>
          <w:p>
            <w:pPr>
              <w:spacing w:line="320" w:lineRule="exact"/>
              <w:ind w:firstLine="105" w:firstLineChars="50"/>
              <w:jc w:val="center"/>
              <w:rPr>
                <w:rFonts w:hint="eastAsia" w:ascii="宋体" w:hAnsi="宋体" w:eastAsia="宋体" w:cs="宋体"/>
                <w:color w:val="auto"/>
                <w:kern w:val="0"/>
                <w:sz w:val="21"/>
                <w:szCs w:val="21"/>
                <w:highlight w:val="none"/>
              </w:rPr>
            </w:pPr>
          </w:p>
        </w:tc>
        <w:tc>
          <w:tcPr>
            <w:tcW w:w="1149" w:type="dxa"/>
            <w:vMerge w:val="continue"/>
            <w:noWrap w:val="0"/>
            <w:vAlign w:val="top"/>
          </w:tcPr>
          <w:p>
            <w:pPr>
              <w:spacing w:line="320" w:lineRule="exact"/>
              <w:rPr>
                <w:rFonts w:hint="eastAsia" w:ascii="宋体" w:hAnsi="宋体" w:eastAsia="宋体" w:cs="宋体"/>
                <w:color w:val="auto"/>
                <w:kern w:val="0"/>
                <w:sz w:val="21"/>
                <w:szCs w:val="21"/>
                <w:highlight w:val="none"/>
              </w:rPr>
            </w:pPr>
          </w:p>
        </w:tc>
        <w:tc>
          <w:tcPr>
            <w:tcW w:w="2110" w:type="dxa"/>
            <w:noWrap w:val="0"/>
            <w:vAlign w:val="center"/>
          </w:tcPr>
          <w:p>
            <w:pPr>
              <w:spacing w:line="320" w:lineRule="exact"/>
              <w:ind w:firstLine="0" w:firstLineChars="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3）医、护办公室、治疗室、换药室拖把</w:t>
            </w:r>
          </w:p>
        </w:tc>
        <w:tc>
          <w:tcPr>
            <w:tcW w:w="4978" w:type="dxa"/>
            <w:noWrap w:val="0"/>
            <w:vAlign w:val="top"/>
          </w:tcPr>
          <w:p>
            <w:pPr>
              <w:spacing w:line="320" w:lineRule="exac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使用500mg/L含氯消毒剂浸泡消毒30分钟后，清水洗净，晾干备用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1" w:type="dxa"/>
            <w:vMerge w:val="continue"/>
            <w:noWrap w:val="0"/>
            <w:vAlign w:val="top"/>
          </w:tcPr>
          <w:p>
            <w:pPr>
              <w:spacing w:line="320" w:lineRule="exact"/>
              <w:ind w:firstLine="105" w:firstLineChars="50"/>
              <w:jc w:val="center"/>
              <w:rPr>
                <w:rFonts w:hint="eastAsia" w:ascii="宋体" w:hAnsi="宋体" w:eastAsia="宋体" w:cs="宋体"/>
                <w:color w:val="auto"/>
                <w:kern w:val="0"/>
                <w:sz w:val="21"/>
                <w:szCs w:val="21"/>
                <w:highlight w:val="none"/>
              </w:rPr>
            </w:pPr>
          </w:p>
        </w:tc>
        <w:tc>
          <w:tcPr>
            <w:tcW w:w="1149" w:type="dxa"/>
            <w:vMerge w:val="continue"/>
            <w:noWrap w:val="0"/>
            <w:vAlign w:val="top"/>
          </w:tcPr>
          <w:p>
            <w:pPr>
              <w:spacing w:line="320" w:lineRule="exact"/>
              <w:rPr>
                <w:rFonts w:hint="eastAsia" w:ascii="宋体" w:hAnsi="宋体" w:eastAsia="宋体" w:cs="宋体"/>
                <w:color w:val="auto"/>
                <w:kern w:val="0"/>
                <w:sz w:val="21"/>
                <w:szCs w:val="21"/>
                <w:highlight w:val="none"/>
              </w:rPr>
            </w:pPr>
          </w:p>
        </w:tc>
        <w:tc>
          <w:tcPr>
            <w:tcW w:w="2110" w:type="dxa"/>
            <w:noWrap w:val="0"/>
            <w:vAlign w:val="center"/>
          </w:tcPr>
          <w:p>
            <w:pPr>
              <w:spacing w:line="320" w:lineRule="exact"/>
              <w:ind w:firstLine="0" w:firstLineChars="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4）多重耐药菌患者</w:t>
            </w:r>
          </w:p>
        </w:tc>
        <w:tc>
          <w:tcPr>
            <w:tcW w:w="4978" w:type="dxa"/>
            <w:noWrap w:val="0"/>
            <w:vAlign w:val="top"/>
          </w:tcPr>
          <w:p>
            <w:pPr>
              <w:spacing w:line="320" w:lineRule="exac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使用1000mg/L含氯消毒剂浸泡消毒30分钟后，清水洗净，晾干备用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1" w:type="dxa"/>
            <w:vMerge w:val="continue"/>
            <w:noWrap w:val="0"/>
            <w:vAlign w:val="top"/>
          </w:tcPr>
          <w:p>
            <w:pPr>
              <w:spacing w:line="320" w:lineRule="exact"/>
              <w:ind w:firstLine="105" w:firstLineChars="50"/>
              <w:jc w:val="center"/>
              <w:rPr>
                <w:rFonts w:hint="eastAsia" w:ascii="宋体" w:hAnsi="宋体" w:eastAsia="宋体" w:cs="宋体"/>
                <w:color w:val="auto"/>
                <w:kern w:val="0"/>
                <w:sz w:val="21"/>
                <w:szCs w:val="21"/>
                <w:highlight w:val="none"/>
              </w:rPr>
            </w:pPr>
          </w:p>
        </w:tc>
        <w:tc>
          <w:tcPr>
            <w:tcW w:w="1149" w:type="dxa"/>
            <w:noWrap w:val="0"/>
            <w:vAlign w:val="center"/>
          </w:tcPr>
          <w:p>
            <w:pPr>
              <w:spacing w:line="320" w:lineRule="exact"/>
              <w:ind w:firstLine="0" w:firstLineChars="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备注</w:t>
            </w:r>
          </w:p>
        </w:tc>
        <w:tc>
          <w:tcPr>
            <w:tcW w:w="7088" w:type="dxa"/>
            <w:gridSpan w:val="2"/>
            <w:noWrap w:val="0"/>
            <w:vAlign w:val="top"/>
          </w:tcPr>
          <w:p>
            <w:pPr>
              <w:spacing w:line="320" w:lineRule="exact"/>
              <w:ind w:firstLine="0" w:firstLineChars="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1、拖把分区使用，用后未经消毒不能重复使用。拖把用后清洗消毒按院感要求放在指定位置，按标识存放。</w:t>
            </w:r>
          </w:p>
          <w:p>
            <w:pPr>
              <w:spacing w:line="320" w:lineRule="exact"/>
              <w:ind w:firstLine="0" w:firstLineChars="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2、病房——红色标识；医、护办公室、治疗室、换药室、楼道、内走廊——黄色标识；值班室、会议室——绿色标识；特殊区域——如手术室等拖把贴专用标签以便区分。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1" w:type="dxa"/>
            <w:noWrap w:val="0"/>
            <w:vAlign w:val="top"/>
          </w:tcPr>
          <w:p>
            <w:pPr>
              <w:spacing w:line="320" w:lineRule="exact"/>
              <w:ind w:firstLine="0" w:firstLine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w:t>
            </w:r>
          </w:p>
        </w:tc>
        <w:tc>
          <w:tcPr>
            <w:tcW w:w="1149" w:type="dxa"/>
            <w:noWrap w:val="0"/>
            <w:vAlign w:val="top"/>
          </w:tcPr>
          <w:p>
            <w:pPr>
              <w:spacing w:line="320" w:lineRule="exact"/>
              <w:ind w:firstLine="0" w:firstLineChars="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运输工具</w:t>
            </w:r>
          </w:p>
        </w:tc>
        <w:tc>
          <w:tcPr>
            <w:tcW w:w="2110" w:type="dxa"/>
            <w:noWrap w:val="0"/>
            <w:vAlign w:val="top"/>
          </w:tcPr>
          <w:p>
            <w:pPr>
              <w:spacing w:line="320" w:lineRule="exact"/>
              <w:ind w:firstLine="0" w:firstLineChars="0"/>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平车、轮椅</w:t>
            </w:r>
          </w:p>
        </w:tc>
        <w:tc>
          <w:tcPr>
            <w:tcW w:w="4978" w:type="dxa"/>
            <w:noWrap w:val="0"/>
            <w:vAlign w:val="top"/>
          </w:tcPr>
          <w:p>
            <w:pPr>
              <w:spacing w:line="320" w:lineRule="exact"/>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每日消毒剂擦拭至少2次，平车床单每日更换；被血、尿、便、排泄物、分泌物污染或疑似/确诊传染性疾病患者使用后应立即更换</w:t>
            </w:r>
            <w:r>
              <w:rPr>
                <w:rFonts w:hint="eastAsia" w:ascii="宋体" w:hAnsi="宋体" w:eastAsia="宋体" w:cs="宋体"/>
                <w:color w:val="auto"/>
                <w:sz w:val="21"/>
                <w:szCs w:val="21"/>
                <w:highlight w:val="none"/>
                <w:lang w:val="en-US" w:eastAsia="zh-CN"/>
              </w:rPr>
              <w:t>并</w:t>
            </w:r>
            <w:r>
              <w:rPr>
                <w:rFonts w:hint="eastAsia" w:ascii="宋体" w:hAnsi="宋体" w:eastAsia="宋体" w:cs="宋体"/>
                <w:color w:val="auto"/>
                <w:sz w:val="21"/>
                <w:szCs w:val="21"/>
                <w:highlight w:val="none"/>
              </w:rPr>
              <w:t>使用含氯消毒液擦拭。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741" w:type="dxa"/>
            <w:noWrap w:val="0"/>
            <w:vAlign w:val="top"/>
          </w:tcPr>
          <w:p>
            <w:pPr>
              <w:spacing w:line="320" w:lineRule="exact"/>
              <w:ind w:firstLine="105" w:firstLineChars="5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9</w:t>
            </w:r>
          </w:p>
        </w:tc>
        <w:tc>
          <w:tcPr>
            <w:tcW w:w="1149" w:type="dxa"/>
            <w:noWrap w:val="0"/>
            <w:vAlign w:val="top"/>
          </w:tcPr>
          <w:p>
            <w:pPr>
              <w:spacing w:line="320" w:lineRule="exact"/>
              <w:ind w:firstLine="0" w:firstLineChars="0"/>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墙面</w:t>
            </w:r>
          </w:p>
        </w:tc>
        <w:tc>
          <w:tcPr>
            <w:tcW w:w="2110" w:type="dxa"/>
            <w:noWrap w:val="0"/>
            <w:vAlign w:val="top"/>
          </w:tcPr>
          <w:p>
            <w:pPr>
              <w:spacing w:line="320" w:lineRule="exact"/>
              <w:ind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5m高度以下</w:t>
            </w:r>
          </w:p>
        </w:tc>
        <w:tc>
          <w:tcPr>
            <w:tcW w:w="4978" w:type="dxa"/>
            <w:noWrap w:val="0"/>
            <w:vAlign w:val="top"/>
          </w:tcPr>
          <w:p>
            <w:pPr>
              <w:spacing w:line="320" w:lineRule="exact"/>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当受到病原菌污染时，可采用化学消毒剂喷雾或擦洗。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741" w:type="dxa"/>
            <w:noWrap w:val="0"/>
            <w:vAlign w:val="top"/>
          </w:tcPr>
          <w:p>
            <w:pPr>
              <w:spacing w:line="320" w:lineRule="exact"/>
              <w:ind w:firstLine="105" w:firstLineChars="50"/>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10</w:t>
            </w:r>
          </w:p>
        </w:tc>
        <w:tc>
          <w:tcPr>
            <w:tcW w:w="8237" w:type="dxa"/>
            <w:gridSpan w:val="3"/>
            <w:noWrap w:val="0"/>
            <w:vAlign w:val="top"/>
          </w:tcPr>
          <w:p>
            <w:pP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消毒浓度根据国家最新文件或疫情发展情况要求做出改变、调整。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741" w:type="dxa"/>
            <w:noWrap w:val="0"/>
            <w:vAlign w:val="top"/>
          </w:tcPr>
          <w:p>
            <w:pPr>
              <w:spacing w:line="320" w:lineRule="exact"/>
              <w:ind w:firstLine="105" w:firstLineChars="50"/>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11</w:t>
            </w:r>
          </w:p>
        </w:tc>
        <w:tc>
          <w:tcPr>
            <w:tcW w:w="8237" w:type="dxa"/>
            <w:gridSpan w:val="3"/>
            <w:noWrap w:val="0"/>
            <w:vAlign w:val="top"/>
          </w:tcPr>
          <w:p>
            <w:pPr>
              <w:spacing w:line="420" w:lineRule="exact"/>
              <w:ind w:firstLine="420"/>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rPr>
              <w:t>备注：拖把每天用后要清洁消毒晾干备用。</w:t>
            </w:r>
          </w:p>
        </w:tc>
      </w:tr>
    </w:tbl>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440" w:lineRule="exact"/>
        <w:ind w:right="0" w:rightChars="0" w:firstLine="210" w:firstLineChars="1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三、人员配置要求</w:t>
      </w:r>
    </w:p>
    <w:p>
      <w:pPr>
        <w:pageBreakBefore w:val="0"/>
        <w:widowControl w:val="0"/>
        <w:kinsoku/>
        <w:wordWrap/>
        <w:overflowPunct/>
        <w:topLinePunct w:val="0"/>
        <w:autoSpaceDE/>
        <w:autoSpaceDN/>
        <w:bidi w:val="0"/>
        <w:adjustRightInd/>
        <w:spacing w:line="440" w:lineRule="exact"/>
        <w:ind w:firstLine="422" w:firstLineChars="200"/>
        <w:jc w:val="both"/>
        <w:textAlignment w:val="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1.人员配置：供应商必须按照采购人提出的具体需求，合理配置不少于</w:t>
      </w:r>
      <w:r>
        <w:rPr>
          <w:rFonts w:hint="eastAsia" w:ascii="宋体" w:hAnsi="宋体" w:eastAsia="宋体" w:cs="宋体"/>
          <w:b/>
          <w:bCs/>
          <w:color w:val="auto"/>
          <w:sz w:val="21"/>
          <w:szCs w:val="21"/>
          <w:highlight w:val="none"/>
          <w:lang w:val="en-US" w:eastAsia="zh-CN"/>
        </w:rPr>
        <w:t>32</w:t>
      </w:r>
      <w:r>
        <w:rPr>
          <w:rFonts w:hint="eastAsia" w:ascii="宋体" w:hAnsi="宋体" w:eastAsia="宋体" w:cs="宋体"/>
          <w:b/>
          <w:bCs/>
          <w:color w:val="auto"/>
          <w:sz w:val="21"/>
          <w:szCs w:val="21"/>
          <w:highlight w:val="none"/>
        </w:rPr>
        <w:t>个服务岗位（具体</w:t>
      </w:r>
      <w:r>
        <w:rPr>
          <w:rFonts w:hint="eastAsia" w:ascii="宋体" w:hAnsi="宋体" w:eastAsia="宋体" w:cs="宋体"/>
          <w:b/>
          <w:bCs/>
          <w:color w:val="auto"/>
          <w:sz w:val="21"/>
          <w:szCs w:val="21"/>
          <w:highlight w:val="none"/>
          <w:lang w:val="en-US" w:eastAsia="zh-CN"/>
        </w:rPr>
        <w:t>详见人员配备和</w:t>
      </w:r>
      <w:r>
        <w:rPr>
          <w:rFonts w:hint="eastAsia" w:ascii="宋体" w:hAnsi="宋体" w:eastAsia="宋体" w:cs="宋体"/>
          <w:b/>
          <w:bCs/>
          <w:color w:val="auto"/>
          <w:sz w:val="21"/>
          <w:szCs w:val="21"/>
          <w:highlight w:val="none"/>
        </w:rPr>
        <w:t>岗位职责要求表），以确保岗位的满编。其中：物业</w:t>
      </w:r>
      <w:r>
        <w:rPr>
          <w:rFonts w:hint="eastAsia" w:ascii="宋体" w:hAnsi="宋体" w:eastAsia="宋体" w:cs="宋体"/>
          <w:b/>
          <w:bCs/>
          <w:color w:val="auto"/>
          <w:sz w:val="21"/>
          <w:szCs w:val="21"/>
          <w:highlight w:val="none"/>
          <w:lang w:val="en-US" w:eastAsia="zh-CN"/>
        </w:rPr>
        <w:t>主管</w:t>
      </w:r>
      <w:r>
        <w:rPr>
          <w:rFonts w:hint="eastAsia" w:ascii="宋体" w:hAnsi="宋体" w:eastAsia="宋体" w:cs="宋体"/>
          <w:b/>
          <w:bCs/>
          <w:color w:val="auto"/>
          <w:sz w:val="21"/>
          <w:szCs w:val="21"/>
          <w:highlight w:val="none"/>
        </w:rPr>
        <w:t>1名、保安</w:t>
      </w:r>
      <w:r>
        <w:rPr>
          <w:rFonts w:hint="eastAsia" w:ascii="宋体" w:hAnsi="宋体" w:eastAsia="宋体" w:cs="宋体"/>
          <w:b/>
          <w:bCs/>
          <w:color w:val="auto"/>
          <w:sz w:val="21"/>
          <w:szCs w:val="21"/>
          <w:highlight w:val="none"/>
          <w:lang w:val="en-US" w:eastAsia="zh-CN"/>
        </w:rPr>
        <w:t>员12</w:t>
      </w:r>
      <w:r>
        <w:rPr>
          <w:rFonts w:hint="eastAsia" w:ascii="宋体" w:hAnsi="宋体" w:eastAsia="宋体" w:cs="宋体"/>
          <w:b/>
          <w:bCs/>
          <w:color w:val="auto"/>
          <w:sz w:val="21"/>
          <w:szCs w:val="21"/>
          <w:highlight w:val="none"/>
        </w:rPr>
        <w:t>人、消控室操作员</w:t>
      </w:r>
      <w:r>
        <w:rPr>
          <w:rFonts w:hint="eastAsia" w:ascii="宋体" w:hAnsi="宋体" w:eastAsia="宋体" w:cs="宋体"/>
          <w:b/>
          <w:bCs/>
          <w:color w:val="auto"/>
          <w:sz w:val="21"/>
          <w:szCs w:val="21"/>
          <w:highlight w:val="none"/>
          <w:lang w:val="en-US" w:eastAsia="zh-CN"/>
        </w:rPr>
        <w:t>4人、</w:t>
      </w:r>
      <w:r>
        <w:rPr>
          <w:rFonts w:hint="eastAsia" w:ascii="宋体" w:hAnsi="宋体" w:eastAsia="宋体" w:cs="宋体"/>
          <w:b/>
          <w:bCs/>
          <w:color w:val="auto"/>
          <w:sz w:val="21"/>
          <w:szCs w:val="21"/>
          <w:highlight w:val="none"/>
        </w:rPr>
        <w:t>保洁</w:t>
      </w:r>
      <w:r>
        <w:rPr>
          <w:rFonts w:hint="eastAsia" w:ascii="宋体" w:hAnsi="宋体" w:eastAsia="宋体" w:cs="宋体"/>
          <w:b/>
          <w:bCs/>
          <w:color w:val="auto"/>
          <w:sz w:val="21"/>
          <w:szCs w:val="21"/>
          <w:highlight w:val="none"/>
          <w:lang w:val="en-US" w:eastAsia="zh-CN"/>
        </w:rPr>
        <w:t>员15</w:t>
      </w:r>
      <w:r>
        <w:rPr>
          <w:rFonts w:hint="eastAsia" w:ascii="宋体" w:hAnsi="宋体" w:eastAsia="宋体" w:cs="宋体"/>
          <w:b/>
          <w:bCs/>
          <w:color w:val="auto"/>
          <w:sz w:val="21"/>
          <w:szCs w:val="21"/>
          <w:highlight w:val="none"/>
        </w:rPr>
        <w:t>人。</w:t>
      </w:r>
      <w:r>
        <w:rPr>
          <w:rFonts w:hint="eastAsia" w:ascii="宋体" w:hAnsi="宋体" w:eastAsia="宋体" w:cs="宋体"/>
          <w:b/>
          <w:bCs/>
          <w:color w:val="auto"/>
          <w:sz w:val="21"/>
          <w:szCs w:val="21"/>
          <w:highlight w:val="none"/>
          <w:lang w:val="en-US" w:eastAsia="zh-CN"/>
        </w:rPr>
        <w:t>详见以下人员配备和</w:t>
      </w:r>
      <w:r>
        <w:rPr>
          <w:rFonts w:hint="eastAsia" w:ascii="宋体" w:hAnsi="宋体" w:eastAsia="宋体" w:cs="宋体"/>
          <w:b/>
          <w:bCs/>
          <w:color w:val="auto"/>
          <w:sz w:val="21"/>
          <w:szCs w:val="21"/>
          <w:highlight w:val="none"/>
        </w:rPr>
        <w:t>岗位职责要求表：</w:t>
      </w:r>
    </w:p>
    <w:tbl>
      <w:tblPr>
        <w:tblStyle w:val="49"/>
        <w:tblW w:w="4992" w:type="pct"/>
        <w:tblInd w:w="0" w:type="dxa"/>
        <w:tblLayout w:type="autofit"/>
        <w:tblCellMar>
          <w:top w:w="0" w:type="dxa"/>
          <w:left w:w="15" w:type="dxa"/>
          <w:bottom w:w="0" w:type="dxa"/>
          <w:right w:w="15" w:type="dxa"/>
        </w:tblCellMar>
      </w:tblPr>
      <w:tblGrid>
        <w:gridCol w:w="846"/>
        <w:gridCol w:w="660"/>
        <w:gridCol w:w="1603"/>
        <w:gridCol w:w="3183"/>
        <w:gridCol w:w="2192"/>
        <w:gridCol w:w="1170"/>
      </w:tblGrid>
      <w:tr>
        <w:tblPrEx>
          <w:tblCellMar>
            <w:top w:w="0" w:type="dxa"/>
            <w:left w:w="15" w:type="dxa"/>
            <w:bottom w:w="0" w:type="dxa"/>
            <w:right w:w="15" w:type="dxa"/>
          </w:tblCellMar>
        </w:tblPrEx>
        <w:trPr>
          <w:trHeight w:val="23" w:hRule="atLeast"/>
        </w:trPr>
        <w:tc>
          <w:tcPr>
            <w:tcW w:w="43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val="0"/>
              <w:overflowPunct/>
              <w:topLinePunct w:val="0"/>
              <w:autoSpaceDE/>
              <w:autoSpaceDN/>
              <w:bidi w:val="0"/>
              <w:adjustRightInd w:val="0"/>
              <w:snapToGrid w:val="0"/>
              <w:spacing w:line="360" w:lineRule="exact"/>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岗位</w:t>
            </w:r>
          </w:p>
        </w:tc>
        <w:tc>
          <w:tcPr>
            <w:tcW w:w="1172" w:type="pct"/>
            <w:gridSpan w:val="2"/>
            <w:tcBorders>
              <w:top w:val="single" w:color="000000" w:sz="4" w:space="0"/>
              <w:left w:val="nil"/>
              <w:bottom w:val="single" w:color="000000" w:sz="4" w:space="0"/>
              <w:right w:val="single" w:color="000000" w:sz="4" w:space="0"/>
            </w:tcBorders>
            <w:noWrap w:val="0"/>
            <w:vAlign w:val="center"/>
          </w:tcPr>
          <w:p>
            <w:pPr>
              <w:keepNext w:val="0"/>
              <w:keepLines w:val="0"/>
              <w:pageBreakBefore w:val="0"/>
              <w:kinsoku/>
              <w:wordWrap w:val="0"/>
              <w:overflowPunct/>
              <w:topLinePunct w:val="0"/>
              <w:autoSpaceDE/>
              <w:autoSpaceDN/>
              <w:bidi w:val="0"/>
              <w:adjustRightInd w:val="0"/>
              <w:snapToGrid w:val="0"/>
              <w:spacing w:line="360" w:lineRule="exact"/>
              <w:jc w:val="center"/>
              <w:textAlignment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人数</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人</w:t>
            </w:r>
            <w:r>
              <w:rPr>
                <w:rFonts w:hint="eastAsia" w:ascii="宋体" w:hAnsi="宋体" w:eastAsia="宋体" w:cs="宋体"/>
                <w:b/>
                <w:bCs/>
                <w:color w:val="auto"/>
                <w:sz w:val="21"/>
                <w:szCs w:val="21"/>
                <w:highlight w:val="none"/>
                <w:lang w:eastAsia="zh-CN"/>
              </w:rPr>
              <w:t>）</w:t>
            </w:r>
          </w:p>
        </w:tc>
        <w:tc>
          <w:tcPr>
            <w:tcW w:w="1648" w:type="pct"/>
            <w:tcBorders>
              <w:top w:val="single" w:color="000000" w:sz="4" w:space="0"/>
              <w:left w:val="nil"/>
              <w:bottom w:val="single" w:color="000000" w:sz="4" w:space="0"/>
              <w:right w:val="single" w:color="000000" w:sz="4" w:space="0"/>
            </w:tcBorders>
            <w:noWrap w:val="0"/>
            <w:vAlign w:val="center"/>
          </w:tcPr>
          <w:p>
            <w:pPr>
              <w:keepNext w:val="0"/>
              <w:keepLines w:val="0"/>
              <w:pageBreakBefore w:val="0"/>
              <w:kinsoku/>
              <w:wordWrap w:val="0"/>
              <w:overflowPunct/>
              <w:topLinePunct w:val="0"/>
              <w:autoSpaceDE/>
              <w:autoSpaceDN/>
              <w:bidi w:val="0"/>
              <w:adjustRightInd w:val="0"/>
              <w:snapToGrid w:val="0"/>
              <w:spacing w:line="360" w:lineRule="exact"/>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条件</w:t>
            </w:r>
          </w:p>
        </w:tc>
        <w:tc>
          <w:tcPr>
            <w:tcW w:w="1135" w:type="pct"/>
            <w:tcBorders>
              <w:top w:val="single" w:color="000000" w:sz="4" w:space="0"/>
              <w:left w:val="nil"/>
              <w:bottom w:val="single" w:color="000000" w:sz="4" w:space="0"/>
              <w:right w:val="single" w:color="000000" w:sz="4" w:space="0"/>
            </w:tcBorders>
            <w:noWrap w:val="0"/>
            <w:vAlign w:val="center"/>
          </w:tcPr>
          <w:p>
            <w:pPr>
              <w:keepNext w:val="0"/>
              <w:keepLines w:val="0"/>
              <w:pageBreakBefore w:val="0"/>
              <w:kinsoku/>
              <w:wordWrap w:val="0"/>
              <w:overflowPunct/>
              <w:topLinePunct w:val="0"/>
              <w:autoSpaceDE/>
              <w:autoSpaceDN/>
              <w:bidi w:val="0"/>
              <w:adjustRightInd w:val="0"/>
              <w:snapToGrid w:val="0"/>
              <w:spacing w:line="360" w:lineRule="exact"/>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职责</w:t>
            </w:r>
          </w:p>
        </w:tc>
        <w:tc>
          <w:tcPr>
            <w:tcW w:w="605" w:type="pct"/>
            <w:tcBorders>
              <w:top w:val="single" w:color="000000" w:sz="4" w:space="0"/>
              <w:left w:val="nil"/>
              <w:bottom w:val="single" w:color="auto" w:sz="4" w:space="0"/>
              <w:right w:val="single" w:color="000000" w:sz="4" w:space="0"/>
            </w:tcBorders>
            <w:noWrap w:val="0"/>
            <w:vAlign w:val="center"/>
          </w:tcPr>
          <w:p>
            <w:pPr>
              <w:keepNext w:val="0"/>
              <w:keepLines w:val="0"/>
              <w:pageBreakBefore w:val="0"/>
              <w:kinsoku/>
              <w:wordWrap w:val="0"/>
              <w:overflowPunct/>
              <w:topLinePunct w:val="0"/>
              <w:autoSpaceDE/>
              <w:autoSpaceDN/>
              <w:bidi w:val="0"/>
              <w:adjustRightInd w:val="0"/>
              <w:snapToGrid w:val="0"/>
              <w:spacing w:line="360" w:lineRule="exact"/>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备注</w:t>
            </w:r>
          </w:p>
        </w:tc>
      </w:tr>
      <w:tr>
        <w:tblPrEx>
          <w:tblCellMar>
            <w:top w:w="0" w:type="dxa"/>
            <w:left w:w="15" w:type="dxa"/>
            <w:bottom w:w="0" w:type="dxa"/>
            <w:right w:w="15" w:type="dxa"/>
          </w:tblCellMar>
        </w:tblPrEx>
        <w:trPr>
          <w:trHeight w:val="1907" w:hRule="atLeast"/>
        </w:trPr>
        <w:tc>
          <w:tcPr>
            <w:tcW w:w="43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val="0"/>
              <w:overflowPunct/>
              <w:topLinePunct w:val="0"/>
              <w:autoSpaceDE/>
              <w:autoSpaceDN/>
              <w:bidi w:val="0"/>
              <w:adjustRightInd w:val="0"/>
              <w:snapToGrid w:val="0"/>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物业</w:t>
            </w:r>
          </w:p>
          <w:p>
            <w:pPr>
              <w:keepNext w:val="0"/>
              <w:keepLines w:val="0"/>
              <w:pageBreakBefore w:val="0"/>
              <w:kinsoku/>
              <w:wordWrap w:val="0"/>
              <w:overflowPunct/>
              <w:topLinePunct w:val="0"/>
              <w:autoSpaceDE/>
              <w:autoSpaceDN/>
              <w:bidi w:val="0"/>
              <w:adjustRightInd w:val="0"/>
              <w:snapToGrid w:val="0"/>
              <w:spacing w:line="36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主管</w:t>
            </w:r>
          </w:p>
        </w:tc>
        <w:tc>
          <w:tcPr>
            <w:tcW w:w="1172" w:type="pct"/>
            <w:gridSpan w:val="2"/>
            <w:tcBorders>
              <w:top w:val="single" w:color="000000" w:sz="4" w:space="0"/>
              <w:left w:val="nil"/>
              <w:bottom w:val="single" w:color="000000" w:sz="4" w:space="0"/>
              <w:right w:val="single" w:color="000000" w:sz="4" w:space="0"/>
            </w:tcBorders>
            <w:noWrap w:val="0"/>
            <w:vAlign w:val="center"/>
          </w:tcPr>
          <w:p>
            <w:pPr>
              <w:keepNext w:val="0"/>
              <w:keepLines w:val="0"/>
              <w:pageBreakBefore w:val="0"/>
              <w:kinsoku/>
              <w:wordWrap w:val="0"/>
              <w:overflowPunct/>
              <w:topLinePunct w:val="0"/>
              <w:autoSpaceDE/>
              <w:autoSpaceDN/>
              <w:bidi w:val="0"/>
              <w:adjustRightInd w:val="0"/>
              <w:snapToGrid w:val="0"/>
              <w:spacing w:line="360" w:lineRule="auto"/>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1</w:t>
            </w:r>
          </w:p>
        </w:tc>
        <w:tc>
          <w:tcPr>
            <w:tcW w:w="3183" w:type="dxa"/>
            <w:tcBorders>
              <w:top w:val="single" w:color="000000" w:sz="4" w:space="0"/>
              <w:left w:val="nil"/>
              <w:bottom w:val="single" w:color="000000" w:sz="4" w:space="0"/>
              <w:right w:val="single" w:color="000000" w:sz="4" w:space="0"/>
            </w:tcBorders>
            <w:noWrap w:val="0"/>
            <w:vAlign w:val="center"/>
          </w:tcPr>
          <w:p>
            <w:pPr>
              <w:pStyle w:val="17"/>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政治思想素质过硬，责任心强，身体健康，五官端正，仪表仪态良好，</w:t>
            </w:r>
            <w:r>
              <w:rPr>
                <w:rFonts w:hint="eastAsia" w:ascii="宋体" w:hAnsi="宋体" w:eastAsia="宋体" w:cs="宋体"/>
                <w:color w:val="auto"/>
                <w:sz w:val="21"/>
                <w:szCs w:val="21"/>
                <w:highlight w:val="none"/>
                <w:lang w:val="en-US" w:eastAsia="zh-CN"/>
              </w:rPr>
              <w:t>男女不限，</w:t>
            </w:r>
            <w:r>
              <w:rPr>
                <w:rFonts w:hint="eastAsia" w:ascii="宋体" w:hAnsi="宋体" w:eastAsia="宋体" w:cs="宋体"/>
                <w:sz w:val="21"/>
                <w:szCs w:val="21"/>
                <w:highlight w:val="none"/>
                <w:lang w:val="en-US" w:eastAsia="zh-CN"/>
              </w:rPr>
              <w:t>不超过55岁</w:t>
            </w:r>
            <w:r>
              <w:rPr>
                <w:rFonts w:hint="eastAsia" w:ascii="宋体" w:hAnsi="宋体" w:eastAsia="宋体" w:cs="宋体"/>
                <w:color w:val="auto"/>
                <w:sz w:val="21"/>
                <w:szCs w:val="21"/>
                <w:highlight w:val="none"/>
              </w:rPr>
              <w:t>，大专</w:t>
            </w:r>
            <w:r>
              <w:rPr>
                <w:rFonts w:hint="eastAsia" w:ascii="宋体" w:hAnsi="宋体" w:eastAsia="宋体" w:cs="宋体"/>
                <w:color w:val="auto"/>
                <w:sz w:val="21"/>
                <w:szCs w:val="21"/>
                <w:highlight w:val="none"/>
                <w:lang w:val="en-US" w:eastAsia="zh-CN"/>
              </w:rPr>
              <w:t>及</w:t>
            </w:r>
            <w:r>
              <w:rPr>
                <w:rFonts w:hint="eastAsia" w:ascii="宋体" w:hAnsi="宋体" w:eastAsia="宋体" w:cs="宋体"/>
                <w:color w:val="auto"/>
                <w:sz w:val="21"/>
                <w:szCs w:val="21"/>
                <w:highlight w:val="none"/>
              </w:rPr>
              <w:t>以上学历，有较强的组织和管理能力；</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年以上</w:t>
            </w:r>
            <w:r>
              <w:rPr>
                <w:rFonts w:hint="eastAsia" w:ascii="宋体" w:hAnsi="宋体" w:eastAsia="宋体" w:cs="宋体"/>
                <w:color w:val="auto"/>
                <w:sz w:val="21"/>
                <w:szCs w:val="21"/>
                <w:highlight w:val="none"/>
                <w:lang w:val="en-US" w:eastAsia="zh-CN"/>
              </w:rPr>
              <w:t>同类</w:t>
            </w:r>
            <w:r>
              <w:rPr>
                <w:rFonts w:hint="eastAsia" w:ascii="宋体" w:hAnsi="宋体" w:eastAsia="宋体" w:cs="宋体"/>
                <w:color w:val="auto"/>
                <w:sz w:val="21"/>
                <w:szCs w:val="21"/>
                <w:highlight w:val="none"/>
              </w:rPr>
              <w:t>物业经理</w:t>
            </w:r>
            <w:r>
              <w:rPr>
                <w:rFonts w:hint="eastAsia" w:ascii="宋体" w:hAnsi="宋体" w:eastAsia="宋体" w:cs="宋体"/>
                <w:color w:val="auto"/>
                <w:sz w:val="21"/>
                <w:szCs w:val="21"/>
                <w:highlight w:val="none"/>
                <w:lang w:val="en-US" w:eastAsia="zh-CN"/>
              </w:rPr>
              <w:t>/负责人</w:t>
            </w:r>
            <w:r>
              <w:rPr>
                <w:rFonts w:hint="eastAsia" w:ascii="宋体" w:hAnsi="宋体" w:eastAsia="宋体" w:cs="宋体"/>
                <w:color w:val="auto"/>
                <w:sz w:val="21"/>
                <w:szCs w:val="21"/>
                <w:highlight w:val="none"/>
              </w:rPr>
              <w:t>相关工作经历；</w:t>
            </w:r>
            <w:r>
              <w:rPr>
                <w:rFonts w:hint="eastAsia" w:ascii="宋体" w:hAnsi="宋体" w:eastAsia="宋体" w:cs="宋体"/>
                <w:color w:val="auto"/>
                <w:sz w:val="21"/>
                <w:szCs w:val="21"/>
                <w:highlight w:val="none"/>
                <w:lang w:val="en-US" w:eastAsia="zh-CN"/>
              </w:rPr>
              <w:t>持有</w:t>
            </w:r>
            <w:r>
              <w:rPr>
                <w:rFonts w:hint="eastAsia" w:ascii="宋体" w:hAnsi="宋体" w:eastAsia="宋体" w:cs="宋体"/>
                <w:color w:val="auto"/>
                <w:kern w:val="2"/>
                <w:sz w:val="21"/>
                <w:szCs w:val="21"/>
                <w:highlight w:val="none"/>
              </w:rPr>
              <w:t>物业经理上岗培训证书</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熟悉物业管理服务法规、规范，对物业行业有全面了解，并有自己的独到见解，具备独立运作物业管理能力，能够独立掌控各项工作的执行，精通各类文书、档案管理工作。能独立完成项目管理安保、保洁、</w:t>
            </w:r>
            <w:r>
              <w:rPr>
                <w:rFonts w:hint="eastAsia" w:ascii="宋体" w:hAnsi="宋体" w:eastAsia="宋体" w:cs="宋体"/>
                <w:color w:val="auto"/>
                <w:sz w:val="21"/>
                <w:szCs w:val="21"/>
                <w:highlight w:val="none"/>
                <w:lang w:val="en-US" w:eastAsia="zh-CN"/>
              </w:rPr>
              <w:t>车辆管理、洗衣房服务、</w:t>
            </w:r>
            <w:r>
              <w:rPr>
                <w:rFonts w:hint="eastAsia" w:ascii="宋体" w:hAnsi="宋体" w:eastAsia="宋体" w:cs="宋体"/>
                <w:color w:val="auto"/>
                <w:sz w:val="21"/>
                <w:szCs w:val="21"/>
                <w:highlight w:val="none"/>
              </w:rPr>
              <w:t>绿化</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消防</w:t>
            </w:r>
            <w:r>
              <w:rPr>
                <w:rFonts w:hint="eastAsia" w:ascii="宋体" w:hAnsi="宋体" w:eastAsia="宋体" w:cs="宋体"/>
                <w:color w:val="auto"/>
                <w:sz w:val="21"/>
                <w:szCs w:val="21"/>
                <w:highlight w:val="none"/>
              </w:rPr>
              <w:t>等管理</w:t>
            </w:r>
            <w:r>
              <w:rPr>
                <w:rFonts w:hint="eastAsia" w:ascii="宋体" w:hAnsi="宋体" w:eastAsia="宋体" w:cs="宋体"/>
                <w:color w:val="auto"/>
                <w:sz w:val="21"/>
                <w:szCs w:val="21"/>
                <w:highlight w:val="none"/>
                <w:lang w:eastAsia="zh-CN"/>
              </w:rPr>
              <w:t>。</w:t>
            </w:r>
          </w:p>
        </w:tc>
        <w:tc>
          <w:tcPr>
            <w:tcW w:w="1135" w:type="pct"/>
            <w:tcBorders>
              <w:top w:val="single" w:color="000000" w:sz="4" w:space="0"/>
              <w:left w:val="nil"/>
              <w:bottom w:val="single" w:color="auto" w:sz="4" w:space="0"/>
              <w:right w:val="single" w:color="000000" w:sz="4" w:space="0"/>
            </w:tcBorders>
            <w:noWrap w:val="0"/>
            <w:vAlign w:val="center"/>
          </w:tcPr>
          <w:p>
            <w:pPr>
              <w:keepNext w:val="0"/>
              <w:keepLines w:val="0"/>
              <w:pageBreakBefore w:val="0"/>
              <w:kinsoku/>
              <w:wordWrap w:val="0"/>
              <w:overflowPunct/>
              <w:topLinePunct w:val="0"/>
              <w:autoSpaceDE/>
              <w:autoSpaceDN/>
              <w:bidi w:val="0"/>
              <w:adjustRightInd w:val="0"/>
              <w:snapToGrid w:val="0"/>
              <w:spacing w:line="360" w:lineRule="auto"/>
              <w:jc w:val="both"/>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配合</w:t>
            </w:r>
            <w:r>
              <w:rPr>
                <w:rFonts w:hint="eastAsia" w:ascii="宋体" w:hAnsi="宋体" w:eastAsia="宋体" w:cs="宋体"/>
                <w:color w:val="auto"/>
                <w:sz w:val="21"/>
                <w:szCs w:val="21"/>
                <w:highlight w:val="none"/>
                <w:lang w:val="en-US" w:eastAsia="zh-CN"/>
              </w:rPr>
              <w:t>采购人</w:t>
            </w:r>
            <w:r>
              <w:rPr>
                <w:rFonts w:hint="eastAsia" w:ascii="宋体" w:hAnsi="宋体" w:eastAsia="宋体" w:cs="宋体"/>
                <w:color w:val="auto"/>
                <w:sz w:val="21"/>
                <w:szCs w:val="21"/>
                <w:highlight w:val="none"/>
              </w:rPr>
              <w:t>完成相关工作，并负责统筹管理安保、保洁、</w:t>
            </w:r>
            <w:r>
              <w:rPr>
                <w:rFonts w:hint="eastAsia" w:ascii="宋体" w:hAnsi="宋体" w:eastAsia="宋体" w:cs="宋体"/>
                <w:color w:val="auto"/>
                <w:sz w:val="21"/>
                <w:szCs w:val="21"/>
                <w:highlight w:val="none"/>
                <w:lang w:val="en-US" w:eastAsia="zh-CN"/>
              </w:rPr>
              <w:t>车辆管理、洗衣房服务、</w:t>
            </w:r>
            <w:r>
              <w:rPr>
                <w:rFonts w:hint="eastAsia" w:ascii="宋体" w:hAnsi="宋体" w:eastAsia="宋体" w:cs="宋体"/>
                <w:color w:val="auto"/>
                <w:sz w:val="21"/>
                <w:szCs w:val="21"/>
                <w:highlight w:val="none"/>
              </w:rPr>
              <w:t>绿化</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消防</w:t>
            </w:r>
            <w:r>
              <w:rPr>
                <w:rFonts w:hint="eastAsia" w:ascii="宋体" w:hAnsi="宋体" w:eastAsia="宋体" w:cs="宋体"/>
                <w:color w:val="auto"/>
                <w:sz w:val="21"/>
                <w:szCs w:val="21"/>
                <w:highlight w:val="none"/>
              </w:rPr>
              <w:t>等物业服务工作。</w:t>
            </w:r>
          </w:p>
        </w:tc>
        <w:tc>
          <w:tcPr>
            <w:tcW w:w="605" w:type="pct"/>
            <w:tcBorders>
              <w:top w:val="single" w:color="auto" w:sz="4" w:space="0"/>
              <w:left w:val="nil"/>
              <w:bottom w:val="single" w:color="auto" w:sz="4" w:space="0"/>
              <w:right w:val="single" w:color="000000" w:sz="4" w:space="0"/>
            </w:tcBorders>
            <w:noWrap w:val="0"/>
            <w:vAlign w:val="center"/>
          </w:tcPr>
          <w:p>
            <w:pPr>
              <w:keepNext w:val="0"/>
              <w:keepLines w:val="0"/>
              <w:pageBreakBefore w:val="0"/>
              <w:kinsoku/>
              <w:wordWrap w:val="0"/>
              <w:overflowPunct/>
              <w:topLinePunct w:val="0"/>
              <w:autoSpaceDE/>
              <w:autoSpaceDN/>
              <w:bidi w:val="0"/>
              <w:adjustRightInd w:val="0"/>
              <w:snapToGrid w:val="0"/>
              <w:spacing w:line="360" w:lineRule="auto"/>
              <w:jc w:val="both"/>
              <w:textAlignment w:val="center"/>
              <w:rPr>
                <w:rFonts w:hint="eastAsia" w:ascii="宋体" w:hAnsi="宋体" w:eastAsia="宋体" w:cs="宋体"/>
                <w:color w:val="auto"/>
                <w:sz w:val="21"/>
                <w:szCs w:val="21"/>
                <w:highlight w:val="none"/>
                <w:lang w:eastAsia="zh-CN"/>
              </w:rPr>
            </w:pPr>
          </w:p>
        </w:tc>
      </w:tr>
      <w:tr>
        <w:tblPrEx>
          <w:tblCellMar>
            <w:top w:w="0" w:type="dxa"/>
            <w:left w:w="15" w:type="dxa"/>
            <w:bottom w:w="0" w:type="dxa"/>
            <w:right w:w="15" w:type="dxa"/>
          </w:tblCellMar>
        </w:tblPrEx>
        <w:trPr>
          <w:trHeight w:val="873" w:hRule="atLeast"/>
        </w:trPr>
        <w:tc>
          <w:tcPr>
            <w:tcW w:w="438" w:type="pct"/>
            <w:vMerge w:val="restart"/>
            <w:tcBorders>
              <w:top w:val="single" w:color="000000" w:sz="4" w:space="0"/>
              <w:left w:val="single" w:color="000000" w:sz="4" w:space="0"/>
              <w:right w:val="single" w:color="000000" w:sz="4" w:space="0"/>
            </w:tcBorders>
            <w:noWrap w:val="0"/>
            <w:vAlign w:val="center"/>
          </w:tcPr>
          <w:p>
            <w:pPr>
              <w:keepNext w:val="0"/>
              <w:keepLines w:val="0"/>
              <w:pageBreakBefore w:val="0"/>
              <w:kinsoku/>
              <w:wordWrap w:val="0"/>
              <w:overflowPunct/>
              <w:topLinePunct w:val="0"/>
              <w:autoSpaceDE/>
              <w:autoSpaceDN/>
              <w:bidi w:val="0"/>
              <w:adjustRightInd w:val="0"/>
              <w:snapToGrid w:val="0"/>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保安员</w:t>
            </w:r>
          </w:p>
        </w:tc>
        <w:tc>
          <w:tcPr>
            <w:tcW w:w="342" w:type="pct"/>
            <w:vMerge w:val="restart"/>
            <w:tcBorders>
              <w:top w:val="single" w:color="000000" w:sz="4" w:space="0"/>
              <w:left w:val="nil"/>
              <w:right w:val="single" w:color="000000" w:sz="4" w:space="0"/>
            </w:tcBorders>
            <w:noWrap w:val="0"/>
            <w:vAlign w:val="center"/>
          </w:tcPr>
          <w:p>
            <w:pPr>
              <w:keepNext w:val="0"/>
              <w:keepLines w:val="0"/>
              <w:pageBreakBefore w:val="0"/>
              <w:kinsoku/>
              <w:wordWrap w:val="0"/>
              <w:overflowPunct/>
              <w:topLinePunct w:val="0"/>
              <w:autoSpaceDE/>
              <w:autoSpaceDN/>
              <w:bidi w:val="0"/>
              <w:adjustRightInd w:val="0"/>
              <w:snapToGrid w:val="0"/>
              <w:spacing w:line="360" w:lineRule="auto"/>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w:t>
            </w:r>
          </w:p>
        </w:tc>
        <w:tc>
          <w:tcPr>
            <w:tcW w:w="829" w:type="pct"/>
            <w:tcBorders>
              <w:top w:val="single" w:color="000000" w:sz="4" w:space="0"/>
              <w:left w:val="nil"/>
              <w:bottom w:val="single" w:color="000000" w:sz="4" w:space="0"/>
              <w:right w:val="single" w:color="000000" w:sz="4" w:space="0"/>
            </w:tcBorders>
            <w:noWrap w:val="0"/>
            <w:vAlign w:val="center"/>
          </w:tcPr>
          <w:p>
            <w:pPr>
              <w:keepNext w:val="0"/>
              <w:keepLines w:val="0"/>
              <w:pageBreakBefore w:val="0"/>
              <w:widowControl w:val="0"/>
              <w:numPr>
                <w:ilvl w:val="-1"/>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rPr>
              <w:t>本院区6人</w:t>
            </w:r>
          </w:p>
        </w:tc>
        <w:tc>
          <w:tcPr>
            <w:tcW w:w="3183" w:type="dxa"/>
            <w:vMerge w:val="restart"/>
            <w:tcBorders>
              <w:top w:val="single" w:color="000000" w:sz="4" w:space="0"/>
              <w:left w:val="nil"/>
              <w:right w:val="single" w:color="000000" w:sz="4" w:space="0"/>
            </w:tcBorders>
            <w:noWrap w:val="0"/>
            <w:vAlign w:val="center"/>
          </w:tcPr>
          <w:p>
            <w:pPr>
              <w:pStyle w:val="17"/>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持有保安证，男女不限，</w:t>
            </w:r>
            <w:r>
              <w:rPr>
                <w:rFonts w:hint="eastAsia" w:ascii="宋体" w:hAnsi="宋体" w:eastAsia="宋体" w:cs="宋体"/>
                <w:sz w:val="21"/>
                <w:szCs w:val="21"/>
                <w:highlight w:val="none"/>
                <w:lang w:val="en-US" w:eastAsia="zh-CN"/>
              </w:rPr>
              <w:t>不超过55岁（</w:t>
            </w:r>
            <w:r>
              <w:rPr>
                <w:rFonts w:hint="eastAsia" w:ascii="宋体" w:hAnsi="宋体" w:eastAsia="宋体" w:cs="宋体"/>
                <w:b/>
                <w:bCs/>
                <w:color w:val="auto"/>
                <w:sz w:val="21"/>
                <w:szCs w:val="21"/>
                <w:highlight w:val="none"/>
              </w:rPr>
              <w:t>50岁以下保安人数不低于80%</w:t>
            </w:r>
            <w:r>
              <w:rPr>
                <w:rFonts w:hint="eastAsia" w:ascii="宋体" w:hAnsi="宋体" w:eastAsia="宋体" w:cs="宋体"/>
                <w:b/>
                <w:bCs/>
                <w:color w:val="auto"/>
                <w:sz w:val="21"/>
                <w:szCs w:val="21"/>
                <w:highlight w:val="none"/>
                <w:lang w:eastAsia="zh-CN"/>
              </w:rPr>
              <w:t>）</w:t>
            </w:r>
            <w:r>
              <w:rPr>
                <w:rFonts w:hint="eastAsia" w:ascii="宋体" w:hAnsi="宋体" w:eastAsia="宋体" w:cs="宋体"/>
                <w:color w:val="auto"/>
                <w:sz w:val="21"/>
                <w:szCs w:val="21"/>
                <w:highlight w:val="none"/>
              </w:rPr>
              <w:t>，身体健康，品貌端正，品行优良、纪律性强，工作认真负责，作风正派，反应敏捷，具有较强执勤履职能力，能胜任安保执勤点的岗位任务。实行24小时值班制度。</w:t>
            </w:r>
            <w:r>
              <w:rPr>
                <w:rFonts w:hint="eastAsia" w:ascii="宋体" w:hAnsi="宋体" w:eastAsia="宋体" w:cs="宋体"/>
                <w:color w:val="auto"/>
                <w:sz w:val="21"/>
                <w:szCs w:val="21"/>
                <w:highlight w:val="none"/>
                <w:lang w:val="en-US" w:eastAsia="zh-CN"/>
              </w:rPr>
              <w:t>其中一人为保安队长（有一年及以上保安队长管理经验</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具</w:t>
            </w:r>
            <w:r>
              <w:rPr>
                <w:rFonts w:hint="eastAsia" w:ascii="宋体" w:hAnsi="宋体" w:eastAsia="宋体" w:cs="宋体"/>
                <w:color w:val="auto"/>
                <w:sz w:val="21"/>
                <w:szCs w:val="21"/>
                <w:highlight w:val="none"/>
                <w:lang w:val="en-US" w:eastAsia="zh-CN"/>
              </w:rPr>
              <w:t>有退伍军人证</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lang w:val="en-US" w:eastAsia="zh-CN"/>
              </w:rPr>
              <w:t>优先考虑）。</w:t>
            </w:r>
          </w:p>
        </w:tc>
        <w:tc>
          <w:tcPr>
            <w:tcW w:w="1135" w:type="pct"/>
            <w:vMerge w:val="restart"/>
            <w:tcBorders>
              <w:top w:val="single" w:color="auto" w:sz="4" w:space="0"/>
              <w:left w:val="nil"/>
              <w:right w:val="single" w:color="000000" w:sz="4" w:space="0"/>
            </w:tcBorders>
            <w:noWrap w:val="0"/>
            <w:vAlign w:val="center"/>
          </w:tcPr>
          <w:p>
            <w:pPr>
              <w:keepNext w:val="0"/>
              <w:keepLines w:val="0"/>
              <w:pageBreakBefore w:val="0"/>
              <w:kinsoku/>
              <w:wordWrap w:val="0"/>
              <w:overflowPunct/>
              <w:topLinePunct w:val="0"/>
              <w:autoSpaceDE/>
              <w:autoSpaceDN/>
              <w:bidi w:val="0"/>
              <w:adjustRightInd w:val="0"/>
              <w:snapToGrid w:val="0"/>
              <w:spacing w:line="360" w:lineRule="auto"/>
              <w:jc w:val="both"/>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做好项目的安全保卫、公共秩序维护、出入登记管理、</w:t>
            </w:r>
            <w:r>
              <w:rPr>
                <w:rFonts w:hint="eastAsia" w:ascii="宋体" w:hAnsi="宋体" w:eastAsia="宋体" w:cs="宋体"/>
                <w:color w:val="auto"/>
                <w:sz w:val="21"/>
                <w:szCs w:val="21"/>
                <w:highlight w:val="none"/>
                <w:lang w:val="en-US" w:eastAsia="zh-CN"/>
              </w:rPr>
              <w:t>车辆管理</w:t>
            </w:r>
            <w:r>
              <w:rPr>
                <w:rFonts w:hint="eastAsia" w:ascii="宋体" w:hAnsi="宋体" w:eastAsia="宋体" w:cs="宋体"/>
                <w:color w:val="auto"/>
                <w:sz w:val="21"/>
                <w:szCs w:val="21"/>
                <w:highlight w:val="none"/>
              </w:rPr>
              <w:t>、消防安全检查工作</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保障</w:t>
            </w:r>
            <w:r>
              <w:rPr>
                <w:rFonts w:hint="eastAsia" w:ascii="宋体" w:hAnsi="宋体" w:eastAsia="宋体" w:cs="宋体"/>
                <w:color w:val="auto"/>
                <w:sz w:val="21"/>
                <w:szCs w:val="21"/>
                <w:highlight w:val="none"/>
                <w:lang w:val="en-US" w:eastAsia="zh-CN"/>
              </w:rPr>
              <w:t>医院</w:t>
            </w:r>
            <w:r>
              <w:rPr>
                <w:rFonts w:hint="eastAsia" w:ascii="宋体" w:hAnsi="宋体" w:eastAsia="宋体" w:cs="宋体"/>
                <w:color w:val="auto"/>
                <w:sz w:val="21"/>
                <w:szCs w:val="21"/>
                <w:highlight w:val="none"/>
              </w:rPr>
              <w:t>人身、财物、消防、治安等安全及工作秩序正常。</w:t>
            </w:r>
          </w:p>
        </w:tc>
        <w:tc>
          <w:tcPr>
            <w:tcW w:w="605" w:type="pct"/>
            <w:vMerge w:val="restart"/>
            <w:tcBorders>
              <w:top w:val="single" w:color="auto" w:sz="4" w:space="0"/>
              <w:left w:val="nil"/>
              <w:right w:val="single" w:color="000000" w:sz="4" w:space="0"/>
            </w:tcBorders>
            <w:noWrap w:val="0"/>
            <w:vAlign w:val="center"/>
          </w:tcPr>
          <w:p>
            <w:pPr>
              <w:keepNext w:val="0"/>
              <w:keepLines w:val="0"/>
              <w:pageBreakBefore w:val="0"/>
              <w:widowControl/>
              <w:kinsoku/>
              <w:wordWrap w:val="0"/>
              <w:overflowPunct/>
              <w:topLinePunct w:val="0"/>
              <w:autoSpaceDE/>
              <w:autoSpaceDN/>
              <w:bidi w:val="0"/>
              <w:spacing w:line="360" w:lineRule="auto"/>
              <w:jc w:val="both"/>
              <w:rPr>
                <w:rFonts w:hint="eastAsia" w:ascii="宋体" w:hAnsi="宋体" w:eastAsia="宋体" w:cs="宋体"/>
                <w:color w:val="auto"/>
                <w:sz w:val="21"/>
                <w:szCs w:val="21"/>
                <w:highlight w:val="none"/>
                <w:lang w:val="en-US" w:eastAsia="zh-CN"/>
              </w:rPr>
            </w:pPr>
          </w:p>
        </w:tc>
      </w:tr>
      <w:tr>
        <w:tblPrEx>
          <w:tblCellMar>
            <w:top w:w="0" w:type="dxa"/>
            <w:left w:w="15" w:type="dxa"/>
            <w:bottom w:w="0" w:type="dxa"/>
            <w:right w:w="15" w:type="dxa"/>
          </w:tblCellMar>
        </w:tblPrEx>
        <w:trPr>
          <w:trHeight w:val="717" w:hRule="atLeast"/>
        </w:trPr>
        <w:tc>
          <w:tcPr>
            <w:tcW w:w="438" w:type="pct"/>
            <w:vMerge w:val="continue"/>
            <w:tcBorders>
              <w:left w:val="single" w:color="000000" w:sz="4" w:space="0"/>
              <w:right w:val="single" w:color="000000" w:sz="4" w:space="0"/>
            </w:tcBorders>
            <w:noWrap w:val="0"/>
            <w:vAlign w:val="center"/>
          </w:tcPr>
          <w:p>
            <w:pPr>
              <w:keepNext w:val="0"/>
              <w:keepLines w:val="0"/>
              <w:pageBreakBefore w:val="0"/>
              <w:kinsoku/>
              <w:wordWrap w:val="0"/>
              <w:overflowPunct/>
              <w:topLinePunct w:val="0"/>
              <w:autoSpaceDE/>
              <w:autoSpaceDN/>
              <w:bidi w:val="0"/>
              <w:adjustRightInd w:val="0"/>
              <w:snapToGrid w:val="0"/>
              <w:spacing w:line="360" w:lineRule="auto"/>
              <w:jc w:val="center"/>
              <w:textAlignment w:val="center"/>
              <w:rPr>
                <w:rFonts w:hint="eastAsia" w:ascii="宋体" w:hAnsi="宋体" w:eastAsia="宋体" w:cs="宋体"/>
                <w:color w:val="auto"/>
                <w:sz w:val="21"/>
                <w:szCs w:val="21"/>
                <w:highlight w:val="none"/>
              </w:rPr>
            </w:pPr>
          </w:p>
        </w:tc>
        <w:tc>
          <w:tcPr>
            <w:tcW w:w="342" w:type="pct"/>
            <w:vMerge w:val="continue"/>
            <w:tcBorders>
              <w:left w:val="nil"/>
              <w:right w:val="single" w:color="000000" w:sz="4" w:space="0"/>
            </w:tcBorders>
            <w:noWrap w:val="0"/>
            <w:vAlign w:val="center"/>
          </w:tcPr>
          <w:p>
            <w:pPr>
              <w:keepNext w:val="0"/>
              <w:keepLines w:val="0"/>
              <w:pageBreakBefore w:val="0"/>
              <w:kinsoku/>
              <w:wordWrap w:val="0"/>
              <w:overflowPunct/>
              <w:topLinePunct w:val="0"/>
              <w:autoSpaceDE/>
              <w:autoSpaceDN/>
              <w:bidi w:val="0"/>
              <w:adjustRightInd w:val="0"/>
              <w:snapToGrid w:val="0"/>
              <w:spacing w:line="360" w:lineRule="auto"/>
              <w:jc w:val="center"/>
              <w:textAlignment w:val="center"/>
              <w:rPr>
                <w:rFonts w:hint="eastAsia" w:ascii="宋体" w:hAnsi="宋体" w:eastAsia="宋体" w:cs="宋体"/>
                <w:color w:val="auto"/>
                <w:sz w:val="21"/>
                <w:szCs w:val="21"/>
                <w:highlight w:val="none"/>
              </w:rPr>
            </w:pPr>
          </w:p>
        </w:tc>
        <w:tc>
          <w:tcPr>
            <w:tcW w:w="829" w:type="pct"/>
            <w:tcBorders>
              <w:top w:val="single" w:color="000000" w:sz="4" w:space="0"/>
              <w:left w:val="nil"/>
              <w:bottom w:val="single" w:color="000000" w:sz="4" w:space="0"/>
              <w:right w:val="single" w:color="000000" w:sz="4" w:space="0"/>
            </w:tcBorders>
            <w:noWrap w:val="0"/>
            <w:vAlign w:val="center"/>
          </w:tcPr>
          <w:p>
            <w:pPr>
              <w:keepNext w:val="0"/>
              <w:keepLines w:val="0"/>
              <w:pageBreakBefore w:val="0"/>
              <w:widowControl w:val="0"/>
              <w:numPr>
                <w:ilvl w:val="-1"/>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1"/>
                <w:szCs w:val="21"/>
                <w:highlight w:val="none"/>
                <w:lang w:val="en-US"/>
              </w:rPr>
            </w:pPr>
            <w:r>
              <w:rPr>
                <w:rFonts w:hint="eastAsia" w:ascii="宋体" w:hAnsi="宋体" w:eastAsia="宋体" w:cs="宋体"/>
                <w:b w:val="0"/>
                <w:bCs w:val="0"/>
                <w:color w:val="auto"/>
                <w:sz w:val="21"/>
                <w:szCs w:val="21"/>
                <w:highlight w:val="none"/>
                <w:lang w:val="en-US" w:eastAsia="zh-CN"/>
              </w:rPr>
              <w:t xml:space="preserve">康复中心区3人 </w:t>
            </w:r>
          </w:p>
        </w:tc>
        <w:tc>
          <w:tcPr>
            <w:tcW w:w="1648" w:type="pct"/>
            <w:vMerge w:val="continue"/>
            <w:tcBorders>
              <w:left w:val="nil"/>
              <w:right w:val="single" w:color="000000" w:sz="4" w:space="0"/>
            </w:tcBorders>
            <w:noWrap w:val="0"/>
            <w:vAlign w:val="center"/>
          </w:tcPr>
          <w:p>
            <w:pPr>
              <w:keepNext w:val="0"/>
              <w:keepLines w:val="0"/>
              <w:pageBreakBefore w:val="0"/>
              <w:kinsoku/>
              <w:wordWrap w:val="0"/>
              <w:overflowPunct/>
              <w:topLinePunct w:val="0"/>
              <w:autoSpaceDE/>
              <w:autoSpaceDN/>
              <w:bidi w:val="0"/>
              <w:adjustRightInd w:val="0"/>
              <w:snapToGrid w:val="0"/>
              <w:spacing w:line="360" w:lineRule="auto"/>
              <w:jc w:val="center"/>
              <w:textAlignment w:val="center"/>
              <w:rPr>
                <w:rFonts w:hint="eastAsia" w:ascii="宋体" w:hAnsi="宋体" w:eastAsia="宋体" w:cs="宋体"/>
                <w:color w:val="auto"/>
                <w:sz w:val="21"/>
                <w:szCs w:val="21"/>
                <w:highlight w:val="none"/>
              </w:rPr>
            </w:pPr>
          </w:p>
        </w:tc>
        <w:tc>
          <w:tcPr>
            <w:tcW w:w="1135" w:type="pct"/>
            <w:vMerge w:val="continue"/>
            <w:tcBorders>
              <w:left w:val="nil"/>
              <w:right w:val="single" w:color="000000" w:sz="4" w:space="0"/>
            </w:tcBorders>
            <w:noWrap w:val="0"/>
            <w:vAlign w:val="center"/>
          </w:tcPr>
          <w:p>
            <w:pPr>
              <w:keepNext w:val="0"/>
              <w:keepLines w:val="0"/>
              <w:pageBreakBefore w:val="0"/>
              <w:kinsoku/>
              <w:wordWrap w:val="0"/>
              <w:overflowPunct/>
              <w:topLinePunct w:val="0"/>
              <w:autoSpaceDE/>
              <w:autoSpaceDN/>
              <w:bidi w:val="0"/>
              <w:adjustRightInd w:val="0"/>
              <w:snapToGrid w:val="0"/>
              <w:spacing w:line="360" w:lineRule="auto"/>
              <w:jc w:val="center"/>
              <w:textAlignment w:val="center"/>
              <w:rPr>
                <w:rFonts w:hint="eastAsia" w:ascii="宋体" w:hAnsi="宋体" w:eastAsia="宋体" w:cs="宋体"/>
                <w:color w:val="auto"/>
                <w:sz w:val="21"/>
                <w:szCs w:val="21"/>
                <w:highlight w:val="none"/>
              </w:rPr>
            </w:pPr>
          </w:p>
        </w:tc>
        <w:tc>
          <w:tcPr>
            <w:tcW w:w="605" w:type="pct"/>
            <w:vMerge w:val="continue"/>
            <w:tcBorders>
              <w:left w:val="nil"/>
              <w:right w:val="single" w:color="000000" w:sz="4" w:space="0"/>
            </w:tcBorders>
            <w:noWrap w:val="0"/>
            <w:vAlign w:val="center"/>
          </w:tcPr>
          <w:p>
            <w:pPr>
              <w:keepNext w:val="0"/>
              <w:keepLines w:val="0"/>
              <w:pageBreakBefore w:val="0"/>
              <w:kinsoku/>
              <w:wordWrap w:val="0"/>
              <w:overflowPunct/>
              <w:topLinePunct w:val="0"/>
              <w:autoSpaceDE/>
              <w:autoSpaceDN/>
              <w:bidi w:val="0"/>
              <w:adjustRightInd w:val="0"/>
              <w:snapToGrid w:val="0"/>
              <w:spacing w:line="360" w:lineRule="auto"/>
              <w:jc w:val="center"/>
              <w:textAlignment w:val="center"/>
              <w:rPr>
                <w:rFonts w:hint="eastAsia" w:ascii="宋体" w:hAnsi="宋体" w:eastAsia="宋体" w:cs="宋体"/>
                <w:color w:val="auto"/>
                <w:sz w:val="21"/>
                <w:szCs w:val="21"/>
                <w:highlight w:val="none"/>
              </w:rPr>
            </w:pPr>
          </w:p>
        </w:tc>
      </w:tr>
      <w:tr>
        <w:tblPrEx>
          <w:tblCellMar>
            <w:top w:w="0" w:type="dxa"/>
            <w:left w:w="15" w:type="dxa"/>
            <w:bottom w:w="0" w:type="dxa"/>
            <w:right w:w="15" w:type="dxa"/>
          </w:tblCellMar>
        </w:tblPrEx>
        <w:trPr>
          <w:trHeight w:val="480" w:hRule="atLeast"/>
        </w:trPr>
        <w:tc>
          <w:tcPr>
            <w:tcW w:w="438" w:type="pct"/>
            <w:vMerge w:val="continue"/>
            <w:tcBorders>
              <w:left w:val="single" w:color="000000" w:sz="4" w:space="0"/>
              <w:bottom w:val="single" w:color="000000" w:sz="4" w:space="0"/>
              <w:right w:val="single" w:color="000000" w:sz="4" w:space="0"/>
            </w:tcBorders>
            <w:noWrap w:val="0"/>
            <w:vAlign w:val="center"/>
          </w:tcPr>
          <w:p>
            <w:pPr>
              <w:keepNext w:val="0"/>
              <w:keepLines w:val="0"/>
              <w:pageBreakBefore w:val="0"/>
              <w:kinsoku/>
              <w:wordWrap w:val="0"/>
              <w:overflowPunct/>
              <w:topLinePunct w:val="0"/>
              <w:autoSpaceDE/>
              <w:autoSpaceDN/>
              <w:bidi w:val="0"/>
              <w:adjustRightInd w:val="0"/>
              <w:snapToGrid w:val="0"/>
              <w:spacing w:line="360" w:lineRule="auto"/>
              <w:jc w:val="center"/>
              <w:textAlignment w:val="center"/>
              <w:rPr>
                <w:rFonts w:hint="eastAsia" w:ascii="宋体" w:hAnsi="宋体" w:eastAsia="宋体" w:cs="宋体"/>
                <w:color w:val="auto"/>
                <w:sz w:val="21"/>
                <w:szCs w:val="21"/>
                <w:highlight w:val="none"/>
              </w:rPr>
            </w:pPr>
          </w:p>
        </w:tc>
        <w:tc>
          <w:tcPr>
            <w:tcW w:w="342" w:type="pct"/>
            <w:vMerge w:val="continue"/>
            <w:tcBorders>
              <w:left w:val="nil"/>
              <w:bottom w:val="single" w:color="000000" w:sz="4" w:space="0"/>
              <w:right w:val="single" w:color="000000" w:sz="4" w:space="0"/>
            </w:tcBorders>
            <w:noWrap w:val="0"/>
            <w:vAlign w:val="center"/>
          </w:tcPr>
          <w:p>
            <w:pPr>
              <w:keepNext w:val="0"/>
              <w:keepLines w:val="0"/>
              <w:pageBreakBefore w:val="0"/>
              <w:kinsoku/>
              <w:wordWrap w:val="0"/>
              <w:overflowPunct/>
              <w:topLinePunct w:val="0"/>
              <w:autoSpaceDE/>
              <w:autoSpaceDN/>
              <w:bidi w:val="0"/>
              <w:adjustRightInd w:val="0"/>
              <w:snapToGrid w:val="0"/>
              <w:spacing w:line="360" w:lineRule="auto"/>
              <w:jc w:val="center"/>
              <w:textAlignment w:val="center"/>
              <w:rPr>
                <w:rFonts w:hint="eastAsia" w:ascii="宋体" w:hAnsi="宋体" w:eastAsia="宋体" w:cs="宋体"/>
                <w:color w:val="auto"/>
                <w:sz w:val="21"/>
                <w:szCs w:val="21"/>
                <w:highlight w:val="none"/>
              </w:rPr>
            </w:pPr>
          </w:p>
        </w:tc>
        <w:tc>
          <w:tcPr>
            <w:tcW w:w="829" w:type="pct"/>
            <w:tcBorders>
              <w:top w:val="single" w:color="000000" w:sz="4" w:space="0"/>
              <w:left w:val="nil"/>
              <w:bottom w:val="single" w:color="000000" w:sz="4" w:space="0"/>
              <w:right w:val="single" w:color="000000" w:sz="4" w:space="0"/>
            </w:tcBorders>
            <w:noWrap w:val="0"/>
            <w:vAlign w:val="center"/>
          </w:tcPr>
          <w:p>
            <w:pPr>
              <w:keepNext w:val="0"/>
              <w:keepLines w:val="0"/>
              <w:pageBreakBefore w:val="0"/>
              <w:widowControl w:val="0"/>
              <w:numPr>
                <w:ilvl w:val="-1"/>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1"/>
                <w:szCs w:val="21"/>
                <w:highlight w:val="none"/>
                <w:lang w:val="en-US"/>
              </w:rPr>
            </w:pPr>
            <w:r>
              <w:rPr>
                <w:rFonts w:hint="eastAsia" w:ascii="宋体" w:hAnsi="宋体" w:eastAsia="宋体" w:cs="宋体"/>
                <w:b w:val="0"/>
                <w:bCs w:val="0"/>
                <w:color w:val="auto"/>
                <w:sz w:val="21"/>
                <w:szCs w:val="21"/>
                <w:highlight w:val="none"/>
                <w:lang w:val="en-US" w:eastAsia="zh-CN"/>
              </w:rPr>
              <w:t>人民银行院区3人</w:t>
            </w:r>
          </w:p>
        </w:tc>
        <w:tc>
          <w:tcPr>
            <w:tcW w:w="1648" w:type="pct"/>
            <w:vMerge w:val="continue"/>
            <w:tcBorders>
              <w:left w:val="nil"/>
              <w:bottom w:val="single" w:color="000000" w:sz="4" w:space="0"/>
              <w:right w:val="single" w:color="000000" w:sz="4" w:space="0"/>
            </w:tcBorders>
            <w:noWrap w:val="0"/>
            <w:vAlign w:val="center"/>
          </w:tcPr>
          <w:p>
            <w:pPr>
              <w:keepNext w:val="0"/>
              <w:keepLines w:val="0"/>
              <w:pageBreakBefore w:val="0"/>
              <w:kinsoku/>
              <w:wordWrap w:val="0"/>
              <w:overflowPunct/>
              <w:topLinePunct w:val="0"/>
              <w:autoSpaceDE/>
              <w:autoSpaceDN/>
              <w:bidi w:val="0"/>
              <w:adjustRightInd w:val="0"/>
              <w:snapToGrid w:val="0"/>
              <w:spacing w:line="360" w:lineRule="auto"/>
              <w:jc w:val="center"/>
              <w:textAlignment w:val="center"/>
              <w:rPr>
                <w:rFonts w:hint="eastAsia" w:ascii="宋体" w:hAnsi="宋体" w:eastAsia="宋体" w:cs="宋体"/>
                <w:color w:val="auto"/>
                <w:sz w:val="21"/>
                <w:szCs w:val="21"/>
                <w:highlight w:val="none"/>
              </w:rPr>
            </w:pPr>
          </w:p>
        </w:tc>
        <w:tc>
          <w:tcPr>
            <w:tcW w:w="1135" w:type="pct"/>
            <w:vMerge w:val="continue"/>
            <w:tcBorders>
              <w:left w:val="nil"/>
              <w:bottom w:val="single" w:color="000000" w:sz="4" w:space="0"/>
              <w:right w:val="single" w:color="000000" w:sz="4" w:space="0"/>
            </w:tcBorders>
            <w:noWrap w:val="0"/>
            <w:vAlign w:val="center"/>
          </w:tcPr>
          <w:p>
            <w:pPr>
              <w:keepNext w:val="0"/>
              <w:keepLines w:val="0"/>
              <w:pageBreakBefore w:val="0"/>
              <w:kinsoku/>
              <w:wordWrap w:val="0"/>
              <w:overflowPunct/>
              <w:topLinePunct w:val="0"/>
              <w:autoSpaceDE/>
              <w:autoSpaceDN/>
              <w:bidi w:val="0"/>
              <w:adjustRightInd w:val="0"/>
              <w:snapToGrid w:val="0"/>
              <w:spacing w:line="360" w:lineRule="auto"/>
              <w:jc w:val="center"/>
              <w:textAlignment w:val="center"/>
              <w:rPr>
                <w:rFonts w:hint="eastAsia" w:ascii="宋体" w:hAnsi="宋体" w:eastAsia="宋体" w:cs="宋体"/>
                <w:color w:val="auto"/>
                <w:sz w:val="21"/>
                <w:szCs w:val="21"/>
                <w:highlight w:val="none"/>
              </w:rPr>
            </w:pPr>
          </w:p>
        </w:tc>
        <w:tc>
          <w:tcPr>
            <w:tcW w:w="605" w:type="pct"/>
            <w:vMerge w:val="continue"/>
            <w:tcBorders>
              <w:left w:val="nil"/>
              <w:bottom w:val="nil"/>
              <w:right w:val="single" w:color="000000" w:sz="4" w:space="0"/>
            </w:tcBorders>
            <w:noWrap w:val="0"/>
            <w:vAlign w:val="center"/>
          </w:tcPr>
          <w:p>
            <w:pPr>
              <w:keepNext w:val="0"/>
              <w:keepLines w:val="0"/>
              <w:pageBreakBefore w:val="0"/>
              <w:kinsoku/>
              <w:wordWrap w:val="0"/>
              <w:overflowPunct/>
              <w:topLinePunct w:val="0"/>
              <w:autoSpaceDE/>
              <w:autoSpaceDN/>
              <w:bidi w:val="0"/>
              <w:adjustRightInd w:val="0"/>
              <w:snapToGrid w:val="0"/>
              <w:spacing w:line="360" w:lineRule="auto"/>
              <w:jc w:val="center"/>
              <w:textAlignment w:val="center"/>
              <w:rPr>
                <w:rFonts w:hint="eastAsia" w:ascii="宋体" w:hAnsi="宋体" w:eastAsia="宋体" w:cs="宋体"/>
                <w:color w:val="auto"/>
                <w:sz w:val="21"/>
                <w:szCs w:val="21"/>
                <w:highlight w:val="none"/>
              </w:rPr>
            </w:pPr>
          </w:p>
        </w:tc>
      </w:tr>
      <w:tr>
        <w:tblPrEx>
          <w:tblCellMar>
            <w:top w:w="0" w:type="dxa"/>
            <w:left w:w="15" w:type="dxa"/>
            <w:bottom w:w="0" w:type="dxa"/>
            <w:right w:w="15" w:type="dxa"/>
          </w:tblCellMar>
        </w:tblPrEx>
        <w:trPr>
          <w:trHeight w:val="23" w:hRule="atLeast"/>
        </w:trPr>
        <w:tc>
          <w:tcPr>
            <w:tcW w:w="43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val="0"/>
              <w:overflowPunct/>
              <w:topLinePunct w:val="0"/>
              <w:autoSpaceDE/>
              <w:autoSpaceDN/>
              <w:bidi w:val="0"/>
              <w:adjustRightInd w:val="0"/>
              <w:snapToGrid w:val="0"/>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rPr>
              <w:t>消控室操作员</w:t>
            </w:r>
          </w:p>
        </w:tc>
        <w:tc>
          <w:tcPr>
            <w:tcW w:w="1172" w:type="pct"/>
            <w:gridSpan w:val="2"/>
            <w:tcBorders>
              <w:top w:val="single" w:color="000000" w:sz="4" w:space="0"/>
              <w:left w:val="nil"/>
              <w:bottom w:val="single" w:color="000000" w:sz="4" w:space="0"/>
              <w:right w:val="single" w:color="000000" w:sz="4" w:space="0"/>
            </w:tcBorders>
            <w:noWrap w:val="0"/>
            <w:vAlign w:val="center"/>
          </w:tcPr>
          <w:p>
            <w:pPr>
              <w:keepNext w:val="0"/>
              <w:keepLines w:val="0"/>
              <w:pageBreakBefore w:val="0"/>
              <w:kinsoku/>
              <w:wordWrap w:val="0"/>
              <w:overflowPunct/>
              <w:topLinePunct w:val="0"/>
              <w:autoSpaceDE/>
              <w:autoSpaceDN/>
              <w:bidi w:val="0"/>
              <w:adjustRightInd w:val="0"/>
              <w:snapToGrid w:val="0"/>
              <w:spacing w:line="360" w:lineRule="auto"/>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4</w:t>
            </w:r>
          </w:p>
        </w:tc>
        <w:tc>
          <w:tcPr>
            <w:tcW w:w="3183" w:type="dxa"/>
            <w:tcBorders>
              <w:top w:val="single" w:color="000000" w:sz="4" w:space="0"/>
              <w:left w:val="nil"/>
              <w:bottom w:val="single" w:color="000000" w:sz="4" w:space="0"/>
              <w:right w:val="single" w:color="000000" w:sz="4" w:space="0"/>
            </w:tcBorders>
            <w:noWrap w:val="0"/>
            <w:vAlign w:val="center"/>
          </w:tcPr>
          <w:p>
            <w:pPr>
              <w:keepNext w:val="0"/>
              <w:keepLines w:val="0"/>
              <w:pageBreakBefore w:val="0"/>
              <w:widowControl w:val="0"/>
              <w:numPr>
                <w:ilvl w:val="-1"/>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男女不限，</w:t>
            </w:r>
            <w:r>
              <w:rPr>
                <w:rFonts w:hint="eastAsia" w:ascii="宋体" w:hAnsi="宋体" w:eastAsia="宋体" w:cs="宋体"/>
                <w:sz w:val="21"/>
                <w:szCs w:val="21"/>
                <w:highlight w:val="none"/>
                <w:lang w:val="en-US" w:eastAsia="zh-CN"/>
              </w:rPr>
              <w:t>不超过55岁</w:t>
            </w:r>
            <w:r>
              <w:rPr>
                <w:rFonts w:hint="eastAsia" w:ascii="宋体" w:hAnsi="宋体" w:eastAsia="宋体" w:cs="宋体"/>
                <w:color w:val="auto"/>
                <w:sz w:val="21"/>
                <w:szCs w:val="21"/>
                <w:highlight w:val="none"/>
              </w:rPr>
              <w:t>，身体健康，品貌端正，品行优良、纪律性强，工作认真负责，作风正派，反应敏捷，具有较强执勤履职能力，能胜任</w:t>
            </w:r>
            <w:r>
              <w:rPr>
                <w:rFonts w:hint="eastAsia" w:ascii="宋体" w:hAnsi="宋体" w:eastAsia="宋体" w:cs="宋体"/>
                <w:b w:val="0"/>
                <w:bCs w:val="0"/>
                <w:color w:val="auto"/>
                <w:sz w:val="21"/>
                <w:szCs w:val="21"/>
                <w:highlight w:val="none"/>
                <w:lang w:val="en-US" w:eastAsia="zh-CN"/>
              </w:rPr>
              <w:t>消控室操作员</w:t>
            </w:r>
            <w:r>
              <w:rPr>
                <w:rFonts w:hint="eastAsia" w:ascii="宋体" w:hAnsi="宋体" w:eastAsia="宋体" w:cs="宋体"/>
                <w:color w:val="auto"/>
                <w:sz w:val="21"/>
                <w:szCs w:val="21"/>
                <w:highlight w:val="none"/>
              </w:rPr>
              <w:t>的岗位任务。实行24小时值班制度。</w:t>
            </w:r>
            <w:r>
              <w:rPr>
                <w:rFonts w:hint="eastAsia" w:ascii="宋体" w:hAnsi="宋体" w:eastAsia="宋体" w:cs="宋体"/>
                <w:color w:val="auto"/>
                <w:kern w:val="2"/>
                <w:sz w:val="21"/>
                <w:szCs w:val="21"/>
                <w:highlight w:val="none"/>
                <w:lang w:val="en-US" w:eastAsia="zh-CN" w:bidi="ar-SA"/>
              </w:rPr>
              <w:t>持有中级</w:t>
            </w:r>
            <w:r>
              <w:rPr>
                <w:rFonts w:hint="eastAsia" w:ascii="宋体" w:hAnsi="宋体" w:eastAsia="宋体" w:cs="宋体"/>
                <w:sz w:val="21"/>
                <w:szCs w:val="21"/>
                <w:highlight w:val="none"/>
                <w:lang w:eastAsia="zh-CN"/>
              </w:rPr>
              <w:t>及以上</w:t>
            </w:r>
            <w:r>
              <w:rPr>
                <w:rFonts w:hint="eastAsia" w:ascii="宋体" w:hAnsi="宋体" w:eastAsia="宋体" w:cs="宋体"/>
                <w:color w:val="auto"/>
                <w:kern w:val="2"/>
                <w:sz w:val="21"/>
                <w:szCs w:val="21"/>
                <w:highlight w:val="none"/>
                <w:lang w:val="en-US" w:eastAsia="zh-CN" w:bidi="ar-SA"/>
              </w:rPr>
              <w:t>消防设施操作员（监控方向）资格证书，熟练掌握消防控制设备的操作方法及应急处置流程。</w:t>
            </w:r>
          </w:p>
        </w:tc>
        <w:tc>
          <w:tcPr>
            <w:tcW w:w="1135" w:type="pct"/>
            <w:tcBorders>
              <w:top w:val="single" w:color="000000" w:sz="4" w:space="0"/>
              <w:left w:val="nil"/>
              <w:bottom w:val="single" w:color="000000" w:sz="4" w:space="0"/>
              <w:right w:val="single" w:color="000000" w:sz="4" w:space="0"/>
            </w:tcBorders>
            <w:noWrap w:val="0"/>
            <w:vAlign w:val="center"/>
          </w:tcPr>
          <w:p>
            <w:pPr>
              <w:keepNext w:val="0"/>
              <w:keepLines w:val="0"/>
              <w:pageBreakBefore w:val="0"/>
              <w:kinsoku/>
              <w:wordWrap w:val="0"/>
              <w:overflowPunct/>
              <w:topLinePunct w:val="0"/>
              <w:autoSpaceDE/>
              <w:autoSpaceDN/>
              <w:bidi w:val="0"/>
              <w:adjustRightInd w:val="0"/>
              <w:snapToGrid w:val="0"/>
              <w:spacing w:line="360" w:lineRule="auto"/>
              <w:jc w:val="both"/>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负责消防控制室24小时值班，严格监控消防控制设备的运行状态，对火灾报警信号、故障信号等各类信息及时响应，并做好详细记录；定期对消防控制设备进行巡查、测试和维护</w:t>
            </w:r>
            <w:r>
              <w:rPr>
                <w:rFonts w:hint="eastAsia" w:ascii="宋体" w:hAnsi="宋体" w:eastAsia="宋体" w:cs="宋体"/>
                <w:b w:val="0"/>
                <w:bCs w:val="0"/>
                <w:color w:val="auto"/>
                <w:sz w:val="21"/>
                <w:szCs w:val="21"/>
                <w:highlight w:val="none"/>
                <w:lang w:val="en-US" w:eastAsia="zh-CN"/>
              </w:rPr>
              <w:t>。</w:t>
            </w:r>
          </w:p>
        </w:tc>
        <w:tc>
          <w:tcPr>
            <w:tcW w:w="605" w:type="pct"/>
            <w:tcBorders>
              <w:top w:val="single" w:color="000000" w:sz="4" w:space="0"/>
              <w:left w:val="nil"/>
              <w:bottom w:val="single" w:color="000000" w:sz="4" w:space="0"/>
              <w:right w:val="single" w:color="000000" w:sz="4" w:space="0"/>
            </w:tcBorders>
            <w:noWrap w:val="0"/>
            <w:vAlign w:val="center"/>
          </w:tcPr>
          <w:p>
            <w:pPr>
              <w:keepNext w:val="0"/>
              <w:keepLines w:val="0"/>
              <w:pageBreakBefore w:val="0"/>
              <w:kinsoku/>
              <w:wordWrap w:val="0"/>
              <w:overflowPunct/>
              <w:topLinePunct w:val="0"/>
              <w:autoSpaceDE/>
              <w:autoSpaceDN/>
              <w:bidi w:val="0"/>
              <w:adjustRightInd w:val="0"/>
              <w:snapToGrid w:val="0"/>
              <w:spacing w:line="360" w:lineRule="auto"/>
              <w:jc w:val="both"/>
              <w:textAlignment w:val="center"/>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val="en-US" w:eastAsia="zh-CN"/>
              </w:rPr>
              <w:t>需</w:t>
            </w:r>
            <w:r>
              <w:rPr>
                <w:rFonts w:hint="eastAsia" w:ascii="宋体" w:hAnsi="宋体" w:eastAsia="宋体" w:cs="宋体"/>
                <w:color w:val="auto"/>
                <w:sz w:val="21"/>
                <w:szCs w:val="21"/>
                <w:highlight w:val="none"/>
              </w:rPr>
              <w:t>专人专班</w:t>
            </w:r>
            <w:r>
              <w:rPr>
                <w:rFonts w:hint="eastAsia" w:ascii="宋体" w:hAnsi="宋体" w:eastAsia="宋体" w:cs="宋体"/>
                <w:color w:val="auto"/>
                <w:sz w:val="21"/>
                <w:szCs w:val="21"/>
                <w:highlight w:val="none"/>
                <w:lang w:eastAsia="zh-CN"/>
              </w:rPr>
              <w:t>。</w:t>
            </w:r>
          </w:p>
        </w:tc>
      </w:tr>
      <w:tr>
        <w:tblPrEx>
          <w:tblCellMar>
            <w:top w:w="0" w:type="dxa"/>
            <w:left w:w="15" w:type="dxa"/>
            <w:bottom w:w="0" w:type="dxa"/>
            <w:right w:w="15" w:type="dxa"/>
          </w:tblCellMar>
        </w:tblPrEx>
        <w:trPr>
          <w:trHeight w:val="836" w:hRule="atLeast"/>
        </w:trPr>
        <w:tc>
          <w:tcPr>
            <w:tcW w:w="438" w:type="pct"/>
            <w:vMerge w:val="restart"/>
            <w:tcBorders>
              <w:top w:val="single" w:color="000000" w:sz="4" w:space="0"/>
              <w:left w:val="single" w:color="000000" w:sz="4" w:space="0"/>
              <w:right w:val="single" w:color="000000" w:sz="4" w:space="0"/>
            </w:tcBorders>
            <w:noWrap w:val="0"/>
            <w:vAlign w:val="center"/>
          </w:tcPr>
          <w:p>
            <w:pPr>
              <w:keepNext w:val="0"/>
              <w:keepLines w:val="0"/>
              <w:pageBreakBefore w:val="0"/>
              <w:kinsoku/>
              <w:wordWrap w:val="0"/>
              <w:overflowPunct/>
              <w:topLinePunct w:val="0"/>
              <w:autoSpaceDE/>
              <w:autoSpaceDN/>
              <w:bidi w:val="0"/>
              <w:adjustRightInd w:val="0"/>
              <w:snapToGrid w:val="0"/>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保洁员</w:t>
            </w:r>
          </w:p>
        </w:tc>
        <w:tc>
          <w:tcPr>
            <w:tcW w:w="342" w:type="pct"/>
            <w:vMerge w:val="restart"/>
            <w:tcBorders>
              <w:top w:val="single" w:color="000000" w:sz="4" w:space="0"/>
              <w:left w:val="nil"/>
              <w:right w:val="single" w:color="000000" w:sz="4" w:space="0"/>
            </w:tcBorders>
            <w:noWrap w:val="0"/>
            <w:vAlign w:val="center"/>
          </w:tcPr>
          <w:p>
            <w:pPr>
              <w:keepNext w:val="0"/>
              <w:keepLines w:val="0"/>
              <w:pageBreakBefore w:val="0"/>
              <w:kinsoku/>
              <w:wordWrap w:val="0"/>
              <w:overflowPunct/>
              <w:topLinePunct w:val="0"/>
              <w:autoSpaceDE/>
              <w:autoSpaceDN/>
              <w:bidi w:val="0"/>
              <w:adjustRightInd w:val="0"/>
              <w:snapToGrid w:val="0"/>
              <w:spacing w:line="360" w:lineRule="auto"/>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15</w:t>
            </w:r>
          </w:p>
        </w:tc>
        <w:tc>
          <w:tcPr>
            <w:tcW w:w="829" w:type="pct"/>
            <w:tcBorders>
              <w:top w:val="single" w:color="000000" w:sz="4" w:space="0"/>
              <w:left w:val="nil"/>
              <w:bottom w:val="single" w:color="000000" w:sz="4" w:space="0"/>
              <w:right w:val="single" w:color="000000" w:sz="4" w:space="0"/>
            </w:tcBorders>
            <w:noWrap w:val="0"/>
            <w:vAlign w:val="center"/>
          </w:tcPr>
          <w:p>
            <w:pPr>
              <w:keepNext w:val="0"/>
              <w:keepLines w:val="0"/>
              <w:pageBreakBefore w:val="0"/>
              <w:widowControl w:val="0"/>
              <w:numPr>
                <w:ilvl w:val="-1"/>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1"/>
                <w:szCs w:val="21"/>
                <w:highlight w:val="none"/>
                <w:lang w:val="en-US"/>
              </w:rPr>
            </w:pPr>
            <w:r>
              <w:rPr>
                <w:rFonts w:hint="eastAsia" w:ascii="宋体" w:hAnsi="宋体" w:eastAsia="宋体" w:cs="宋体"/>
                <w:b w:val="0"/>
                <w:bCs w:val="0"/>
                <w:color w:val="auto"/>
                <w:sz w:val="21"/>
                <w:szCs w:val="21"/>
                <w:highlight w:val="none"/>
                <w:lang w:val="en-US" w:eastAsia="zh-CN"/>
              </w:rPr>
              <w:t>本院保洁13人</w:t>
            </w:r>
          </w:p>
        </w:tc>
        <w:tc>
          <w:tcPr>
            <w:tcW w:w="3183" w:type="dxa"/>
            <w:vMerge w:val="restart"/>
            <w:tcBorders>
              <w:top w:val="single" w:color="000000" w:sz="4" w:space="0"/>
              <w:left w:val="nil"/>
              <w:right w:val="single" w:color="000000" w:sz="4" w:space="0"/>
            </w:tcBorders>
            <w:noWrap w:val="0"/>
            <w:vAlign w:val="center"/>
          </w:tcPr>
          <w:p>
            <w:pPr>
              <w:pStyle w:val="17"/>
              <w:keepNext w:val="0"/>
              <w:keepLines w:val="0"/>
              <w:pageBreakBefore w:val="0"/>
              <w:kinsoku/>
              <w:overflowPunct/>
              <w:topLinePunct w:val="0"/>
              <w:autoSpaceDE/>
              <w:autoSpaceDN/>
              <w:bidi w:val="0"/>
              <w:spacing w:line="360" w:lineRule="auto"/>
              <w:ind w:left="0" w:leftChars="0"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持有清洁保洁相关证书或培训结业证书，男女不限，</w:t>
            </w:r>
            <w:r>
              <w:rPr>
                <w:rFonts w:hint="eastAsia" w:ascii="宋体" w:hAnsi="宋体" w:eastAsia="宋体" w:cs="宋体"/>
                <w:sz w:val="21"/>
                <w:szCs w:val="21"/>
                <w:highlight w:val="none"/>
                <w:lang w:val="en-US" w:eastAsia="zh-CN"/>
              </w:rPr>
              <w:t>不超过55岁</w:t>
            </w:r>
            <w:r>
              <w:rPr>
                <w:rFonts w:hint="eastAsia" w:ascii="宋体" w:hAnsi="宋体" w:eastAsia="宋体" w:cs="宋体"/>
                <w:color w:val="auto"/>
                <w:sz w:val="21"/>
                <w:szCs w:val="21"/>
                <w:highlight w:val="none"/>
              </w:rPr>
              <w:t>，身体健康；组织纪律观念强，敬业精神好，任劳任怨，工作认真细致，接受过保洁培训，掌握院感知识，熟悉各类型清洁、消毒用品的操作规程。</w:t>
            </w:r>
          </w:p>
        </w:tc>
        <w:tc>
          <w:tcPr>
            <w:tcW w:w="1135" w:type="pct"/>
            <w:vMerge w:val="restart"/>
            <w:tcBorders>
              <w:top w:val="single" w:color="000000" w:sz="4" w:space="0"/>
              <w:left w:val="nil"/>
              <w:right w:val="single" w:color="000000" w:sz="4" w:space="0"/>
            </w:tcBorders>
            <w:noWrap w:val="0"/>
            <w:vAlign w:val="center"/>
          </w:tcPr>
          <w:p>
            <w:pPr>
              <w:keepNext w:val="0"/>
              <w:keepLines w:val="0"/>
              <w:pageBreakBefore w:val="0"/>
              <w:kinsoku/>
              <w:wordWrap w:val="0"/>
              <w:overflowPunct/>
              <w:topLinePunct w:val="0"/>
              <w:autoSpaceDE/>
              <w:autoSpaceDN/>
              <w:bidi w:val="0"/>
              <w:adjustRightInd w:val="0"/>
              <w:snapToGrid w:val="0"/>
              <w:spacing w:line="360" w:lineRule="auto"/>
              <w:jc w:val="both"/>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负责各自管理区域内的卫生清洁工作；项目公共区域的卫生清洁工作</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医院的医疗/生活垃圾清运服务工作</w:t>
            </w:r>
            <w:r>
              <w:rPr>
                <w:rFonts w:hint="eastAsia" w:ascii="宋体" w:hAnsi="宋体" w:eastAsia="宋体" w:cs="宋体"/>
                <w:color w:val="auto"/>
                <w:sz w:val="21"/>
                <w:szCs w:val="21"/>
                <w:highlight w:val="none"/>
              </w:rPr>
              <w:t>。</w:t>
            </w:r>
          </w:p>
        </w:tc>
        <w:tc>
          <w:tcPr>
            <w:tcW w:w="605" w:type="pct"/>
            <w:vMerge w:val="restart"/>
            <w:tcBorders>
              <w:top w:val="single" w:color="000000" w:sz="4" w:space="0"/>
              <w:left w:val="nil"/>
              <w:right w:val="single" w:color="000000" w:sz="4" w:space="0"/>
            </w:tcBorders>
            <w:noWrap w:val="0"/>
            <w:vAlign w:val="center"/>
          </w:tcPr>
          <w:p>
            <w:pPr>
              <w:keepNext w:val="0"/>
              <w:keepLines w:val="0"/>
              <w:pageBreakBefore w:val="0"/>
              <w:kinsoku/>
              <w:wordWrap w:val="0"/>
              <w:overflowPunct/>
              <w:topLinePunct w:val="0"/>
              <w:autoSpaceDE/>
              <w:autoSpaceDN/>
              <w:bidi w:val="0"/>
              <w:adjustRightInd w:val="0"/>
              <w:snapToGrid w:val="0"/>
              <w:spacing w:line="360" w:lineRule="auto"/>
              <w:jc w:val="both"/>
              <w:textAlignment w:val="center"/>
              <w:rPr>
                <w:rFonts w:hint="eastAsia" w:ascii="宋体" w:hAnsi="宋体" w:eastAsia="宋体" w:cs="宋体"/>
                <w:color w:val="auto"/>
                <w:sz w:val="21"/>
                <w:szCs w:val="21"/>
                <w:highlight w:val="none"/>
              </w:rPr>
            </w:pPr>
          </w:p>
        </w:tc>
      </w:tr>
      <w:tr>
        <w:tblPrEx>
          <w:tblCellMar>
            <w:top w:w="0" w:type="dxa"/>
            <w:left w:w="15" w:type="dxa"/>
            <w:bottom w:w="0" w:type="dxa"/>
            <w:right w:w="15" w:type="dxa"/>
          </w:tblCellMar>
        </w:tblPrEx>
        <w:trPr>
          <w:trHeight w:val="836" w:hRule="atLeast"/>
        </w:trPr>
        <w:tc>
          <w:tcPr>
            <w:tcW w:w="438" w:type="pct"/>
            <w:vMerge w:val="continue"/>
            <w:tcBorders>
              <w:left w:val="single" w:color="000000" w:sz="4" w:space="0"/>
              <w:right w:val="single" w:color="000000" w:sz="4" w:space="0"/>
            </w:tcBorders>
            <w:noWrap w:val="0"/>
            <w:vAlign w:val="center"/>
          </w:tcPr>
          <w:p>
            <w:pPr>
              <w:keepNext w:val="0"/>
              <w:keepLines w:val="0"/>
              <w:pageBreakBefore w:val="0"/>
              <w:kinsoku/>
              <w:wordWrap w:val="0"/>
              <w:overflowPunct/>
              <w:topLinePunct w:val="0"/>
              <w:autoSpaceDE/>
              <w:autoSpaceDN/>
              <w:bidi w:val="0"/>
              <w:adjustRightInd w:val="0"/>
              <w:snapToGrid w:val="0"/>
              <w:spacing w:line="360" w:lineRule="auto"/>
              <w:jc w:val="center"/>
              <w:textAlignment w:val="center"/>
              <w:rPr>
                <w:rFonts w:hint="eastAsia" w:ascii="宋体" w:hAnsi="宋体" w:eastAsia="宋体" w:cs="宋体"/>
                <w:color w:val="auto"/>
                <w:sz w:val="21"/>
                <w:szCs w:val="21"/>
                <w:highlight w:val="none"/>
              </w:rPr>
            </w:pPr>
          </w:p>
        </w:tc>
        <w:tc>
          <w:tcPr>
            <w:tcW w:w="342" w:type="pct"/>
            <w:vMerge w:val="continue"/>
            <w:tcBorders>
              <w:left w:val="nil"/>
              <w:right w:val="single" w:color="000000" w:sz="4" w:space="0"/>
            </w:tcBorders>
            <w:noWrap w:val="0"/>
            <w:vAlign w:val="center"/>
          </w:tcPr>
          <w:p>
            <w:pPr>
              <w:keepNext w:val="0"/>
              <w:keepLines w:val="0"/>
              <w:pageBreakBefore w:val="0"/>
              <w:kinsoku/>
              <w:wordWrap w:val="0"/>
              <w:overflowPunct/>
              <w:topLinePunct w:val="0"/>
              <w:autoSpaceDE/>
              <w:autoSpaceDN/>
              <w:bidi w:val="0"/>
              <w:adjustRightInd w:val="0"/>
              <w:snapToGrid w:val="0"/>
              <w:spacing w:line="360" w:lineRule="auto"/>
              <w:jc w:val="center"/>
              <w:textAlignment w:val="center"/>
              <w:rPr>
                <w:rFonts w:hint="eastAsia" w:ascii="宋体" w:hAnsi="宋体" w:eastAsia="宋体" w:cs="宋体"/>
                <w:color w:val="auto"/>
                <w:sz w:val="21"/>
                <w:szCs w:val="21"/>
                <w:highlight w:val="none"/>
              </w:rPr>
            </w:pPr>
          </w:p>
        </w:tc>
        <w:tc>
          <w:tcPr>
            <w:tcW w:w="829" w:type="pct"/>
            <w:tcBorders>
              <w:top w:val="single" w:color="000000" w:sz="4" w:space="0"/>
              <w:left w:val="nil"/>
              <w:bottom w:val="single" w:color="000000" w:sz="4" w:space="0"/>
              <w:right w:val="single" w:color="000000" w:sz="4" w:space="0"/>
            </w:tcBorders>
            <w:noWrap w:val="0"/>
            <w:vAlign w:val="center"/>
          </w:tcPr>
          <w:p>
            <w:pPr>
              <w:keepNext w:val="0"/>
              <w:keepLines w:val="0"/>
              <w:pageBreakBefore w:val="0"/>
              <w:widowControl w:val="0"/>
              <w:numPr>
                <w:ilvl w:val="-1"/>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1"/>
                <w:szCs w:val="21"/>
                <w:highlight w:val="none"/>
                <w:lang w:val="en-US"/>
              </w:rPr>
            </w:pPr>
            <w:r>
              <w:rPr>
                <w:rFonts w:hint="eastAsia" w:ascii="宋体" w:hAnsi="宋体" w:eastAsia="宋体" w:cs="宋体"/>
                <w:b w:val="0"/>
                <w:bCs w:val="0"/>
                <w:color w:val="auto"/>
                <w:sz w:val="21"/>
                <w:szCs w:val="21"/>
                <w:highlight w:val="none"/>
                <w:lang w:val="en-US" w:eastAsia="zh-CN"/>
              </w:rPr>
              <w:t>康复中心保洁1人</w:t>
            </w:r>
          </w:p>
        </w:tc>
        <w:tc>
          <w:tcPr>
            <w:tcW w:w="1648" w:type="pct"/>
            <w:vMerge w:val="continue"/>
            <w:tcBorders>
              <w:left w:val="nil"/>
              <w:right w:val="single" w:color="000000" w:sz="4" w:space="0"/>
            </w:tcBorders>
            <w:noWrap w:val="0"/>
            <w:vAlign w:val="center"/>
          </w:tcPr>
          <w:p>
            <w:pPr>
              <w:keepNext w:val="0"/>
              <w:keepLines w:val="0"/>
              <w:pageBreakBefore w:val="0"/>
              <w:kinsoku/>
              <w:wordWrap w:val="0"/>
              <w:overflowPunct/>
              <w:topLinePunct w:val="0"/>
              <w:autoSpaceDE/>
              <w:autoSpaceDN/>
              <w:bidi w:val="0"/>
              <w:adjustRightInd w:val="0"/>
              <w:snapToGrid w:val="0"/>
              <w:spacing w:line="360" w:lineRule="auto"/>
              <w:jc w:val="center"/>
              <w:textAlignment w:val="center"/>
              <w:rPr>
                <w:rFonts w:hint="eastAsia" w:ascii="宋体" w:hAnsi="宋体" w:eastAsia="宋体" w:cs="宋体"/>
                <w:color w:val="auto"/>
                <w:sz w:val="21"/>
                <w:szCs w:val="21"/>
                <w:highlight w:val="none"/>
              </w:rPr>
            </w:pPr>
          </w:p>
        </w:tc>
        <w:tc>
          <w:tcPr>
            <w:tcW w:w="1135" w:type="pct"/>
            <w:vMerge w:val="continue"/>
            <w:tcBorders>
              <w:left w:val="nil"/>
              <w:right w:val="single" w:color="000000" w:sz="4" w:space="0"/>
            </w:tcBorders>
            <w:noWrap w:val="0"/>
            <w:vAlign w:val="center"/>
          </w:tcPr>
          <w:p>
            <w:pPr>
              <w:keepNext w:val="0"/>
              <w:keepLines w:val="0"/>
              <w:pageBreakBefore w:val="0"/>
              <w:kinsoku/>
              <w:wordWrap w:val="0"/>
              <w:overflowPunct/>
              <w:topLinePunct w:val="0"/>
              <w:autoSpaceDE/>
              <w:autoSpaceDN/>
              <w:bidi w:val="0"/>
              <w:adjustRightInd w:val="0"/>
              <w:snapToGrid w:val="0"/>
              <w:spacing w:line="360" w:lineRule="auto"/>
              <w:jc w:val="center"/>
              <w:textAlignment w:val="center"/>
              <w:rPr>
                <w:rFonts w:hint="eastAsia" w:ascii="宋体" w:hAnsi="宋体" w:eastAsia="宋体" w:cs="宋体"/>
                <w:color w:val="auto"/>
                <w:sz w:val="21"/>
                <w:szCs w:val="21"/>
                <w:highlight w:val="none"/>
              </w:rPr>
            </w:pPr>
          </w:p>
        </w:tc>
        <w:tc>
          <w:tcPr>
            <w:tcW w:w="605" w:type="pct"/>
            <w:vMerge w:val="continue"/>
            <w:tcBorders>
              <w:left w:val="nil"/>
              <w:right w:val="single" w:color="000000" w:sz="4" w:space="0"/>
            </w:tcBorders>
            <w:noWrap w:val="0"/>
            <w:vAlign w:val="center"/>
          </w:tcPr>
          <w:p>
            <w:pPr>
              <w:keepNext w:val="0"/>
              <w:keepLines w:val="0"/>
              <w:pageBreakBefore w:val="0"/>
              <w:kinsoku/>
              <w:wordWrap w:val="0"/>
              <w:overflowPunct/>
              <w:topLinePunct w:val="0"/>
              <w:autoSpaceDE/>
              <w:autoSpaceDN/>
              <w:bidi w:val="0"/>
              <w:adjustRightInd w:val="0"/>
              <w:snapToGrid w:val="0"/>
              <w:spacing w:line="360" w:lineRule="auto"/>
              <w:jc w:val="center"/>
              <w:textAlignment w:val="center"/>
              <w:rPr>
                <w:rFonts w:hint="eastAsia" w:ascii="宋体" w:hAnsi="宋体" w:eastAsia="宋体" w:cs="宋体"/>
                <w:color w:val="auto"/>
                <w:sz w:val="21"/>
                <w:szCs w:val="21"/>
                <w:highlight w:val="none"/>
              </w:rPr>
            </w:pPr>
          </w:p>
        </w:tc>
      </w:tr>
      <w:tr>
        <w:tblPrEx>
          <w:tblCellMar>
            <w:top w:w="0" w:type="dxa"/>
            <w:left w:w="15" w:type="dxa"/>
            <w:bottom w:w="0" w:type="dxa"/>
            <w:right w:w="15" w:type="dxa"/>
          </w:tblCellMar>
        </w:tblPrEx>
        <w:trPr>
          <w:trHeight w:val="1454" w:hRule="atLeast"/>
        </w:trPr>
        <w:tc>
          <w:tcPr>
            <w:tcW w:w="438" w:type="pct"/>
            <w:vMerge w:val="continue"/>
            <w:tcBorders>
              <w:left w:val="single" w:color="000000" w:sz="4" w:space="0"/>
              <w:bottom w:val="single" w:color="000000" w:sz="4" w:space="0"/>
              <w:right w:val="single" w:color="000000" w:sz="4" w:space="0"/>
            </w:tcBorders>
            <w:noWrap w:val="0"/>
            <w:vAlign w:val="center"/>
          </w:tcPr>
          <w:p>
            <w:pPr>
              <w:keepNext w:val="0"/>
              <w:keepLines w:val="0"/>
              <w:pageBreakBefore w:val="0"/>
              <w:kinsoku/>
              <w:wordWrap w:val="0"/>
              <w:overflowPunct/>
              <w:topLinePunct w:val="0"/>
              <w:autoSpaceDE/>
              <w:autoSpaceDN/>
              <w:bidi w:val="0"/>
              <w:adjustRightInd w:val="0"/>
              <w:snapToGrid w:val="0"/>
              <w:spacing w:line="360" w:lineRule="auto"/>
              <w:jc w:val="center"/>
              <w:textAlignment w:val="center"/>
              <w:rPr>
                <w:rFonts w:hint="eastAsia" w:ascii="宋体" w:hAnsi="宋体" w:eastAsia="宋体" w:cs="宋体"/>
                <w:color w:val="auto"/>
                <w:sz w:val="21"/>
                <w:szCs w:val="21"/>
                <w:highlight w:val="none"/>
              </w:rPr>
            </w:pPr>
          </w:p>
        </w:tc>
        <w:tc>
          <w:tcPr>
            <w:tcW w:w="342" w:type="pct"/>
            <w:vMerge w:val="continue"/>
            <w:tcBorders>
              <w:left w:val="nil"/>
              <w:bottom w:val="single" w:color="000000" w:sz="4" w:space="0"/>
              <w:right w:val="single" w:color="000000" w:sz="4" w:space="0"/>
            </w:tcBorders>
            <w:noWrap w:val="0"/>
            <w:vAlign w:val="center"/>
          </w:tcPr>
          <w:p>
            <w:pPr>
              <w:keepNext w:val="0"/>
              <w:keepLines w:val="0"/>
              <w:pageBreakBefore w:val="0"/>
              <w:kinsoku/>
              <w:wordWrap w:val="0"/>
              <w:overflowPunct/>
              <w:topLinePunct w:val="0"/>
              <w:autoSpaceDE/>
              <w:autoSpaceDN/>
              <w:bidi w:val="0"/>
              <w:adjustRightInd w:val="0"/>
              <w:snapToGrid w:val="0"/>
              <w:spacing w:line="360" w:lineRule="auto"/>
              <w:jc w:val="center"/>
              <w:textAlignment w:val="center"/>
              <w:rPr>
                <w:rFonts w:hint="eastAsia" w:ascii="宋体" w:hAnsi="宋体" w:eastAsia="宋体" w:cs="宋体"/>
                <w:color w:val="auto"/>
                <w:sz w:val="21"/>
                <w:szCs w:val="21"/>
                <w:highlight w:val="none"/>
              </w:rPr>
            </w:pPr>
          </w:p>
        </w:tc>
        <w:tc>
          <w:tcPr>
            <w:tcW w:w="829" w:type="pct"/>
            <w:tcBorders>
              <w:top w:val="single" w:color="000000" w:sz="4" w:space="0"/>
              <w:left w:val="nil"/>
              <w:bottom w:val="single" w:color="000000" w:sz="4" w:space="0"/>
              <w:right w:val="single" w:color="000000" w:sz="4" w:space="0"/>
            </w:tcBorders>
            <w:noWrap w:val="0"/>
            <w:vAlign w:val="center"/>
          </w:tcPr>
          <w:p>
            <w:pPr>
              <w:keepNext w:val="0"/>
              <w:keepLines w:val="0"/>
              <w:pageBreakBefore w:val="0"/>
              <w:widowControl w:val="0"/>
              <w:numPr>
                <w:ilvl w:val="-1"/>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人民银行院区保洁1人</w:t>
            </w:r>
          </w:p>
        </w:tc>
        <w:tc>
          <w:tcPr>
            <w:tcW w:w="1648" w:type="pct"/>
            <w:vMerge w:val="continue"/>
            <w:tcBorders>
              <w:left w:val="nil"/>
              <w:bottom w:val="single" w:color="000000" w:sz="4" w:space="0"/>
              <w:right w:val="single" w:color="000000" w:sz="4" w:space="0"/>
            </w:tcBorders>
            <w:noWrap w:val="0"/>
            <w:vAlign w:val="center"/>
          </w:tcPr>
          <w:p>
            <w:pPr>
              <w:keepNext w:val="0"/>
              <w:keepLines w:val="0"/>
              <w:pageBreakBefore w:val="0"/>
              <w:kinsoku/>
              <w:wordWrap w:val="0"/>
              <w:overflowPunct/>
              <w:topLinePunct w:val="0"/>
              <w:autoSpaceDE/>
              <w:autoSpaceDN/>
              <w:bidi w:val="0"/>
              <w:adjustRightInd w:val="0"/>
              <w:snapToGrid w:val="0"/>
              <w:spacing w:line="360" w:lineRule="auto"/>
              <w:jc w:val="center"/>
              <w:textAlignment w:val="center"/>
              <w:rPr>
                <w:rFonts w:hint="eastAsia" w:ascii="宋体" w:hAnsi="宋体" w:eastAsia="宋体" w:cs="宋体"/>
                <w:color w:val="auto"/>
                <w:sz w:val="21"/>
                <w:szCs w:val="21"/>
                <w:highlight w:val="none"/>
              </w:rPr>
            </w:pPr>
          </w:p>
        </w:tc>
        <w:tc>
          <w:tcPr>
            <w:tcW w:w="1135" w:type="pct"/>
            <w:vMerge w:val="continue"/>
            <w:tcBorders>
              <w:left w:val="nil"/>
              <w:bottom w:val="single" w:color="000000" w:sz="4" w:space="0"/>
              <w:right w:val="single" w:color="000000" w:sz="4" w:space="0"/>
            </w:tcBorders>
            <w:noWrap w:val="0"/>
            <w:vAlign w:val="center"/>
          </w:tcPr>
          <w:p>
            <w:pPr>
              <w:keepNext w:val="0"/>
              <w:keepLines w:val="0"/>
              <w:pageBreakBefore w:val="0"/>
              <w:kinsoku/>
              <w:wordWrap w:val="0"/>
              <w:overflowPunct/>
              <w:topLinePunct w:val="0"/>
              <w:autoSpaceDE/>
              <w:autoSpaceDN/>
              <w:bidi w:val="0"/>
              <w:adjustRightInd w:val="0"/>
              <w:snapToGrid w:val="0"/>
              <w:spacing w:line="360" w:lineRule="auto"/>
              <w:jc w:val="center"/>
              <w:textAlignment w:val="center"/>
              <w:rPr>
                <w:rFonts w:hint="eastAsia" w:ascii="宋体" w:hAnsi="宋体" w:eastAsia="宋体" w:cs="宋体"/>
                <w:color w:val="auto"/>
                <w:sz w:val="21"/>
                <w:szCs w:val="21"/>
                <w:highlight w:val="none"/>
              </w:rPr>
            </w:pPr>
          </w:p>
        </w:tc>
        <w:tc>
          <w:tcPr>
            <w:tcW w:w="605" w:type="pct"/>
            <w:vMerge w:val="continue"/>
            <w:tcBorders>
              <w:left w:val="nil"/>
              <w:bottom w:val="single" w:color="000000" w:sz="4" w:space="0"/>
              <w:right w:val="single" w:color="000000" w:sz="4" w:space="0"/>
            </w:tcBorders>
            <w:noWrap w:val="0"/>
            <w:vAlign w:val="center"/>
          </w:tcPr>
          <w:p>
            <w:pPr>
              <w:keepNext w:val="0"/>
              <w:keepLines w:val="0"/>
              <w:pageBreakBefore w:val="0"/>
              <w:kinsoku/>
              <w:wordWrap w:val="0"/>
              <w:overflowPunct/>
              <w:topLinePunct w:val="0"/>
              <w:autoSpaceDE/>
              <w:autoSpaceDN/>
              <w:bidi w:val="0"/>
              <w:adjustRightInd w:val="0"/>
              <w:snapToGrid w:val="0"/>
              <w:spacing w:line="360" w:lineRule="auto"/>
              <w:jc w:val="center"/>
              <w:textAlignment w:val="center"/>
              <w:rPr>
                <w:rFonts w:hint="eastAsia" w:ascii="宋体" w:hAnsi="宋体" w:eastAsia="宋体" w:cs="宋体"/>
                <w:color w:val="auto"/>
                <w:sz w:val="21"/>
                <w:szCs w:val="21"/>
                <w:highlight w:val="none"/>
              </w:rPr>
            </w:pPr>
          </w:p>
        </w:tc>
      </w:tr>
      <w:tr>
        <w:tblPrEx>
          <w:tblCellMar>
            <w:top w:w="0" w:type="dxa"/>
            <w:left w:w="15" w:type="dxa"/>
            <w:bottom w:w="0" w:type="dxa"/>
            <w:right w:w="15" w:type="dxa"/>
          </w:tblCellMar>
        </w:tblPrEx>
        <w:trPr>
          <w:trHeight w:val="4050" w:hRule="atLeast"/>
        </w:trPr>
        <w:tc>
          <w:tcPr>
            <w:tcW w:w="438" w:type="pct"/>
            <w:tcBorders>
              <w:top w:val="single" w:color="000000" w:sz="4" w:space="0"/>
              <w:left w:val="single" w:color="auto" w:sz="4" w:space="0"/>
              <w:bottom w:val="single" w:color="000000" w:sz="4" w:space="0"/>
              <w:right w:val="single" w:color="000000" w:sz="4" w:space="0"/>
            </w:tcBorders>
            <w:noWrap w:val="0"/>
            <w:vAlign w:val="center"/>
          </w:tcPr>
          <w:p>
            <w:pPr>
              <w:keepNext w:val="0"/>
              <w:keepLines w:val="0"/>
              <w:pageBreakBefore w:val="0"/>
              <w:kinsoku/>
              <w:wordWrap w:val="0"/>
              <w:overflowPunct/>
              <w:topLinePunct w:val="0"/>
              <w:autoSpaceDE/>
              <w:autoSpaceDN/>
              <w:bidi w:val="0"/>
              <w:adjustRightInd w:val="0"/>
              <w:snapToGrid w:val="0"/>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合计</w:t>
            </w:r>
          </w:p>
        </w:tc>
        <w:tc>
          <w:tcPr>
            <w:tcW w:w="1172" w:type="pct"/>
            <w:gridSpan w:val="2"/>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val="0"/>
              <w:overflowPunct/>
              <w:topLinePunct w:val="0"/>
              <w:autoSpaceDE/>
              <w:autoSpaceDN/>
              <w:bidi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32</w:t>
            </w:r>
          </w:p>
        </w:tc>
        <w:tc>
          <w:tcPr>
            <w:tcW w:w="3389" w:type="pct"/>
            <w:gridSpan w:val="3"/>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val="0"/>
              <w:overflowPunct/>
              <w:topLinePunct w:val="0"/>
              <w:autoSpaceDE/>
              <w:autoSpaceDN/>
              <w:bidi w:val="0"/>
              <w:spacing w:line="36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共性要求：</w:t>
            </w:r>
          </w:p>
          <w:p>
            <w:pPr>
              <w:keepNext w:val="0"/>
              <w:keepLines w:val="0"/>
              <w:pageBreakBefore w:val="0"/>
              <w:widowControl/>
              <w:kinsoku/>
              <w:wordWrap w:val="0"/>
              <w:overflowPunct/>
              <w:topLinePunct w:val="0"/>
              <w:autoSpaceDE/>
              <w:autoSpaceDN/>
              <w:bidi w:val="0"/>
              <w:spacing w:line="36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）敬业、爱岗、专业、精干、高效、健康、思想品质好，作风正派，服务意识强。</w:t>
            </w:r>
          </w:p>
          <w:p>
            <w:pPr>
              <w:keepNext w:val="0"/>
              <w:keepLines w:val="0"/>
              <w:pageBreakBefore w:val="0"/>
              <w:widowControl/>
              <w:kinsoku/>
              <w:wordWrap w:val="0"/>
              <w:overflowPunct/>
              <w:topLinePunct w:val="0"/>
              <w:autoSpaceDE/>
              <w:autoSpaceDN/>
              <w:bidi w:val="0"/>
              <w:spacing w:line="36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）男员工不准留胡须、蓄长发、染发（黑色除外）、刺青纹身、佩戴过分的饰物；女员工不准浓妆艳抹或佩戴过分的饰物，头发染色不能过艳。</w:t>
            </w:r>
          </w:p>
          <w:p>
            <w:pPr>
              <w:keepNext w:val="0"/>
              <w:keepLines w:val="0"/>
              <w:pageBreakBefore w:val="0"/>
              <w:widowControl/>
              <w:kinsoku/>
              <w:wordWrap w:val="0"/>
              <w:overflowPunct/>
              <w:topLinePunct w:val="0"/>
              <w:autoSpaceDE/>
              <w:autoSpaceDN/>
              <w:bidi w:val="0"/>
              <w:spacing w:line="36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）所有物业人员工作时间不准抽烟或吃零食、闲谈以及做和工作无关的事；使用语言要文明，举止要大方，要具有一定的工作经验。</w:t>
            </w:r>
          </w:p>
          <w:p>
            <w:pPr>
              <w:pStyle w:val="17"/>
              <w:keepNext w:val="0"/>
              <w:keepLines w:val="0"/>
              <w:pageBreakBefore w:val="0"/>
              <w:kinsoku/>
              <w:overflowPunct/>
              <w:topLinePunct w:val="0"/>
              <w:autoSpaceDE/>
              <w:autoSpaceDN/>
              <w:bidi w:val="0"/>
              <w:spacing w:line="360" w:lineRule="auto"/>
              <w:ind w:left="0" w:leftChars="0"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）本项目物业管理服务全体工作人员</w:t>
            </w:r>
            <w:r>
              <w:rPr>
                <w:rFonts w:hint="eastAsia" w:ascii="宋体" w:hAnsi="宋体" w:cs="宋体"/>
                <w:color w:val="auto"/>
                <w:sz w:val="21"/>
                <w:szCs w:val="21"/>
                <w:highlight w:val="none"/>
                <w:lang w:eastAsia="zh-CN"/>
              </w:rPr>
              <w:t>应</w:t>
            </w:r>
            <w:r>
              <w:rPr>
                <w:rFonts w:hint="eastAsia" w:ascii="宋体" w:hAnsi="宋体" w:eastAsia="宋体" w:cs="宋体"/>
                <w:color w:val="auto"/>
                <w:sz w:val="21"/>
                <w:szCs w:val="21"/>
                <w:highlight w:val="none"/>
              </w:rPr>
              <w:t>统一着装，佩戴统一标志，仪表端庄、大方，衣着整洁，表情自然和蔼、亲切。</w:t>
            </w:r>
          </w:p>
        </w:tc>
      </w:tr>
    </w:tbl>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说明：</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★证件</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工作经验须提供相关证明材料并加盖供应商公章</w:t>
      </w:r>
      <w:r>
        <w:rPr>
          <w:rFonts w:hint="eastAsia" w:ascii="宋体" w:hAnsi="宋体" w:eastAsia="宋体" w:cs="宋体"/>
          <w:b/>
          <w:bCs/>
          <w:color w:val="auto"/>
          <w:sz w:val="21"/>
          <w:szCs w:val="21"/>
          <w:highlight w:val="none"/>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（2）</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中标</w:t>
      </w:r>
      <w:r>
        <w:rPr>
          <w:rFonts w:hint="eastAsia" w:ascii="宋体" w:hAnsi="宋体" w:eastAsia="宋体" w:cs="宋体"/>
          <w:b/>
          <w:bCs/>
          <w:color w:val="auto"/>
          <w:sz w:val="21"/>
          <w:szCs w:val="21"/>
          <w:highlight w:val="none"/>
        </w:rPr>
        <w:t>人必须按照《劳动合同法》的规定与员工签订劳动合同。</w:t>
      </w:r>
    </w:p>
    <w:p>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2.人员素质要求：</w:t>
      </w:r>
      <w:r>
        <w:rPr>
          <w:rFonts w:hint="eastAsia" w:ascii="宋体" w:hAnsi="宋体" w:eastAsia="宋体" w:cs="宋体"/>
          <w:color w:val="auto"/>
          <w:sz w:val="21"/>
          <w:szCs w:val="21"/>
          <w:highlight w:val="none"/>
          <w:lang w:eastAsia="zh-CN"/>
        </w:rPr>
        <w:t>中标供应商</w:t>
      </w:r>
      <w:r>
        <w:rPr>
          <w:rFonts w:hint="eastAsia" w:ascii="宋体" w:hAnsi="宋体" w:eastAsia="宋体" w:cs="宋体"/>
          <w:color w:val="auto"/>
          <w:sz w:val="21"/>
          <w:szCs w:val="21"/>
          <w:highlight w:val="none"/>
        </w:rPr>
        <w:t>在招聘人员时需要注意以下几点：</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（1）招聘对象年龄</w:t>
      </w:r>
      <w:r>
        <w:rPr>
          <w:rFonts w:hint="eastAsia" w:ascii="宋体" w:hAnsi="宋体" w:eastAsia="宋体" w:cs="宋体"/>
          <w:color w:val="auto"/>
          <w:sz w:val="21"/>
          <w:szCs w:val="21"/>
          <w:highlight w:val="none"/>
          <w:lang w:val="en-US" w:eastAsia="zh-CN"/>
        </w:rPr>
        <w:t>不超过55周岁</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应</w:t>
      </w:r>
      <w:r>
        <w:rPr>
          <w:rFonts w:hint="eastAsia" w:ascii="宋体" w:hAnsi="宋体" w:eastAsia="宋体" w:cs="宋体"/>
          <w:color w:val="auto"/>
          <w:sz w:val="21"/>
          <w:szCs w:val="21"/>
          <w:highlight w:val="none"/>
        </w:rPr>
        <w:t>具备初中以上的文化程度。不得聘用过于年迈的员工或未满法定年龄的青少年，否则采购人有权拒绝支付服务费用。</w:t>
      </w:r>
    </w:p>
    <w:p>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（2）★项目管理人员必须</w:t>
      </w:r>
      <w:r>
        <w:rPr>
          <w:rFonts w:hint="eastAsia" w:ascii="宋体" w:hAnsi="宋体" w:eastAsia="宋体" w:cs="宋体"/>
          <w:b/>
          <w:bCs/>
          <w:color w:val="auto"/>
          <w:sz w:val="21"/>
          <w:szCs w:val="21"/>
          <w:highlight w:val="none"/>
          <w:lang w:val="en-US" w:eastAsia="zh-CN"/>
        </w:rPr>
        <w:t>具备物业管理类证书和2年以上同类项目物业管理经验</w:t>
      </w:r>
      <w:r>
        <w:rPr>
          <w:rFonts w:hint="eastAsia" w:ascii="宋体" w:hAnsi="宋体" w:eastAsia="宋体" w:cs="宋体"/>
          <w:b/>
          <w:bCs/>
          <w:color w:val="auto"/>
          <w:sz w:val="21"/>
          <w:szCs w:val="21"/>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（3）★保安人员必须持保安证上岗，50岁以下保安人数不低于80%</w:t>
      </w:r>
      <w:r>
        <w:rPr>
          <w:rFonts w:hint="eastAsia" w:ascii="宋体" w:hAnsi="宋体" w:eastAsia="宋体" w:cs="宋体"/>
          <w:b/>
          <w:bCs/>
          <w:color w:val="auto"/>
          <w:sz w:val="21"/>
          <w:szCs w:val="21"/>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4</w:t>
      </w:r>
      <w:r>
        <w:rPr>
          <w:rFonts w:hint="eastAsia" w:ascii="宋体" w:hAnsi="宋体" w:eastAsia="宋体" w:cs="宋体"/>
          <w:b/>
          <w:bCs/>
          <w:color w:val="auto"/>
          <w:sz w:val="21"/>
          <w:szCs w:val="21"/>
          <w:highlight w:val="none"/>
          <w:lang w:eastAsia="zh-CN"/>
        </w:rPr>
        <w:t>）★消控室操作员</w:t>
      </w:r>
      <w:r>
        <w:rPr>
          <w:rFonts w:hint="eastAsia" w:ascii="宋体" w:hAnsi="宋体" w:eastAsia="宋体" w:cs="宋体"/>
          <w:b/>
          <w:bCs/>
          <w:color w:val="auto"/>
          <w:sz w:val="21"/>
          <w:szCs w:val="21"/>
          <w:highlight w:val="none"/>
        </w:rPr>
        <w:t>必须持有</w:t>
      </w:r>
      <w:bookmarkStart w:id="48" w:name="OLE_LINK2"/>
      <w:r>
        <w:rPr>
          <w:rFonts w:hint="eastAsia" w:ascii="宋体" w:hAnsi="宋体" w:eastAsia="宋体" w:cs="宋体"/>
          <w:b/>
          <w:bCs/>
          <w:color w:val="auto"/>
          <w:sz w:val="21"/>
          <w:szCs w:val="21"/>
          <w:highlight w:val="none"/>
        </w:rPr>
        <w:t>中级</w:t>
      </w:r>
      <w:r>
        <w:rPr>
          <w:rFonts w:hint="eastAsia" w:ascii="宋体" w:hAnsi="宋体" w:eastAsia="宋体" w:cs="宋体"/>
          <w:b/>
          <w:bCs/>
          <w:color w:val="auto"/>
          <w:sz w:val="21"/>
          <w:szCs w:val="21"/>
          <w:highlight w:val="none"/>
          <w:lang w:eastAsia="zh-CN"/>
        </w:rPr>
        <w:t>及以上</w:t>
      </w:r>
      <w:r>
        <w:rPr>
          <w:rFonts w:hint="eastAsia" w:ascii="宋体" w:hAnsi="宋体" w:eastAsia="宋体" w:cs="宋体"/>
          <w:b/>
          <w:bCs/>
          <w:color w:val="auto"/>
          <w:sz w:val="21"/>
          <w:szCs w:val="21"/>
          <w:highlight w:val="none"/>
        </w:rPr>
        <w:t>消防设施操作员（监控方向）</w:t>
      </w:r>
      <w:bookmarkEnd w:id="48"/>
      <w:r>
        <w:rPr>
          <w:rFonts w:hint="eastAsia" w:ascii="宋体" w:hAnsi="宋体" w:eastAsia="宋体" w:cs="宋体"/>
          <w:b/>
          <w:bCs/>
          <w:color w:val="auto"/>
          <w:sz w:val="21"/>
          <w:szCs w:val="21"/>
          <w:highlight w:val="none"/>
        </w:rPr>
        <w:t>资格证书</w:t>
      </w:r>
      <w:r>
        <w:rPr>
          <w:rFonts w:hint="eastAsia" w:ascii="宋体" w:hAnsi="宋体" w:eastAsia="宋体" w:cs="宋体"/>
          <w:b/>
          <w:bCs/>
          <w:color w:val="auto"/>
          <w:sz w:val="21"/>
          <w:szCs w:val="21"/>
          <w:highlight w:val="none"/>
          <w:lang w:val="en-US" w:eastAsia="zh-CN"/>
        </w:rPr>
        <w:t>。</w:t>
      </w:r>
    </w:p>
    <w:p>
      <w:pPr>
        <w:pStyle w:val="2"/>
        <w:rPr>
          <w:rFonts w:hint="eastAsia"/>
          <w:b w:val="0"/>
          <w:bCs w:val="0"/>
          <w:highlight w:val="none"/>
          <w:lang w:val="en-US" w:eastAsia="zh-CN"/>
        </w:rPr>
      </w:pPr>
      <w:r>
        <w:rPr>
          <w:rFonts w:hint="eastAsia" w:ascii="宋体" w:hAnsi="宋体" w:eastAsia="宋体" w:cs="宋体"/>
          <w:b w:val="0"/>
          <w:bCs w:val="0"/>
          <w:color w:val="auto"/>
          <w:sz w:val="21"/>
          <w:szCs w:val="21"/>
          <w:highlight w:val="none"/>
          <w:lang w:val="en-US" w:eastAsia="zh-CN"/>
        </w:rPr>
        <w:t>（5）拟投入保洁人员全部持有健康证的优先考虑。</w:t>
      </w:r>
    </w:p>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四</w:t>
      </w:r>
      <w:r>
        <w:rPr>
          <w:rFonts w:hint="eastAsia" w:ascii="宋体" w:hAnsi="宋体" w:eastAsia="宋体" w:cs="宋体"/>
          <w:color w:val="auto"/>
          <w:sz w:val="21"/>
          <w:szCs w:val="21"/>
          <w:highlight w:val="none"/>
        </w:rPr>
        <w:t>、管理方法及要求</w:t>
      </w:r>
    </w:p>
    <w:p>
      <w:pPr>
        <w:keepNext w:val="0"/>
        <w:keepLines w:val="0"/>
        <w:pageBreakBefore w:val="0"/>
        <w:widowControl w:val="0"/>
        <w:kinsoku/>
        <w:wordWrap/>
        <w:overflowPunct/>
        <w:topLinePunct w:val="0"/>
        <w:autoSpaceDE/>
        <w:autoSpaceDN/>
        <w:bidi w:val="0"/>
        <w:adjustRightInd/>
        <w:snapToGrid/>
        <w:spacing w:line="360" w:lineRule="auto"/>
        <w:ind w:firstLine="422" w:firstLineChars="200"/>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（一）服务相关设备的配备要求</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中标</w:t>
      </w:r>
      <w:r>
        <w:rPr>
          <w:rFonts w:hint="eastAsia" w:ascii="宋体" w:hAnsi="宋体" w:eastAsia="宋体" w:cs="宋体"/>
          <w:color w:val="auto"/>
          <w:sz w:val="21"/>
          <w:szCs w:val="21"/>
          <w:highlight w:val="none"/>
        </w:rPr>
        <w:t>供应商</w:t>
      </w:r>
      <w:r>
        <w:rPr>
          <w:rFonts w:hint="eastAsia" w:ascii="宋体" w:hAnsi="宋体" w:eastAsia="宋体" w:cs="宋体"/>
          <w:color w:val="auto"/>
          <w:sz w:val="21"/>
          <w:szCs w:val="21"/>
          <w:highlight w:val="none"/>
          <w:lang w:eastAsia="zh-CN"/>
        </w:rPr>
        <w:t>需</w:t>
      </w:r>
      <w:r>
        <w:rPr>
          <w:rFonts w:hint="eastAsia" w:ascii="宋体" w:hAnsi="宋体" w:eastAsia="宋体" w:cs="宋体"/>
          <w:color w:val="auto"/>
          <w:sz w:val="21"/>
          <w:szCs w:val="21"/>
          <w:highlight w:val="none"/>
        </w:rPr>
        <w:t>配置与本项目相关人员的保洁装备及耗材、办公设备及耗材、考勤设备、养护用品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低值易耗品等。</w:t>
      </w:r>
      <w:r>
        <w:rPr>
          <w:rFonts w:hint="eastAsia" w:ascii="宋体" w:hAnsi="宋体" w:eastAsia="宋体" w:cs="宋体"/>
          <w:color w:val="auto"/>
          <w:sz w:val="21"/>
          <w:szCs w:val="21"/>
          <w:highlight w:val="none"/>
          <w:lang w:val="en-US" w:eastAsia="zh-CN"/>
        </w:rPr>
        <w:t>不包含洗衣房洗涤用品的耗材和保洁使用的医疗废物垃圾袋、利器盒、消毒剂、绿化养护工具材料、卫生间</w:t>
      </w:r>
      <w:r>
        <w:rPr>
          <w:rFonts w:hint="eastAsia" w:ascii="宋体" w:hAnsi="宋体" w:eastAsia="宋体" w:cs="宋体"/>
          <w:color w:val="auto"/>
          <w:sz w:val="21"/>
          <w:szCs w:val="21"/>
          <w:highlight w:val="none"/>
        </w:rPr>
        <w:t>樟脑丸</w:t>
      </w:r>
      <w:r>
        <w:rPr>
          <w:rFonts w:hint="eastAsia" w:ascii="宋体" w:hAnsi="宋体" w:eastAsia="宋体" w:cs="宋体"/>
          <w:color w:val="auto"/>
          <w:sz w:val="21"/>
          <w:szCs w:val="21"/>
          <w:highlight w:val="none"/>
          <w:lang w:val="en-US" w:eastAsia="zh-CN"/>
        </w:rPr>
        <w:t>等（不包含部分</w:t>
      </w:r>
      <w:r>
        <w:rPr>
          <w:rFonts w:hint="eastAsia" w:ascii="宋体" w:hAnsi="宋体" w:eastAsia="宋体" w:cs="宋体"/>
          <w:color w:val="auto"/>
          <w:sz w:val="21"/>
          <w:szCs w:val="21"/>
          <w:highlight w:val="none"/>
        </w:rPr>
        <w:t>由采购人提供</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中标</w:t>
      </w:r>
      <w:r>
        <w:rPr>
          <w:rFonts w:hint="eastAsia" w:ascii="宋体" w:hAnsi="宋体" w:eastAsia="宋体" w:cs="宋体"/>
          <w:color w:val="auto"/>
          <w:sz w:val="21"/>
          <w:szCs w:val="21"/>
          <w:highlight w:val="none"/>
        </w:rPr>
        <w:t>供应商应自行负责办公场所桌椅等办公家私和员工更衣柜及员工宿舍。</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eastAsia="zh-CN"/>
        </w:rPr>
        <w:t>中标</w:t>
      </w:r>
      <w:r>
        <w:rPr>
          <w:rFonts w:hint="eastAsia" w:ascii="宋体" w:hAnsi="宋体" w:eastAsia="宋体" w:cs="宋体"/>
          <w:color w:val="auto"/>
          <w:sz w:val="21"/>
          <w:szCs w:val="21"/>
          <w:highlight w:val="none"/>
        </w:rPr>
        <w:t>供应商的各岗位员工要统一服装，并由</w:t>
      </w:r>
      <w:r>
        <w:rPr>
          <w:rFonts w:hint="eastAsia" w:ascii="宋体" w:hAnsi="宋体" w:eastAsia="宋体" w:cs="宋体"/>
          <w:color w:val="auto"/>
          <w:sz w:val="21"/>
          <w:szCs w:val="21"/>
          <w:highlight w:val="none"/>
          <w:lang w:eastAsia="zh-CN"/>
        </w:rPr>
        <w:t>中标供应商</w:t>
      </w:r>
      <w:r>
        <w:rPr>
          <w:rFonts w:hint="eastAsia" w:ascii="宋体" w:hAnsi="宋体" w:eastAsia="宋体" w:cs="宋体"/>
          <w:color w:val="auto"/>
          <w:sz w:val="21"/>
          <w:szCs w:val="21"/>
          <w:highlight w:val="none"/>
        </w:rPr>
        <w:t>负责其员工工服配备。</w:t>
      </w:r>
    </w:p>
    <w:p>
      <w:pPr>
        <w:keepNext w:val="0"/>
        <w:keepLines w:val="0"/>
        <w:pageBreakBefore w:val="0"/>
        <w:widowControl w:val="0"/>
        <w:kinsoku/>
        <w:wordWrap/>
        <w:overflowPunct/>
        <w:topLinePunct w:val="0"/>
        <w:autoSpaceDE/>
        <w:autoSpaceDN/>
        <w:bidi w:val="0"/>
        <w:adjustRightInd/>
        <w:snapToGrid/>
        <w:spacing w:line="360" w:lineRule="auto"/>
        <w:ind w:firstLine="422" w:firstLineChars="200"/>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★（二）人员管理要求</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中标</w:t>
      </w:r>
      <w:r>
        <w:rPr>
          <w:rFonts w:hint="eastAsia" w:ascii="宋体" w:hAnsi="宋体" w:eastAsia="宋体" w:cs="宋体"/>
          <w:color w:val="auto"/>
          <w:sz w:val="21"/>
          <w:szCs w:val="21"/>
          <w:highlight w:val="none"/>
        </w:rPr>
        <w:t>供应商有岗前培训，服务人员100%经过岗前培训合格才上岗。</w:t>
      </w:r>
    </w:p>
    <w:p>
      <w:pPr>
        <w:keepNext w:val="0"/>
        <w:keepLines w:val="0"/>
        <w:pageBreakBefore w:val="0"/>
        <w:widowControl/>
        <w:kinsoku/>
        <w:wordWrap/>
        <w:overflowPunct/>
        <w:topLinePunct w:val="0"/>
        <w:autoSpaceDE/>
        <w:autoSpaceDN/>
        <w:bidi w:val="0"/>
        <w:snapToGrid/>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中标</w:t>
      </w:r>
      <w:r>
        <w:rPr>
          <w:rFonts w:hint="eastAsia" w:ascii="宋体" w:hAnsi="宋体" w:eastAsia="宋体" w:cs="宋体"/>
          <w:color w:val="auto"/>
          <w:sz w:val="21"/>
          <w:szCs w:val="21"/>
          <w:highlight w:val="none"/>
        </w:rPr>
        <w:t>供应商</w:t>
      </w:r>
      <w:r>
        <w:rPr>
          <w:rFonts w:hint="eastAsia" w:ascii="宋体" w:hAnsi="宋体" w:eastAsia="宋体" w:cs="宋体"/>
          <w:color w:val="auto"/>
          <w:sz w:val="21"/>
          <w:szCs w:val="21"/>
          <w:highlight w:val="none"/>
          <w:lang w:eastAsia="zh-CN"/>
        </w:rPr>
        <w:t>需</w:t>
      </w:r>
      <w:r>
        <w:rPr>
          <w:rFonts w:hint="eastAsia" w:ascii="宋体" w:hAnsi="宋体" w:eastAsia="宋体" w:cs="宋体"/>
          <w:color w:val="auto"/>
          <w:sz w:val="21"/>
          <w:szCs w:val="21"/>
          <w:highlight w:val="none"/>
        </w:rPr>
        <w:t>严格按照《中华人民共和国劳动法》的相关规定发放工资，服务人员工资不得低于</w:t>
      </w:r>
      <w:r>
        <w:rPr>
          <w:rFonts w:hint="eastAsia" w:ascii="宋体" w:hAnsi="宋体" w:eastAsia="宋体" w:cs="宋体"/>
          <w:color w:val="auto"/>
          <w:sz w:val="21"/>
          <w:szCs w:val="21"/>
          <w:highlight w:val="none"/>
          <w:lang w:val="en-US" w:eastAsia="zh-CN"/>
        </w:rPr>
        <w:t>防城港</w:t>
      </w:r>
      <w:r>
        <w:rPr>
          <w:rFonts w:hint="eastAsia" w:ascii="宋体" w:hAnsi="宋体" w:eastAsia="宋体" w:cs="宋体"/>
          <w:color w:val="auto"/>
          <w:sz w:val="21"/>
          <w:szCs w:val="21"/>
          <w:highlight w:val="none"/>
        </w:rPr>
        <w:t>市企业职工最低工资标准（工资不含按国家规定供应商</w:t>
      </w:r>
      <w:r>
        <w:rPr>
          <w:rFonts w:hint="eastAsia" w:ascii="宋体" w:hAnsi="宋体" w:eastAsia="宋体" w:cs="宋体"/>
          <w:color w:val="auto"/>
          <w:sz w:val="21"/>
          <w:szCs w:val="21"/>
          <w:highlight w:val="none"/>
          <w:lang w:eastAsia="zh-CN"/>
        </w:rPr>
        <w:t>应</w:t>
      </w:r>
      <w:r>
        <w:rPr>
          <w:rFonts w:hint="eastAsia" w:ascii="宋体" w:hAnsi="宋体" w:eastAsia="宋体" w:cs="宋体"/>
          <w:color w:val="auto"/>
          <w:sz w:val="21"/>
          <w:szCs w:val="21"/>
          <w:highlight w:val="none"/>
        </w:rPr>
        <w:t>支付的社会保险及其他应付费用）。同时应按照《中华人民共和国社会保险法》和《住房公积金管理条例》的相关规定，严格按照国家规定给所有的员工缴纳各种社会保险（基本养老保险、基本医疗保险、工伤保险、失业保险、生育保险）。</w:t>
      </w:r>
      <w:r>
        <w:rPr>
          <w:rFonts w:hint="eastAsia" w:ascii="宋体" w:hAnsi="宋体" w:eastAsia="宋体" w:cs="宋体"/>
          <w:color w:val="auto"/>
          <w:sz w:val="21"/>
          <w:szCs w:val="21"/>
          <w:highlight w:val="none"/>
          <w:lang w:val="en-US" w:eastAsia="zh-CN"/>
        </w:rPr>
        <w:t>项目实施期间如遇防城港市企业职工最低工资标准进行调整，不再另行增加费用。</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中标</w:t>
      </w:r>
      <w:r>
        <w:rPr>
          <w:rFonts w:hint="eastAsia" w:ascii="宋体" w:hAnsi="宋体" w:eastAsia="宋体" w:cs="宋体"/>
          <w:color w:val="auto"/>
          <w:sz w:val="21"/>
          <w:szCs w:val="21"/>
          <w:highlight w:val="none"/>
        </w:rPr>
        <w:t>供应商自行负责其招聘员工的一切工资、福利</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如发生工伤、疾病乃至死亡的一切责任及费用由</w:t>
      </w:r>
      <w:r>
        <w:rPr>
          <w:rFonts w:hint="eastAsia" w:ascii="宋体" w:hAnsi="宋体" w:eastAsia="宋体" w:cs="宋体"/>
          <w:color w:val="auto"/>
          <w:sz w:val="21"/>
          <w:szCs w:val="21"/>
          <w:highlight w:val="none"/>
          <w:lang w:eastAsia="zh-CN"/>
        </w:rPr>
        <w:t>中标供应商</w:t>
      </w:r>
      <w:r>
        <w:rPr>
          <w:rFonts w:hint="eastAsia" w:ascii="宋体" w:hAnsi="宋体" w:eastAsia="宋体" w:cs="宋体"/>
          <w:color w:val="auto"/>
          <w:sz w:val="21"/>
          <w:szCs w:val="21"/>
          <w:highlight w:val="none"/>
        </w:rPr>
        <w:t>全部负责</w:t>
      </w:r>
      <w:r>
        <w:rPr>
          <w:rFonts w:hint="eastAsia" w:ascii="宋体" w:hAnsi="宋体" w:eastAsia="宋体" w:cs="宋体"/>
          <w:color w:val="auto"/>
          <w:sz w:val="21"/>
          <w:szCs w:val="21"/>
          <w:highlight w:val="none"/>
          <w:lang w:val="en-US" w:eastAsia="zh-CN"/>
        </w:rPr>
        <w:t>；中标供应商应严格遵守国家有关的法律、法规及行业标准。</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中标</w:t>
      </w:r>
      <w:r>
        <w:rPr>
          <w:rFonts w:hint="eastAsia" w:ascii="宋体" w:hAnsi="宋体" w:eastAsia="宋体" w:cs="宋体"/>
          <w:color w:val="auto"/>
          <w:sz w:val="21"/>
          <w:szCs w:val="21"/>
          <w:highlight w:val="none"/>
        </w:rPr>
        <w:t>供应商的服务人员严格遵守医院各项规章制度、操作规程和岗位职责。</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（1）双方制定考核评价细则，每月不定时到现场检查、考评卫生工作质量。</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（2）清洁验收总标准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干净、整洁、光亮、无异味。</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中标</w:t>
      </w:r>
      <w:r>
        <w:rPr>
          <w:rFonts w:hint="eastAsia" w:ascii="宋体" w:hAnsi="宋体" w:eastAsia="宋体" w:cs="宋体"/>
          <w:color w:val="auto"/>
          <w:sz w:val="21"/>
          <w:szCs w:val="21"/>
          <w:highlight w:val="none"/>
        </w:rPr>
        <w:t>供应商的服务人员不得在科室任何地方堆放任何杂物、纸皮、报纸；不得在病区冲凉、晒衣服；工作时间穿工作服，</w:t>
      </w:r>
      <w:r>
        <w:rPr>
          <w:rFonts w:hint="eastAsia" w:ascii="宋体" w:hAnsi="宋体" w:eastAsia="宋体" w:cs="宋体"/>
          <w:b w:val="0"/>
          <w:bCs w:val="0"/>
          <w:color w:val="auto"/>
          <w:sz w:val="21"/>
          <w:szCs w:val="21"/>
          <w:highlight w:val="none"/>
        </w:rPr>
        <w:t>佩戴</w:t>
      </w:r>
      <w:r>
        <w:rPr>
          <w:rFonts w:hint="eastAsia" w:ascii="宋体" w:hAnsi="宋体" w:eastAsia="宋体" w:cs="宋体"/>
          <w:color w:val="auto"/>
          <w:sz w:val="21"/>
          <w:szCs w:val="21"/>
          <w:highlight w:val="none"/>
        </w:rPr>
        <w:t>工卡。</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中标</w:t>
      </w:r>
      <w:r>
        <w:rPr>
          <w:rFonts w:hint="eastAsia" w:ascii="宋体" w:hAnsi="宋体" w:eastAsia="宋体" w:cs="宋体"/>
          <w:color w:val="auto"/>
          <w:sz w:val="21"/>
          <w:szCs w:val="21"/>
          <w:highlight w:val="none"/>
        </w:rPr>
        <w:t>供应商项目经理及主管经常下科室调研，征求意见。</w:t>
      </w:r>
    </w:p>
    <w:p>
      <w:pPr>
        <w:keepNext w:val="0"/>
        <w:keepLines w:val="0"/>
        <w:pageBreakBefore w:val="0"/>
        <w:widowControl/>
        <w:kinsoku/>
        <w:wordWrap/>
        <w:overflowPunct/>
        <w:topLinePunct w:val="0"/>
        <w:autoSpaceDE/>
        <w:autoSpaceDN/>
        <w:bidi w:val="0"/>
        <w:snapToGrid/>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）对员工进行岗前培训，不断提高业务技能，逐步实行持证上岗。</w:t>
      </w:r>
      <w:r>
        <w:rPr>
          <w:rFonts w:hint="eastAsia" w:ascii="宋体" w:hAnsi="宋体" w:eastAsia="宋体" w:cs="宋体"/>
          <w:color w:val="auto"/>
          <w:sz w:val="21"/>
          <w:szCs w:val="21"/>
          <w:highlight w:val="none"/>
          <w:lang w:eastAsia="zh-CN"/>
        </w:rPr>
        <w:t>中标</w:t>
      </w:r>
      <w:r>
        <w:rPr>
          <w:rFonts w:hint="eastAsia" w:ascii="宋体" w:hAnsi="宋体" w:eastAsia="宋体" w:cs="宋体"/>
          <w:color w:val="auto"/>
          <w:sz w:val="21"/>
          <w:szCs w:val="21"/>
          <w:highlight w:val="none"/>
        </w:rPr>
        <w:t>供应商需对新员工进行消毒隔离技术、手卫生、院感知识、消防知识培训合格才能上岗，在职员工培训每年不少于4次。</w:t>
      </w:r>
      <w:r>
        <w:rPr>
          <w:rFonts w:hint="eastAsia" w:ascii="宋体" w:hAnsi="宋体" w:eastAsia="宋体" w:cs="宋体"/>
          <w:color w:val="auto"/>
          <w:sz w:val="21"/>
          <w:szCs w:val="21"/>
          <w:highlight w:val="none"/>
          <w:lang w:val="en-US" w:eastAsia="zh-CN"/>
        </w:rPr>
        <w:t>采购人指定院感科负责协助</w:t>
      </w:r>
      <w:r>
        <w:rPr>
          <w:rFonts w:hint="eastAsia" w:ascii="宋体" w:hAnsi="宋体" w:eastAsia="宋体" w:cs="宋体"/>
          <w:color w:val="auto"/>
          <w:sz w:val="21"/>
          <w:szCs w:val="21"/>
          <w:highlight w:val="none"/>
          <w:lang w:eastAsia="zh-CN"/>
        </w:rPr>
        <w:t>中标供应商</w:t>
      </w:r>
      <w:r>
        <w:rPr>
          <w:rFonts w:hint="eastAsia" w:ascii="宋体" w:hAnsi="宋体" w:eastAsia="宋体" w:cs="宋体"/>
          <w:color w:val="auto"/>
          <w:sz w:val="21"/>
          <w:szCs w:val="21"/>
          <w:highlight w:val="none"/>
          <w:lang w:val="en-US" w:eastAsia="zh-CN"/>
        </w:rPr>
        <w:t>对员工进行消毒、院感知识培训指导。</w:t>
      </w:r>
    </w:p>
    <w:p>
      <w:pPr>
        <w:keepNext w:val="0"/>
        <w:keepLines w:val="0"/>
        <w:pageBreakBefore w:val="0"/>
        <w:widowControl/>
        <w:numPr>
          <w:ilvl w:val="0"/>
          <w:numId w:val="0"/>
        </w:numPr>
        <w:kinsoku/>
        <w:wordWrap/>
        <w:overflowPunct/>
        <w:topLinePunct w:val="0"/>
        <w:autoSpaceDE/>
        <w:autoSpaceDN/>
        <w:bidi w:val="0"/>
        <w:snapToGrid/>
        <w:spacing w:line="360" w:lineRule="auto"/>
        <w:ind w:firstLine="422" w:firstLineChars="200"/>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5.</w:t>
      </w:r>
      <w:r>
        <w:rPr>
          <w:rFonts w:hint="eastAsia" w:ascii="宋体" w:hAnsi="宋体" w:eastAsia="宋体" w:cs="宋体"/>
          <w:b/>
          <w:bCs/>
          <w:color w:val="auto"/>
          <w:sz w:val="21"/>
          <w:szCs w:val="21"/>
          <w:highlight w:val="none"/>
          <w:lang w:eastAsia="zh-CN"/>
        </w:rPr>
        <w:t>中标</w:t>
      </w:r>
      <w:r>
        <w:rPr>
          <w:rFonts w:hint="eastAsia" w:ascii="宋体" w:hAnsi="宋体" w:eastAsia="宋体" w:cs="宋体"/>
          <w:b/>
          <w:bCs/>
          <w:color w:val="auto"/>
          <w:sz w:val="21"/>
          <w:szCs w:val="21"/>
          <w:highlight w:val="none"/>
          <w:lang w:val="en-US" w:eastAsia="zh-CN"/>
        </w:rPr>
        <w:t>供应商员工进行物业服务时需做好安全措施，有明显标识的安全标志。不得损坏采购方的所有设备。因</w:t>
      </w:r>
      <w:r>
        <w:rPr>
          <w:rFonts w:hint="eastAsia" w:ascii="宋体" w:hAnsi="宋体" w:eastAsia="宋体" w:cs="宋体"/>
          <w:b/>
          <w:bCs/>
          <w:color w:val="auto"/>
          <w:sz w:val="21"/>
          <w:szCs w:val="21"/>
          <w:highlight w:val="none"/>
          <w:lang w:eastAsia="zh-CN"/>
        </w:rPr>
        <w:t>中标供应商</w:t>
      </w:r>
      <w:r>
        <w:rPr>
          <w:rFonts w:hint="eastAsia" w:ascii="宋体" w:hAnsi="宋体" w:eastAsia="宋体" w:cs="宋体"/>
          <w:b/>
          <w:bCs/>
          <w:color w:val="auto"/>
          <w:sz w:val="21"/>
          <w:szCs w:val="21"/>
          <w:highlight w:val="none"/>
          <w:lang w:val="en-US" w:eastAsia="zh-CN"/>
        </w:rPr>
        <w:t>员工工作失误，违反操作规程，导致发生意外事故（包括医疗事故），一切责任由</w:t>
      </w:r>
      <w:r>
        <w:rPr>
          <w:rFonts w:hint="eastAsia" w:ascii="宋体" w:hAnsi="宋体" w:eastAsia="宋体" w:cs="宋体"/>
          <w:b/>
          <w:bCs/>
          <w:color w:val="auto"/>
          <w:sz w:val="21"/>
          <w:szCs w:val="21"/>
          <w:highlight w:val="none"/>
          <w:lang w:eastAsia="zh-CN"/>
        </w:rPr>
        <w:t>中标供应商</w:t>
      </w:r>
      <w:r>
        <w:rPr>
          <w:rFonts w:hint="eastAsia" w:ascii="宋体" w:hAnsi="宋体" w:eastAsia="宋体" w:cs="宋体"/>
          <w:b/>
          <w:bCs/>
          <w:color w:val="auto"/>
          <w:sz w:val="21"/>
          <w:szCs w:val="21"/>
          <w:highlight w:val="none"/>
          <w:lang w:val="en-US" w:eastAsia="zh-CN"/>
        </w:rPr>
        <w:t>负责。</w:t>
      </w:r>
    </w:p>
    <w:p>
      <w:pPr>
        <w:widowControl/>
        <w:spacing w:line="360" w:lineRule="auto"/>
        <w:ind w:firstLine="210" w:firstLineChars="10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6.中标供应商的工作人员存在以下情况的，采购人有权要求中标供应商更换工作人员：</w:t>
      </w:r>
    </w:p>
    <w:p>
      <w:pPr>
        <w:widowControl/>
        <w:spacing w:line="360" w:lineRule="auto"/>
        <w:ind w:firstLine="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（1）工作人员患有不符合院感要求的各类传染病的；</w:t>
      </w:r>
    </w:p>
    <w:p>
      <w:pPr>
        <w:widowControl/>
        <w:spacing w:line="360" w:lineRule="auto"/>
        <w:ind w:firstLine="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（2）工作人员态度恶劣、刁难、虐待他人或严重影响甲方正常工作及声誉的；</w:t>
      </w:r>
    </w:p>
    <w:p>
      <w:pPr>
        <w:widowControl/>
        <w:spacing w:line="360" w:lineRule="auto"/>
        <w:ind w:firstLine="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（3）工作人员给甲方或甲方客户造成财产损失的；</w:t>
      </w:r>
    </w:p>
    <w:p>
      <w:pPr>
        <w:widowControl/>
        <w:spacing w:line="360" w:lineRule="auto"/>
        <w:ind w:firstLine="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（4）工作人员工作消极怠慢或提供不合格服务的；</w:t>
      </w:r>
    </w:p>
    <w:p>
      <w:pPr>
        <w:widowControl/>
        <w:spacing w:line="360" w:lineRule="auto"/>
        <w:ind w:firstLine="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（5）工作人员有违法行为的；</w:t>
      </w:r>
    </w:p>
    <w:p>
      <w:pPr>
        <w:keepNext w:val="0"/>
        <w:keepLines w:val="0"/>
        <w:pageBreakBefore w:val="0"/>
        <w:widowControl w:val="0"/>
        <w:kinsoku/>
        <w:wordWrap/>
        <w:overflowPunct/>
        <w:topLinePunct w:val="0"/>
        <w:autoSpaceDE/>
        <w:autoSpaceDN/>
        <w:bidi w:val="0"/>
        <w:adjustRightInd/>
        <w:snapToGrid/>
        <w:spacing w:line="360" w:lineRule="auto"/>
        <w:ind w:firstLine="422" w:firstLineChars="200"/>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（三）日常管理要求</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1.未经采购人同意，</w:t>
      </w:r>
      <w:r>
        <w:rPr>
          <w:rFonts w:hint="eastAsia" w:ascii="宋体" w:hAnsi="宋体" w:eastAsia="宋体" w:cs="宋体"/>
          <w:color w:val="auto"/>
          <w:sz w:val="21"/>
          <w:szCs w:val="21"/>
          <w:highlight w:val="none"/>
          <w:lang w:eastAsia="zh-CN"/>
        </w:rPr>
        <w:t>中标</w:t>
      </w:r>
      <w:r>
        <w:rPr>
          <w:rFonts w:hint="eastAsia" w:ascii="宋体" w:hAnsi="宋体" w:eastAsia="宋体" w:cs="宋体"/>
          <w:color w:val="auto"/>
          <w:sz w:val="21"/>
          <w:szCs w:val="21"/>
          <w:highlight w:val="none"/>
        </w:rPr>
        <w:t>供应商不得在合同期限内将本项目的管理权转包或发包。</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中标</w:t>
      </w:r>
      <w:r>
        <w:rPr>
          <w:rFonts w:hint="eastAsia" w:ascii="宋体" w:hAnsi="宋体" w:eastAsia="宋体" w:cs="宋体"/>
          <w:color w:val="auto"/>
          <w:sz w:val="21"/>
          <w:szCs w:val="21"/>
          <w:highlight w:val="none"/>
        </w:rPr>
        <w:t>供应商</w:t>
      </w:r>
      <w:r>
        <w:rPr>
          <w:rFonts w:hint="eastAsia" w:ascii="宋体" w:hAnsi="宋体" w:eastAsia="宋体" w:cs="宋体"/>
          <w:color w:val="auto"/>
          <w:sz w:val="21"/>
          <w:szCs w:val="21"/>
          <w:highlight w:val="none"/>
          <w:lang w:eastAsia="zh-CN"/>
        </w:rPr>
        <w:t>需</w:t>
      </w:r>
      <w:r>
        <w:rPr>
          <w:rFonts w:hint="eastAsia" w:ascii="宋体" w:hAnsi="宋体" w:eastAsia="宋体" w:cs="宋体"/>
          <w:color w:val="auto"/>
          <w:sz w:val="21"/>
          <w:szCs w:val="21"/>
          <w:highlight w:val="none"/>
        </w:rPr>
        <w:t>提供足够的作业机具，自行解决后勤管理服务时所需的劳保用品，并能根据医院的行业形象要求及规范,保证文明工作。</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eastAsia="zh-CN"/>
        </w:rPr>
        <w:t>中标</w:t>
      </w:r>
      <w:r>
        <w:rPr>
          <w:rFonts w:hint="eastAsia" w:ascii="宋体" w:hAnsi="宋体" w:eastAsia="宋体" w:cs="宋体"/>
          <w:color w:val="auto"/>
          <w:sz w:val="21"/>
          <w:szCs w:val="21"/>
          <w:highlight w:val="none"/>
        </w:rPr>
        <w:t>供应商</w:t>
      </w:r>
      <w:r>
        <w:rPr>
          <w:rFonts w:hint="eastAsia" w:ascii="宋体" w:hAnsi="宋体" w:eastAsia="宋体" w:cs="宋体"/>
          <w:color w:val="auto"/>
          <w:sz w:val="21"/>
          <w:szCs w:val="21"/>
          <w:highlight w:val="none"/>
          <w:lang w:eastAsia="zh-CN"/>
        </w:rPr>
        <w:t>需</w:t>
      </w:r>
      <w:r>
        <w:rPr>
          <w:rFonts w:hint="eastAsia" w:ascii="宋体" w:hAnsi="宋体" w:eastAsia="宋体" w:cs="宋体"/>
          <w:color w:val="auto"/>
          <w:sz w:val="21"/>
          <w:szCs w:val="21"/>
          <w:highlight w:val="none"/>
        </w:rPr>
        <w:t>严格按照标准化的操作程序、完善的培训体系和质量控制体系完成本项目，以保证整个后勤系统安全、高效、有序和有计划地运转。</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eastAsia="zh-CN"/>
        </w:rPr>
        <w:t>中标</w:t>
      </w:r>
      <w:r>
        <w:rPr>
          <w:rFonts w:hint="eastAsia" w:ascii="宋体" w:hAnsi="宋体" w:eastAsia="宋体" w:cs="宋体"/>
          <w:color w:val="auto"/>
          <w:sz w:val="21"/>
          <w:szCs w:val="21"/>
          <w:highlight w:val="none"/>
        </w:rPr>
        <w:t>供应商有责任配合采购人接受上级领导部门的监督、检查，提供需要的资料。</w:t>
      </w:r>
    </w:p>
    <w:p>
      <w:pPr>
        <w:keepNext w:val="0"/>
        <w:keepLines w:val="0"/>
        <w:pageBreakBefore w:val="0"/>
        <w:widowControl w:val="0"/>
        <w:kinsoku/>
        <w:wordWrap/>
        <w:overflowPunct/>
        <w:topLinePunct w:val="0"/>
        <w:autoSpaceDE/>
        <w:autoSpaceDN/>
        <w:bidi w:val="0"/>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协助突击任务执行</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如上级检查、大型活动或接待参观，科室物资的搬迁、除四害、灭蚊等工作。</w:t>
      </w:r>
    </w:p>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五、质量监管办法</w:t>
      </w:r>
    </w:p>
    <w:p>
      <w:pPr>
        <w:keepNext w:val="0"/>
        <w:keepLines w:val="0"/>
        <w:pageBreakBefore w:val="0"/>
        <w:widowControl w:val="0"/>
        <w:kinsoku/>
        <w:wordWrap/>
        <w:overflowPunct/>
        <w:topLinePunct w:val="0"/>
        <w:autoSpaceDE/>
        <w:autoSpaceDN/>
        <w:bidi w:val="0"/>
        <w:adjustRightInd/>
        <w:snapToGrid/>
        <w:spacing w:line="360" w:lineRule="auto"/>
        <w:ind w:firstLine="422" w:firstLineChars="200"/>
        <w:jc w:val="both"/>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（一）</w:t>
      </w:r>
      <w:r>
        <w:rPr>
          <w:rFonts w:hint="eastAsia" w:ascii="宋体" w:hAnsi="宋体" w:eastAsia="宋体" w:cs="宋体"/>
          <w:b/>
          <w:bCs/>
          <w:color w:val="auto"/>
          <w:sz w:val="21"/>
          <w:szCs w:val="21"/>
          <w:highlight w:val="none"/>
          <w:lang w:val="en-US" w:eastAsia="zh-CN"/>
        </w:rPr>
        <w:t>总务科</w:t>
      </w:r>
      <w:r>
        <w:rPr>
          <w:rFonts w:hint="eastAsia" w:ascii="宋体" w:hAnsi="宋体" w:eastAsia="宋体" w:cs="宋体"/>
          <w:b/>
          <w:bCs/>
          <w:color w:val="auto"/>
          <w:sz w:val="21"/>
          <w:szCs w:val="21"/>
          <w:highlight w:val="none"/>
        </w:rPr>
        <w:t>监管</w:t>
      </w:r>
      <w:r>
        <w:rPr>
          <w:rFonts w:hint="eastAsia" w:ascii="宋体" w:hAnsi="宋体" w:eastAsia="宋体" w:cs="宋体"/>
          <w:b/>
          <w:bCs/>
          <w:color w:val="auto"/>
          <w:sz w:val="21"/>
          <w:szCs w:val="21"/>
          <w:highlight w:val="none"/>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总务科</w:t>
      </w:r>
      <w:r>
        <w:rPr>
          <w:rFonts w:hint="eastAsia" w:ascii="宋体" w:hAnsi="宋体" w:eastAsia="宋体" w:cs="宋体"/>
          <w:color w:val="auto"/>
          <w:sz w:val="21"/>
          <w:szCs w:val="21"/>
          <w:highlight w:val="none"/>
        </w:rPr>
        <w:t>定期对各区域进行巡查，对存在的问题，填写《</w:t>
      </w:r>
      <w:r>
        <w:rPr>
          <w:rFonts w:hint="eastAsia" w:ascii="宋体" w:hAnsi="宋体" w:eastAsia="宋体" w:cs="宋体"/>
          <w:color w:val="auto"/>
          <w:sz w:val="21"/>
          <w:szCs w:val="21"/>
          <w:highlight w:val="none"/>
          <w:lang w:val="en-US" w:eastAsia="zh-CN"/>
        </w:rPr>
        <w:t>物业</w:t>
      </w:r>
      <w:r>
        <w:rPr>
          <w:rFonts w:hint="eastAsia" w:ascii="宋体" w:hAnsi="宋体" w:eastAsia="宋体" w:cs="宋体"/>
          <w:color w:val="auto"/>
          <w:sz w:val="21"/>
          <w:szCs w:val="21"/>
          <w:highlight w:val="none"/>
        </w:rPr>
        <w:t>服务存在问题纠错单》交</w:t>
      </w:r>
      <w:r>
        <w:rPr>
          <w:rFonts w:hint="eastAsia" w:ascii="宋体" w:hAnsi="宋体" w:eastAsia="宋体" w:cs="宋体"/>
          <w:color w:val="auto"/>
          <w:sz w:val="21"/>
          <w:szCs w:val="21"/>
          <w:highlight w:val="none"/>
          <w:lang w:val="en-US" w:eastAsia="zh-CN"/>
        </w:rPr>
        <w:t>物业公司项目</w:t>
      </w:r>
      <w:r>
        <w:rPr>
          <w:rFonts w:hint="eastAsia" w:ascii="宋体" w:hAnsi="宋体" w:eastAsia="宋体" w:cs="宋体"/>
          <w:color w:val="auto"/>
          <w:sz w:val="21"/>
          <w:szCs w:val="21"/>
          <w:highlight w:val="none"/>
        </w:rPr>
        <w:t>主管限期整改，整改完毕，</w:t>
      </w:r>
      <w:r>
        <w:rPr>
          <w:rFonts w:hint="eastAsia" w:ascii="宋体" w:hAnsi="宋体" w:eastAsia="宋体" w:cs="宋体"/>
          <w:color w:val="auto"/>
          <w:sz w:val="21"/>
          <w:szCs w:val="21"/>
          <w:highlight w:val="none"/>
          <w:lang w:val="en-US" w:eastAsia="zh-CN"/>
        </w:rPr>
        <w:t>物业公司项目</w:t>
      </w:r>
      <w:r>
        <w:rPr>
          <w:rFonts w:hint="eastAsia" w:ascii="宋体" w:hAnsi="宋体" w:eastAsia="宋体" w:cs="宋体"/>
          <w:color w:val="auto"/>
          <w:sz w:val="21"/>
          <w:szCs w:val="21"/>
          <w:highlight w:val="none"/>
        </w:rPr>
        <w:t>主管应将处理意见交回</w:t>
      </w:r>
      <w:r>
        <w:rPr>
          <w:rFonts w:hint="eastAsia" w:ascii="宋体" w:hAnsi="宋体" w:eastAsia="宋体" w:cs="宋体"/>
          <w:color w:val="auto"/>
          <w:sz w:val="21"/>
          <w:szCs w:val="21"/>
          <w:highlight w:val="none"/>
          <w:lang w:val="en-US" w:eastAsia="zh-CN"/>
        </w:rPr>
        <w:t>总务科</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总务科</w:t>
      </w:r>
      <w:r>
        <w:rPr>
          <w:rFonts w:hint="eastAsia" w:ascii="宋体" w:hAnsi="宋体" w:eastAsia="宋体" w:cs="宋体"/>
          <w:color w:val="auto"/>
          <w:sz w:val="21"/>
          <w:szCs w:val="21"/>
          <w:highlight w:val="none"/>
        </w:rPr>
        <w:t>根据情况按合同约定进行处理。</w:t>
      </w:r>
    </w:p>
    <w:p>
      <w:pPr>
        <w:keepNext w:val="0"/>
        <w:keepLines w:val="0"/>
        <w:pageBreakBefore w:val="0"/>
        <w:widowControl w:val="0"/>
        <w:numPr>
          <w:ilvl w:val="-1"/>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1.1每次检查发现工作未到位，视问题严重情况扣除服务费用200元至2000元。</w:t>
      </w:r>
    </w:p>
    <w:p>
      <w:pPr>
        <w:keepNext w:val="0"/>
        <w:keepLines w:val="0"/>
        <w:pageBreakBefore w:val="0"/>
        <w:widowControl w:val="0"/>
        <w:numPr>
          <w:ilvl w:val="-1"/>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1.2工作出现错误，造成单位损失，视问题严重情况扣除服务费用500至5000元，并追究物业管理公司责任，补偿单位损失。</w:t>
      </w:r>
    </w:p>
    <w:p>
      <w:pPr>
        <w:keepNext w:val="0"/>
        <w:keepLines w:val="0"/>
        <w:pageBreakBefore w:val="0"/>
        <w:widowControl w:val="0"/>
        <w:numPr>
          <w:ilvl w:val="-1"/>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1.3工作出现严重错误，严重失职情况，追究物业管理公司责任，补偿单位损失。严重情况下解除合同。</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总务科</w:t>
      </w:r>
      <w:r>
        <w:rPr>
          <w:rFonts w:hint="eastAsia" w:ascii="宋体" w:hAnsi="宋体" w:eastAsia="宋体" w:cs="宋体"/>
          <w:color w:val="auto"/>
          <w:sz w:val="21"/>
          <w:szCs w:val="21"/>
          <w:highlight w:val="none"/>
        </w:rPr>
        <w:t>每月对</w:t>
      </w:r>
      <w:r>
        <w:rPr>
          <w:rFonts w:hint="eastAsia" w:ascii="宋体" w:hAnsi="宋体" w:eastAsia="宋体" w:cs="宋体"/>
          <w:color w:val="auto"/>
          <w:sz w:val="21"/>
          <w:szCs w:val="21"/>
          <w:highlight w:val="none"/>
          <w:lang w:val="en-US" w:eastAsia="zh-CN"/>
        </w:rPr>
        <w:t>物业</w:t>
      </w:r>
      <w:r>
        <w:rPr>
          <w:rFonts w:hint="eastAsia" w:ascii="宋体" w:hAnsi="宋体" w:eastAsia="宋体" w:cs="宋体"/>
          <w:color w:val="auto"/>
          <w:sz w:val="21"/>
          <w:szCs w:val="21"/>
          <w:highlight w:val="none"/>
        </w:rPr>
        <w:t>服务质量综合评价。评分结果直接与物业服务费挂</w:t>
      </w:r>
      <w:r>
        <w:rPr>
          <w:rFonts w:hint="eastAsia" w:ascii="宋体" w:hAnsi="宋体" w:eastAsia="宋体" w:cs="宋体"/>
          <w:color w:val="auto"/>
          <w:sz w:val="21"/>
          <w:szCs w:val="21"/>
          <w:highlight w:val="none"/>
          <w:lang w:eastAsia="zh-CN"/>
        </w:rPr>
        <w:t>钩</w:t>
      </w:r>
      <w:r>
        <w:rPr>
          <w:rFonts w:hint="eastAsia" w:ascii="宋体" w:hAnsi="宋体" w:eastAsia="宋体" w:cs="宋体"/>
          <w:color w:val="auto"/>
          <w:sz w:val="21"/>
          <w:szCs w:val="21"/>
          <w:highlight w:val="none"/>
        </w:rPr>
        <w:t>：得分</w:t>
      </w:r>
      <w:r>
        <w:rPr>
          <w:rFonts w:hint="eastAsia" w:ascii="宋体" w:hAnsi="宋体" w:eastAsia="宋体" w:cs="宋体"/>
          <w:color w:val="auto"/>
          <w:sz w:val="21"/>
          <w:szCs w:val="21"/>
          <w:highlight w:val="none"/>
          <w:lang w:val="en-US" w:eastAsia="zh-CN"/>
        </w:rPr>
        <w:t>90</w:t>
      </w:r>
      <w:r>
        <w:rPr>
          <w:rFonts w:hint="eastAsia" w:ascii="宋体" w:hAnsi="宋体" w:eastAsia="宋体" w:cs="宋体"/>
          <w:color w:val="auto"/>
          <w:sz w:val="21"/>
          <w:szCs w:val="21"/>
          <w:highlight w:val="none"/>
        </w:rPr>
        <w:t>分及以上不做扣罚，</w:t>
      </w:r>
      <w:r>
        <w:rPr>
          <w:rFonts w:hint="eastAsia" w:ascii="宋体" w:hAnsi="宋体" w:eastAsia="宋体" w:cs="宋体"/>
          <w:color w:val="auto"/>
          <w:sz w:val="21"/>
          <w:szCs w:val="21"/>
          <w:highlight w:val="none"/>
          <w:lang w:val="en-US" w:eastAsia="zh-CN"/>
        </w:rPr>
        <w:t>80</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val="en-US" w:eastAsia="zh-CN"/>
        </w:rPr>
        <w:t>至89</w:t>
      </w:r>
      <w:r>
        <w:rPr>
          <w:rFonts w:hint="eastAsia" w:ascii="宋体" w:hAnsi="宋体" w:eastAsia="宋体" w:cs="宋体"/>
          <w:color w:val="auto"/>
          <w:sz w:val="21"/>
          <w:szCs w:val="21"/>
          <w:highlight w:val="none"/>
        </w:rPr>
        <w:t>分每一分扣罚100元</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70</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val="en-US" w:eastAsia="zh-CN"/>
        </w:rPr>
        <w:t>至79</w:t>
      </w:r>
      <w:r>
        <w:rPr>
          <w:rFonts w:hint="eastAsia" w:ascii="宋体" w:hAnsi="宋体" w:eastAsia="宋体" w:cs="宋体"/>
          <w:color w:val="auto"/>
          <w:sz w:val="21"/>
          <w:szCs w:val="21"/>
          <w:highlight w:val="none"/>
        </w:rPr>
        <w:t>分每一分扣罚</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00元</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69</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以下</w:t>
      </w:r>
      <w:r>
        <w:rPr>
          <w:rFonts w:hint="eastAsia" w:ascii="宋体" w:hAnsi="宋体" w:eastAsia="宋体" w:cs="宋体"/>
          <w:color w:val="auto"/>
          <w:sz w:val="21"/>
          <w:szCs w:val="21"/>
          <w:highlight w:val="none"/>
        </w:rPr>
        <w:t>每一分扣罚</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00元。</w:t>
      </w:r>
    </w:p>
    <w:p>
      <w:pPr>
        <w:keepNext w:val="0"/>
        <w:keepLines w:val="0"/>
        <w:pageBreakBefore w:val="0"/>
        <w:widowControl w:val="0"/>
        <w:numPr>
          <w:ilvl w:val="-1"/>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总务科</w:t>
      </w:r>
      <w:r>
        <w:rPr>
          <w:rFonts w:hint="eastAsia" w:ascii="宋体" w:hAnsi="宋体" w:eastAsia="宋体" w:cs="宋体"/>
          <w:color w:val="auto"/>
          <w:sz w:val="21"/>
          <w:szCs w:val="21"/>
          <w:highlight w:val="none"/>
        </w:rPr>
        <w:t>每</w:t>
      </w:r>
      <w:r>
        <w:rPr>
          <w:rFonts w:hint="eastAsia" w:ascii="宋体" w:hAnsi="宋体" w:eastAsia="宋体" w:cs="宋体"/>
          <w:color w:val="auto"/>
          <w:sz w:val="21"/>
          <w:szCs w:val="21"/>
          <w:highlight w:val="none"/>
          <w:lang w:val="en-US" w:eastAsia="zh-CN"/>
        </w:rPr>
        <w:t>年</w:t>
      </w:r>
      <w:r>
        <w:rPr>
          <w:rFonts w:hint="eastAsia" w:ascii="宋体" w:hAnsi="宋体" w:eastAsia="宋体" w:cs="宋体"/>
          <w:color w:val="auto"/>
          <w:sz w:val="21"/>
          <w:szCs w:val="21"/>
          <w:highlight w:val="none"/>
        </w:rPr>
        <w:t>对</w:t>
      </w:r>
      <w:r>
        <w:rPr>
          <w:rFonts w:hint="eastAsia" w:ascii="宋体" w:hAnsi="宋体" w:eastAsia="宋体" w:cs="宋体"/>
          <w:color w:val="auto"/>
          <w:sz w:val="21"/>
          <w:szCs w:val="21"/>
          <w:highlight w:val="none"/>
          <w:lang w:val="en-US" w:eastAsia="zh-CN"/>
        </w:rPr>
        <w:t>物业进行</w:t>
      </w:r>
      <w:r>
        <w:rPr>
          <w:rFonts w:hint="eastAsia" w:ascii="宋体" w:hAnsi="宋体" w:eastAsia="宋体" w:cs="宋体"/>
          <w:color w:val="auto"/>
          <w:sz w:val="21"/>
          <w:szCs w:val="21"/>
          <w:highlight w:val="none"/>
        </w:rPr>
        <w:t>服务质量综合评价，</w:t>
      </w:r>
      <w:r>
        <w:rPr>
          <w:rFonts w:hint="eastAsia" w:ascii="宋体" w:hAnsi="宋体" w:eastAsia="宋体" w:cs="宋体"/>
          <w:color w:val="auto"/>
          <w:sz w:val="21"/>
          <w:szCs w:val="21"/>
          <w:highlight w:val="none"/>
          <w:lang w:val="en-US" w:eastAsia="zh-CN"/>
        </w:rPr>
        <w:t>即履约满意度测评。</w:t>
      </w:r>
      <w:r>
        <w:rPr>
          <w:rFonts w:hint="eastAsia" w:ascii="宋体" w:hAnsi="宋体" w:eastAsia="宋体" w:cs="宋体"/>
          <w:color w:val="auto"/>
          <w:sz w:val="21"/>
          <w:szCs w:val="21"/>
          <w:highlight w:val="none"/>
        </w:rPr>
        <w:t>详见附件</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《物业服务年度考核评分表》</w:t>
      </w:r>
      <w:r>
        <w:rPr>
          <w:rFonts w:hint="eastAsia" w:ascii="宋体" w:hAnsi="宋体" w:eastAsia="宋体" w:cs="宋体"/>
          <w:color w:val="auto"/>
          <w:sz w:val="21"/>
          <w:szCs w:val="21"/>
          <w:highlight w:val="none"/>
        </w:rPr>
        <w:t>。</w:t>
      </w:r>
    </w:p>
    <w:p>
      <w:pPr>
        <w:keepNext w:val="0"/>
        <w:keepLines w:val="0"/>
        <w:pageBreakBefore w:val="0"/>
        <w:widowControl w:val="0"/>
        <w:tabs>
          <w:tab w:val="left" w:pos="180"/>
          <w:tab w:val="left" w:pos="1620"/>
        </w:tabs>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3.1</w:t>
      </w:r>
      <w:r>
        <w:rPr>
          <w:rFonts w:hint="eastAsia" w:ascii="宋体" w:hAnsi="宋体" w:eastAsia="宋体" w:cs="宋体"/>
          <w:b w:val="0"/>
          <w:bCs w:val="0"/>
          <w:color w:val="auto"/>
          <w:sz w:val="21"/>
          <w:szCs w:val="21"/>
          <w:highlight w:val="none"/>
          <w:lang w:eastAsia="zh-CN"/>
        </w:rPr>
        <w:t>根据物业服务供应商资质合法性、伴随服务、增值服务及考核配合情况对供应商进行考核，每个考核周期为</w:t>
      </w:r>
      <w:r>
        <w:rPr>
          <w:rFonts w:hint="eastAsia" w:ascii="宋体" w:hAnsi="宋体" w:eastAsia="宋体" w:cs="宋体"/>
          <w:b w:val="0"/>
          <w:bCs w:val="0"/>
          <w:color w:val="auto"/>
          <w:sz w:val="21"/>
          <w:szCs w:val="21"/>
          <w:highlight w:val="none"/>
          <w:lang w:val="en-US" w:eastAsia="zh-CN"/>
        </w:rPr>
        <w:t>12</w:t>
      </w:r>
      <w:r>
        <w:rPr>
          <w:rFonts w:hint="eastAsia" w:ascii="宋体" w:hAnsi="宋体" w:eastAsia="宋体" w:cs="宋体"/>
          <w:b w:val="0"/>
          <w:bCs w:val="0"/>
          <w:color w:val="auto"/>
          <w:sz w:val="21"/>
          <w:szCs w:val="21"/>
          <w:highlight w:val="none"/>
          <w:lang w:eastAsia="zh-CN"/>
        </w:rPr>
        <w:t>个月，即考核期分别为1月1日至12月31日，采用扣分制。</w:t>
      </w:r>
    </w:p>
    <w:p>
      <w:pPr>
        <w:keepNext w:val="0"/>
        <w:keepLines w:val="0"/>
        <w:pageBreakBefore w:val="0"/>
        <w:widowControl w:val="0"/>
        <w:tabs>
          <w:tab w:val="left" w:pos="180"/>
          <w:tab w:val="left" w:pos="1620"/>
        </w:tabs>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3.2</w:t>
      </w:r>
      <w:r>
        <w:rPr>
          <w:rFonts w:hint="eastAsia" w:ascii="宋体" w:hAnsi="宋体" w:eastAsia="宋体" w:cs="宋体"/>
          <w:b w:val="0"/>
          <w:bCs w:val="0"/>
          <w:color w:val="auto"/>
          <w:sz w:val="21"/>
          <w:szCs w:val="21"/>
          <w:highlight w:val="none"/>
          <w:lang w:eastAsia="zh-CN"/>
        </w:rPr>
        <w:t>如出现《物业服务年度考核评分表》中的扣分项，由总务科及时填写考核评价表，逐级反馈，按考核周期汇总分数，并要求供应商限期整改。</w:t>
      </w:r>
      <w:r>
        <w:rPr>
          <w:rFonts w:hint="eastAsia" w:ascii="宋体" w:hAnsi="宋体" w:eastAsia="宋体" w:cs="宋体"/>
          <w:b w:val="0"/>
          <w:bCs w:val="0"/>
          <w:color w:val="auto"/>
          <w:sz w:val="21"/>
          <w:szCs w:val="21"/>
          <w:highlight w:val="none"/>
          <w:lang w:val="en-US" w:eastAsia="zh-CN"/>
        </w:rPr>
        <w:t>如不能完成工作任务、服务态度较差，视问题严重情况扣除服务费用1000元至5万元。</w:t>
      </w:r>
    </w:p>
    <w:p>
      <w:pPr>
        <w:keepNext w:val="0"/>
        <w:keepLines w:val="0"/>
        <w:pageBreakBefore w:val="0"/>
        <w:widowControl w:val="0"/>
        <w:tabs>
          <w:tab w:val="left" w:pos="180"/>
          <w:tab w:val="left" w:pos="1620"/>
        </w:tabs>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3.3</w:t>
      </w:r>
      <w:r>
        <w:rPr>
          <w:rFonts w:hint="eastAsia" w:ascii="宋体" w:hAnsi="宋体" w:eastAsia="宋体" w:cs="宋体"/>
          <w:b w:val="0"/>
          <w:bCs w:val="0"/>
          <w:color w:val="auto"/>
          <w:sz w:val="21"/>
          <w:szCs w:val="21"/>
          <w:highlight w:val="none"/>
          <w:lang w:eastAsia="zh-CN"/>
        </w:rPr>
        <w:t>年度考核分数＜</w:t>
      </w:r>
      <w:r>
        <w:rPr>
          <w:rFonts w:hint="eastAsia" w:ascii="宋体" w:hAnsi="宋体" w:eastAsia="宋体" w:cs="宋体"/>
          <w:b w:val="0"/>
          <w:bCs w:val="0"/>
          <w:color w:val="auto"/>
          <w:sz w:val="21"/>
          <w:szCs w:val="21"/>
          <w:highlight w:val="none"/>
          <w:lang w:val="en-US" w:eastAsia="zh-CN"/>
        </w:rPr>
        <w:t>7</w:t>
      </w:r>
      <w:r>
        <w:rPr>
          <w:rFonts w:hint="eastAsia" w:ascii="宋体" w:hAnsi="宋体" w:eastAsia="宋体" w:cs="宋体"/>
          <w:b w:val="0"/>
          <w:bCs w:val="0"/>
          <w:color w:val="auto"/>
          <w:sz w:val="21"/>
          <w:szCs w:val="21"/>
          <w:highlight w:val="none"/>
          <w:lang w:eastAsia="zh-CN"/>
        </w:rPr>
        <w:t>0分的供应商视为考核“不合格”；</w:t>
      </w:r>
      <w:r>
        <w:rPr>
          <w:rFonts w:hint="eastAsia" w:ascii="宋体" w:hAnsi="宋体" w:eastAsia="宋体" w:cs="宋体"/>
          <w:b w:val="0"/>
          <w:bCs w:val="0"/>
          <w:color w:val="auto"/>
          <w:sz w:val="21"/>
          <w:szCs w:val="21"/>
          <w:highlight w:val="none"/>
          <w:lang w:val="en-US" w:eastAsia="zh-CN"/>
        </w:rPr>
        <w:t>7</w:t>
      </w:r>
      <w:r>
        <w:rPr>
          <w:rFonts w:hint="eastAsia" w:ascii="宋体" w:hAnsi="宋体" w:eastAsia="宋体" w:cs="宋体"/>
          <w:b w:val="0"/>
          <w:bCs w:val="0"/>
          <w:color w:val="auto"/>
          <w:sz w:val="21"/>
          <w:szCs w:val="21"/>
          <w:highlight w:val="none"/>
          <w:lang w:eastAsia="zh-CN"/>
        </w:rPr>
        <w:t>0＜年度考核分数＜90分的视为考核“合格”；年度考核分数≥90分的视为考核“优秀”。</w:t>
      </w:r>
    </w:p>
    <w:p>
      <w:pPr>
        <w:keepNext w:val="0"/>
        <w:keepLines w:val="0"/>
        <w:pageBreakBefore w:val="0"/>
        <w:widowControl w:val="0"/>
        <w:numPr>
          <w:ilvl w:val="-1"/>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3.4</w:t>
      </w:r>
      <w:r>
        <w:rPr>
          <w:rFonts w:hint="eastAsia" w:ascii="宋体" w:hAnsi="宋体" w:eastAsia="宋体" w:cs="宋体"/>
          <w:b w:val="0"/>
          <w:bCs w:val="0"/>
          <w:color w:val="auto"/>
          <w:sz w:val="21"/>
          <w:szCs w:val="21"/>
          <w:highlight w:val="none"/>
          <w:lang w:eastAsia="zh-CN"/>
        </w:rPr>
        <w:t>年度考核分数</w:t>
      </w:r>
      <w:r>
        <w:rPr>
          <w:rFonts w:hint="eastAsia" w:ascii="宋体" w:hAnsi="宋体" w:eastAsia="宋体" w:cs="宋体"/>
          <w:b w:val="0"/>
          <w:bCs w:val="0"/>
          <w:color w:val="auto"/>
          <w:sz w:val="21"/>
          <w:szCs w:val="21"/>
          <w:highlight w:val="none"/>
          <w:lang w:val="en-US" w:eastAsia="zh-CN"/>
        </w:rPr>
        <w:t>是续约第二年合同的直接依据。</w:t>
      </w:r>
    </w:p>
    <w:p>
      <w:pPr>
        <w:keepNext w:val="0"/>
        <w:keepLines w:val="0"/>
        <w:pageBreakBefore w:val="0"/>
        <w:widowControl w:val="0"/>
        <w:tabs>
          <w:tab w:val="left" w:pos="180"/>
          <w:tab w:val="left" w:pos="1620"/>
        </w:tabs>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3.5</w:t>
      </w:r>
      <w:r>
        <w:rPr>
          <w:rFonts w:hint="eastAsia" w:ascii="宋体" w:hAnsi="宋体" w:eastAsia="宋体" w:cs="宋体"/>
          <w:b w:val="0"/>
          <w:bCs w:val="0"/>
          <w:color w:val="auto"/>
          <w:sz w:val="21"/>
          <w:szCs w:val="21"/>
          <w:highlight w:val="none"/>
          <w:lang w:eastAsia="zh-CN"/>
        </w:rPr>
        <w:t>考核“不合格”的供应商经院长办公会讨论后依法终止合同重新采购。</w:t>
      </w:r>
    </w:p>
    <w:p>
      <w:pPr>
        <w:keepNext w:val="0"/>
        <w:keepLines w:val="0"/>
        <w:pageBreakBefore w:val="0"/>
        <w:widowControl w:val="0"/>
        <w:kinsoku/>
        <w:wordWrap/>
        <w:overflowPunct/>
        <w:topLinePunct w:val="0"/>
        <w:autoSpaceDE/>
        <w:autoSpaceDN/>
        <w:bidi w:val="0"/>
        <w:adjustRightInd/>
        <w:snapToGrid/>
        <w:spacing w:line="360" w:lineRule="auto"/>
        <w:ind w:firstLine="422" w:firstLineChars="200"/>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（二）科室协助监管工作:</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1.科室发现</w:t>
      </w:r>
      <w:r>
        <w:rPr>
          <w:rFonts w:hint="eastAsia" w:ascii="宋体" w:hAnsi="宋体" w:eastAsia="宋体" w:cs="宋体"/>
          <w:color w:val="auto"/>
          <w:sz w:val="21"/>
          <w:szCs w:val="21"/>
          <w:highlight w:val="none"/>
          <w:lang w:eastAsia="zh-CN"/>
        </w:rPr>
        <w:t>中标供应商</w:t>
      </w:r>
      <w:r>
        <w:rPr>
          <w:rFonts w:hint="eastAsia" w:ascii="宋体" w:hAnsi="宋体" w:eastAsia="宋体" w:cs="宋体"/>
          <w:color w:val="auto"/>
          <w:sz w:val="21"/>
          <w:szCs w:val="21"/>
          <w:highlight w:val="none"/>
        </w:rPr>
        <w:t>员工有违反法规、规章的行为或主管监督不力的地方，可直接向</w:t>
      </w:r>
      <w:r>
        <w:rPr>
          <w:rFonts w:hint="eastAsia" w:ascii="宋体" w:hAnsi="宋体" w:eastAsia="宋体" w:cs="宋体"/>
          <w:color w:val="auto"/>
          <w:sz w:val="21"/>
          <w:szCs w:val="21"/>
          <w:highlight w:val="none"/>
          <w:lang w:eastAsia="zh-CN"/>
        </w:rPr>
        <w:t>总务科</w:t>
      </w:r>
      <w:r>
        <w:rPr>
          <w:rFonts w:hint="eastAsia" w:ascii="宋体" w:hAnsi="宋体" w:eastAsia="宋体" w:cs="宋体"/>
          <w:color w:val="auto"/>
          <w:sz w:val="21"/>
          <w:szCs w:val="21"/>
          <w:highlight w:val="none"/>
        </w:rPr>
        <w:t>反映，由</w:t>
      </w:r>
      <w:r>
        <w:rPr>
          <w:rFonts w:hint="eastAsia" w:ascii="宋体" w:hAnsi="宋体" w:eastAsia="宋体" w:cs="宋体"/>
          <w:color w:val="auto"/>
          <w:sz w:val="21"/>
          <w:szCs w:val="21"/>
          <w:highlight w:val="none"/>
          <w:lang w:eastAsia="zh-CN"/>
        </w:rPr>
        <w:t>总务科</w:t>
      </w:r>
      <w:r>
        <w:rPr>
          <w:rFonts w:hint="eastAsia" w:ascii="宋体" w:hAnsi="宋体" w:eastAsia="宋体" w:cs="宋体"/>
          <w:color w:val="auto"/>
          <w:sz w:val="21"/>
          <w:szCs w:val="21"/>
          <w:highlight w:val="none"/>
        </w:rPr>
        <w:t>跟进处理。</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2.配合</w:t>
      </w:r>
      <w:r>
        <w:rPr>
          <w:rFonts w:hint="eastAsia" w:ascii="宋体" w:hAnsi="宋体" w:eastAsia="宋体" w:cs="宋体"/>
          <w:color w:val="auto"/>
          <w:sz w:val="21"/>
          <w:szCs w:val="21"/>
          <w:highlight w:val="none"/>
          <w:lang w:eastAsia="zh-CN"/>
        </w:rPr>
        <w:t>总务科</w:t>
      </w:r>
      <w:r>
        <w:rPr>
          <w:rFonts w:hint="eastAsia" w:ascii="宋体" w:hAnsi="宋体" w:eastAsia="宋体" w:cs="宋体"/>
          <w:color w:val="auto"/>
          <w:sz w:val="21"/>
          <w:szCs w:val="21"/>
          <w:highlight w:val="none"/>
        </w:rPr>
        <w:t>做好月科室评价调查表，作为评价</w:t>
      </w:r>
      <w:r>
        <w:rPr>
          <w:rFonts w:hint="eastAsia" w:ascii="宋体" w:hAnsi="宋体" w:eastAsia="宋体" w:cs="宋体"/>
          <w:color w:val="auto"/>
          <w:sz w:val="21"/>
          <w:szCs w:val="21"/>
          <w:highlight w:val="none"/>
          <w:lang w:eastAsia="zh-CN"/>
        </w:rPr>
        <w:t>中标供应商</w:t>
      </w:r>
      <w:r>
        <w:rPr>
          <w:rFonts w:hint="eastAsia" w:ascii="宋体" w:hAnsi="宋体" w:eastAsia="宋体" w:cs="宋体"/>
          <w:color w:val="auto"/>
          <w:sz w:val="21"/>
          <w:szCs w:val="21"/>
          <w:highlight w:val="none"/>
        </w:rPr>
        <w:t>工作的依据，此评价与物业服务费挂</w:t>
      </w:r>
      <w:r>
        <w:rPr>
          <w:rFonts w:hint="eastAsia" w:ascii="宋体" w:hAnsi="宋体" w:eastAsia="宋体" w:cs="宋体"/>
          <w:color w:val="auto"/>
          <w:sz w:val="21"/>
          <w:szCs w:val="21"/>
          <w:highlight w:val="none"/>
          <w:lang w:eastAsia="zh-CN"/>
        </w:rPr>
        <w:t>钩</w:t>
      </w:r>
      <w:r>
        <w:rPr>
          <w:rFonts w:hint="eastAsia" w:ascii="宋体" w:hAnsi="宋体" w:eastAsia="宋体" w:cs="宋体"/>
          <w:color w:val="auto"/>
          <w:sz w:val="21"/>
          <w:szCs w:val="21"/>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3.对于经采购人考核不合格或科室评价不满意的员工，</w:t>
      </w:r>
      <w:r>
        <w:rPr>
          <w:rFonts w:hint="eastAsia" w:ascii="宋体" w:hAnsi="宋体" w:eastAsia="宋体" w:cs="宋体"/>
          <w:color w:val="auto"/>
          <w:sz w:val="21"/>
          <w:szCs w:val="21"/>
          <w:highlight w:val="none"/>
          <w:lang w:eastAsia="zh-CN"/>
        </w:rPr>
        <w:t>中标供应商</w:t>
      </w:r>
      <w:r>
        <w:rPr>
          <w:rFonts w:hint="eastAsia" w:ascii="宋体" w:hAnsi="宋体" w:eastAsia="宋体" w:cs="宋体"/>
          <w:color w:val="auto"/>
          <w:sz w:val="21"/>
          <w:szCs w:val="21"/>
          <w:highlight w:val="none"/>
        </w:rPr>
        <w:t>应及时进行相关培训提升服务质量或更换合适人选。</w:t>
      </w:r>
    </w:p>
    <w:p>
      <w:pPr>
        <w:keepNext w:val="0"/>
        <w:keepLines w:val="0"/>
        <w:pageBreakBefore w:val="0"/>
        <w:widowControl w:val="0"/>
        <w:kinsoku/>
        <w:wordWrap/>
        <w:overflowPunct/>
        <w:topLinePunct w:val="0"/>
        <w:autoSpaceDE/>
        <w:autoSpaceDN/>
        <w:bidi w:val="0"/>
        <w:adjustRightInd/>
        <w:snapToGrid/>
        <w:spacing w:line="360" w:lineRule="auto"/>
        <w:ind w:firstLine="422" w:firstLineChars="200"/>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三</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eastAsia="zh-CN"/>
        </w:rPr>
        <w:t>中标供应商</w:t>
      </w:r>
      <w:r>
        <w:rPr>
          <w:rFonts w:hint="eastAsia" w:ascii="宋体" w:hAnsi="宋体" w:eastAsia="宋体" w:cs="宋体"/>
          <w:b/>
          <w:bCs/>
          <w:color w:val="auto"/>
          <w:sz w:val="21"/>
          <w:szCs w:val="21"/>
          <w:highlight w:val="none"/>
        </w:rPr>
        <w:t>内部常规监管工作:</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中标供应商</w:t>
      </w:r>
      <w:r>
        <w:rPr>
          <w:rFonts w:hint="eastAsia" w:ascii="宋体" w:hAnsi="宋体" w:eastAsia="宋体" w:cs="宋体"/>
          <w:color w:val="auto"/>
          <w:sz w:val="21"/>
          <w:szCs w:val="21"/>
          <w:highlight w:val="none"/>
        </w:rPr>
        <w:t>每天应对员工进行考勤检查，院方随机抽查，保证各岗位人员到位。</w:t>
      </w:r>
      <w:r>
        <w:rPr>
          <w:rFonts w:hint="eastAsia" w:ascii="宋体" w:hAnsi="宋体" w:eastAsia="宋体" w:cs="宋体"/>
          <w:color w:val="auto"/>
          <w:sz w:val="21"/>
          <w:szCs w:val="21"/>
          <w:highlight w:val="none"/>
          <w:lang w:eastAsia="zh-CN"/>
        </w:rPr>
        <w:t>中标供应商</w:t>
      </w:r>
      <w:r>
        <w:rPr>
          <w:rFonts w:hint="eastAsia" w:ascii="宋体" w:hAnsi="宋体" w:eastAsia="宋体" w:cs="宋体"/>
          <w:color w:val="auto"/>
          <w:sz w:val="21"/>
          <w:szCs w:val="21"/>
          <w:highlight w:val="none"/>
        </w:rPr>
        <w:t>按采购人需求合理满岗配置人力，人员分布区域相对固定、聘用人员档案报</w:t>
      </w:r>
      <w:r>
        <w:rPr>
          <w:rFonts w:hint="eastAsia" w:ascii="宋体" w:hAnsi="宋体" w:eastAsia="宋体" w:cs="宋体"/>
          <w:color w:val="auto"/>
          <w:sz w:val="21"/>
          <w:szCs w:val="21"/>
          <w:highlight w:val="none"/>
          <w:lang w:eastAsia="zh-CN"/>
        </w:rPr>
        <w:t>总务科</w:t>
      </w:r>
      <w:r>
        <w:rPr>
          <w:rFonts w:hint="eastAsia" w:ascii="宋体" w:hAnsi="宋体" w:eastAsia="宋体" w:cs="宋体"/>
          <w:color w:val="auto"/>
          <w:sz w:val="21"/>
          <w:szCs w:val="21"/>
          <w:highlight w:val="none"/>
        </w:rPr>
        <w:t>审查、备案；考勤情况、人员档案更新每月报</w:t>
      </w:r>
      <w:r>
        <w:rPr>
          <w:rFonts w:hint="eastAsia" w:ascii="宋体" w:hAnsi="宋体" w:eastAsia="宋体" w:cs="宋体"/>
          <w:color w:val="auto"/>
          <w:sz w:val="21"/>
          <w:szCs w:val="21"/>
          <w:highlight w:val="none"/>
          <w:lang w:eastAsia="zh-CN"/>
        </w:rPr>
        <w:t>总务科</w:t>
      </w:r>
      <w:r>
        <w:rPr>
          <w:rFonts w:hint="eastAsia" w:ascii="宋体" w:hAnsi="宋体" w:eastAsia="宋体" w:cs="宋体"/>
          <w:color w:val="auto"/>
          <w:sz w:val="21"/>
          <w:szCs w:val="21"/>
          <w:highlight w:val="none"/>
        </w:rPr>
        <w:t>存档。</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物业公司对员工的培训</w:t>
      </w:r>
      <w:r>
        <w:rPr>
          <w:rFonts w:hint="eastAsia" w:ascii="宋体" w:hAnsi="宋体" w:eastAsia="宋体" w:cs="宋体"/>
          <w:color w:val="auto"/>
          <w:sz w:val="21"/>
          <w:szCs w:val="21"/>
          <w:highlight w:val="none"/>
        </w:rPr>
        <w:t>要求有计划，有教材，有实际培训操作内容，同时要</w:t>
      </w:r>
      <w:r>
        <w:rPr>
          <w:rFonts w:hint="eastAsia" w:ascii="宋体" w:hAnsi="宋体" w:eastAsia="宋体" w:cs="宋体"/>
          <w:color w:val="auto"/>
          <w:sz w:val="21"/>
          <w:szCs w:val="21"/>
          <w:highlight w:val="none"/>
          <w:lang w:val="en-US" w:eastAsia="zh-CN"/>
        </w:rPr>
        <w:t>报备</w:t>
      </w:r>
      <w:r>
        <w:rPr>
          <w:rFonts w:hint="eastAsia" w:ascii="宋体" w:hAnsi="宋体" w:eastAsia="宋体" w:cs="宋体"/>
          <w:color w:val="auto"/>
          <w:sz w:val="21"/>
          <w:szCs w:val="21"/>
          <w:highlight w:val="none"/>
        </w:rPr>
        <w:t>采购人</w:t>
      </w:r>
      <w:r>
        <w:rPr>
          <w:rFonts w:hint="eastAsia" w:ascii="宋体" w:hAnsi="宋体" w:eastAsia="宋体" w:cs="宋体"/>
          <w:color w:val="auto"/>
          <w:sz w:val="21"/>
          <w:szCs w:val="21"/>
          <w:highlight w:val="none"/>
          <w:lang w:val="en-US" w:eastAsia="zh-CN"/>
        </w:rPr>
        <w:t>相关科室</w:t>
      </w:r>
      <w:r>
        <w:rPr>
          <w:rFonts w:hint="eastAsia" w:ascii="宋体" w:hAnsi="宋体" w:eastAsia="宋体" w:cs="宋体"/>
          <w:color w:val="auto"/>
          <w:sz w:val="21"/>
          <w:szCs w:val="21"/>
          <w:highlight w:val="none"/>
        </w:rPr>
        <w:t>人员参加（</w:t>
      </w:r>
      <w:r>
        <w:rPr>
          <w:rFonts w:hint="eastAsia" w:ascii="宋体" w:hAnsi="宋体" w:eastAsia="宋体" w:cs="宋体"/>
          <w:color w:val="auto"/>
          <w:sz w:val="21"/>
          <w:szCs w:val="21"/>
          <w:highlight w:val="none"/>
          <w:lang w:val="en-US" w:eastAsia="zh-CN"/>
        </w:rPr>
        <w:t>院感</w:t>
      </w:r>
      <w:r>
        <w:rPr>
          <w:rFonts w:hint="eastAsia" w:ascii="宋体" w:hAnsi="宋体" w:eastAsia="宋体" w:cs="宋体"/>
          <w:color w:val="auto"/>
          <w:sz w:val="21"/>
          <w:szCs w:val="21"/>
          <w:highlight w:val="none"/>
        </w:rPr>
        <w:t>培训教材要通过采购人院感科审查通过）。</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3.每月最后一周的星期五下午，采购人和</w:t>
      </w:r>
      <w:r>
        <w:rPr>
          <w:rFonts w:hint="eastAsia" w:ascii="宋体" w:hAnsi="宋体" w:eastAsia="宋体" w:cs="宋体"/>
          <w:color w:val="auto"/>
          <w:sz w:val="21"/>
          <w:szCs w:val="21"/>
          <w:highlight w:val="none"/>
          <w:lang w:eastAsia="zh-CN"/>
        </w:rPr>
        <w:t>中标供应商</w:t>
      </w:r>
      <w:r>
        <w:rPr>
          <w:rFonts w:hint="eastAsia" w:ascii="宋体" w:hAnsi="宋体" w:eastAsia="宋体" w:cs="宋体"/>
          <w:color w:val="auto"/>
          <w:sz w:val="21"/>
          <w:szCs w:val="21"/>
          <w:highlight w:val="none"/>
        </w:rPr>
        <w:t>项目经理召开工作协调会，协调解决存在的问题。</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eastAsia="zh-CN"/>
        </w:rPr>
        <w:t>中标供应商</w:t>
      </w:r>
      <w:r>
        <w:rPr>
          <w:rFonts w:hint="eastAsia" w:ascii="宋体" w:hAnsi="宋体" w:eastAsia="宋体" w:cs="宋体"/>
          <w:color w:val="auto"/>
          <w:sz w:val="21"/>
          <w:szCs w:val="21"/>
          <w:highlight w:val="none"/>
        </w:rPr>
        <w:t>员工应执行行为规范，由</w:t>
      </w:r>
      <w:r>
        <w:rPr>
          <w:rFonts w:hint="eastAsia" w:ascii="宋体" w:hAnsi="宋体" w:eastAsia="宋体" w:cs="宋体"/>
          <w:color w:val="auto"/>
          <w:sz w:val="21"/>
          <w:szCs w:val="21"/>
          <w:highlight w:val="none"/>
          <w:lang w:eastAsia="zh-CN"/>
        </w:rPr>
        <w:t>中标供应商</w:t>
      </w:r>
      <w:r>
        <w:rPr>
          <w:rFonts w:hint="eastAsia" w:ascii="宋体" w:hAnsi="宋体" w:eastAsia="宋体" w:cs="宋体"/>
          <w:color w:val="auto"/>
          <w:sz w:val="21"/>
          <w:szCs w:val="21"/>
          <w:highlight w:val="none"/>
        </w:rPr>
        <w:t>及采购人监督，有违反者按规定处理。对于有效投诉，</w:t>
      </w:r>
      <w:r>
        <w:rPr>
          <w:rFonts w:hint="eastAsia" w:ascii="宋体" w:hAnsi="宋体" w:eastAsia="宋体" w:cs="宋体"/>
          <w:color w:val="auto"/>
          <w:sz w:val="21"/>
          <w:szCs w:val="21"/>
          <w:highlight w:val="none"/>
          <w:lang w:eastAsia="zh-CN"/>
        </w:rPr>
        <w:t>中标供应商</w:t>
      </w:r>
      <w:r>
        <w:rPr>
          <w:rFonts w:hint="eastAsia" w:ascii="宋体" w:hAnsi="宋体" w:eastAsia="宋体" w:cs="宋体"/>
          <w:color w:val="auto"/>
          <w:sz w:val="21"/>
          <w:szCs w:val="21"/>
          <w:highlight w:val="none"/>
        </w:rPr>
        <w:t>对当事员工扣罚一定数量的金额时，</w:t>
      </w:r>
      <w:r>
        <w:rPr>
          <w:rFonts w:hint="eastAsia" w:ascii="宋体" w:hAnsi="宋体" w:eastAsia="宋体" w:cs="宋体"/>
          <w:color w:val="auto"/>
          <w:sz w:val="21"/>
          <w:szCs w:val="21"/>
          <w:highlight w:val="none"/>
          <w:lang w:eastAsia="zh-CN"/>
        </w:rPr>
        <w:t>总务科</w:t>
      </w:r>
      <w:r>
        <w:rPr>
          <w:rFonts w:hint="eastAsia" w:ascii="宋体" w:hAnsi="宋体" w:eastAsia="宋体" w:cs="宋体"/>
          <w:color w:val="auto"/>
          <w:sz w:val="21"/>
          <w:szCs w:val="21"/>
          <w:highlight w:val="none"/>
          <w:lang w:val="en-US" w:eastAsia="zh-CN"/>
        </w:rPr>
        <w:t>根据总务科</w:t>
      </w:r>
      <w:r>
        <w:rPr>
          <w:rFonts w:hint="eastAsia" w:ascii="宋体" w:hAnsi="宋体" w:eastAsia="宋体" w:cs="宋体"/>
          <w:color w:val="auto"/>
          <w:sz w:val="21"/>
          <w:szCs w:val="21"/>
          <w:highlight w:val="none"/>
          <w:lang w:eastAsia="zh-CN"/>
        </w:rPr>
        <w:t>监管内容相</w:t>
      </w:r>
      <w:r>
        <w:rPr>
          <w:rFonts w:hint="eastAsia" w:ascii="宋体" w:hAnsi="宋体" w:eastAsia="宋体" w:cs="宋体"/>
          <w:color w:val="auto"/>
          <w:sz w:val="21"/>
          <w:szCs w:val="21"/>
          <w:highlight w:val="none"/>
        </w:rPr>
        <w:t>对应扣罚公司当月服务费。</w:t>
      </w:r>
    </w:p>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六、入场和撤场交接</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1.在合同到期或提前终止后，</w:t>
      </w:r>
      <w:r>
        <w:rPr>
          <w:rFonts w:hint="eastAsia" w:ascii="宋体" w:hAnsi="宋体" w:eastAsia="宋体" w:cs="宋体"/>
          <w:color w:val="auto"/>
          <w:sz w:val="21"/>
          <w:szCs w:val="21"/>
          <w:highlight w:val="none"/>
          <w:lang w:eastAsia="zh-CN"/>
        </w:rPr>
        <w:t>中标供应商</w:t>
      </w:r>
      <w:r>
        <w:rPr>
          <w:rFonts w:hint="eastAsia" w:ascii="宋体" w:hAnsi="宋体" w:eastAsia="宋体" w:cs="宋体"/>
          <w:color w:val="auto"/>
          <w:sz w:val="21"/>
          <w:szCs w:val="21"/>
          <w:highlight w:val="none"/>
        </w:rPr>
        <w:t>应按照采购人指定的撤场交接方案，办理有关手续和清理工作。</w:t>
      </w:r>
      <w:r>
        <w:rPr>
          <w:rFonts w:hint="eastAsia" w:ascii="宋体" w:hAnsi="宋体" w:eastAsia="宋体" w:cs="宋体"/>
          <w:color w:val="auto"/>
          <w:sz w:val="21"/>
          <w:szCs w:val="21"/>
          <w:highlight w:val="none"/>
          <w:lang w:eastAsia="zh-CN"/>
        </w:rPr>
        <w:t>中标供应商</w:t>
      </w:r>
      <w:r>
        <w:rPr>
          <w:rFonts w:hint="eastAsia" w:ascii="宋体" w:hAnsi="宋体" w:eastAsia="宋体" w:cs="宋体"/>
          <w:b/>
          <w:bCs/>
          <w:color w:val="auto"/>
          <w:sz w:val="21"/>
          <w:szCs w:val="21"/>
          <w:highlight w:val="none"/>
          <w:lang w:eastAsia="zh-CN"/>
        </w:rPr>
        <w:t>需</w:t>
      </w:r>
      <w:r>
        <w:rPr>
          <w:rFonts w:hint="eastAsia" w:ascii="宋体" w:hAnsi="宋体" w:eastAsia="宋体" w:cs="宋体"/>
          <w:color w:val="auto"/>
          <w:sz w:val="21"/>
          <w:szCs w:val="21"/>
          <w:highlight w:val="none"/>
        </w:rPr>
        <w:t>提供详细的接手方案，列出具体交接物品清单及交接期限，并经过采购人确认后执行。如</w:t>
      </w:r>
      <w:r>
        <w:rPr>
          <w:rFonts w:hint="eastAsia" w:ascii="宋体" w:hAnsi="宋体" w:eastAsia="宋体" w:cs="宋体"/>
          <w:color w:val="auto"/>
          <w:sz w:val="21"/>
          <w:szCs w:val="21"/>
          <w:highlight w:val="none"/>
          <w:lang w:eastAsia="zh-CN"/>
        </w:rPr>
        <w:t>中标供应商</w:t>
      </w:r>
      <w:r>
        <w:rPr>
          <w:rFonts w:hint="eastAsia" w:ascii="宋体" w:hAnsi="宋体" w:eastAsia="宋体" w:cs="宋体"/>
          <w:color w:val="auto"/>
          <w:sz w:val="21"/>
          <w:szCs w:val="21"/>
          <w:highlight w:val="none"/>
        </w:rPr>
        <w:t>逾期未完成交接，采购人有权自行处理留置物品。</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2.若在合同到期后新</w:t>
      </w:r>
      <w:r>
        <w:rPr>
          <w:rFonts w:hint="eastAsia" w:ascii="宋体" w:hAnsi="宋体" w:eastAsia="宋体" w:cs="宋体"/>
          <w:color w:val="auto"/>
          <w:sz w:val="21"/>
          <w:szCs w:val="21"/>
          <w:highlight w:val="none"/>
          <w:lang w:eastAsia="zh-CN"/>
        </w:rPr>
        <w:t>中标供应商</w:t>
      </w:r>
      <w:r>
        <w:rPr>
          <w:rFonts w:hint="eastAsia" w:ascii="宋体" w:hAnsi="宋体" w:eastAsia="宋体" w:cs="宋体"/>
          <w:color w:val="auto"/>
          <w:sz w:val="21"/>
          <w:szCs w:val="21"/>
          <w:highlight w:val="none"/>
        </w:rPr>
        <w:t>未产生，</w:t>
      </w:r>
      <w:r>
        <w:rPr>
          <w:rFonts w:hint="eastAsia" w:ascii="宋体" w:hAnsi="宋体" w:eastAsia="宋体" w:cs="宋体"/>
          <w:color w:val="auto"/>
          <w:sz w:val="21"/>
          <w:szCs w:val="21"/>
          <w:highlight w:val="none"/>
          <w:lang w:eastAsia="zh-CN"/>
        </w:rPr>
        <w:t>中标供应商</w:t>
      </w:r>
      <w:r>
        <w:rPr>
          <w:rFonts w:hint="eastAsia" w:ascii="宋体" w:hAnsi="宋体" w:eastAsia="宋体" w:cs="宋体"/>
          <w:b/>
          <w:bCs/>
          <w:color w:val="auto"/>
          <w:sz w:val="21"/>
          <w:szCs w:val="21"/>
          <w:highlight w:val="none"/>
          <w:lang w:eastAsia="zh-CN"/>
        </w:rPr>
        <w:t>应</w:t>
      </w:r>
      <w:r>
        <w:rPr>
          <w:rFonts w:hint="eastAsia" w:ascii="宋体" w:hAnsi="宋体" w:eastAsia="宋体" w:cs="宋体"/>
          <w:color w:val="auto"/>
          <w:sz w:val="21"/>
          <w:szCs w:val="21"/>
          <w:highlight w:val="none"/>
        </w:rPr>
        <w:t>继续履行原合同，直至采购人指定的最后日期。采购人将按合同约定支付</w:t>
      </w:r>
      <w:r>
        <w:rPr>
          <w:rFonts w:hint="eastAsia" w:ascii="宋体" w:hAnsi="宋体" w:eastAsia="宋体" w:cs="宋体"/>
          <w:color w:val="auto"/>
          <w:sz w:val="21"/>
          <w:szCs w:val="21"/>
          <w:highlight w:val="none"/>
          <w:lang w:eastAsia="zh-CN"/>
        </w:rPr>
        <w:t>中标供应商</w:t>
      </w:r>
      <w:r>
        <w:rPr>
          <w:rFonts w:hint="eastAsia" w:ascii="宋体" w:hAnsi="宋体" w:eastAsia="宋体" w:cs="宋体"/>
          <w:color w:val="auto"/>
          <w:sz w:val="21"/>
          <w:szCs w:val="21"/>
          <w:highlight w:val="none"/>
        </w:rPr>
        <w:t>在此期间产生的相应物业管理费用。</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eastAsia="zh-CN"/>
        </w:rPr>
        <w:t>中标供应商</w:t>
      </w:r>
      <w:r>
        <w:rPr>
          <w:rFonts w:hint="eastAsia" w:ascii="宋体" w:hAnsi="宋体" w:eastAsia="宋体" w:cs="宋体"/>
          <w:color w:val="auto"/>
          <w:sz w:val="21"/>
          <w:szCs w:val="21"/>
          <w:highlight w:val="none"/>
        </w:rPr>
        <w:t>应建立本项目的物业管理档案。在合同期满时，</w:t>
      </w:r>
      <w:r>
        <w:rPr>
          <w:rFonts w:hint="eastAsia" w:ascii="宋体" w:hAnsi="宋体" w:eastAsia="宋体" w:cs="宋体"/>
          <w:color w:val="auto"/>
          <w:sz w:val="21"/>
          <w:szCs w:val="21"/>
          <w:highlight w:val="none"/>
          <w:lang w:eastAsia="zh-CN"/>
        </w:rPr>
        <w:t>中标供应商</w:t>
      </w:r>
      <w:r>
        <w:rPr>
          <w:rFonts w:hint="eastAsia" w:ascii="宋体" w:hAnsi="宋体" w:eastAsia="宋体" w:cs="宋体"/>
          <w:b/>
          <w:bCs/>
          <w:color w:val="auto"/>
          <w:sz w:val="21"/>
          <w:szCs w:val="21"/>
          <w:highlight w:val="none"/>
          <w:lang w:eastAsia="zh-CN"/>
        </w:rPr>
        <w:t>需</w:t>
      </w:r>
      <w:r>
        <w:rPr>
          <w:rFonts w:hint="eastAsia" w:ascii="宋体" w:hAnsi="宋体" w:eastAsia="宋体" w:cs="宋体"/>
          <w:color w:val="auto"/>
          <w:sz w:val="21"/>
          <w:szCs w:val="21"/>
          <w:highlight w:val="none"/>
        </w:rPr>
        <w:t>向采购人移交详细的各类管理档案资料和交接清单。对于无法移交或不符合标准的物品，</w:t>
      </w:r>
      <w:r>
        <w:rPr>
          <w:rFonts w:hint="eastAsia" w:ascii="宋体" w:hAnsi="宋体" w:eastAsia="宋体" w:cs="宋体"/>
          <w:color w:val="auto"/>
          <w:sz w:val="21"/>
          <w:szCs w:val="21"/>
          <w:highlight w:val="none"/>
          <w:lang w:eastAsia="zh-CN"/>
        </w:rPr>
        <w:t>中标供应商需</w:t>
      </w:r>
      <w:r>
        <w:rPr>
          <w:rFonts w:hint="eastAsia" w:ascii="宋体" w:hAnsi="宋体" w:eastAsia="宋体" w:cs="宋体"/>
          <w:color w:val="auto"/>
          <w:sz w:val="21"/>
          <w:szCs w:val="21"/>
          <w:highlight w:val="none"/>
        </w:rPr>
        <w:t>另行妥善处理。</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4.对于采购人提供或借用的设备及用具，列出清单并进行交接，</w:t>
      </w:r>
      <w:r>
        <w:rPr>
          <w:rFonts w:hint="eastAsia" w:ascii="宋体" w:hAnsi="宋体" w:eastAsia="宋体" w:cs="宋体"/>
          <w:color w:val="auto"/>
          <w:sz w:val="21"/>
          <w:szCs w:val="21"/>
          <w:highlight w:val="none"/>
          <w:lang w:eastAsia="zh-CN"/>
        </w:rPr>
        <w:t>中标供应商</w:t>
      </w:r>
      <w:r>
        <w:rPr>
          <w:rFonts w:hint="eastAsia" w:ascii="宋体" w:hAnsi="宋体" w:eastAsia="宋体" w:cs="宋体"/>
          <w:color w:val="auto"/>
          <w:sz w:val="21"/>
          <w:szCs w:val="21"/>
          <w:highlight w:val="none"/>
        </w:rPr>
        <w:t>应按照约定进行保管和维护，当合同到期或提前终止时，应一并交还给采购人。</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5.提供撤场交接方案以及退出方案将作为</w:t>
      </w:r>
      <w:r>
        <w:rPr>
          <w:rFonts w:hint="eastAsia" w:ascii="宋体" w:hAnsi="宋体" w:eastAsia="宋体" w:cs="宋体"/>
          <w:color w:val="auto"/>
          <w:sz w:val="21"/>
          <w:szCs w:val="21"/>
          <w:highlight w:val="none"/>
          <w:lang w:eastAsia="zh-CN"/>
        </w:rPr>
        <w:t>招标</w:t>
      </w:r>
      <w:r>
        <w:rPr>
          <w:rFonts w:hint="eastAsia" w:ascii="宋体" w:hAnsi="宋体" w:eastAsia="宋体" w:cs="宋体"/>
          <w:color w:val="auto"/>
          <w:sz w:val="21"/>
          <w:szCs w:val="21"/>
          <w:highlight w:val="none"/>
        </w:rPr>
        <w:t>评审的</w:t>
      </w:r>
      <w:r>
        <w:rPr>
          <w:rFonts w:hint="eastAsia" w:ascii="宋体" w:hAnsi="宋体" w:eastAsia="宋体" w:cs="宋体"/>
          <w:color w:val="auto"/>
          <w:sz w:val="21"/>
          <w:szCs w:val="21"/>
          <w:highlight w:val="none"/>
          <w:lang w:eastAsia="zh-CN"/>
        </w:rPr>
        <w:t>重要</w:t>
      </w:r>
      <w:r>
        <w:rPr>
          <w:rFonts w:hint="eastAsia" w:ascii="宋体" w:hAnsi="宋体" w:eastAsia="宋体" w:cs="宋体"/>
          <w:color w:val="auto"/>
          <w:sz w:val="21"/>
          <w:szCs w:val="21"/>
          <w:highlight w:val="none"/>
        </w:rPr>
        <w:t>条件之一。供应商需在</w:t>
      </w:r>
      <w:r>
        <w:rPr>
          <w:rFonts w:hint="eastAsia" w:ascii="宋体" w:hAnsi="宋体" w:eastAsia="宋体" w:cs="宋体"/>
          <w:color w:val="auto"/>
          <w:sz w:val="21"/>
          <w:szCs w:val="21"/>
          <w:highlight w:val="none"/>
          <w:lang w:eastAsia="zh-CN"/>
        </w:rPr>
        <w:t>投标</w:t>
      </w:r>
      <w:r>
        <w:rPr>
          <w:rFonts w:hint="eastAsia" w:ascii="宋体" w:hAnsi="宋体" w:eastAsia="宋体" w:cs="宋体"/>
          <w:color w:val="auto"/>
          <w:sz w:val="21"/>
          <w:szCs w:val="21"/>
          <w:highlight w:val="none"/>
        </w:rPr>
        <w:t>文件中详细说明自己的入场和撤场交接方案，并作出保证，确保顺利完成物业管理工作转移。</w:t>
      </w:r>
    </w:p>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七、其他物业服务要求</w:t>
      </w:r>
    </w:p>
    <w:p>
      <w:pPr>
        <w:keepNext w:val="0"/>
        <w:keepLines w:val="0"/>
        <w:pageBreakBefore w:val="0"/>
        <w:widowControl w:val="0"/>
        <w:numPr>
          <w:ilvl w:val="-1"/>
          <w:numId w:val="0"/>
        </w:numPr>
        <w:kinsoku/>
        <w:wordWrap/>
        <w:overflowPunct/>
        <w:topLinePunct w:val="0"/>
        <w:autoSpaceDE/>
        <w:autoSpaceDN/>
        <w:bidi w:val="0"/>
        <w:adjustRightInd/>
        <w:snapToGrid/>
        <w:spacing w:line="360" w:lineRule="auto"/>
        <w:ind w:firstLine="422" w:firstLineChars="200"/>
        <w:jc w:val="both"/>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1.服务质量：</w:t>
      </w:r>
      <w:r>
        <w:rPr>
          <w:rFonts w:hint="eastAsia" w:ascii="宋体" w:hAnsi="宋体" w:eastAsia="宋体" w:cs="宋体"/>
          <w:b w:val="0"/>
          <w:bCs w:val="0"/>
          <w:color w:val="auto"/>
          <w:sz w:val="21"/>
          <w:szCs w:val="21"/>
          <w:highlight w:val="none"/>
          <w:lang w:val="en-US" w:eastAsia="zh-CN"/>
        </w:rPr>
        <w:t>供应商应具备较强的物业服务保障能力和响应能力，</w:t>
      </w:r>
      <w:r>
        <w:rPr>
          <w:rFonts w:hint="eastAsia" w:ascii="宋体" w:hAnsi="宋体" w:eastAsia="宋体" w:cs="宋体"/>
          <w:color w:val="auto"/>
          <w:sz w:val="21"/>
          <w:szCs w:val="21"/>
          <w:highlight w:val="none"/>
        </w:rPr>
        <w:t>应严格执行有关物业管理法律法规规定</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严格履行物业管理服务合同</w:t>
      </w:r>
      <w:r>
        <w:rPr>
          <w:rFonts w:hint="eastAsia" w:ascii="宋体" w:hAnsi="宋体" w:eastAsia="宋体" w:cs="宋体"/>
          <w:color w:val="auto"/>
          <w:sz w:val="21"/>
          <w:szCs w:val="21"/>
          <w:highlight w:val="none"/>
          <w:lang w:val="en-US" w:eastAsia="zh-CN"/>
        </w:rPr>
        <w:t>，确保服务质量。采购人</w:t>
      </w:r>
      <w:r>
        <w:rPr>
          <w:rFonts w:hint="eastAsia" w:ascii="宋体" w:hAnsi="宋体" w:eastAsia="宋体" w:cs="宋体"/>
          <w:b w:val="0"/>
          <w:bCs w:val="0"/>
          <w:color w:val="auto"/>
          <w:sz w:val="21"/>
          <w:szCs w:val="21"/>
          <w:highlight w:val="none"/>
          <w:lang w:val="en-US" w:eastAsia="zh-CN"/>
        </w:rPr>
        <w:t>要求物业公司落实每周、每月、每季度、每半年、每年的各项严格检查工作，体现持续改进效果。</w:t>
      </w:r>
    </w:p>
    <w:p>
      <w:pPr>
        <w:keepNext w:val="0"/>
        <w:keepLines w:val="0"/>
        <w:pageBreakBefore w:val="0"/>
        <w:widowControl w:val="0"/>
        <w:numPr>
          <w:ilvl w:val="-1"/>
          <w:numId w:val="0"/>
        </w:numPr>
        <w:kinsoku/>
        <w:wordWrap/>
        <w:overflowPunct/>
        <w:topLinePunct w:val="0"/>
        <w:autoSpaceDE/>
        <w:autoSpaceDN/>
        <w:bidi w:val="0"/>
        <w:adjustRightInd/>
        <w:snapToGrid/>
        <w:spacing w:line="360" w:lineRule="auto"/>
        <w:ind w:firstLine="422"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2.服务响应：</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应具备较强的物业服务保障能力和</w:t>
      </w:r>
      <w:r>
        <w:rPr>
          <w:rFonts w:hint="eastAsia" w:ascii="宋体" w:hAnsi="宋体" w:eastAsia="宋体" w:cs="宋体"/>
          <w:color w:val="auto"/>
          <w:sz w:val="21"/>
          <w:szCs w:val="21"/>
          <w:highlight w:val="none"/>
          <w:lang w:val="en-US" w:eastAsia="zh-CN"/>
        </w:rPr>
        <w:t>响应能力。</w:t>
      </w:r>
      <w:r>
        <w:rPr>
          <w:rFonts w:hint="eastAsia" w:ascii="宋体" w:hAnsi="宋体" w:eastAsia="宋体" w:cs="宋体"/>
          <w:b w:val="0"/>
          <w:bCs w:val="0"/>
          <w:color w:val="auto"/>
          <w:sz w:val="21"/>
          <w:szCs w:val="21"/>
          <w:highlight w:val="none"/>
          <w:lang w:val="en-US" w:eastAsia="zh-CN"/>
        </w:rPr>
        <w:t>物业管理所有岗位都有24小时值班人员，值班人员电话应保持畅通，接到任务后5分钟内到位。</w:t>
      </w:r>
    </w:p>
    <w:p>
      <w:pPr>
        <w:keepNext w:val="0"/>
        <w:keepLines w:val="0"/>
        <w:pageBreakBefore w:val="0"/>
        <w:widowControl w:val="0"/>
        <w:kinsoku/>
        <w:wordWrap/>
        <w:overflowPunct/>
        <w:topLinePunct w:val="0"/>
        <w:autoSpaceDE/>
        <w:autoSpaceDN/>
        <w:bidi w:val="0"/>
        <w:adjustRightInd/>
        <w:snapToGrid/>
        <w:spacing w:line="360" w:lineRule="auto"/>
        <w:ind w:firstLine="422"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3</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应急预案：</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lang w:eastAsia="zh-CN"/>
        </w:rPr>
        <w:t>需</w:t>
      </w:r>
      <w:r>
        <w:rPr>
          <w:rFonts w:hint="eastAsia" w:ascii="宋体" w:hAnsi="宋体" w:eastAsia="宋体" w:cs="宋体"/>
          <w:color w:val="auto"/>
          <w:sz w:val="21"/>
          <w:szCs w:val="21"/>
          <w:highlight w:val="none"/>
        </w:rPr>
        <w:t>结合</w:t>
      </w:r>
      <w:r>
        <w:rPr>
          <w:rFonts w:hint="eastAsia" w:ascii="宋体" w:hAnsi="宋体" w:eastAsia="宋体" w:cs="宋体"/>
          <w:color w:val="auto"/>
          <w:sz w:val="21"/>
          <w:szCs w:val="21"/>
          <w:highlight w:val="none"/>
          <w:lang w:val="en-US" w:eastAsia="zh-CN"/>
        </w:rPr>
        <w:t>医院</w:t>
      </w:r>
      <w:r>
        <w:rPr>
          <w:rFonts w:hint="eastAsia" w:ascii="宋体" w:hAnsi="宋体" w:eastAsia="宋体" w:cs="宋体"/>
          <w:color w:val="auto"/>
          <w:sz w:val="21"/>
          <w:szCs w:val="21"/>
          <w:highlight w:val="none"/>
        </w:rPr>
        <w:t>实际情况，建立健全、标准化、可操作、可落地的应急预案体系，所有预案</w:t>
      </w:r>
      <w:r>
        <w:rPr>
          <w:rFonts w:hint="eastAsia" w:ascii="宋体" w:hAnsi="宋体" w:eastAsia="宋体" w:cs="宋体"/>
          <w:color w:val="auto"/>
          <w:sz w:val="21"/>
          <w:szCs w:val="21"/>
          <w:highlight w:val="none"/>
          <w:lang w:eastAsia="zh-CN"/>
        </w:rPr>
        <w:t>需</w:t>
      </w:r>
      <w:r>
        <w:rPr>
          <w:rFonts w:hint="eastAsia" w:ascii="宋体" w:hAnsi="宋体" w:eastAsia="宋体" w:cs="宋体"/>
          <w:color w:val="auto"/>
          <w:sz w:val="21"/>
          <w:szCs w:val="21"/>
          <w:highlight w:val="none"/>
        </w:rPr>
        <w:t>符合国家、地方及行业相关法律法规、规范标准及</w:t>
      </w:r>
      <w:r>
        <w:rPr>
          <w:rFonts w:hint="eastAsia" w:ascii="宋体" w:hAnsi="宋体" w:eastAsia="宋体" w:cs="宋体"/>
          <w:color w:val="auto"/>
          <w:sz w:val="21"/>
          <w:szCs w:val="21"/>
          <w:highlight w:val="none"/>
          <w:lang w:eastAsia="zh-CN"/>
        </w:rPr>
        <w:t>医院</w:t>
      </w:r>
      <w:r>
        <w:rPr>
          <w:rFonts w:hint="eastAsia" w:ascii="宋体" w:hAnsi="宋体" w:eastAsia="宋体" w:cs="宋体"/>
          <w:color w:val="auto"/>
          <w:sz w:val="21"/>
          <w:szCs w:val="21"/>
          <w:highlight w:val="none"/>
        </w:rPr>
        <w:t>安全管理要求，做到组织机构明确、责任分工到人、处置流程清晰、应急保障到位，确保各类突发事件快速响应、有效处置、妥善善后。需至少编制并落实以下八大类应急预案，不得缺项：</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（1）消防安全类：火灾事故应急处置预案、办公区域人员紧急疏散预案、消防设施故障应急处置预案。</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（2）设施设备故障类：突发停水应急预案、突发停电应急预案、电梯困人/故障应急救援预案、空调系统瘫痪应急处置预案。</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（3）公共安全类：治安防范与突发事件处置预案、反恐防暴应急处置预案、可疑物品（爆炸物）处置预案、人员冲突/纠纷应急处置预案、危险品管理。</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（4）自然灾害类：暴雨洪涝灾害应急处置预案、台风/雷电/暴雪冰冻灾害应急处置预案。</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（5）公共卫生类：传染病疫情防控应急预案、食物中毒/突发伤病应急处置预案。</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（6）管线事故类：供水管线爆裂应急预案、强弱电线路故障应急处置预案。</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（7）作业安全类：职业暴露、物业工作人员利器致伤应急预案、高空作业安全应急救援预案。</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（8）综合保障类：重大活动安全保障应急预案、突发事件信息上报与善后处置预案。</w:t>
      </w:r>
    </w:p>
    <w:p>
      <w:pPr>
        <w:jc w:val="both"/>
        <w:rPr>
          <w:rFonts w:hint="eastAsia" w:ascii="宋体" w:hAnsi="宋体" w:eastAsia="宋体" w:cs="宋体"/>
          <w:bCs/>
          <w:color w:val="auto"/>
          <w:sz w:val="21"/>
          <w:szCs w:val="21"/>
          <w:highlight w:val="none"/>
          <w:lang w:val="en-US" w:eastAsia="zh-CN"/>
        </w:rPr>
      </w:pPr>
    </w:p>
    <w:p>
      <w:pPr>
        <w:jc w:val="both"/>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八、商务要求</w:t>
      </w:r>
    </w:p>
    <w:p>
      <w:pPr>
        <w:jc w:val="left"/>
        <w:rPr>
          <w:rFonts w:hint="eastAsia" w:ascii="宋体" w:hAnsi="宋体" w:eastAsia="宋体" w:cs="宋体"/>
          <w:color w:val="auto"/>
          <w:sz w:val="21"/>
          <w:szCs w:val="21"/>
          <w:highlight w:val="none"/>
          <w:lang w:eastAsia="zh-CN"/>
        </w:rPr>
      </w:pPr>
    </w:p>
    <w:p>
      <w:pPr>
        <w:keepNext w:val="0"/>
        <w:keepLines w:val="0"/>
        <w:pageBreakBefore w:val="0"/>
        <w:kinsoku/>
        <w:wordWrap/>
        <w:overflowPunct/>
        <w:topLinePunct w:val="0"/>
        <w:autoSpaceDE/>
        <w:autoSpaceDN/>
        <w:bidi w:val="0"/>
        <w:adjustRightInd/>
        <w:snapToGrid/>
        <w:spacing w:line="360" w:lineRule="auto"/>
        <w:ind w:firstLine="422" w:firstLineChars="200"/>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一、投标</w:t>
      </w:r>
      <w:r>
        <w:rPr>
          <w:rFonts w:hint="eastAsia" w:ascii="宋体" w:hAnsi="宋体" w:eastAsia="宋体" w:cs="宋体"/>
          <w:b/>
          <w:bCs/>
          <w:color w:val="auto"/>
          <w:sz w:val="21"/>
          <w:szCs w:val="21"/>
          <w:highlight w:val="none"/>
          <w:lang w:val="en-US" w:eastAsia="zh-CN"/>
        </w:rPr>
        <w:t>报价</w:t>
      </w:r>
      <w:r>
        <w:rPr>
          <w:rFonts w:hint="eastAsia" w:ascii="宋体" w:hAnsi="宋体" w:eastAsia="宋体" w:cs="宋体"/>
          <w:b/>
          <w:bCs/>
          <w:color w:val="auto"/>
          <w:sz w:val="21"/>
          <w:szCs w:val="21"/>
          <w:highlight w:val="none"/>
        </w:rPr>
        <w:t>要求：</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投标报价应包括为完成《项目需求》中所有服务内容所需要的所有费用，包含本项服务人员工资、加班费、社会保险费、定期体检等所有人员支出和管理服务费、税费，保洁工具耗材(保洁车、小毛巾、尘推、尘推罩、玻璃套装工具、毛头、刮条、撮斗、铲刀、拖把、扫把、铁钳、檀香、毛巾、毛刷、百洁布、洗洁精、洁厕剂、肥皂等)。不包含洗衣房洗涤用品的耗材和保洁使用的垃圾袋、利器盒、消毒剂、绿化养护的工具材料等所有费用的总和。</w:t>
      </w:r>
    </w:p>
    <w:p>
      <w:pPr>
        <w:keepNext w:val="0"/>
        <w:keepLines w:val="0"/>
        <w:pageBreakBefore w:val="0"/>
        <w:kinsoku/>
        <w:wordWrap/>
        <w:overflowPunct/>
        <w:topLinePunct w:val="0"/>
        <w:autoSpaceDE/>
        <w:autoSpaceDN/>
        <w:bidi w:val="0"/>
        <w:adjustRightInd/>
        <w:snapToGrid/>
        <w:spacing w:line="360" w:lineRule="auto"/>
        <w:ind w:firstLine="422" w:firstLineChars="200"/>
        <w:jc w:val="both"/>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二、付款方式：</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1.中标人按标准、按质量要求、按范围全额完成本合同所规定的服务工作，采购人每月向中标人支付服务费用。</w:t>
      </w:r>
    </w:p>
    <w:p>
      <w:pPr>
        <w:keepNext w:val="0"/>
        <w:keepLines w:val="0"/>
        <w:pageBreakBefore w:val="0"/>
        <w:tabs>
          <w:tab w:val="left" w:pos="1185"/>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按月支付，由</w:t>
      </w:r>
      <w:r>
        <w:rPr>
          <w:rFonts w:hint="eastAsia" w:ascii="宋体" w:hAnsi="宋体" w:eastAsia="宋体" w:cs="宋体"/>
          <w:color w:val="auto"/>
          <w:sz w:val="21"/>
          <w:szCs w:val="21"/>
          <w:highlight w:val="none"/>
          <w:lang w:val="en-US" w:eastAsia="zh-CN"/>
        </w:rPr>
        <w:t>中标人</w:t>
      </w:r>
      <w:r>
        <w:rPr>
          <w:rFonts w:hint="eastAsia" w:ascii="宋体" w:hAnsi="宋体" w:eastAsia="宋体" w:cs="宋体"/>
          <w:color w:val="auto"/>
          <w:sz w:val="21"/>
          <w:szCs w:val="21"/>
          <w:highlight w:val="none"/>
        </w:rPr>
        <w:t>每月28日前向</w:t>
      </w:r>
      <w:r>
        <w:rPr>
          <w:rFonts w:hint="eastAsia" w:ascii="宋体" w:hAnsi="宋体" w:eastAsia="宋体" w:cs="宋体"/>
          <w:color w:val="auto"/>
          <w:sz w:val="21"/>
          <w:szCs w:val="21"/>
          <w:highlight w:val="none"/>
          <w:lang w:val="en-US" w:eastAsia="zh-CN"/>
        </w:rPr>
        <w:t>采购人</w:t>
      </w:r>
      <w:r>
        <w:rPr>
          <w:rFonts w:hint="eastAsia" w:ascii="宋体" w:hAnsi="宋体" w:eastAsia="宋体" w:cs="宋体"/>
          <w:color w:val="auto"/>
          <w:sz w:val="21"/>
          <w:szCs w:val="21"/>
          <w:highlight w:val="none"/>
        </w:rPr>
        <w:t>申请当月费用，并开具合法发票给</w:t>
      </w:r>
      <w:r>
        <w:rPr>
          <w:rFonts w:hint="eastAsia" w:ascii="宋体" w:hAnsi="宋体" w:eastAsia="宋体" w:cs="宋体"/>
          <w:color w:val="auto"/>
          <w:sz w:val="21"/>
          <w:szCs w:val="21"/>
          <w:highlight w:val="none"/>
          <w:lang w:val="en-US" w:eastAsia="zh-CN"/>
        </w:rPr>
        <w:t>采购人，采购人原则上自收到发票后10</w:t>
      </w:r>
      <w:r>
        <w:rPr>
          <w:rFonts w:hint="eastAsia" w:ascii="宋体" w:hAnsi="宋体" w:eastAsia="宋体" w:cs="宋体"/>
          <w:color w:val="auto"/>
          <w:sz w:val="21"/>
          <w:szCs w:val="21"/>
          <w:highlight w:val="none"/>
        </w:rPr>
        <w:t>个工作日内支付该月费用。</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3.采购人支付服务费的方式：转账形式支付，中标人开具</w:t>
      </w:r>
      <w:r>
        <w:rPr>
          <w:rFonts w:hint="eastAsia" w:ascii="宋体" w:hAnsi="宋体" w:eastAsia="宋体" w:cs="宋体"/>
          <w:color w:val="auto"/>
          <w:sz w:val="21"/>
          <w:szCs w:val="21"/>
          <w:highlight w:val="none"/>
        </w:rPr>
        <w:t>合法</w:t>
      </w:r>
      <w:r>
        <w:rPr>
          <w:rFonts w:hint="eastAsia" w:ascii="宋体" w:hAnsi="宋体" w:eastAsia="宋体" w:cs="宋体"/>
          <w:color w:val="auto"/>
          <w:sz w:val="21"/>
          <w:szCs w:val="21"/>
          <w:highlight w:val="none"/>
          <w:lang w:val="en-US" w:eastAsia="zh-CN"/>
        </w:rPr>
        <w:t>发票。</w:t>
      </w:r>
    </w:p>
    <w:p>
      <w:pPr>
        <w:keepNext w:val="0"/>
        <w:keepLines w:val="0"/>
        <w:pageBreakBefore w:val="0"/>
        <w:widowControl w:val="0"/>
        <w:numPr>
          <w:ilvl w:val="-1"/>
          <w:numId w:val="0"/>
        </w:numPr>
        <w:kinsoku/>
        <w:wordWrap/>
        <w:overflowPunct/>
        <w:topLinePunct w:val="0"/>
        <w:autoSpaceDE/>
        <w:autoSpaceDN/>
        <w:bidi w:val="0"/>
        <w:adjustRightInd/>
        <w:snapToGrid/>
        <w:spacing w:line="360" w:lineRule="auto"/>
        <w:ind w:firstLine="422" w:firstLineChars="20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val="en-US" w:eastAsia="zh-CN"/>
        </w:rPr>
        <w:t>三、</w:t>
      </w:r>
      <w:r>
        <w:rPr>
          <w:rFonts w:hint="eastAsia" w:ascii="宋体" w:hAnsi="宋体" w:eastAsia="宋体" w:cs="宋体"/>
          <w:b/>
          <w:bCs/>
          <w:color w:val="auto"/>
          <w:kern w:val="2"/>
          <w:sz w:val="21"/>
          <w:szCs w:val="21"/>
          <w:highlight w:val="none"/>
          <w:lang w:val="en-US" w:eastAsia="zh-CN" w:bidi="ar-SA"/>
        </w:rPr>
        <w:t>服务期限：</w:t>
      </w:r>
      <w:r>
        <w:rPr>
          <w:rFonts w:hint="eastAsia" w:ascii="宋体" w:hAnsi="宋体" w:eastAsia="宋体" w:cs="宋体"/>
          <w:color w:val="auto"/>
          <w:sz w:val="21"/>
          <w:szCs w:val="21"/>
          <w:highlight w:val="none"/>
        </w:rPr>
        <w:t>自合同签订之日起3年</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若</w:t>
      </w:r>
      <w:r>
        <w:rPr>
          <w:rFonts w:hint="eastAsia" w:ascii="宋体" w:hAnsi="宋体" w:eastAsia="宋体" w:cs="宋体"/>
          <w:color w:val="auto"/>
          <w:sz w:val="21"/>
          <w:szCs w:val="21"/>
          <w:highlight w:val="none"/>
          <w:lang w:eastAsia="zh-CN"/>
        </w:rPr>
        <w:t>年度考核不合格，采购人有权依法解除合同。</w:t>
      </w:r>
    </w:p>
    <w:p>
      <w:pPr>
        <w:pStyle w:val="17"/>
        <w:keepNext w:val="0"/>
        <w:keepLines w:val="0"/>
        <w:pageBreakBefore w:val="0"/>
        <w:kinsoku/>
        <w:wordWrap/>
        <w:overflowPunct/>
        <w:topLinePunct w:val="0"/>
        <w:autoSpaceDE/>
        <w:autoSpaceDN/>
        <w:bidi w:val="0"/>
        <w:adjustRightInd/>
        <w:snapToGrid/>
        <w:spacing w:line="360" w:lineRule="auto"/>
        <w:ind w:firstLine="422" w:firstLineChars="200"/>
        <w:jc w:val="both"/>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kern w:val="2"/>
          <w:sz w:val="21"/>
          <w:szCs w:val="21"/>
          <w:highlight w:val="none"/>
          <w:lang w:val="en-US" w:eastAsia="zh-CN" w:bidi="ar-SA"/>
        </w:rPr>
        <w:t>四、</w:t>
      </w:r>
      <w:r>
        <w:rPr>
          <w:rFonts w:hint="eastAsia" w:ascii="宋体" w:hAnsi="宋体" w:eastAsia="宋体" w:cs="宋体"/>
          <w:b/>
          <w:bCs/>
          <w:color w:val="auto"/>
          <w:sz w:val="21"/>
          <w:szCs w:val="21"/>
          <w:highlight w:val="none"/>
          <w:lang w:val="en-US" w:eastAsia="zh-CN"/>
        </w:rPr>
        <w:t>服务要求：</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1.合同签订时间：中标通知书发出之日起25日内。</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2.工作人员要有良好的职业道德和服务态度，严格执行医院的各项规章制度，对医务人员和就医者要以礼相待，节约用水电，爱护医院一切公共财物，损坏物品估价后从服务费中扣除。</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3.应遵从医院内部有关安全管理规定，若因工作人员不遵守医院的各项规章制度、不服从医院管理、未严格执行各种设备的操作规程等原因造成的事故，均由成交人承担完全责任。</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4.本医院为无烟医院，禁止在医院内除吸烟区以外的任何位置吸烟。</w:t>
      </w:r>
    </w:p>
    <w:p>
      <w:pPr>
        <w:keepNext w:val="0"/>
        <w:keepLines w:val="0"/>
        <w:pageBreakBefore w:val="0"/>
        <w:widowControl w:val="0"/>
        <w:kinsoku/>
        <w:wordWrap/>
        <w:overflowPunct/>
        <w:topLinePunct w:val="0"/>
        <w:autoSpaceDE/>
        <w:autoSpaceDN/>
        <w:bidi w:val="0"/>
        <w:adjustRightInd/>
        <w:snapToGrid/>
        <w:spacing w:line="360" w:lineRule="auto"/>
        <w:ind w:firstLine="422" w:firstLineChars="200"/>
        <w:jc w:val="both"/>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五、其它要求：</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1.投标人在采购活动中提供虚假材料，以及提供的服务与投标文件不一致的，报采购监管部门查处。</w:t>
      </w:r>
    </w:p>
    <w:p>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2.中标人所供服务不按投标文件履约的，将按照《中华人民共和国政府采购法》及其实施条例、《政府采购货物和服务招标投标管理办法》等有关规定等严肃处理。</w:t>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br w:type="page"/>
      </w:r>
    </w:p>
    <w:p>
      <w:pPr>
        <w:pStyle w:val="6"/>
        <w:pageBreakBefore w:val="0"/>
        <w:widowControl w:val="0"/>
        <w:kinsoku/>
        <w:wordWrap/>
        <w:overflowPunct/>
        <w:topLinePunct w:val="0"/>
        <w:autoSpaceDE/>
        <w:autoSpaceDN/>
        <w:bidi w:val="0"/>
        <w:adjustRightInd/>
        <w:snapToGrid/>
        <w:spacing w:line="440" w:lineRule="exact"/>
        <w:ind w:left="0" w:leftChars="0"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附件1：</w:t>
      </w:r>
      <w:r>
        <w:rPr>
          <w:rFonts w:hint="eastAsia" w:ascii="宋体" w:hAnsi="宋体" w:eastAsia="宋体" w:cs="宋体"/>
          <w:color w:val="auto"/>
          <w:sz w:val="21"/>
          <w:szCs w:val="21"/>
          <w:highlight w:val="none"/>
          <w:lang w:eastAsia="zh-CN"/>
        </w:rPr>
        <w:t>物业服务年度考核评分表</w:t>
      </w:r>
    </w:p>
    <w:tbl>
      <w:tblPr>
        <w:tblStyle w:val="49"/>
        <w:tblpPr w:leftFromText="180" w:rightFromText="180" w:vertAnchor="text" w:horzAnchor="page" w:tblpX="878" w:tblpY="690"/>
        <w:tblOverlap w:val="never"/>
        <w:tblW w:w="9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4"/>
        <w:gridCol w:w="3600"/>
        <w:gridCol w:w="826"/>
        <w:gridCol w:w="1379"/>
        <w:gridCol w:w="1215"/>
        <w:gridCol w:w="12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484" w:type="dxa"/>
            <w:noWrap w:val="0"/>
            <w:vAlign w:val="center"/>
          </w:tcPr>
          <w:p>
            <w:pPr>
              <w:spacing w:line="360" w:lineRule="exact"/>
              <w:ind w:left="0" w:leftChars="0" w:right="105" w:firstLine="0" w:firstLineChars="0"/>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名  称</w:t>
            </w:r>
          </w:p>
        </w:tc>
        <w:tc>
          <w:tcPr>
            <w:tcW w:w="3600" w:type="dxa"/>
            <w:noWrap w:val="0"/>
            <w:vAlign w:val="center"/>
          </w:tcPr>
          <w:p>
            <w:pPr>
              <w:spacing w:line="360" w:lineRule="exact"/>
              <w:ind w:left="105" w:right="430" w:rightChars="205"/>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  分</w:t>
            </w:r>
          </w:p>
          <w:p>
            <w:pPr>
              <w:spacing w:line="360" w:lineRule="exact"/>
              <w:ind w:left="105" w:right="430" w:rightChars="205"/>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细  则</w:t>
            </w:r>
          </w:p>
        </w:tc>
        <w:tc>
          <w:tcPr>
            <w:tcW w:w="826" w:type="dxa"/>
            <w:noWrap w:val="0"/>
            <w:vAlign w:val="center"/>
          </w:tcPr>
          <w:p>
            <w:pPr>
              <w:spacing w:line="360" w:lineRule="exact"/>
              <w:ind w:left="210" w:leftChars="100" w:right="105" w:firstLine="0" w:firstLineChars="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分值</w:t>
            </w:r>
          </w:p>
        </w:tc>
        <w:tc>
          <w:tcPr>
            <w:tcW w:w="1379" w:type="dxa"/>
            <w:noWrap w:val="0"/>
            <w:vAlign w:val="center"/>
          </w:tcPr>
          <w:p>
            <w:pPr>
              <w:spacing w:line="360" w:lineRule="exact"/>
              <w:ind w:right="105"/>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采集方式</w:t>
            </w:r>
          </w:p>
        </w:tc>
        <w:tc>
          <w:tcPr>
            <w:tcW w:w="1215" w:type="dxa"/>
            <w:noWrap w:val="0"/>
            <w:vAlign w:val="center"/>
          </w:tcPr>
          <w:p>
            <w:pPr>
              <w:spacing w:line="360" w:lineRule="exact"/>
              <w:ind w:left="0" w:leftChars="0" w:right="105" w:firstLine="0" w:firstLineChars="0"/>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考核</w:t>
            </w:r>
            <w:r>
              <w:rPr>
                <w:rFonts w:hint="eastAsia" w:ascii="宋体" w:hAnsi="宋体" w:eastAsia="宋体" w:cs="宋体"/>
                <w:b/>
                <w:color w:val="auto"/>
                <w:sz w:val="21"/>
                <w:szCs w:val="21"/>
                <w:highlight w:val="none"/>
              </w:rPr>
              <w:t>得分</w:t>
            </w:r>
          </w:p>
        </w:tc>
        <w:tc>
          <w:tcPr>
            <w:tcW w:w="1274" w:type="dxa"/>
            <w:noWrap w:val="0"/>
            <w:vAlign w:val="center"/>
          </w:tcPr>
          <w:p>
            <w:pPr>
              <w:spacing w:line="360" w:lineRule="exact"/>
              <w:ind w:left="0" w:leftChars="0" w:right="105" w:firstLine="0" w:firstLineChars="0"/>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扣分分值及原因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1484" w:type="dxa"/>
            <w:vMerge w:val="restart"/>
            <w:noWrap w:val="0"/>
            <w:vAlign w:val="top"/>
          </w:tcPr>
          <w:p>
            <w:pPr>
              <w:spacing w:line="360" w:lineRule="exact"/>
              <w:ind w:left="0" w:leftChars="0" w:right="105" w:firstLine="0" w:firstLineChars="0"/>
              <w:rPr>
                <w:rFonts w:hint="eastAsia" w:ascii="宋体" w:hAnsi="宋体" w:eastAsia="宋体" w:cs="宋体"/>
                <w:b/>
                <w:bCs/>
                <w:color w:val="auto"/>
                <w:sz w:val="21"/>
                <w:szCs w:val="21"/>
                <w:highlight w:val="none"/>
                <w:lang w:val="en-US" w:eastAsia="zh-CN"/>
              </w:rPr>
            </w:pPr>
            <w:r>
              <w:rPr>
                <w:rFonts w:hint="eastAsia" w:ascii="宋体" w:hAnsi="宋体" w:eastAsia="宋体" w:cs="宋体"/>
                <w:b/>
                <w:color w:val="auto"/>
                <w:sz w:val="21"/>
                <w:szCs w:val="21"/>
                <w:highlight w:val="none"/>
              </w:rPr>
              <w:t>制度管理</w:t>
            </w:r>
            <w:r>
              <w:rPr>
                <w:rFonts w:hint="eastAsia" w:ascii="宋体" w:hAnsi="宋体" w:eastAsia="宋体" w:cs="宋体"/>
                <w:b/>
                <w:color w:val="auto"/>
                <w:sz w:val="21"/>
                <w:szCs w:val="21"/>
                <w:highlight w:val="none"/>
                <w:lang w:eastAsia="zh-CN"/>
              </w:rPr>
              <w:t>及</w:t>
            </w:r>
            <w:r>
              <w:rPr>
                <w:rFonts w:hint="eastAsia" w:ascii="宋体" w:hAnsi="宋体" w:eastAsia="宋体" w:cs="宋体"/>
                <w:b/>
                <w:bCs/>
                <w:color w:val="auto"/>
                <w:sz w:val="21"/>
                <w:szCs w:val="21"/>
                <w:highlight w:val="none"/>
              </w:rPr>
              <w:t>员工</w:t>
            </w:r>
            <w:r>
              <w:rPr>
                <w:rFonts w:hint="eastAsia" w:ascii="宋体" w:hAnsi="宋体" w:eastAsia="宋体" w:cs="宋体"/>
                <w:b/>
                <w:bCs/>
                <w:color w:val="auto"/>
                <w:sz w:val="21"/>
                <w:szCs w:val="21"/>
                <w:highlight w:val="none"/>
                <w:lang w:val="en-US" w:eastAsia="zh-CN"/>
              </w:rPr>
              <w:t>持证上岗</w:t>
            </w:r>
          </w:p>
          <w:p>
            <w:pPr>
              <w:spacing w:line="360" w:lineRule="exact"/>
              <w:ind w:left="0" w:leftChars="0" w:right="105" w:firstLine="0" w:firstLineChars="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w:t>
            </w:r>
            <w:r>
              <w:rPr>
                <w:rFonts w:hint="eastAsia" w:ascii="宋体" w:hAnsi="宋体" w:eastAsia="宋体" w:cs="宋体"/>
                <w:b/>
                <w:color w:val="auto"/>
                <w:sz w:val="21"/>
                <w:szCs w:val="21"/>
                <w:highlight w:val="none"/>
                <w:lang w:val="en-US" w:eastAsia="zh-CN"/>
              </w:rPr>
              <w:t>25</w:t>
            </w:r>
            <w:r>
              <w:rPr>
                <w:rFonts w:hint="eastAsia" w:ascii="宋体" w:hAnsi="宋体" w:eastAsia="宋体" w:cs="宋体"/>
                <w:b/>
                <w:color w:val="auto"/>
                <w:sz w:val="21"/>
                <w:szCs w:val="21"/>
                <w:highlight w:val="none"/>
              </w:rPr>
              <w:t>分）</w:t>
            </w:r>
          </w:p>
        </w:tc>
        <w:tc>
          <w:tcPr>
            <w:tcW w:w="3600" w:type="dxa"/>
            <w:noWrap w:val="0"/>
            <w:vAlign w:val="top"/>
          </w:tcPr>
          <w:p>
            <w:pPr>
              <w:ind w:left="0" w:leftChars="0" w:right="105"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派驻人员依法签订正规劳动合同。按时足额缴纳社会保险，无存在拖欠工资、克扣薪酬、合理安排休息休假。人员信息台账是否健全，人员身份信息、从业经历、健康状况等登记完整，无身份不明、资质造假人员。</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分）</w:t>
            </w:r>
          </w:p>
        </w:tc>
        <w:tc>
          <w:tcPr>
            <w:tcW w:w="826" w:type="dxa"/>
            <w:noWrap w:val="0"/>
            <w:vAlign w:val="top"/>
          </w:tcPr>
          <w:p>
            <w:pPr>
              <w:spacing w:line="360" w:lineRule="exact"/>
              <w:ind w:left="0" w:leftChars="0" w:right="105" w:firstLine="210" w:firstLineChars="1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p>
        </w:tc>
        <w:tc>
          <w:tcPr>
            <w:tcW w:w="1379" w:type="dxa"/>
            <w:noWrap w:val="0"/>
            <w:vAlign w:val="center"/>
          </w:tcPr>
          <w:p>
            <w:pPr>
              <w:spacing w:line="360" w:lineRule="exact"/>
              <w:ind w:right="105"/>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查阅资料</w:t>
            </w:r>
          </w:p>
        </w:tc>
        <w:tc>
          <w:tcPr>
            <w:tcW w:w="1215" w:type="dxa"/>
            <w:noWrap w:val="0"/>
            <w:vAlign w:val="top"/>
          </w:tcPr>
          <w:p>
            <w:pPr>
              <w:spacing w:line="360" w:lineRule="exact"/>
              <w:ind w:left="105" w:right="105"/>
              <w:jc w:val="center"/>
              <w:rPr>
                <w:rFonts w:hint="eastAsia" w:ascii="宋体" w:hAnsi="宋体" w:eastAsia="宋体" w:cs="宋体"/>
                <w:color w:val="auto"/>
                <w:sz w:val="21"/>
                <w:szCs w:val="21"/>
                <w:highlight w:val="none"/>
              </w:rPr>
            </w:pPr>
          </w:p>
        </w:tc>
        <w:tc>
          <w:tcPr>
            <w:tcW w:w="1274" w:type="dxa"/>
            <w:noWrap w:val="0"/>
            <w:vAlign w:val="top"/>
          </w:tcPr>
          <w:p>
            <w:pPr>
              <w:spacing w:line="360" w:lineRule="exact"/>
              <w:ind w:left="105" w:right="105"/>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1484" w:type="dxa"/>
            <w:vMerge w:val="continue"/>
            <w:noWrap w:val="0"/>
            <w:vAlign w:val="top"/>
          </w:tcPr>
          <w:p>
            <w:pPr>
              <w:spacing w:line="360" w:lineRule="exact"/>
              <w:ind w:left="0" w:leftChars="0" w:right="105" w:firstLine="0" w:firstLineChars="0"/>
              <w:rPr>
                <w:rFonts w:hint="eastAsia" w:ascii="宋体" w:hAnsi="宋体" w:eastAsia="宋体" w:cs="宋体"/>
                <w:color w:val="auto"/>
                <w:sz w:val="21"/>
                <w:szCs w:val="21"/>
                <w:highlight w:val="none"/>
              </w:rPr>
            </w:pPr>
          </w:p>
        </w:tc>
        <w:tc>
          <w:tcPr>
            <w:tcW w:w="3600" w:type="dxa"/>
            <w:noWrap w:val="0"/>
            <w:vAlign w:val="top"/>
          </w:tcPr>
          <w:p>
            <w:pPr>
              <w:ind w:left="0" w:leftChars="0" w:right="105"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根据医院实际情况，制定有切实可行的</w:t>
            </w:r>
            <w:r>
              <w:rPr>
                <w:rFonts w:hint="eastAsia" w:ascii="宋体" w:hAnsi="宋体" w:eastAsia="宋体" w:cs="宋体"/>
                <w:color w:val="auto"/>
                <w:sz w:val="21"/>
                <w:szCs w:val="21"/>
                <w:highlight w:val="none"/>
                <w:lang w:val="en-US" w:eastAsia="zh-CN"/>
              </w:rPr>
              <w:t>保安、</w:t>
            </w:r>
            <w:r>
              <w:rPr>
                <w:rFonts w:hint="eastAsia" w:ascii="宋体" w:hAnsi="宋体" w:eastAsia="宋体" w:cs="宋体"/>
                <w:color w:val="auto"/>
                <w:sz w:val="21"/>
                <w:szCs w:val="21"/>
                <w:highlight w:val="none"/>
              </w:rPr>
              <w:t>保洁管理规章制度。（</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分）</w:t>
            </w:r>
          </w:p>
        </w:tc>
        <w:tc>
          <w:tcPr>
            <w:tcW w:w="826" w:type="dxa"/>
            <w:noWrap w:val="0"/>
            <w:vAlign w:val="top"/>
          </w:tcPr>
          <w:p>
            <w:pPr>
              <w:spacing w:line="360" w:lineRule="exact"/>
              <w:ind w:left="0" w:leftChars="0" w:right="105" w:firstLine="210" w:firstLineChars="1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p>
        </w:tc>
        <w:tc>
          <w:tcPr>
            <w:tcW w:w="1379" w:type="dxa"/>
            <w:noWrap w:val="0"/>
            <w:vAlign w:val="center"/>
          </w:tcPr>
          <w:p>
            <w:pPr>
              <w:spacing w:line="360" w:lineRule="exact"/>
              <w:ind w:right="105"/>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查阅资料</w:t>
            </w:r>
          </w:p>
        </w:tc>
        <w:tc>
          <w:tcPr>
            <w:tcW w:w="1215" w:type="dxa"/>
            <w:noWrap w:val="0"/>
            <w:vAlign w:val="top"/>
          </w:tcPr>
          <w:p>
            <w:pPr>
              <w:spacing w:line="360" w:lineRule="exact"/>
              <w:ind w:left="105" w:right="105"/>
              <w:jc w:val="center"/>
              <w:rPr>
                <w:rFonts w:hint="eastAsia" w:ascii="宋体" w:hAnsi="宋体" w:eastAsia="宋体" w:cs="宋体"/>
                <w:color w:val="auto"/>
                <w:sz w:val="21"/>
                <w:szCs w:val="21"/>
                <w:highlight w:val="none"/>
              </w:rPr>
            </w:pPr>
          </w:p>
        </w:tc>
        <w:tc>
          <w:tcPr>
            <w:tcW w:w="1274" w:type="dxa"/>
            <w:noWrap w:val="0"/>
            <w:vAlign w:val="top"/>
          </w:tcPr>
          <w:p>
            <w:pPr>
              <w:spacing w:line="360" w:lineRule="exact"/>
              <w:ind w:left="105" w:right="105"/>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1484" w:type="dxa"/>
            <w:vMerge w:val="continue"/>
            <w:noWrap w:val="0"/>
            <w:vAlign w:val="top"/>
          </w:tcPr>
          <w:p>
            <w:pPr>
              <w:spacing w:line="360" w:lineRule="exact"/>
              <w:ind w:left="105" w:right="105" w:firstLine="103" w:firstLineChars="49"/>
              <w:rPr>
                <w:rFonts w:hint="eastAsia" w:ascii="宋体" w:hAnsi="宋体" w:eastAsia="宋体" w:cs="宋体"/>
                <w:b/>
                <w:color w:val="auto"/>
                <w:sz w:val="21"/>
                <w:szCs w:val="21"/>
                <w:highlight w:val="none"/>
              </w:rPr>
            </w:pPr>
          </w:p>
        </w:tc>
        <w:tc>
          <w:tcPr>
            <w:tcW w:w="3600" w:type="dxa"/>
            <w:noWrap w:val="0"/>
            <w:vAlign w:val="top"/>
          </w:tcPr>
          <w:p>
            <w:pPr>
              <w:ind w:left="0" w:leftChars="0" w:right="105"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所有</w:t>
            </w:r>
            <w:r>
              <w:rPr>
                <w:rFonts w:hint="eastAsia" w:ascii="宋体" w:hAnsi="宋体" w:eastAsia="宋体" w:cs="宋体"/>
                <w:color w:val="auto"/>
                <w:sz w:val="21"/>
                <w:szCs w:val="21"/>
                <w:highlight w:val="none"/>
              </w:rPr>
              <w:t>员工</w:t>
            </w:r>
            <w:r>
              <w:rPr>
                <w:rFonts w:hint="eastAsia" w:ascii="宋体" w:hAnsi="宋体" w:eastAsia="宋体" w:cs="宋体"/>
                <w:color w:val="auto"/>
                <w:sz w:val="21"/>
                <w:szCs w:val="21"/>
                <w:highlight w:val="none"/>
                <w:lang w:val="en-US" w:eastAsia="zh-CN"/>
              </w:rPr>
              <w:t>持证上岗，有</w:t>
            </w:r>
            <w:r>
              <w:rPr>
                <w:rFonts w:hint="eastAsia" w:ascii="宋体" w:hAnsi="宋体" w:eastAsia="宋体" w:cs="宋体"/>
                <w:color w:val="auto"/>
                <w:sz w:val="21"/>
                <w:szCs w:val="21"/>
                <w:highlight w:val="none"/>
              </w:rPr>
              <w:t>考勤、院区巡查记录表。（</w:t>
            </w:r>
            <w:r>
              <w:rPr>
                <w:rFonts w:hint="eastAsia" w:ascii="宋体" w:hAnsi="宋体" w:eastAsia="宋体" w:cs="宋体"/>
                <w:color w:val="auto"/>
                <w:sz w:val="21"/>
                <w:szCs w:val="21"/>
                <w:highlight w:val="none"/>
                <w:lang w:val="en-US" w:eastAsia="zh-CN"/>
              </w:rPr>
              <w:t>15</w:t>
            </w:r>
            <w:r>
              <w:rPr>
                <w:rFonts w:hint="eastAsia" w:ascii="宋体" w:hAnsi="宋体" w:eastAsia="宋体" w:cs="宋体"/>
                <w:color w:val="auto"/>
                <w:sz w:val="21"/>
                <w:szCs w:val="21"/>
                <w:highlight w:val="none"/>
              </w:rPr>
              <w:t>分）</w:t>
            </w:r>
          </w:p>
        </w:tc>
        <w:tc>
          <w:tcPr>
            <w:tcW w:w="826" w:type="dxa"/>
            <w:noWrap w:val="0"/>
            <w:vAlign w:val="top"/>
          </w:tcPr>
          <w:p>
            <w:pPr>
              <w:spacing w:line="360" w:lineRule="exact"/>
              <w:ind w:right="105" w:firstLine="210" w:firstLineChars="1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15</w:t>
            </w:r>
          </w:p>
        </w:tc>
        <w:tc>
          <w:tcPr>
            <w:tcW w:w="1379" w:type="dxa"/>
            <w:noWrap w:val="0"/>
            <w:vAlign w:val="center"/>
          </w:tcPr>
          <w:p>
            <w:pPr>
              <w:spacing w:line="360" w:lineRule="exact"/>
              <w:ind w:right="105"/>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查阅资料</w:t>
            </w:r>
          </w:p>
        </w:tc>
        <w:tc>
          <w:tcPr>
            <w:tcW w:w="1215" w:type="dxa"/>
            <w:noWrap w:val="0"/>
            <w:vAlign w:val="top"/>
          </w:tcPr>
          <w:p>
            <w:pPr>
              <w:spacing w:line="360" w:lineRule="exact"/>
              <w:ind w:left="105" w:right="105"/>
              <w:jc w:val="center"/>
              <w:rPr>
                <w:rFonts w:hint="eastAsia" w:ascii="宋体" w:hAnsi="宋体" w:eastAsia="宋体" w:cs="宋体"/>
                <w:color w:val="auto"/>
                <w:sz w:val="21"/>
                <w:szCs w:val="21"/>
                <w:highlight w:val="none"/>
              </w:rPr>
            </w:pPr>
          </w:p>
        </w:tc>
        <w:tc>
          <w:tcPr>
            <w:tcW w:w="1274" w:type="dxa"/>
            <w:noWrap w:val="0"/>
            <w:vAlign w:val="top"/>
          </w:tcPr>
          <w:p>
            <w:pPr>
              <w:spacing w:line="360" w:lineRule="exact"/>
              <w:ind w:left="105" w:right="105"/>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484" w:type="dxa"/>
            <w:vMerge w:val="restart"/>
            <w:noWrap w:val="0"/>
            <w:vAlign w:val="top"/>
          </w:tcPr>
          <w:p>
            <w:pPr>
              <w:spacing w:line="360" w:lineRule="exact"/>
              <w:ind w:left="0" w:leftChars="0" w:right="105" w:firstLine="0" w:firstLineChars="0"/>
              <w:rPr>
                <w:rFonts w:hint="eastAsia" w:ascii="宋体" w:hAnsi="宋体" w:eastAsia="宋体" w:cs="宋体"/>
                <w:b/>
                <w:color w:val="auto"/>
                <w:sz w:val="21"/>
                <w:szCs w:val="21"/>
                <w:highlight w:val="none"/>
                <w:lang w:val="en-US" w:eastAsia="zh-CN"/>
              </w:rPr>
            </w:pPr>
          </w:p>
          <w:p>
            <w:pPr>
              <w:spacing w:line="360" w:lineRule="exact"/>
              <w:ind w:left="0" w:leftChars="0" w:right="105" w:firstLine="0" w:firstLineChars="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副楼</w:t>
            </w:r>
            <w:r>
              <w:rPr>
                <w:rFonts w:hint="eastAsia" w:ascii="宋体" w:hAnsi="宋体" w:eastAsia="宋体" w:cs="宋体"/>
                <w:b/>
                <w:color w:val="auto"/>
                <w:sz w:val="21"/>
                <w:szCs w:val="21"/>
                <w:highlight w:val="none"/>
              </w:rPr>
              <w:t>（1</w:t>
            </w:r>
            <w:r>
              <w:rPr>
                <w:rFonts w:hint="eastAsia" w:ascii="宋体" w:hAnsi="宋体" w:eastAsia="宋体" w:cs="宋体"/>
                <w:b/>
                <w:color w:val="auto"/>
                <w:sz w:val="21"/>
                <w:szCs w:val="21"/>
                <w:highlight w:val="none"/>
                <w:lang w:val="en-US" w:eastAsia="zh-CN"/>
              </w:rPr>
              <w:t>2</w:t>
            </w:r>
            <w:r>
              <w:rPr>
                <w:rFonts w:hint="eastAsia" w:ascii="宋体" w:hAnsi="宋体" w:eastAsia="宋体" w:cs="宋体"/>
                <w:b/>
                <w:color w:val="auto"/>
                <w:sz w:val="21"/>
                <w:szCs w:val="21"/>
                <w:highlight w:val="none"/>
              </w:rPr>
              <w:t>分 ）</w:t>
            </w:r>
          </w:p>
        </w:tc>
        <w:tc>
          <w:tcPr>
            <w:tcW w:w="3600" w:type="dxa"/>
            <w:noWrap w:val="0"/>
            <w:vAlign w:val="top"/>
          </w:tcPr>
          <w:p>
            <w:pPr>
              <w:ind w:left="0" w:leftChars="0" w:right="105"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楼梯扶手及阳台护栏清洁干净。（</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分）</w:t>
            </w:r>
          </w:p>
        </w:tc>
        <w:tc>
          <w:tcPr>
            <w:tcW w:w="826" w:type="dxa"/>
            <w:noWrap w:val="0"/>
            <w:vAlign w:val="top"/>
          </w:tcPr>
          <w:p>
            <w:pPr>
              <w:spacing w:line="360" w:lineRule="exact"/>
              <w:ind w:left="0" w:leftChars="0" w:right="105" w:firstLine="210" w:firstLineChars="1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p>
        </w:tc>
        <w:tc>
          <w:tcPr>
            <w:tcW w:w="1379" w:type="dxa"/>
            <w:noWrap w:val="0"/>
            <w:vAlign w:val="center"/>
          </w:tcPr>
          <w:p>
            <w:pPr>
              <w:spacing w:line="360" w:lineRule="exact"/>
              <w:ind w:right="105"/>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实地走访</w:t>
            </w:r>
          </w:p>
        </w:tc>
        <w:tc>
          <w:tcPr>
            <w:tcW w:w="1215" w:type="dxa"/>
            <w:noWrap w:val="0"/>
            <w:vAlign w:val="top"/>
          </w:tcPr>
          <w:p>
            <w:pPr>
              <w:spacing w:line="360" w:lineRule="exact"/>
              <w:ind w:left="105" w:right="105"/>
              <w:jc w:val="center"/>
              <w:rPr>
                <w:rFonts w:hint="eastAsia" w:ascii="宋体" w:hAnsi="宋体" w:eastAsia="宋体" w:cs="宋体"/>
                <w:color w:val="auto"/>
                <w:sz w:val="21"/>
                <w:szCs w:val="21"/>
                <w:highlight w:val="none"/>
              </w:rPr>
            </w:pPr>
          </w:p>
        </w:tc>
        <w:tc>
          <w:tcPr>
            <w:tcW w:w="1274" w:type="dxa"/>
            <w:noWrap w:val="0"/>
            <w:vAlign w:val="top"/>
          </w:tcPr>
          <w:p>
            <w:pPr>
              <w:spacing w:line="360" w:lineRule="exact"/>
              <w:ind w:left="105" w:right="105"/>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484" w:type="dxa"/>
            <w:vMerge w:val="continue"/>
            <w:noWrap w:val="0"/>
            <w:vAlign w:val="top"/>
          </w:tcPr>
          <w:p>
            <w:pPr>
              <w:spacing w:line="360" w:lineRule="exact"/>
              <w:ind w:left="0" w:leftChars="0" w:right="105" w:firstLine="0" w:firstLineChars="0"/>
              <w:rPr>
                <w:rFonts w:hint="eastAsia" w:ascii="宋体" w:hAnsi="宋体" w:eastAsia="宋体" w:cs="宋体"/>
                <w:b/>
                <w:color w:val="auto"/>
                <w:sz w:val="21"/>
                <w:szCs w:val="21"/>
                <w:highlight w:val="none"/>
              </w:rPr>
            </w:pPr>
          </w:p>
        </w:tc>
        <w:tc>
          <w:tcPr>
            <w:tcW w:w="3600" w:type="dxa"/>
            <w:noWrap w:val="0"/>
            <w:vAlign w:val="top"/>
          </w:tcPr>
          <w:p>
            <w:pPr>
              <w:ind w:left="0" w:leftChars="0" w:right="105"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阳台走道、楼梯、楼内的公共卫生间等公共区域没有乱丢垃圾，地面卫生干净整洁。（</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 xml:space="preserve"> 分）</w:t>
            </w:r>
          </w:p>
        </w:tc>
        <w:tc>
          <w:tcPr>
            <w:tcW w:w="826" w:type="dxa"/>
            <w:noWrap w:val="0"/>
            <w:vAlign w:val="top"/>
          </w:tcPr>
          <w:p>
            <w:pPr>
              <w:spacing w:line="360" w:lineRule="exact"/>
              <w:ind w:left="0" w:leftChars="0" w:right="105" w:firstLine="210" w:firstLineChars="1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p>
        </w:tc>
        <w:tc>
          <w:tcPr>
            <w:tcW w:w="1379" w:type="dxa"/>
            <w:noWrap w:val="0"/>
            <w:vAlign w:val="center"/>
          </w:tcPr>
          <w:p>
            <w:pPr>
              <w:spacing w:line="360" w:lineRule="exact"/>
              <w:ind w:right="105"/>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实地走访</w:t>
            </w:r>
          </w:p>
        </w:tc>
        <w:tc>
          <w:tcPr>
            <w:tcW w:w="1215" w:type="dxa"/>
            <w:noWrap w:val="0"/>
            <w:vAlign w:val="top"/>
          </w:tcPr>
          <w:p>
            <w:pPr>
              <w:spacing w:line="360" w:lineRule="exact"/>
              <w:ind w:left="105" w:right="105"/>
              <w:jc w:val="center"/>
              <w:rPr>
                <w:rFonts w:hint="eastAsia" w:ascii="宋体" w:hAnsi="宋体" w:eastAsia="宋体" w:cs="宋体"/>
                <w:color w:val="auto"/>
                <w:sz w:val="21"/>
                <w:szCs w:val="21"/>
                <w:highlight w:val="none"/>
              </w:rPr>
            </w:pPr>
          </w:p>
        </w:tc>
        <w:tc>
          <w:tcPr>
            <w:tcW w:w="1274" w:type="dxa"/>
            <w:noWrap w:val="0"/>
            <w:vAlign w:val="top"/>
          </w:tcPr>
          <w:p>
            <w:pPr>
              <w:spacing w:line="360" w:lineRule="exact"/>
              <w:ind w:left="105" w:right="105"/>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84" w:type="dxa"/>
            <w:vMerge w:val="continue"/>
            <w:noWrap w:val="0"/>
            <w:vAlign w:val="top"/>
          </w:tcPr>
          <w:p>
            <w:pPr>
              <w:spacing w:line="360" w:lineRule="exact"/>
              <w:ind w:left="0" w:leftChars="0" w:right="105" w:firstLine="0" w:firstLineChars="0"/>
              <w:rPr>
                <w:rFonts w:hint="eastAsia" w:ascii="宋体" w:hAnsi="宋体" w:eastAsia="宋体" w:cs="宋体"/>
                <w:b/>
                <w:color w:val="auto"/>
                <w:sz w:val="21"/>
                <w:szCs w:val="21"/>
                <w:highlight w:val="none"/>
              </w:rPr>
            </w:pPr>
          </w:p>
        </w:tc>
        <w:tc>
          <w:tcPr>
            <w:tcW w:w="3600" w:type="dxa"/>
            <w:noWrap w:val="0"/>
            <w:vAlign w:val="top"/>
          </w:tcPr>
          <w:p>
            <w:pPr>
              <w:ind w:left="0" w:leftChars="0" w:right="105"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阳台及公共卫生间的墙体没有明显蜘蛛网。（</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分）</w:t>
            </w:r>
          </w:p>
        </w:tc>
        <w:tc>
          <w:tcPr>
            <w:tcW w:w="826" w:type="dxa"/>
            <w:noWrap w:val="0"/>
            <w:vAlign w:val="top"/>
          </w:tcPr>
          <w:p>
            <w:pPr>
              <w:spacing w:line="360" w:lineRule="exact"/>
              <w:ind w:left="105" w:right="105"/>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4</w:t>
            </w:r>
          </w:p>
        </w:tc>
        <w:tc>
          <w:tcPr>
            <w:tcW w:w="1379" w:type="dxa"/>
            <w:noWrap w:val="0"/>
            <w:vAlign w:val="center"/>
          </w:tcPr>
          <w:p>
            <w:pPr>
              <w:spacing w:line="360" w:lineRule="exact"/>
              <w:ind w:right="105"/>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实地走访</w:t>
            </w:r>
          </w:p>
        </w:tc>
        <w:tc>
          <w:tcPr>
            <w:tcW w:w="1215" w:type="dxa"/>
            <w:noWrap w:val="0"/>
            <w:vAlign w:val="top"/>
          </w:tcPr>
          <w:p>
            <w:pPr>
              <w:spacing w:line="360" w:lineRule="exact"/>
              <w:ind w:left="105" w:right="105"/>
              <w:jc w:val="center"/>
              <w:rPr>
                <w:rFonts w:hint="eastAsia" w:ascii="宋体" w:hAnsi="宋体" w:eastAsia="宋体" w:cs="宋体"/>
                <w:color w:val="auto"/>
                <w:sz w:val="21"/>
                <w:szCs w:val="21"/>
                <w:highlight w:val="none"/>
              </w:rPr>
            </w:pPr>
          </w:p>
        </w:tc>
        <w:tc>
          <w:tcPr>
            <w:tcW w:w="1274" w:type="dxa"/>
            <w:noWrap w:val="0"/>
            <w:vAlign w:val="top"/>
          </w:tcPr>
          <w:p>
            <w:pPr>
              <w:spacing w:line="360" w:lineRule="exact"/>
              <w:ind w:left="105" w:right="105"/>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1484" w:type="dxa"/>
            <w:vMerge w:val="restart"/>
            <w:noWrap w:val="0"/>
            <w:vAlign w:val="top"/>
          </w:tcPr>
          <w:p>
            <w:pPr>
              <w:spacing w:line="360" w:lineRule="exact"/>
              <w:ind w:left="0" w:leftChars="0" w:right="105" w:firstLine="0" w:firstLineChars="0"/>
              <w:rPr>
                <w:rFonts w:hint="eastAsia" w:ascii="宋体" w:hAnsi="宋体" w:eastAsia="宋体" w:cs="宋体"/>
                <w:b/>
                <w:color w:val="auto"/>
                <w:sz w:val="21"/>
                <w:szCs w:val="21"/>
                <w:highlight w:val="none"/>
              </w:rPr>
            </w:pPr>
          </w:p>
          <w:p>
            <w:pPr>
              <w:spacing w:line="360" w:lineRule="exact"/>
              <w:ind w:left="0" w:leftChars="0" w:right="105" w:firstLine="0" w:firstLineChars="0"/>
              <w:rPr>
                <w:rFonts w:hint="eastAsia" w:ascii="宋体" w:hAnsi="宋体" w:eastAsia="宋体" w:cs="宋体"/>
                <w:b/>
                <w:color w:val="auto"/>
                <w:sz w:val="21"/>
                <w:szCs w:val="21"/>
                <w:highlight w:val="none"/>
              </w:rPr>
            </w:pPr>
          </w:p>
          <w:p>
            <w:pPr>
              <w:spacing w:line="360" w:lineRule="exact"/>
              <w:ind w:left="0" w:leftChars="0" w:right="105" w:firstLine="0" w:firstLineChars="0"/>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rPr>
              <w:t>行政办公楼</w:t>
            </w:r>
            <w:r>
              <w:rPr>
                <w:rFonts w:hint="eastAsia" w:ascii="宋体" w:hAnsi="宋体" w:eastAsia="宋体" w:cs="宋体"/>
                <w:b/>
                <w:color w:val="auto"/>
                <w:sz w:val="21"/>
                <w:szCs w:val="21"/>
                <w:highlight w:val="none"/>
                <w:lang w:val="en-US" w:eastAsia="zh-CN"/>
              </w:rPr>
              <w:t>及大门进口</w:t>
            </w:r>
          </w:p>
          <w:p>
            <w:pPr>
              <w:spacing w:line="360" w:lineRule="exact"/>
              <w:ind w:left="0" w:leftChars="0" w:right="105" w:firstLine="0" w:firstLineChars="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w:t>
            </w:r>
            <w:r>
              <w:rPr>
                <w:rFonts w:hint="eastAsia" w:ascii="宋体" w:hAnsi="宋体" w:eastAsia="宋体" w:cs="宋体"/>
                <w:b/>
                <w:color w:val="auto"/>
                <w:sz w:val="21"/>
                <w:szCs w:val="21"/>
                <w:highlight w:val="none"/>
                <w:lang w:val="en-US" w:eastAsia="zh-CN"/>
              </w:rPr>
              <w:t>12</w:t>
            </w:r>
            <w:r>
              <w:rPr>
                <w:rFonts w:hint="eastAsia" w:ascii="宋体" w:hAnsi="宋体" w:eastAsia="宋体" w:cs="宋体"/>
                <w:b/>
                <w:color w:val="auto"/>
                <w:sz w:val="21"/>
                <w:szCs w:val="21"/>
                <w:highlight w:val="none"/>
              </w:rPr>
              <w:t>分）</w:t>
            </w:r>
          </w:p>
        </w:tc>
        <w:tc>
          <w:tcPr>
            <w:tcW w:w="3600" w:type="dxa"/>
            <w:noWrap w:val="0"/>
            <w:vAlign w:val="top"/>
          </w:tcPr>
          <w:p>
            <w:pPr>
              <w:ind w:left="0" w:leftChars="0" w:right="105"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电梯、一楼大门及窗、楼梯扶手及阳台护栏清洁干净。（</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分）</w:t>
            </w:r>
          </w:p>
        </w:tc>
        <w:tc>
          <w:tcPr>
            <w:tcW w:w="826" w:type="dxa"/>
            <w:noWrap w:val="0"/>
            <w:vAlign w:val="top"/>
          </w:tcPr>
          <w:p>
            <w:pPr>
              <w:spacing w:line="360" w:lineRule="exact"/>
              <w:ind w:left="105" w:right="105"/>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4</w:t>
            </w:r>
          </w:p>
        </w:tc>
        <w:tc>
          <w:tcPr>
            <w:tcW w:w="1379" w:type="dxa"/>
            <w:noWrap w:val="0"/>
            <w:vAlign w:val="center"/>
          </w:tcPr>
          <w:p>
            <w:pPr>
              <w:spacing w:line="360" w:lineRule="exact"/>
              <w:ind w:right="105"/>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实地走访</w:t>
            </w:r>
          </w:p>
        </w:tc>
        <w:tc>
          <w:tcPr>
            <w:tcW w:w="1215" w:type="dxa"/>
            <w:noWrap w:val="0"/>
            <w:vAlign w:val="top"/>
          </w:tcPr>
          <w:p>
            <w:pPr>
              <w:spacing w:line="360" w:lineRule="exact"/>
              <w:ind w:left="105" w:right="105"/>
              <w:jc w:val="center"/>
              <w:rPr>
                <w:rFonts w:hint="eastAsia" w:ascii="宋体" w:hAnsi="宋体" w:eastAsia="宋体" w:cs="宋体"/>
                <w:color w:val="auto"/>
                <w:sz w:val="21"/>
                <w:szCs w:val="21"/>
                <w:highlight w:val="none"/>
              </w:rPr>
            </w:pPr>
          </w:p>
        </w:tc>
        <w:tc>
          <w:tcPr>
            <w:tcW w:w="1274" w:type="dxa"/>
            <w:noWrap w:val="0"/>
            <w:vAlign w:val="top"/>
          </w:tcPr>
          <w:p>
            <w:pPr>
              <w:spacing w:line="360" w:lineRule="exact"/>
              <w:ind w:left="105" w:right="105"/>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1484" w:type="dxa"/>
            <w:vMerge w:val="continue"/>
            <w:noWrap w:val="0"/>
            <w:vAlign w:val="top"/>
          </w:tcPr>
          <w:p>
            <w:pPr>
              <w:spacing w:line="360" w:lineRule="exact"/>
              <w:ind w:left="0" w:leftChars="0" w:right="105" w:firstLine="0" w:firstLineChars="0"/>
              <w:rPr>
                <w:rFonts w:hint="eastAsia" w:ascii="宋体" w:hAnsi="宋体" w:eastAsia="宋体" w:cs="宋体"/>
                <w:b/>
                <w:color w:val="auto"/>
                <w:sz w:val="21"/>
                <w:szCs w:val="21"/>
                <w:highlight w:val="none"/>
              </w:rPr>
            </w:pPr>
          </w:p>
        </w:tc>
        <w:tc>
          <w:tcPr>
            <w:tcW w:w="3600" w:type="dxa"/>
            <w:noWrap w:val="0"/>
            <w:vAlign w:val="top"/>
          </w:tcPr>
          <w:p>
            <w:pPr>
              <w:ind w:left="0" w:leftChars="0" w:right="105"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阳台及室内廊道、楼梯、楼内的公共卫生间等公共区域没有乱丢垃圾，地面卫生干净整洁。（</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分）</w:t>
            </w:r>
          </w:p>
        </w:tc>
        <w:tc>
          <w:tcPr>
            <w:tcW w:w="826" w:type="dxa"/>
            <w:noWrap w:val="0"/>
            <w:vAlign w:val="top"/>
          </w:tcPr>
          <w:p>
            <w:pPr>
              <w:spacing w:line="360" w:lineRule="exact"/>
              <w:ind w:left="105" w:right="105"/>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1379" w:type="dxa"/>
            <w:noWrap w:val="0"/>
            <w:vAlign w:val="center"/>
          </w:tcPr>
          <w:p>
            <w:pPr>
              <w:spacing w:line="360" w:lineRule="exact"/>
              <w:ind w:right="105"/>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实地走访</w:t>
            </w:r>
          </w:p>
        </w:tc>
        <w:tc>
          <w:tcPr>
            <w:tcW w:w="1215" w:type="dxa"/>
            <w:noWrap w:val="0"/>
            <w:vAlign w:val="top"/>
          </w:tcPr>
          <w:p>
            <w:pPr>
              <w:spacing w:line="360" w:lineRule="exact"/>
              <w:ind w:left="105" w:right="105"/>
              <w:jc w:val="center"/>
              <w:rPr>
                <w:rFonts w:hint="eastAsia" w:ascii="宋体" w:hAnsi="宋体" w:eastAsia="宋体" w:cs="宋体"/>
                <w:color w:val="auto"/>
                <w:sz w:val="21"/>
                <w:szCs w:val="21"/>
                <w:highlight w:val="none"/>
              </w:rPr>
            </w:pPr>
          </w:p>
        </w:tc>
        <w:tc>
          <w:tcPr>
            <w:tcW w:w="1274" w:type="dxa"/>
            <w:noWrap w:val="0"/>
            <w:vAlign w:val="top"/>
          </w:tcPr>
          <w:p>
            <w:pPr>
              <w:spacing w:line="360" w:lineRule="exact"/>
              <w:ind w:left="105" w:right="105"/>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jc w:val="center"/>
        </w:trPr>
        <w:tc>
          <w:tcPr>
            <w:tcW w:w="1484" w:type="dxa"/>
            <w:vMerge w:val="continue"/>
            <w:noWrap w:val="0"/>
            <w:vAlign w:val="top"/>
          </w:tcPr>
          <w:p>
            <w:pPr>
              <w:spacing w:line="360" w:lineRule="exact"/>
              <w:ind w:left="0" w:leftChars="0" w:right="105" w:firstLine="0" w:firstLineChars="0"/>
              <w:rPr>
                <w:rFonts w:hint="eastAsia" w:ascii="宋体" w:hAnsi="宋体" w:eastAsia="宋体" w:cs="宋体"/>
                <w:b/>
                <w:color w:val="auto"/>
                <w:sz w:val="21"/>
                <w:szCs w:val="21"/>
                <w:highlight w:val="none"/>
              </w:rPr>
            </w:pPr>
          </w:p>
        </w:tc>
        <w:tc>
          <w:tcPr>
            <w:tcW w:w="3600" w:type="dxa"/>
            <w:noWrap w:val="0"/>
            <w:vAlign w:val="top"/>
          </w:tcPr>
          <w:p>
            <w:pPr>
              <w:ind w:left="0" w:leftChars="0" w:right="105"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大门口保安穿戴整齐、礼貌服务</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分）</w:t>
            </w:r>
          </w:p>
        </w:tc>
        <w:tc>
          <w:tcPr>
            <w:tcW w:w="826" w:type="dxa"/>
            <w:noWrap w:val="0"/>
            <w:vAlign w:val="top"/>
          </w:tcPr>
          <w:p>
            <w:pPr>
              <w:spacing w:line="360" w:lineRule="exact"/>
              <w:ind w:left="105" w:right="105"/>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4</w:t>
            </w:r>
          </w:p>
        </w:tc>
        <w:tc>
          <w:tcPr>
            <w:tcW w:w="1379" w:type="dxa"/>
            <w:noWrap w:val="0"/>
            <w:vAlign w:val="center"/>
          </w:tcPr>
          <w:p>
            <w:pPr>
              <w:spacing w:line="360" w:lineRule="exact"/>
              <w:ind w:right="105"/>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实地走访</w:t>
            </w:r>
          </w:p>
        </w:tc>
        <w:tc>
          <w:tcPr>
            <w:tcW w:w="1215" w:type="dxa"/>
            <w:noWrap w:val="0"/>
            <w:vAlign w:val="top"/>
          </w:tcPr>
          <w:p>
            <w:pPr>
              <w:spacing w:line="360" w:lineRule="exact"/>
              <w:ind w:left="105" w:right="105"/>
              <w:jc w:val="center"/>
              <w:rPr>
                <w:rFonts w:hint="eastAsia" w:ascii="宋体" w:hAnsi="宋体" w:eastAsia="宋体" w:cs="宋体"/>
                <w:color w:val="auto"/>
                <w:sz w:val="21"/>
                <w:szCs w:val="21"/>
                <w:highlight w:val="none"/>
              </w:rPr>
            </w:pPr>
          </w:p>
        </w:tc>
        <w:tc>
          <w:tcPr>
            <w:tcW w:w="1274" w:type="dxa"/>
            <w:noWrap w:val="0"/>
            <w:vAlign w:val="top"/>
          </w:tcPr>
          <w:p>
            <w:pPr>
              <w:spacing w:line="360" w:lineRule="exact"/>
              <w:ind w:left="105" w:right="105"/>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jc w:val="center"/>
        </w:trPr>
        <w:tc>
          <w:tcPr>
            <w:tcW w:w="1484" w:type="dxa"/>
            <w:vMerge w:val="restart"/>
            <w:noWrap w:val="0"/>
            <w:vAlign w:val="top"/>
          </w:tcPr>
          <w:p>
            <w:pPr>
              <w:spacing w:line="360" w:lineRule="exact"/>
              <w:ind w:left="0" w:leftChars="0" w:right="105" w:firstLine="0" w:firstLineChars="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公共主干道及其他公共场地           （</w:t>
            </w:r>
            <w:r>
              <w:rPr>
                <w:rFonts w:hint="eastAsia" w:ascii="宋体" w:hAnsi="宋体" w:eastAsia="宋体" w:cs="宋体"/>
                <w:b/>
                <w:color w:val="auto"/>
                <w:sz w:val="21"/>
                <w:szCs w:val="21"/>
                <w:highlight w:val="none"/>
                <w:lang w:val="en-US" w:eastAsia="zh-CN"/>
              </w:rPr>
              <w:t>14</w:t>
            </w:r>
            <w:r>
              <w:rPr>
                <w:rFonts w:hint="eastAsia" w:ascii="宋体" w:hAnsi="宋体" w:eastAsia="宋体" w:cs="宋体"/>
                <w:b/>
                <w:color w:val="auto"/>
                <w:sz w:val="21"/>
                <w:szCs w:val="21"/>
                <w:highlight w:val="none"/>
              </w:rPr>
              <w:t>分）</w:t>
            </w:r>
          </w:p>
        </w:tc>
        <w:tc>
          <w:tcPr>
            <w:tcW w:w="3600" w:type="dxa"/>
            <w:noWrap w:val="0"/>
            <w:vAlign w:val="top"/>
          </w:tcPr>
          <w:p>
            <w:pPr>
              <w:ind w:left="0" w:leftChars="0" w:right="105"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所有公共道路路面整洁无杂物，无淤泥堆积。（</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分）</w:t>
            </w:r>
          </w:p>
        </w:tc>
        <w:tc>
          <w:tcPr>
            <w:tcW w:w="826" w:type="dxa"/>
            <w:noWrap w:val="0"/>
            <w:vAlign w:val="top"/>
          </w:tcPr>
          <w:p>
            <w:pPr>
              <w:spacing w:line="360" w:lineRule="exact"/>
              <w:ind w:left="105" w:right="105"/>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1379" w:type="dxa"/>
            <w:noWrap w:val="0"/>
            <w:vAlign w:val="center"/>
          </w:tcPr>
          <w:p>
            <w:pPr>
              <w:spacing w:line="360" w:lineRule="exact"/>
              <w:ind w:right="105"/>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实地走访</w:t>
            </w:r>
          </w:p>
        </w:tc>
        <w:tc>
          <w:tcPr>
            <w:tcW w:w="1215" w:type="dxa"/>
            <w:noWrap w:val="0"/>
            <w:vAlign w:val="top"/>
          </w:tcPr>
          <w:p>
            <w:pPr>
              <w:spacing w:line="360" w:lineRule="exact"/>
              <w:ind w:left="105" w:right="105"/>
              <w:jc w:val="center"/>
              <w:rPr>
                <w:rFonts w:hint="eastAsia" w:ascii="宋体" w:hAnsi="宋体" w:eastAsia="宋体" w:cs="宋体"/>
                <w:color w:val="auto"/>
                <w:sz w:val="21"/>
                <w:szCs w:val="21"/>
                <w:highlight w:val="none"/>
              </w:rPr>
            </w:pPr>
          </w:p>
        </w:tc>
        <w:tc>
          <w:tcPr>
            <w:tcW w:w="1274" w:type="dxa"/>
            <w:noWrap w:val="0"/>
            <w:vAlign w:val="top"/>
          </w:tcPr>
          <w:p>
            <w:pPr>
              <w:spacing w:line="360" w:lineRule="exact"/>
              <w:ind w:left="105" w:right="105"/>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1484" w:type="dxa"/>
            <w:vMerge w:val="continue"/>
            <w:noWrap w:val="0"/>
            <w:vAlign w:val="top"/>
          </w:tcPr>
          <w:p>
            <w:pPr>
              <w:spacing w:line="360" w:lineRule="exact"/>
              <w:ind w:left="0" w:leftChars="0" w:right="105" w:firstLine="0" w:firstLineChars="0"/>
              <w:rPr>
                <w:rFonts w:hint="eastAsia" w:ascii="宋体" w:hAnsi="宋体" w:eastAsia="宋体" w:cs="宋体"/>
                <w:b/>
                <w:color w:val="auto"/>
                <w:sz w:val="21"/>
                <w:szCs w:val="21"/>
                <w:highlight w:val="none"/>
              </w:rPr>
            </w:pPr>
          </w:p>
        </w:tc>
        <w:tc>
          <w:tcPr>
            <w:tcW w:w="3600" w:type="dxa"/>
            <w:noWrap w:val="0"/>
            <w:vAlign w:val="top"/>
          </w:tcPr>
          <w:p>
            <w:pPr>
              <w:ind w:left="0" w:leftChars="0" w:right="105"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所有公共场地：公共部分及运动场地整洁无杂物</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车辆停放整齐</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分)</w:t>
            </w:r>
          </w:p>
        </w:tc>
        <w:tc>
          <w:tcPr>
            <w:tcW w:w="826" w:type="dxa"/>
            <w:noWrap w:val="0"/>
            <w:vAlign w:val="top"/>
          </w:tcPr>
          <w:p>
            <w:pPr>
              <w:spacing w:line="360" w:lineRule="exact"/>
              <w:ind w:left="105" w:right="105"/>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1379" w:type="dxa"/>
            <w:noWrap w:val="0"/>
            <w:vAlign w:val="center"/>
          </w:tcPr>
          <w:p>
            <w:pPr>
              <w:spacing w:line="360" w:lineRule="exact"/>
              <w:ind w:right="105"/>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实地走访</w:t>
            </w:r>
          </w:p>
        </w:tc>
        <w:tc>
          <w:tcPr>
            <w:tcW w:w="1215" w:type="dxa"/>
            <w:noWrap w:val="0"/>
            <w:vAlign w:val="top"/>
          </w:tcPr>
          <w:p>
            <w:pPr>
              <w:spacing w:line="360" w:lineRule="exact"/>
              <w:ind w:left="105" w:right="105"/>
              <w:jc w:val="center"/>
              <w:rPr>
                <w:rFonts w:hint="eastAsia" w:ascii="宋体" w:hAnsi="宋体" w:eastAsia="宋体" w:cs="宋体"/>
                <w:color w:val="auto"/>
                <w:sz w:val="21"/>
                <w:szCs w:val="21"/>
                <w:highlight w:val="none"/>
              </w:rPr>
            </w:pPr>
          </w:p>
        </w:tc>
        <w:tc>
          <w:tcPr>
            <w:tcW w:w="1274" w:type="dxa"/>
            <w:noWrap w:val="0"/>
            <w:vAlign w:val="top"/>
          </w:tcPr>
          <w:p>
            <w:pPr>
              <w:spacing w:line="360" w:lineRule="exact"/>
              <w:ind w:left="105" w:right="105"/>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84" w:type="dxa"/>
            <w:vMerge w:val="continue"/>
            <w:noWrap w:val="0"/>
            <w:vAlign w:val="top"/>
          </w:tcPr>
          <w:p>
            <w:pPr>
              <w:spacing w:line="360" w:lineRule="exact"/>
              <w:ind w:left="0" w:leftChars="0" w:right="105" w:firstLine="0" w:firstLineChars="0"/>
              <w:rPr>
                <w:rFonts w:hint="eastAsia" w:ascii="宋体" w:hAnsi="宋体" w:eastAsia="宋体" w:cs="宋体"/>
                <w:b/>
                <w:color w:val="auto"/>
                <w:sz w:val="21"/>
                <w:szCs w:val="21"/>
                <w:highlight w:val="none"/>
              </w:rPr>
            </w:pPr>
          </w:p>
        </w:tc>
        <w:tc>
          <w:tcPr>
            <w:tcW w:w="3600" w:type="dxa"/>
            <w:noWrap w:val="0"/>
            <w:vAlign w:val="top"/>
          </w:tcPr>
          <w:p>
            <w:pPr>
              <w:ind w:left="0" w:leftChars="0" w:right="105"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路面两边公共设施包括宣传栏、指路牌、招牌、垃圾桶等干净并没有明显灰尘。（</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分）</w:t>
            </w:r>
          </w:p>
        </w:tc>
        <w:tc>
          <w:tcPr>
            <w:tcW w:w="826" w:type="dxa"/>
            <w:noWrap w:val="0"/>
            <w:vAlign w:val="top"/>
          </w:tcPr>
          <w:p>
            <w:pPr>
              <w:spacing w:line="360" w:lineRule="exact"/>
              <w:ind w:left="105" w:right="105"/>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4</w:t>
            </w:r>
          </w:p>
        </w:tc>
        <w:tc>
          <w:tcPr>
            <w:tcW w:w="1379" w:type="dxa"/>
            <w:noWrap w:val="0"/>
            <w:vAlign w:val="center"/>
          </w:tcPr>
          <w:p>
            <w:pPr>
              <w:spacing w:line="360" w:lineRule="exact"/>
              <w:ind w:right="105"/>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实地走访</w:t>
            </w:r>
          </w:p>
        </w:tc>
        <w:tc>
          <w:tcPr>
            <w:tcW w:w="1215" w:type="dxa"/>
            <w:noWrap w:val="0"/>
            <w:vAlign w:val="top"/>
          </w:tcPr>
          <w:p>
            <w:pPr>
              <w:spacing w:line="360" w:lineRule="exact"/>
              <w:ind w:left="105" w:right="105"/>
              <w:jc w:val="center"/>
              <w:rPr>
                <w:rFonts w:hint="eastAsia" w:ascii="宋体" w:hAnsi="宋体" w:eastAsia="宋体" w:cs="宋体"/>
                <w:color w:val="auto"/>
                <w:sz w:val="21"/>
                <w:szCs w:val="21"/>
                <w:highlight w:val="none"/>
              </w:rPr>
            </w:pPr>
          </w:p>
        </w:tc>
        <w:tc>
          <w:tcPr>
            <w:tcW w:w="1274" w:type="dxa"/>
            <w:noWrap w:val="0"/>
            <w:vAlign w:val="top"/>
          </w:tcPr>
          <w:p>
            <w:pPr>
              <w:spacing w:line="360" w:lineRule="exact"/>
              <w:ind w:left="105" w:right="105"/>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1484" w:type="dxa"/>
            <w:vMerge w:val="restart"/>
            <w:noWrap w:val="0"/>
            <w:vAlign w:val="top"/>
          </w:tcPr>
          <w:p>
            <w:pPr>
              <w:spacing w:line="360" w:lineRule="exact"/>
              <w:ind w:left="0" w:leftChars="0" w:right="105" w:firstLine="0" w:firstLineChars="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排水沟</w:t>
            </w:r>
          </w:p>
          <w:p>
            <w:pPr>
              <w:spacing w:line="360" w:lineRule="exact"/>
              <w:ind w:left="0" w:leftChars="0" w:right="105" w:firstLine="0" w:firstLineChars="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w:t>
            </w:r>
            <w:r>
              <w:rPr>
                <w:rFonts w:hint="eastAsia" w:ascii="宋体" w:hAnsi="宋体" w:eastAsia="宋体" w:cs="宋体"/>
                <w:b/>
                <w:color w:val="auto"/>
                <w:sz w:val="21"/>
                <w:szCs w:val="21"/>
                <w:highlight w:val="none"/>
                <w:lang w:val="en-US" w:eastAsia="zh-CN"/>
              </w:rPr>
              <w:t>12</w:t>
            </w:r>
            <w:r>
              <w:rPr>
                <w:rFonts w:hint="eastAsia" w:ascii="宋体" w:hAnsi="宋体" w:eastAsia="宋体" w:cs="宋体"/>
                <w:b/>
                <w:color w:val="auto"/>
                <w:sz w:val="21"/>
                <w:szCs w:val="21"/>
                <w:highlight w:val="none"/>
              </w:rPr>
              <w:t>分）</w:t>
            </w:r>
          </w:p>
        </w:tc>
        <w:tc>
          <w:tcPr>
            <w:tcW w:w="3600" w:type="dxa"/>
            <w:noWrap w:val="0"/>
            <w:vAlign w:val="top"/>
          </w:tcPr>
          <w:p>
            <w:pPr>
              <w:ind w:left="0" w:leftChars="0" w:right="105"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院区附近排水沟没有垃圾及淤泥堆积，流水畅通。（</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 xml:space="preserve"> 分）</w:t>
            </w:r>
          </w:p>
        </w:tc>
        <w:tc>
          <w:tcPr>
            <w:tcW w:w="826" w:type="dxa"/>
            <w:noWrap w:val="0"/>
            <w:vAlign w:val="top"/>
          </w:tcPr>
          <w:p>
            <w:pPr>
              <w:spacing w:line="360" w:lineRule="exact"/>
              <w:ind w:left="105" w:right="105"/>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w:t>
            </w:r>
          </w:p>
        </w:tc>
        <w:tc>
          <w:tcPr>
            <w:tcW w:w="1379" w:type="dxa"/>
            <w:noWrap w:val="0"/>
            <w:vAlign w:val="center"/>
          </w:tcPr>
          <w:p>
            <w:pPr>
              <w:spacing w:line="360" w:lineRule="exact"/>
              <w:ind w:right="105"/>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实地走访</w:t>
            </w:r>
          </w:p>
        </w:tc>
        <w:tc>
          <w:tcPr>
            <w:tcW w:w="1215" w:type="dxa"/>
            <w:noWrap w:val="0"/>
            <w:vAlign w:val="top"/>
          </w:tcPr>
          <w:p>
            <w:pPr>
              <w:spacing w:line="360" w:lineRule="exact"/>
              <w:ind w:left="105" w:right="105"/>
              <w:jc w:val="center"/>
              <w:rPr>
                <w:rFonts w:hint="eastAsia" w:ascii="宋体" w:hAnsi="宋体" w:eastAsia="宋体" w:cs="宋体"/>
                <w:color w:val="auto"/>
                <w:sz w:val="21"/>
                <w:szCs w:val="21"/>
                <w:highlight w:val="none"/>
              </w:rPr>
            </w:pPr>
          </w:p>
        </w:tc>
        <w:tc>
          <w:tcPr>
            <w:tcW w:w="1274" w:type="dxa"/>
            <w:noWrap w:val="0"/>
            <w:vAlign w:val="top"/>
          </w:tcPr>
          <w:p>
            <w:pPr>
              <w:spacing w:line="360" w:lineRule="exact"/>
              <w:ind w:left="105" w:right="105"/>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1484" w:type="dxa"/>
            <w:vMerge w:val="continue"/>
            <w:noWrap w:val="0"/>
            <w:vAlign w:val="top"/>
          </w:tcPr>
          <w:p>
            <w:pPr>
              <w:spacing w:line="360" w:lineRule="exact"/>
              <w:ind w:left="0" w:leftChars="0" w:right="105" w:firstLine="0" w:firstLineChars="0"/>
              <w:rPr>
                <w:rFonts w:hint="eastAsia" w:ascii="宋体" w:hAnsi="宋体" w:eastAsia="宋体" w:cs="宋体"/>
                <w:b/>
                <w:color w:val="auto"/>
                <w:sz w:val="21"/>
                <w:szCs w:val="21"/>
                <w:highlight w:val="none"/>
              </w:rPr>
            </w:pPr>
          </w:p>
        </w:tc>
        <w:tc>
          <w:tcPr>
            <w:tcW w:w="3600" w:type="dxa"/>
            <w:noWrap w:val="0"/>
            <w:vAlign w:val="top"/>
          </w:tcPr>
          <w:p>
            <w:pPr>
              <w:ind w:left="0" w:leftChars="0" w:right="105"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两侧排水沟没有垃圾及淤泥堆积，流水畅通。（</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分）</w:t>
            </w:r>
          </w:p>
        </w:tc>
        <w:tc>
          <w:tcPr>
            <w:tcW w:w="826" w:type="dxa"/>
            <w:noWrap w:val="0"/>
            <w:vAlign w:val="top"/>
          </w:tcPr>
          <w:p>
            <w:pPr>
              <w:spacing w:line="360" w:lineRule="exact"/>
              <w:ind w:left="105" w:right="105"/>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w:t>
            </w:r>
          </w:p>
        </w:tc>
        <w:tc>
          <w:tcPr>
            <w:tcW w:w="1379" w:type="dxa"/>
            <w:noWrap w:val="0"/>
            <w:vAlign w:val="center"/>
          </w:tcPr>
          <w:p>
            <w:pPr>
              <w:spacing w:line="360" w:lineRule="exact"/>
              <w:ind w:right="105"/>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实地走访</w:t>
            </w:r>
          </w:p>
        </w:tc>
        <w:tc>
          <w:tcPr>
            <w:tcW w:w="1215" w:type="dxa"/>
            <w:noWrap w:val="0"/>
            <w:vAlign w:val="top"/>
          </w:tcPr>
          <w:p>
            <w:pPr>
              <w:spacing w:line="360" w:lineRule="exact"/>
              <w:ind w:left="105" w:right="105"/>
              <w:jc w:val="center"/>
              <w:rPr>
                <w:rFonts w:hint="eastAsia" w:ascii="宋体" w:hAnsi="宋体" w:eastAsia="宋体" w:cs="宋体"/>
                <w:color w:val="auto"/>
                <w:sz w:val="21"/>
                <w:szCs w:val="21"/>
                <w:highlight w:val="none"/>
              </w:rPr>
            </w:pPr>
          </w:p>
        </w:tc>
        <w:tc>
          <w:tcPr>
            <w:tcW w:w="1274" w:type="dxa"/>
            <w:noWrap w:val="0"/>
            <w:vAlign w:val="top"/>
          </w:tcPr>
          <w:p>
            <w:pPr>
              <w:spacing w:line="360" w:lineRule="exact"/>
              <w:ind w:left="105" w:right="105"/>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484" w:type="dxa"/>
            <w:vMerge w:val="continue"/>
            <w:noWrap w:val="0"/>
            <w:vAlign w:val="top"/>
          </w:tcPr>
          <w:p>
            <w:pPr>
              <w:spacing w:line="360" w:lineRule="exact"/>
              <w:ind w:left="0" w:leftChars="0" w:right="105" w:firstLine="0" w:firstLineChars="0"/>
              <w:rPr>
                <w:rFonts w:hint="eastAsia" w:ascii="宋体" w:hAnsi="宋体" w:eastAsia="宋体" w:cs="宋体"/>
                <w:b/>
                <w:color w:val="auto"/>
                <w:sz w:val="21"/>
                <w:szCs w:val="21"/>
                <w:highlight w:val="none"/>
              </w:rPr>
            </w:pPr>
          </w:p>
        </w:tc>
        <w:tc>
          <w:tcPr>
            <w:tcW w:w="3600" w:type="dxa"/>
            <w:noWrap w:val="0"/>
            <w:vAlign w:val="top"/>
          </w:tcPr>
          <w:p>
            <w:pPr>
              <w:ind w:left="0" w:leftChars="0" w:right="105"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主干道路大排水沟没有垃圾及淤泥堆积，流水畅通得。（</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 xml:space="preserve"> 分）</w:t>
            </w:r>
          </w:p>
        </w:tc>
        <w:tc>
          <w:tcPr>
            <w:tcW w:w="826" w:type="dxa"/>
            <w:noWrap w:val="0"/>
            <w:vAlign w:val="top"/>
          </w:tcPr>
          <w:p>
            <w:pPr>
              <w:spacing w:line="360" w:lineRule="exact"/>
              <w:ind w:left="105" w:right="105"/>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w:t>
            </w:r>
          </w:p>
        </w:tc>
        <w:tc>
          <w:tcPr>
            <w:tcW w:w="1379" w:type="dxa"/>
            <w:noWrap w:val="0"/>
            <w:vAlign w:val="center"/>
          </w:tcPr>
          <w:p>
            <w:pPr>
              <w:spacing w:line="360" w:lineRule="exact"/>
              <w:ind w:right="105"/>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实地走访</w:t>
            </w:r>
          </w:p>
        </w:tc>
        <w:tc>
          <w:tcPr>
            <w:tcW w:w="1215" w:type="dxa"/>
            <w:noWrap w:val="0"/>
            <w:vAlign w:val="top"/>
          </w:tcPr>
          <w:p>
            <w:pPr>
              <w:spacing w:line="360" w:lineRule="exact"/>
              <w:ind w:left="105" w:right="105"/>
              <w:jc w:val="center"/>
              <w:rPr>
                <w:rFonts w:hint="eastAsia" w:ascii="宋体" w:hAnsi="宋体" w:eastAsia="宋体" w:cs="宋体"/>
                <w:color w:val="auto"/>
                <w:sz w:val="21"/>
                <w:szCs w:val="21"/>
                <w:highlight w:val="none"/>
              </w:rPr>
            </w:pPr>
          </w:p>
        </w:tc>
        <w:tc>
          <w:tcPr>
            <w:tcW w:w="1274" w:type="dxa"/>
            <w:noWrap w:val="0"/>
            <w:vAlign w:val="top"/>
          </w:tcPr>
          <w:p>
            <w:pPr>
              <w:spacing w:line="360" w:lineRule="exact"/>
              <w:ind w:left="105" w:right="105"/>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1484" w:type="dxa"/>
            <w:vMerge w:val="continue"/>
            <w:noWrap w:val="0"/>
            <w:vAlign w:val="top"/>
          </w:tcPr>
          <w:p>
            <w:pPr>
              <w:spacing w:line="360" w:lineRule="exact"/>
              <w:ind w:left="0" w:leftChars="0" w:right="105" w:firstLine="0" w:firstLineChars="0"/>
              <w:rPr>
                <w:rFonts w:hint="eastAsia" w:ascii="宋体" w:hAnsi="宋体" w:eastAsia="宋体" w:cs="宋体"/>
                <w:b/>
                <w:color w:val="auto"/>
                <w:sz w:val="21"/>
                <w:szCs w:val="21"/>
                <w:highlight w:val="none"/>
              </w:rPr>
            </w:pPr>
          </w:p>
        </w:tc>
        <w:tc>
          <w:tcPr>
            <w:tcW w:w="3600" w:type="dxa"/>
            <w:noWrap w:val="0"/>
            <w:vAlign w:val="top"/>
          </w:tcPr>
          <w:p>
            <w:pPr>
              <w:ind w:left="0" w:leftChars="0" w:right="105"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食堂及停车场排水沟没有垃圾及淤泥堆积，流水畅通。（</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 xml:space="preserve"> 分）</w:t>
            </w:r>
          </w:p>
        </w:tc>
        <w:tc>
          <w:tcPr>
            <w:tcW w:w="826" w:type="dxa"/>
            <w:noWrap w:val="0"/>
            <w:vAlign w:val="top"/>
          </w:tcPr>
          <w:p>
            <w:pPr>
              <w:spacing w:line="360" w:lineRule="exact"/>
              <w:ind w:left="105" w:right="105"/>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w:t>
            </w:r>
          </w:p>
        </w:tc>
        <w:tc>
          <w:tcPr>
            <w:tcW w:w="1379" w:type="dxa"/>
            <w:noWrap w:val="0"/>
            <w:vAlign w:val="center"/>
          </w:tcPr>
          <w:p>
            <w:pPr>
              <w:spacing w:line="360" w:lineRule="exact"/>
              <w:ind w:right="105"/>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实地走访</w:t>
            </w:r>
          </w:p>
        </w:tc>
        <w:tc>
          <w:tcPr>
            <w:tcW w:w="1215" w:type="dxa"/>
            <w:noWrap w:val="0"/>
            <w:vAlign w:val="top"/>
          </w:tcPr>
          <w:p>
            <w:pPr>
              <w:spacing w:line="360" w:lineRule="exact"/>
              <w:ind w:left="105" w:right="105"/>
              <w:jc w:val="center"/>
              <w:rPr>
                <w:rFonts w:hint="eastAsia" w:ascii="宋体" w:hAnsi="宋体" w:eastAsia="宋体" w:cs="宋体"/>
                <w:color w:val="auto"/>
                <w:sz w:val="21"/>
                <w:szCs w:val="21"/>
                <w:highlight w:val="none"/>
              </w:rPr>
            </w:pPr>
          </w:p>
        </w:tc>
        <w:tc>
          <w:tcPr>
            <w:tcW w:w="1274" w:type="dxa"/>
            <w:noWrap w:val="0"/>
            <w:vAlign w:val="top"/>
          </w:tcPr>
          <w:p>
            <w:pPr>
              <w:spacing w:line="360" w:lineRule="exact"/>
              <w:ind w:left="105" w:right="105"/>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1484" w:type="dxa"/>
            <w:noWrap w:val="0"/>
            <w:vAlign w:val="top"/>
          </w:tcPr>
          <w:p>
            <w:pPr>
              <w:spacing w:line="360" w:lineRule="exact"/>
              <w:ind w:left="0" w:leftChars="0" w:right="105" w:firstLine="0" w:firstLineChars="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绿化面（</w:t>
            </w:r>
            <w:r>
              <w:rPr>
                <w:rFonts w:hint="eastAsia" w:ascii="宋体" w:hAnsi="宋体" w:eastAsia="宋体" w:cs="宋体"/>
                <w:b/>
                <w:color w:val="auto"/>
                <w:sz w:val="21"/>
                <w:szCs w:val="21"/>
                <w:highlight w:val="none"/>
                <w:lang w:val="en-US" w:eastAsia="zh-CN"/>
              </w:rPr>
              <w:t>5</w:t>
            </w:r>
            <w:r>
              <w:rPr>
                <w:rFonts w:hint="eastAsia" w:ascii="宋体" w:hAnsi="宋体" w:eastAsia="宋体" w:cs="宋体"/>
                <w:b/>
                <w:color w:val="auto"/>
                <w:sz w:val="21"/>
                <w:szCs w:val="21"/>
                <w:highlight w:val="none"/>
              </w:rPr>
              <w:t>分）</w:t>
            </w:r>
          </w:p>
        </w:tc>
        <w:tc>
          <w:tcPr>
            <w:tcW w:w="3600" w:type="dxa"/>
            <w:noWrap w:val="0"/>
            <w:vAlign w:val="top"/>
          </w:tcPr>
          <w:p>
            <w:pPr>
              <w:ind w:left="0" w:leftChars="0" w:right="105"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院园绿化整齐、美观、长势良好，并维持绿地卫生整洁无杂物。（</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 xml:space="preserve"> 分）</w:t>
            </w:r>
          </w:p>
        </w:tc>
        <w:tc>
          <w:tcPr>
            <w:tcW w:w="826" w:type="dxa"/>
            <w:noWrap w:val="0"/>
            <w:vAlign w:val="top"/>
          </w:tcPr>
          <w:p>
            <w:pPr>
              <w:spacing w:line="360" w:lineRule="exact"/>
              <w:ind w:left="105" w:right="105"/>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5</w:t>
            </w:r>
          </w:p>
        </w:tc>
        <w:tc>
          <w:tcPr>
            <w:tcW w:w="1379" w:type="dxa"/>
            <w:noWrap w:val="0"/>
            <w:vAlign w:val="center"/>
          </w:tcPr>
          <w:p>
            <w:pPr>
              <w:spacing w:line="360" w:lineRule="exact"/>
              <w:ind w:right="105"/>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实地走访</w:t>
            </w:r>
          </w:p>
        </w:tc>
        <w:tc>
          <w:tcPr>
            <w:tcW w:w="1215" w:type="dxa"/>
            <w:noWrap w:val="0"/>
            <w:vAlign w:val="top"/>
          </w:tcPr>
          <w:p>
            <w:pPr>
              <w:spacing w:line="360" w:lineRule="exact"/>
              <w:ind w:left="105" w:right="105"/>
              <w:jc w:val="center"/>
              <w:rPr>
                <w:rFonts w:hint="eastAsia" w:ascii="宋体" w:hAnsi="宋体" w:eastAsia="宋体" w:cs="宋体"/>
                <w:color w:val="auto"/>
                <w:sz w:val="21"/>
                <w:szCs w:val="21"/>
                <w:highlight w:val="none"/>
              </w:rPr>
            </w:pPr>
          </w:p>
        </w:tc>
        <w:tc>
          <w:tcPr>
            <w:tcW w:w="1274" w:type="dxa"/>
            <w:noWrap w:val="0"/>
            <w:vAlign w:val="top"/>
          </w:tcPr>
          <w:p>
            <w:pPr>
              <w:spacing w:line="360" w:lineRule="exact"/>
              <w:ind w:left="105" w:right="105"/>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1484" w:type="dxa"/>
            <w:vMerge w:val="restart"/>
            <w:tcBorders>
              <w:top w:val="single" w:color="auto" w:sz="4" w:space="0"/>
            </w:tcBorders>
            <w:noWrap w:val="0"/>
            <w:vAlign w:val="top"/>
          </w:tcPr>
          <w:p>
            <w:pPr>
              <w:spacing w:line="360" w:lineRule="exact"/>
              <w:ind w:left="0" w:leftChars="0" w:right="105" w:firstLine="0" w:firstLineChars="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医疗废物及</w:t>
            </w:r>
            <w:r>
              <w:rPr>
                <w:rFonts w:hint="eastAsia" w:ascii="宋体" w:hAnsi="宋体" w:eastAsia="宋体" w:cs="宋体"/>
                <w:b/>
                <w:color w:val="auto"/>
                <w:sz w:val="21"/>
                <w:szCs w:val="21"/>
                <w:highlight w:val="none"/>
              </w:rPr>
              <w:t>生活垃圾清运和处置（1</w:t>
            </w:r>
            <w:r>
              <w:rPr>
                <w:rFonts w:hint="eastAsia" w:ascii="宋体" w:hAnsi="宋体" w:eastAsia="宋体" w:cs="宋体"/>
                <w:b/>
                <w:color w:val="auto"/>
                <w:sz w:val="21"/>
                <w:szCs w:val="21"/>
                <w:highlight w:val="none"/>
                <w:lang w:val="en-US" w:eastAsia="zh-CN"/>
              </w:rPr>
              <w:t>8</w:t>
            </w:r>
            <w:r>
              <w:rPr>
                <w:rFonts w:hint="eastAsia" w:ascii="宋体" w:hAnsi="宋体" w:eastAsia="宋体" w:cs="宋体"/>
                <w:b/>
                <w:color w:val="auto"/>
                <w:sz w:val="21"/>
                <w:szCs w:val="21"/>
                <w:highlight w:val="none"/>
              </w:rPr>
              <w:t>分）</w:t>
            </w:r>
          </w:p>
        </w:tc>
        <w:tc>
          <w:tcPr>
            <w:tcW w:w="3600" w:type="dxa"/>
            <w:noWrap w:val="0"/>
            <w:vAlign w:val="top"/>
          </w:tcPr>
          <w:p>
            <w:pPr>
              <w:ind w:left="0" w:leftChars="0" w:right="105"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医疗废物</w:t>
            </w:r>
            <w:r>
              <w:rPr>
                <w:rFonts w:hint="eastAsia" w:ascii="宋体" w:hAnsi="宋体" w:eastAsia="宋体" w:cs="宋体"/>
                <w:color w:val="auto"/>
                <w:sz w:val="21"/>
                <w:szCs w:val="21"/>
                <w:highlight w:val="none"/>
              </w:rPr>
              <w:t>按时清运。（</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 xml:space="preserve"> 分）</w:t>
            </w:r>
          </w:p>
        </w:tc>
        <w:tc>
          <w:tcPr>
            <w:tcW w:w="826" w:type="dxa"/>
            <w:noWrap w:val="0"/>
            <w:vAlign w:val="top"/>
          </w:tcPr>
          <w:p>
            <w:pPr>
              <w:spacing w:line="360" w:lineRule="exact"/>
              <w:ind w:right="105"/>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w:t>
            </w:r>
          </w:p>
        </w:tc>
        <w:tc>
          <w:tcPr>
            <w:tcW w:w="1379" w:type="dxa"/>
            <w:noWrap w:val="0"/>
            <w:vAlign w:val="center"/>
          </w:tcPr>
          <w:p>
            <w:pPr>
              <w:spacing w:line="360" w:lineRule="exact"/>
              <w:ind w:right="105"/>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实地走访</w:t>
            </w:r>
          </w:p>
        </w:tc>
        <w:tc>
          <w:tcPr>
            <w:tcW w:w="1215" w:type="dxa"/>
            <w:noWrap w:val="0"/>
            <w:vAlign w:val="top"/>
          </w:tcPr>
          <w:p>
            <w:pPr>
              <w:spacing w:line="360" w:lineRule="exact"/>
              <w:ind w:left="105" w:right="105"/>
              <w:jc w:val="center"/>
              <w:rPr>
                <w:rFonts w:hint="eastAsia" w:ascii="宋体" w:hAnsi="宋体" w:eastAsia="宋体" w:cs="宋体"/>
                <w:color w:val="auto"/>
                <w:sz w:val="21"/>
                <w:szCs w:val="21"/>
                <w:highlight w:val="none"/>
              </w:rPr>
            </w:pPr>
          </w:p>
        </w:tc>
        <w:tc>
          <w:tcPr>
            <w:tcW w:w="1274" w:type="dxa"/>
            <w:noWrap w:val="0"/>
            <w:vAlign w:val="top"/>
          </w:tcPr>
          <w:p>
            <w:pPr>
              <w:spacing w:line="360" w:lineRule="exact"/>
              <w:ind w:left="105" w:right="105"/>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1484" w:type="dxa"/>
            <w:vMerge w:val="continue"/>
            <w:noWrap w:val="0"/>
            <w:vAlign w:val="top"/>
          </w:tcPr>
          <w:p>
            <w:pPr>
              <w:spacing w:line="360" w:lineRule="exact"/>
              <w:ind w:left="0" w:leftChars="0" w:right="105" w:firstLine="0" w:firstLineChars="0"/>
              <w:rPr>
                <w:rFonts w:hint="eastAsia" w:ascii="宋体" w:hAnsi="宋体" w:eastAsia="宋体" w:cs="宋体"/>
                <w:b/>
                <w:color w:val="auto"/>
                <w:sz w:val="21"/>
                <w:szCs w:val="21"/>
                <w:highlight w:val="none"/>
              </w:rPr>
            </w:pPr>
          </w:p>
        </w:tc>
        <w:tc>
          <w:tcPr>
            <w:tcW w:w="3600" w:type="dxa"/>
            <w:noWrap w:val="0"/>
            <w:vAlign w:val="top"/>
          </w:tcPr>
          <w:p>
            <w:pPr>
              <w:ind w:left="0" w:leftChars="0" w:right="105"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区域生活垃圾按时清运。（</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 xml:space="preserve"> 分）</w:t>
            </w:r>
          </w:p>
        </w:tc>
        <w:tc>
          <w:tcPr>
            <w:tcW w:w="826" w:type="dxa"/>
            <w:noWrap w:val="0"/>
            <w:vAlign w:val="top"/>
          </w:tcPr>
          <w:p>
            <w:pPr>
              <w:spacing w:line="360" w:lineRule="exact"/>
              <w:ind w:left="105" w:right="105"/>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4</w:t>
            </w:r>
          </w:p>
        </w:tc>
        <w:tc>
          <w:tcPr>
            <w:tcW w:w="1379" w:type="dxa"/>
            <w:noWrap w:val="0"/>
            <w:vAlign w:val="center"/>
          </w:tcPr>
          <w:p>
            <w:pPr>
              <w:spacing w:line="360" w:lineRule="exact"/>
              <w:ind w:right="105"/>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实地走访</w:t>
            </w:r>
          </w:p>
        </w:tc>
        <w:tc>
          <w:tcPr>
            <w:tcW w:w="1215" w:type="dxa"/>
            <w:noWrap w:val="0"/>
            <w:vAlign w:val="top"/>
          </w:tcPr>
          <w:p>
            <w:pPr>
              <w:spacing w:line="360" w:lineRule="exact"/>
              <w:ind w:left="105" w:right="105"/>
              <w:jc w:val="center"/>
              <w:rPr>
                <w:rFonts w:hint="eastAsia" w:ascii="宋体" w:hAnsi="宋体" w:eastAsia="宋体" w:cs="宋体"/>
                <w:color w:val="auto"/>
                <w:sz w:val="21"/>
                <w:szCs w:val="21"/>
                <w:highlight w:val="none"/>
              </w:rPr>
            </w:pPr>
          </w:p>
        </w:tc>
        <w:tc>
          <w:tcPr>
            <w:tcW w:w="1274" w:type="dxa"/>
            <w:tcBorders>
              <w:bottom w:val="nil"/>
            </w:tcBorders>
            <w:noWrap w:val="0"/>
            <w:vAlign w:val="top"/>
          </w:tcPr>
          <w:p>
            <w:pPr>
              <w:spacing w:line="360" w:lineRule="exact"/>
              <w:ind w:left="105" w:right="105"/>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jc w:val="center"/>
        </w:trPr>
        <w:tc>
          <w:tcPr>
            <w:tcW w:w="1484" w:type="dxa"/>
            <w:vMerge w:val="continue"/>
            <w:noWrap w:val="0"/>
            <w:vAlign w:val="top"/>
          </w:tcPr>
          <w:p>
            <w:pPr>
              <w:spacing w:line="360" w:lineRule="exact"/>
              <w:ind w:left="0" w:leftChars="0" w:right="105" w:firstLine="0" w:firstLineChars="0"/>
              <w:rPr>
                <w:rFonts w:hint="eastAsia" w:ascii="宋体" w:hAnsi="宋体" w:eastAsia="宋体" w:cs="宋体"/>
                <w:b/>
                <w:color w:val="auto"/>
                <w:sz w:val="21"/>
                <w:szCs w:val="21"/>
                <w:highlight w:val="none"/>
              </w:rPr>
            </w:pPr>
          </w:p>
        </w:tc>
        <w:tc>
          <w:tcPr>
            <w:tcW w:w="3600" w:type="dxa"/>
            <w:noWrap w:val="0"/>
            <w:vAlign w:val="top"/>
          </w:tcPr>
          <w:p>
            <w:pPr>
              <w:ind w:left="0" w:leftChars="0" w:right="105"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垃圾池垃圾每天按时清运，垃圾池周边卫生整洁。（4分）</w:t>
            </w:r>
          </w:p>
        </w:tc>
        <w:tc>
          <w:tcPr>
            <w:tcW w:w="826" w:type="dxa"/>
            <w:noWrap w:val="0"/>
            <w:vAlign w:val="top"/>
          </w:tcPr>
          <w:p>
            <w:pPr>
              <w:spacing w:line="360" w:lineRule="exact"/>
              <w:ind w:left="105" w:right="105"/>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1379" w:type="dxa"/>
            <w:noWrap w:val="0"/>
            <w:vAlign w:val="center"/>
          </w:tcPr>
          <w:p>
            <w:pPr>
              <w:spacing w:line="360" w:lineRule="exact"/>
              <w:ind w:right="105"/>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实地走访</w:t>
            </w:r>
          </w:p>
        </w:tc>
        <w:tc>
          <w:tcPr>
            <w:tcW w:w="1215" w:type="dxa"/>
            <w:noWrap w:val="0"/>
            <w:vAlign w:val="top"/>
          </w:tcPr>
          <w:p>
            <w:pPr>
              <w:spacing w:line="360" w:lineRule="exact"/>
              <w:ind w:left="105" w:right="105"/>
              <w:jc w:val="center"/>
              <w:rPr>
                <w:rFonts w:hint="eastAsia" w:ascii="宋体" w:hAnsi="宋体" w:eastAsia="宋体" w:cs="宋体"/>
                <w:color w:val="auto"/>
                <w:sz w:val="21"/>
                <w:szCs w:val="21"/>
                <w:highlight w:val="none"/>
              </w:rPr>
            </w:pPr>
          </w:p>
        </w:tc>
        <w:tc>
          <w:tcPr>
            <w:tcW w:w="1274" w:type="dxa"/>
            <w:noWrap w:val="0"/>
            <w:vAlign w:val="top"/>
          </w:tcPr>
          <w:p>
            <w:pPr>
              <w:spacing w:line="360" w:lineRule="exact"/>
              <w:ind w:left="105" w:right="105"/>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jc w:val="center"/>
        </w:trPr>
        <w:tc>
          <w:tcPr>
            <w:tcW w:w="1484" w:type="dxa"/>
            <w:tcBorders>
              <w:bottom w:val="single" w:color="auto" w:sz="4" w:space="0"/>
            </w:tcBorders>
            <w:noWrap w:val="0"/>
            <w:vAlign w:val="top"/>
          </w:tcPr>
          <w:p>
            <w:pPr>
              <w:spacing w:line="360" w:lineRule="exact"/>
              <w:ind w:left="0" w:leftChars="0" w:right="105" w:firstLine="0" w:firstLineChars="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其他（2分）</w:t>
            </w:r>
          </w:p>
        </w:tc>
        <w:tc>
          <w:tcPr>
            <w:tcW w:w="3600" w:type="dxa"/>
            <w:tcBorders>
              <w:top w:val="nil"/>
              <w:bottom w:val="single" w:color="auto" w:sz="4" w:space="0"/>
            </w:tcBorders>
            <w:noWrap w:val="0"/>
            <w:vAlign w:val="top"/>
          </w:tcPr>
          <w:p>
            <w:pPr>
              <w:ind w:left="0" w:leftChars="0" w:right="105"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医院庆典等活动期间安排的临时突击保洁任务完成好，得2分，否则不得分（没有任务时该项给满分）。</w:t>
            </w:r>
          </w:p>
        </w:tc>
        <w:tc>
          <w:tcPr>
            <w:tcW w:w="826" w:type="dxa"/>
            <w:tcBorders>
              <w:bottom w:val="single" w:color="auto" w:sz="4" w:space="0"/>
            </w:tcBorders>
            <w:noWrap w:val="0"/>
            <w:vAlign w:val="top"/>
          </w:tcPr>
          <w:p>
            <w:pPr>
              <w:spacing w:line="360" w:lineRule="exact"/>
              <w:ind w:left="105" w:right="105"/>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379" w:type="dxa"/>
            <w:tcBorders>
              <w:bottom w:val="single" w:color="auto" w:sz="4" w:space="0"/>
            </w:tcBorders>
            <w:noWrap w:val="0"/>
            <w:vAlign w:val="center"/>
          </w:tcPr>
          <w:p>
            <w:pPr>
              <w:spacing w:line="360" w:lineRule="exact"/>
              <w:ind w:right="105"/>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实地走访</w:t>
            </w:r>
          </w:p>
        </w:tc>
        <w:tc>
          <w:tcPr>
            <w:tcW w:w="1215" w:type="dxa"/>
            <w:tcBorders>
              <w:bottom w:val="single" w:color="auto" w:sz="4" w:space="0"/>
            </w:tcBorders>
            <w:noWrap w:val="0"/>
            <w:vAlign w:val="top"/>
          </w:tcPr>
          <w:p>
            <w:pPr>
              <w:spacing w:line="360" w:lineRule="exact"/>
              <w:ind w:left="105" w:right="105"/>
              <w:jc w:val="center"/>
              <w:rPr>
                <w:rFonts w:hint="eastAsia" w:ascii="宋体" w:hAnsi="宋体" w:eastAsia="宋体" w:cs="宋体"/>
                <w:color w:val="auto"/>
                <w:sz w:val="21"/>
                <w:szCs w:val="21"/>
                <w:highlight w:val="none"/>
              </w:rPr>
            </w:pPr>
          </w:p>
        </w:tc>
        <w:tc>
          <w:tcPr>
            <w:tcW w:w="1274" w:type="dxa"/>
            <w:tcBorders>
              <w:bottom w:val="single" w:color="auto" w:sz="4" w:space="0"/>
            </w:tcBorders>
            <w:noWrap w:val="0"/>
            <w:vAlign w:val="top"/>
          </w:tcPr>
          <w:p>
            <w:pPr>
              <w:spacing w:line="360" w:lineRule="exact"/>
              <w:ind w:left="105" w:right="105"/>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2" w:hRule="atLeast"/>
          <w:jc w:val="center"/>
        </w:trPr>
        <w:tc>
          <w:tcPr>
            <w:tcW w:w="7289" w:type="dxa"/>
            <w:gridSpan w:val="4"/>
            <w:tcBorders>
              <w:top w:val="single" w:color="auto" w:sz="4" w:space="0"/>
              <w:bottom w:val="single" w:color="auto" w:sz="4" w:space="0"/>
            </w:tcBorders>
            <w:noWrap w:val="0"/>
            <w:vAlign w:val="center"/>
          </w:tcPr>
          <w:p>
            <w:pPr>
              <w:spacing w:line="360" w:lineRule="exact"/>
              <w:ind w:left="105" w:right="105"/>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b/>
                <w:bCs/>
                <w:color w:val="auto"/>
                <w:sz w:val="21"/>
                <w:szCs w:val="21"/>
                <w:highlight w:val="none"/>
                <w:lang w:val="en-US" w:eastAsia="zh-CN"/>
              </w:rPr>
              <w:t xml:space="preserve"> 考核总得分</w:t>
            </w:r>
          </w:p>
        </w:tc>
        <w:tc>
          <w:tcPr>
            <w:tcW w:w="1215" w:type="dxa"/>
            <w:tcBorders>
              <w:top w:val="single" w:color="auto" w:sz="4" w:space="0"/>
              <w:bottom w:val="single" w:color="auto" w:sz="4" w:space="0"/>
            </w:tcBorders>
            <w:noWrap w:val="0"/>
            <w:vAlign w:val="center"/>
          </w:tcPr>
          <w:p>
            <w:pPr>
              <w:spacing w:line="360" w:lineRule="exact"/>
              <w:ind w:left="105" w:right="105"/>
              <w:jc w:val="center"/>
              <w:rPr>
                <w:rFonts w:hint="eastAsia" w:ascii="宋体" w:hAnsi="宋体" w:eastAsia="宋体" w:cs="宋体"/>
                <w:color w:val="auto"/>
                <w:sz w:val="21"/>
                <w:szCs w:val="21"/>
                <w:highlight w:val="none"/>
              </w:rPr>
            </w:pPr>
          </w:p>
        </w:tc>
        <w:tc>
          <w:tcPr>
            <w:tcW w:w="1274" w:type="dxa"/>
            <w:tcBorders>
              <w:top w:val="single" w:color="auto" w:sz="4" w:space="0"/>
              <w:bottom w:val="single" w:color="auto" w:sz="4" w:space="0"/>
            </w:tcBorders>
            <w:noWrap w:val="0"/>
            <w:vAlign w:val="center"/>
          </w:tcPr>
          <w:p>
            <w:pPr>
              <w:spacing w:line="360" w:lineRule="exact"/>
              <w:ind w:left="0" w:leftChars="0" w:right="105" w:firstLine="0" w:firstLineChars="0"/>
              <w:jc w:val="both"/>
              <w:rPr>
                <w:rFonts w:hint="eastAsia" w:ascii="宋体" w:hAnsi="宋体" w:eastAsia="宋体" w:cs="宋体"/>
                <w:color w:val="auto"/>
                <w:sz w:val="21"/>
                <w:szCs w:val="21"/>
                <w:highlight w:val="none"/>
              </w:rPr>
            </w:pPr>
          </w:p>
        </w:tc>
      </w:tr>
    </w:tbl>
    <w:tbl>
      <w:tblPr>
        <w:tblStyle w:val="49"/>
        <w:tblpPr w:leftFromText="180" w:rightFromText="180" w:vertAnchor="text" w:horzAnchor="page" w:tblpX="845" w:tblpY="1165"/>
        <w:tblOverlap w:val="never"/>
        <w:tblW w:w="9782" w:type="dxa"/>
        <w:tblInd w:w="0" w:type="dxa"/>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Layout w:type="fixed"/>
        <w:tblCellMar>
          <w:top w:w="0" w:type="dxa"/>
          <w:left w:w="108" w:type="dxa"/>
          <w:bottom w:w="0" w:type="dxa"/>
          <w:right w:w="108" w:type="dxa"/>
        </w:tblCellMar>
      </w:tblPr>
      <w:tblGrid>
        <w:gridCol w:w="9782"/>
      </w:tblGrid>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420" w:hRule="atLeast"/>
        </w:trPr>
        <w:tc>
          <w:tcPr>
            <w:tcW w:w="9782" w:type="dxa"/>
            <w:tcBorders>
              <w:tl2br w:val="nil"/>
              <w:tr2bl w:val="nil"/>
            </w:tcBorders>
            <w:noWrap/>
            <w:vAlign w:val="center"/>
          </w:tcPr>
          <w:p>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eastAsia="zh-CN" w:bidi="ar"/>
              </w:rPr>
              <w:t>考核</w:t>
            </w:r>
            <w:r>
              <w:rPr>
                <w:rFonts w:hint="eastAsia" w:ascii="宋体" w:hAnsi="宋体" w:eastAsia="宋体" w:cs="宋体"/>
                <w:color w:val="auto"/>
                <w:kern w:val="0"/>
                <w:sz w:val="21"/>
                <w:szCs w:val="21"/>
                <w:highlight w:val="none"/>
                <w:lang w:bidi="ar"/>
              </w:rPr>
              <w:t xml:space="preserve">结果：优秀 90-100分（   ）  合格 </w:t>
            </w:r>
            <w:r>
              <w:rPr>
                <w:rFonts w:hint="eastAsia" w:ascii="宋体" w:hAnsi="宋体" w:eastAsia="宋体" w:cs="宋体"/>
                <w:color w:val="auto"/>
                <w:kern w:val="0"/>
                <w:sz w:val="21"/>
                <w:szCs w:val="21"/>
                <w:highlight w:val="none"/>
                <w:lang w:val="en-US" w:eastAsia="zh-CN" w:bidi="ar"/>
              </w:rPr>
              <w:t>7</w:t>
            </w:r>
            <w:r>
              <w:rPr>
                <w:rFonts w:hint="eastAsia" w:ascii="宋体" w:hAnsi="宋体" w:eastAsia="宋体" w:cs="宋体"/>
                <w:color w:val="auto"/>
                <w:kern w:val="0"/>
                <w:sz w:val="21"/>
                <w:szCs w:val="21"/>
                <w:highlight w:val="none"/>
                <w:lang w:bidi="ar"/>
              </w:rPr>
              <w:t>0-89分（   ）   不合格 &lt;</w:t>
            </w:r>
            <w:r>
              <w:rPr>
                <w:rFonts w:hint="eastAsia" w:ascii="宋体" w:hAnsi="宋体" w:eastAsia="宋体" w:cs="宋体"/>
                <w:color w:val="auto"/>
                <w:kern w:val="0"/>
                <w:sz w:val="21"/>
                <w:szCs w:val="21"/>
                <w:highlight w:val="none"/>
                <w:lang w:val="en-US" w:eastAsia="zh-CN" w:bidi="ar"/>
              </w:rPr>
              <w:t>7</w:t>
            </w:r>
            <w:r>
              <w:rPr>
                <w:rFonts w:hint="eastAsia" w:ascii="宋体" w:hAnsi="宋体" w:eastAsia="宋体" w:cs="宋体"/>
                <w:color w:val="auto"/>
                <w:kern w:val="0"/>
                <w:sz w:val="21"/>
                <w:szCs w:val="21"/>
                <w:highlight w:val="none"/>
                <w:lang w:bidi="ar"/>
              </w:rPr>
              <w:t>0分 (    )</w:t>
            </w: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20" w:hRule="atLeast"/>
        </w:trPr>
        <w:tc>
          <w:tcPr>
            <w:tcW w:w="9782" w:type="dxa"/>
            <w:tcBorders>
              <w:tl2br w:val="nil"/>
              <w:tr2bl w:val="nil"/>
            </w:tcBorders>
            <w:noWrap/>
            <w:vAlign w:val="center"/>
          </w:tcPr>
          <w:p>
            <w:pPr>
              <w:widowControl/>
              <w:jc w:val="left"/>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eastAsia="zh-CN" w:bidi="ar"/>
              </w:rPr>
              <w:t>考核</w:t>
            </w:r>
            <w:r>
              <w:rPr>
                <w:rFonts w:hint="eastAsia" w:ascii="宋体" w:hAnsi="宋体" w:eastAsia="宋体" w:cs="宋体"/>
                <w:b/>
                <w:bCs/>
                <w:color w:val="auto"/>
                <w:kern w:val="0"/>
                <w:sz w:val="21"/>
                <w:szCs w:val="21"/>
                <w:highlight w:val="none"/>
                <w:lang w:bidi="ar"/>
              </w:rPr>
              <w:t>结果评定：</w:t>
            </w: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20" w:hRule="atLeast"/>
        </w:trPr>
        <w:tc>
          <w:tcPr>
            <w:tcW w:w="9782" w:type="dxa"/>
            <w:tcBorders>
              <w:tl2br w:val="nil"/>
              <w:tr2bl w:val="nil"/>
            </w:tcBorders>
            <w:noWrap/>
            <w:vAlign w:val="center"/>
          </w:tcPr>
          <w:p>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一、</w:t>
            </w:r>
            <w:r>
              <w:rPr>
                <w:rFonts w:hint="eastAsia" w:ascii="宋体" w:hAnsi="宋体" w:eastAsia="宋体" w:cs="宋体"/>
                <w:color w:val="auto"/>
                <w:kern w:val="0"/>
                <w:sz w:val="21"/>
                <w:szCs w:val="21"/>
                <w:highlight w:val="none"/>
                <w:lang w:eastAsia="zh-CN" w:bidi="ar"/>
              </w:rPr>
              <w:t>考核</w:t>
            </w:r>
            <w:r>
              <w:rPr>
                <w:rFonts w:hint="eastAsia" w:ascii="宋体" w:hAnsi="宋体" w:eastAsia="宋体" w:cs="宋体"/>
                <w:color w:val="auto"/>
                <w:kern w:val="0"/>
                <w:sz w:val="21"/>
                <w:szCs w:val="21"/>
                <w:highlight w:val="none"/>
                <w:lang w:bidi="ar"/>
              </w:rPr>
              <w:t>周期</w:t>
            </w: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20" w:hRule="atLeast"/>
        </w:trPr>
        <w:tc>
          <w:tcPr>
            <w:tcW w:w="9782" w:type="dxa"/>
            <w:tcBorders>
              <w:tl2br w:val="nil"/>
              <w:tr2bl w:val="nil"/>
            </w:tcBorders>
            <w:noWrap/>
            <w:vAlign w:val="center"/>
          </w:tcPr>
          <w:p>
            <w:pPr>
              <w:widowControl/>
              <w:ind w:firstLine="211" w:firstLineChars="100"/>
              <w:jc w:val="left"/>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每</w:t>
            </w:r>
            <w:r>
              <w:rPr>
                <w:rFonts w:hint="eastAsia" w:ascii="宋体" w:hAnsi="宋体" w:eastAsia="宋体" w:cs="宋体"/>
                <w:b/>
                <w:bCs/>
                <w:color w:val="auto"/>
                <w:kern w:val="0"/>
                <w:sz w:val="21"/>
                <w:szCs w:val="21"/>
                <w:highlight w:val="none"/>
                <w:lang w:val="en-US" w:eastAsia="zh-CN" w:bidi="ar"/>
              </w:rPr>
              <w:t>12</w:t>
            </w:r>
            <w:r>
              <w:rPr>
                <w:rFonts w:hint="eastAsia" w:ascii="宋体" w:hAnsi="宋体" w:eastAsia="宋体" w:cs="宋体"/>
                <w:b/>
                <w:bCs/>
                <w:color w:val="auto"/>
                <w:kern w:val="0"/>
                <w:sz w:val="21"/>
                <w:szCs w:val="21"/>
                <w:highlight w:val="none"/>
                <w:lang w:bidi="ar"/>
              </w:rPr>
              <w:t>个月</w:t>
            </w:r>
            <w:r>
              <w:rPr>
                <w:rFonts w:hint="eastAsia" w:ascii="宋体" w:hAnsi="宋体" w:eastAsia="宋体" w:cs="宋体"/>
                <w:b/>
                <w:bCs/>
                <w:color w:val="auto"/>
                <w:kern w:val="0"/>
                <w:sz w:val="21"/>
                <w:szCs w:val="21"/>
                <w:highlight w:val="none"/>
                <w:lang w:eastAsia="zh-CN" w:bidi="ar"/>
              </w:rPr>
              <w:t>考核</w:t>
            </w:r>
            <w:r>
              <w:rPr>
                <w:rFonts w:hint="eastAsia" w:ascii="宋体" w:hAnsi="宋体" w:eastAsia="宋体" w:cs="宋体"/>
                <w:b/>
                <w:bCs/>
                <w:color w:val="auto"/>
                <w:kern w:val="0"/>
                <w:sz w:val="21"/>
                <w:szCs w:val="21"/>
                <w:highlight w:val="none"/>
                <w:lang w:bidi="ar"/>
              </w:rPr>
              <w:t>一次。</w:t>
            </w: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20" w:hRule="atLeast"/>
        </w:trPr>
        <w:tc>
          <w:tcPr>
            <w:tcW w:w="9782" w:type="dxa"/>
            <w:tcBorders>
              <w:tl2br w:val="nil"/>
              <w:tr2bl w:val="nil"/>
            </w:tcBorders>
            <w:noWrap/>
            <w:vAlign w:val="center"/>
          </w:tcPr>
          <w:p>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二、</w:t>
            </w:r>
            <w:r>
              <w:rPr>
                <w:rFonts w:hint="eastAsia" w:ascii="宋体" w:hAnsi="宋体" w:eastAsia="宋体" w:cs="宋体"/>
                <w:color w:val="auto"/>
                <w:kern w:val="0"/>
                <w:sz w:val="21"/>
                <w:szCs w:val="21"/>
                <w:highlight w:val="none"/>
                <w:lang w:eastAsia="zh-CN" w:bidi="ar"/>
              </w:rPr>
              <w:t>考核</w:t>
            </w:r>
            <w:r>
              <w:rPr>
                <w:rFonts w:hint="eastAsia" w:ascii="宋体" w:hAnsi="宋体" w:eastAsia="宋体" w:cs="宋体"/>
                <w:color w:val="auto"/>
                <w:kern w:val="0"/>
                <w:sz w:val="21"/>
                <w:szCs w:val="21"/>
                <w:highlight w:val="none"/>
                <w:lang w:bidi="ar"/>
              </w:rPr>
              <w:t>等级划分</w:t>
            </w: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20" w:hRule="atLeast"/>
        </w:trPr>
        <w:tc>
          <w:tcPr>
            <w:tcW w:w="9782" w:type="dxa"/>
            <w:tcBorders>
              <w:tl2br w:val="nil"/>
              <w:tr2bl w:val="nil"/>
            </w:tcBorders>
            <w:noWrap/>
            <w:vAlign w:val="center"/>
          </w:tcPr>
          <w:p>
            <w:pPr>
              <w:widowControl/>
              <w:ind w:firstLine="211" w:firstLineChars="100"/>
              <w:jc w:val="left"/>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1、优秀：90分及以上的，保留</w:t>
            </w:r>
            <w:r>
              <w:rPr>
                <w:rFonts w:hint="eastAsia" w:ascii="宋体" w:hAnsi="宋体" w:eastAsia="宋体" w:cs="宋体"/>
                <w:b/>
                <w:bCs/>
                <w:color w:val="auto"/>
                <w:kern w:val="0"/>
                <w:sz w:val="21"/>
                <w:szCs w:val="21"/>
                <w:highlight w:val="none"/>
                <w:lang w:eastAsia="zh-CN" w:bidi="ar"/>
              </w:rPr>
              <w:t>供应商</w:t>
            </w:r>
            <w:r>
              <w:rPr>
                <w:rFonts w:hint="eastAsia" w:ascii="宋体" w:hAnsi="宋体" w:eastAsia="宋体" w:cs="宋体"/>
                <w:b/>
                <w:bCs/>
                <w:color w:val="auto"/>
                <w:kern w:val="0"/>
                <w:sz w:val="21"/>
                <w:szCs w:val="21"/>
                <w:highlight w:val="none"/>
                <w:lang w:bidi="ar"/>
              </w:rPr>
              <w:t>资格。</w:t>
            </w: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20" w:hRule="atLeast"/>
        </w:trPr>
        <w:tc>
          <w:tcPr>
            <w:tcW w:w="9782" w:type="dxa"/>
            <w:tcBorders>
              <w:tl2br w:val="nil"/>
              <w:tr2bl w:val="nil"/>
            </w:tcBorders>
            <w:noWrap/>
            <w:vAlign w:val="center"/>
          </w:tcPr>
          <w:p>
            <w:pPr>
              <w:widowControl/>
              <w:ind w:firstLine="211" w:firstLineChars="100"/>
              <w:jc w:val="left"/>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2、合格：</w:t>
            </w:r>
            <w:r>
              <w:rPr>
                <w:rFonts w:hint="eastAsia" w:ascii="宋体" w:hAnsi="宋体" w:eastAsia="宋体" w:cs="宋体"/>
                <w:b/>
                <w:bCs/>
                <w:color w:val="auto"/>
                <w:kern w:val="0"/>
                <w:sz w:val="21"/>
                <w:szCs w:val="21"/>
                <w:highlight w:val="none"/>
                <w:lang w:val="en-US" w:eastAsia="zh-CN" w:bidi="ar"/>
              </w:rPr>
              <w:t>7</w:t>
            </w:r>
            <w:r>
              <w:rPr>
                <w:rFonts w:hint="eastAsia" w:ascii="宋体" w:hAnsi="宋体" w:eastAsia="宋体" w:cs="宋体"/>
                <w:b/>
                <w:bCs/>
                <w:color w:val="auto"/>
                <w:kern w:val="0"/>
                <w:sz w:val="21"/>
                <w:szCs w:val="21"/>
                <w:highlight w:val="none"/>
                <w:lang w:bidi="ar"/>
              </w:rPr>
              <w:t>0分及以上，90分以下的，保留</w:t>
            </w:r>
            <w:r>
              <w:rPr>
                <w:rFonts w:hint="eastAsia" w:ascii="宋体" w:hAnsi="宋体" w:eastAsia="宋体" w:cs="宋体"/>
                <w:b/>
                <w:bCs/>
                <w:color w:val="auto"/>
                <w:kern w:val="0"/>
                <w:sz w:val="21"/>
                <w:szCs w:val="21"/>
                <w:highlight w:val="none"/>
                <w:lang w:eastAsia="zh-CN" w:bidi="ar"/>
              </w:rPr>
              <w:t>供应商</w:t>
            </w:r>
            <w:r>
              <w:rPr>
                <w:rFonts w:hint="eastAsia" w:ascii="宋体" w:hAnsi="宋体" w:eastAsia="宋体" w:cs="宋体"/>
                <w:b/>
                <w:bCs/>
                <w:color w:val="auto"/>
                <w:kern w:val="0"/>
                <w:sz w:val="21"/>
                <w:szCs w:val="21"/>
                <w:highlight w:val="none"/>
                <w:lang w:bidi="ar"/>
              </w:rPr>
              <w:t>资格，限期整改。</w:t>
            </w: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20" w:hRule="atLeast"/>
        </w:trPr>
        <w:tc>
          <w:tcPr>
            <w:tcW w:w="9782" w:type="dxa"/>
            <w:tcBorders>
              <w:tl2br w:val="nil"/>
              <w:tr2bl w:val="nil"/>
            </w:tcBorders>
            <w:noWrap/>
            <w:vAlign w:val="center"/>
          </w:tcPr>
          <w:p>
            <w:pPr>
              <w:widowControl/>
              <w:ind w:firstLine="211" w:firstLineChars="100"/>
              <w:jc w:val="left"/>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3、不合格：低于</w:t>
            </w:r>
            <w:r>
              <w:rPr>
                <w:rFonts w:hint="eastAsia" w:ascii="宋体" w:hAnsi="宋体" w:eastAsia="宋体" w:cs="宋体"/>
                <w:b/>
                <w:bCs/>
                <w:color w:val="auto"/>
                <w:kern w:val="0"/>
                <w:sz w:val="21"/>
                <w:szCs w:val="21"/>
                <w:highlight w:val="none"/>
                <w:lang w:val="en-US" w:eastAsia="zh-CN" w:bidi="ar"/>
              </w:rPr>
              <w:t>7</w:t>
            </w:r>
            <w:r>
              <w:rPr>
                <w:rFonts w:hint="eastAsia" w:ascii="宋体" w:hAnsi="宋体" w:eastAsia="宋体" w:cs="宋体"/>
                <w:b/>
                <w:bCs/>
                <w:color w:val="auto"/>
                <w:kern w:val="0"/>
                <w:sz w:val="21"/>
                <w:szCs w:val="21"/>
                <w:highlight w:val="none"/>
                <w:lang w:bidi="ar"/>
              </w:rPr>
              <w:t>0分，取消</w:t>
            </w:r>
            <w:r>
              <w:rPr>
                <w:rFonts w:hint="eastAsia" w:ascii="宋体" w:hAnsi="宋体" w:eastAsia="宋体" w:cs="宋体"/>
                <w:b/>
                <w:bCs/>
                <w:color w:val="auto"/>
                <w:kern w:val="0"/>
                <w:sz w:val="21"/>
                <w:szCs w:val="21"/>
                <w:highlight w:val="none"/>
                <w:lang w:eastAsia="zh-CN" w:bidi="ar"/>
              </w:rPr>
              <w:t>供应商</w:t>
            </w:r>
            <w:r>
              <w:rPr>
                <w:rFonts w:hint="eastAsia" w:ascii="宋体" w:hAnsi="宋体" w:eastAsia="宋体" w:cs="宋体"/>
                <w:b/>
                <w:bCs/>
                <w:color w:val="auto"/>
                <w:kern w:val="0"/>
                <w:sz w:val="21"/>
                <w:szCs w:val="21"/>
                <w:highlight w:val="none"/>
                <w:lang w:bidi="ar"/>
              </w:rPr>
              <w:t>资格</w:t>
            </w: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20" w:hRule="atLeast"/>
        </w:trPr>
        <w:tc>
          <w:tcPr>
            <w:tcW w:w="9782" w:type="dxa"/>
            <w:tcBorders>
              <w:tl2br w:val="nil"/>
              <w:tr2bl w:val="nil"/>
            </w:tcBorders>
            <w:noWrap/>
            <w:vAlign w:val="center"/>
          </w:tcPr>
          <w:p>
            <w:pPr>
              <w:widowControl/>
              <w:ind w:firstLine="211" w:firstLineChars="100"/>
              <w:jc w:val="left"/>
              <w:textAlignment w:val="center"/>
              <w:rPr>
                <w:rFonts w:hint="eastAsia" w:ascii="宋体" w:hAnsi="宋体" w:eastAsia="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20" w:hRule="atLeast"/>
        </w:trPr>
        <w:tc>
          <w:tcPr>
            <w:tcW w:w="9782" w:type="dxa"/>
            <w:tcBorders>
              <w:tl2br w:val="nil"/>
              <w:tr2bl w:val="nil"/>
            </w:tcBorders>
            <w:noWrap/>
            <w:vAlign w:val="center"/>
          </w:tcPr>
          <w:p>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三、</w:t>
            </w:r>
            <w:r>
              <w:rPr>
                <w:rFonts w:hint="eastAsia" w:ascii="宋体" w:hAnsi="宋体" w:eastAsia="宋体" w:cs="宋体"/>
                <w:color w:val="auto"/>
                <w:kern w:val="0"/>
                <w:sz w:val="21"/>
                <w:szCs w:val="21"/>
                <w:highlight w:val="none"/>
                <w:lang w:eastAsia="zh-CN" w:bidi="ar"/>
              </w:rPr>
              <w:t>考核</w:t>
            </w:r>
            <w:r>
              <w:rPr>
                <w:rFonts w:hint="eastAsia" w:ascii="宋体" w:hAnsi="宋体" w:eastAsia="宋体" w:cs="宋体"/>
                <w:color w:val="auto"/>
                <w:kern w:val="0"/>
                <w:sz w:val="21"/>
                <w:szCs w:val="21"/>
                <w:highlight w:val="none"/>
                <w:lang w:bidi="ar"/>
              </w:rPr>
              <w:t>意见及建议：</w:t>
            </w: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400" w:hRule="atLeast"/>
        </w:trPr>
        <w:tc>
          <w:tcPr>
            <w:tcW w:w="9782" w:type="dxa"/>
            <w:tcBorders>
              <w:tl2br w:val="nil"/>
              <w:tr2bl w:val="nil"/>
            </w:tcBorders>
            <w:noWrap/>
            <w:vAlign w:val="center"/>
          </w:tcPr>
          <w:p>
            <w:pPr>
              <w:jc w:val="left"/>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20" w:hRule="atLeast"/>
        </w:trPr>
        <w:tc>
          <w:tcPr>
            <w:tcW w:w="9782" w:type="dxa"/>
            <w:tcBorders>
              <w:tl2br w:val="nil"/>
              <w:tr2bl w:val="nil"/>
            </w:tcBorders>
            <w:noWrap/>
            <w:vAlign w:val="center"/>
          </w:tcPr>
          <w:p>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四、</w:t>
            </w:r>
            <w:r>
              <w:rPr>
                <w:rFonts w:hint="eastAsia" w:ascii="宋体" w:hAnsi="宋体" w:eastAsia="宋体" w:cs="宋体"/>
                <w:color w:val="auto"/>
                <w:kern w:val="0"/>
                <w:sz w:val="21"/>
                <w:szCs w:val="21"/>
                <w:highlight w:val="none"/>
                <w:lang w:eastAsia="zh-CN" w:bidi="ar"/>
              </w:rPr>
              <w:t>考核</w:t>
            </w:r>
            <w:r>
              <w:rPr>
                <w:rFonts w:hint="eastAsia" w:ascii="宋体" w:hAnsi="宋体" w:eastAsia="宋体" w:cs="宋体"/>
                <w:color w:val="auto"/>
                <w:kern w:val="0"/>
                <w:sz w:val="21"/>
                <w:szCs w:val="21"/>
                <w:highlight w:val="none"/>
                <w:lang w:bidi="ar"/>
              </w:rPr>
              <w:t>结果：优秀（   ）  合格（   ）  不合格（   ）。</w:t>
            </w: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20" w:hRule="atLeast"/>
        </w:trPr>
        <w:tc>
          <w:tcPr>
            <w:tcW w:w="9782" w:type="dxa"/>
            <w:tcBorders>
              <w:tl2br w:val="nil"/>
              <w:tr2bl w:val="nil"/>
            </w:tcBorders>
            <w:noWrap/>
            <w:vAlign w:val="center"/>
          </w:tcPr>
          <w:p>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五、</w:t>
            </w:r>
            <w:r>
              <w:rPr>
                <w:rFonts w:hint="eastAsia" w:ascii="宋体" w:hAnsi="宋体" w:eastAsia="宋体" w:cs="宋体"/>
                <w:color w:val="auto"/>
                <w:kern w:val="0"/>
                <w:sz w:val="21"/>
                <w:szCs w:val="21"/>
                <w:highlight w:val="none"/>
                <w:lang w:eastAsia="zh-CN" w:bidi="ar"/>
              </w:rPr>
              <w:t>考核</w:t>
            </w:r>
            <w:r>
              <w:rPr>
                <w:rFonts w:hint="eastAsia" w:ascii="宋体" w:hAnsi="宋体" w:eastAsia="宋体" w:cs="宋体"/>
                <w:color w:val="auto"/>
                <w:kern w:val="0"/>
                <w:sz w:val="21"/>
                <w:szCs w:val="21"/>
                <w:highlight w:val="none"/>
                <w:lang w:bidi="ar"/>
              </w:rPr>
              <w:t>小组成员签字：</w:t>
            </w: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400" w:hRule="atLeast"/>
        </w:trPr>
        <w:tc>
          <w:tcPr>
            <w:tcW w:w="9782" w:type="dxa"/>
            <w:tcBorders>
              <w:tl2br w:val="nil"/>
              <w:tr2bl w:val="nil"/>
            </w:tcBorders>
            <w:noWrap/>
            <w:vAlign w:val="center"/>
          </w:tcPr>
          <w:p>
            <w:pPr>
              <w:jc w:val="left"/>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20" w:hRule="atLeast"/>
        </w:trPr>
        <w:tc>
          <w:tcPr>
            <w:tcW w:w="9782" w:type="dxa"/>
            <w:tcBorders>
              <w:tl2br w:val="nil"/>
              <w:tr2bl w:val="nil"/>
            </w:tcBorders>
            <w:noWrap/>
            <w:vAlign w:val="center"/>
          </w:tcPr>
          <w:p>
            <w:pPr>
              <w:widowControl/>
              <w:ind w:firstLine="840" w:firstLineChars="400"/>
              <w:jc w:val="righ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20" w:hRule="atLeast"/>
        </w:trPr>
        <w:tc>
          <w:tcPr>
            <w:tcW w:w="9782" w:type="dxa"/>
            <w:tcBorders>
              <w:tl2br w:val="nil"/>
              <w:tr2bl w:val="nil"/>
            </w:tcBorders>
            <w:noWrap/>
            <w:vAlign w:val="center"/>
          </w:tcPr>
          <w:p>
            <w:pPr>
              <w:jc w:val="left"/>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20" w:hRule="atLeast"/>
        </w:trPr>
        <w:tc>
          <w:tcPr>
            <w:tcW w:w="9782" w:type="dxa"/>
            <w:tcBorders>
              <w:tl2br w:val="nil"/>
              <w:tr2bl w:val="nil"/>
            </w:tcBorders>
            <w:noWrap/>
            <w:vAlign w:val="center"/>
          </w:tcPr>
          <w:p>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六、被</w:t>
            </w:r>
            <w:r>
              <w:rPr>
                <w:rFonts w:hint="eastAsia" w:ascii="宋体" w:hAnsi="宋体" w:eastAsia="宋体" w:cs="宋体"/>
                <w:color w:val="auto"/>
                <w:kern w:val="0"/>
                <w:sz w:val="21"/>
                <w:szCs w:val="21"/>
                <w:highlight w:val="none"/>
                <w:lang w:eastAsia="zh-CN" w:bidi="ar"/>
              </w:rPr>
              <w:t>考核供应</w:t>
            </w:r>
            <w:r>
              <w:rPr>
                <w:rFonts w:hint="eastAsia" w:ascii="宋体" w:hAnsi="宋体" w:eastAsia="宋体" w:cs="宋体"/>
                <w:color w:val="auto"/>
                <w:kern w:val="0"/>
                <w:sz w:val="21"/>
                <w:szCs w:val="21"/>
                <w:highlight w:val="none"/>
                <w:lang w:bidi="ar"/>
              </w:rPr>
              <w:t>商反馈意见：同意（  ）    不同意（  ）</w:t>
            </w: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285" w:hRule="atLeast"/>
        </w:trPr>
        <w:tc>
          <w:tcPr>
            <w:tcW w:w="9782" w:type="dxa"/>
            <w:tcBorders>
              <w:tl2br w:val="nil"/>
              <w:tr2bl w:val="nil"/>
            </w:tcBorders>
            <w:noWrap/>
            <w:vAlign w:val="center"/>
          </w:tcPr>
          <w:p>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如不同意，请注明理由：</w:t>
            </w: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400" w:hRule="atLeast"/>
        </w:trPr>
        <w:tc>
          <w:tcPr>
            <w:tcW w:w="9782" w:type="dxa"/>
            <w:tcBorders>
              <w:tl2br w:val="nil"/>
              <w:tr2bl w:val="nil"/>
            </w:tcBorders>
            <w:noWrap/>
            <w:vAlign w:val="center"/>
          </w:tcPr>
          <w:p>
            <w:pPr>
              <w:jc w:val="left"/>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400" w:hRule="atLeast"/>
        </w:trPr>
        <w:tc>
          <w:tcPr>
            <w:tcW w:w="9782" w:type="dxa"/>
            <w:tcBorders>
              <w:tl2br w:val="nil"/>
              <w:tr2bl w:val="nil"/>
            </w:tcBorders>
            <w:noWrap/>
            <w:vAlign w:val="center"/>
          </w:tcPr>
          <w:p>
            <w:pPr>
              <w:widowControl/>
              <w:ind w:firstLine="840" w:firstLineChars="400"/>
              <w:jc w:val="righ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被</w:t>
            </w:r>
            <w:r>
              <w:rPr>
                <w:rFonts w:hint="eastAsia" w:ascii="宋体" w:hAnsi="宋体" w:eastAsia="宋体" w:cs="宋体"/>
                <w:color w:val="auto"/>
                <w:kern w:val="0"/>
                <w:sz w:val="21"/>
                <w:szCs w:val="21"/>
                <w:highlight w:val="none"/>
                <w:lang w:eastAsia="zh-CN" w:bidi="ar"/>
              </w:rPr>
              <w:t>考核供应</w:t>
            </w:r>
            <w:r>
              <w:rPr>
                <w:rFonts w:hint="eastAsia" w:ascii="宋体" w:hAnsi="宋体" w:eastAsia="宋体" w:cs="宋体"/>
                <w:color w:val="auto"/>
                <w:kern w:val="0"/>
                <w:sz w:val="21"/>
                <w:szCs w:val="21"/>
                <w:highlight w:val="none"/>
                <w:lang w:bidi="ar"/>
              </w:rPr>
              <w:t>商负责人签字：（企业公章）</w:t>
            </w: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400" w:hRule="atLeast"/>
        </w:trPr>
        <w:tc>
          <w:tcPr>
            <w:tcW w:w="9782" w:type="dxa"/>
            <w:tcBorders>
              <w:tl2br w:val="nil"/>
              <w:tr2bl w:val="nil"/>
            </w:tcBorders>
            <w:noWrap/>
            <w:vAlign w:val="center"/>
          </w:tcPr>
          <w:p>
            <w:pPr>
              <w:jc w:val="right"/>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400" w:hRule="atLeast"/>
        </w:trPr>
        <w:tc>
          <w:tcPr>
            <w:tcW w:w="9782" w:type="dxa"/>
            <w:tcBorders>
              <w:tl2br w:val="nil"/>
              <w:tr2bl w:val="nil"/>
            </w:tcBorders>
            <w:noWrap/>
            <w:vAlign w:val="center"/>
          </w:tcPr>
          <w:p>
            <w:pPr>
              <w:widowControl/>
              <w:ind w:firstLine="840" w:firstLineChars="400"/>
              <w:jc w:val="righ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年    月    日</w:t>
            </w:r>
          </w:p>
        </w:tc>
      </w:tr>
    </w:tbl>
    <w:p>
      <w:pPr>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附件2</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物业</w:t>
      </w:r>
      <w:r>
        <w:rPr>
          <w:rFonts w:hint="eastAsia" w:ascii="宋体" w:hAnsi="宋体" w:eastAsia="宋体" w:cs="宋体"/>
          <w:b/>
          <w:bCs/>
          <w:color w:val="auto"/>
          <w:sz w:val="21"/>
          <w:szCs w:val="21"/>
          <w:highlight w:val="none"/>
        </w:rPr>
        <w:t>服务存在问题纠错单》</w:t>
      </w:r>
    </w:p>
    <w:p>
      <w:pPr>
        <w:pStyle w:val="3"/>
        <w:bidi w:val="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物业</w:t>
      </w:r>
      <w:r>
        <w:rPr>
          <w:rFonts w:hint="eastAsia" w:ascii="宋体" w:hAnsi="宋体" w:eastAsia="宋体" w:cs="宋体"/>
          <w:color w:val="auto"/>
          <w:sz w:val="21"/>
          <w:szCs w:val="21"/>
          <w:highlight w:val="none"/>
          <w:lang w:eastAsia="zh-CN"/>
        </w:rPr>
        <w:t>服务存在问题纠错单</w:t>
      </w:r>
    </w:p>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考评时间：20</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年</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月</w:t>
      </w:r>
      <w:r>
        <w:rPr>
          <w:rFonts w:hint="eastAsia" w:ascii="宋体" w:hAnsi="宋体" w:eastAsia="宋体" w:cs="宋体"/>
          <w:color w:val="auto"/>
          <w:sz w:val="21"/>
          <w:szCs w:val="21"/>
          <w:highlight w:val="none"/>
          <w:lang w:val="en-US" w:eastAsia="zh-CN"/>
        </w:rPr>
        <w:t xml:space="preserve">    日</w:t>
      </w:r>
    </w:p>
    <w:tbl>
      <w:tblPr>
        <w:tblStyle w:val="50"/>
        <w:tblW w:w="93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1110"/>
        <w:gridCol w:w="1875"/>
        <w:gridCol w:w="1590"/>
        <w:gridCol w:w="1500"/>
        <w:gridCol w:w="1620"/>
        <w:gridCol w:w="9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trPr>
        <w:tc>
          <w:tcPr>
            <w:tcW w:w="705"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afterAutospacing="0" w:line="240" w:lineRule="auto"/>
              <w:jc w:val="left"/>
              <w:textAlignment w:val="auto"/>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eastAsia="zh-CN"/>
              </w:rPr>
              <w:t>序号</w:t>
            </w:r>
          </w:p>
        </w:tc>
        <w:tc>
          <w:tcPr>
            <w:tcW w:w="1110"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afterAutospacing="0" w:line="240" w:lineRule="auto"/>
              <w:jc w:val="left"/>
              <w:textAlignment w:val="auto"/>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eastAsia="zh-CN"/>
              </w:rPr>
              <w:t>服务区域</w:t>
            </w:r>
          </w:p>
        </w:tc>
        <w:tc>
          <w:tcPr>
            <w:tcW w:w="1875"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afterAutospacing="0" w:line="240" w:lineRule="auto"/>
              <w:jc w:val="left"/>
              <w:textAlignment w:val="auto"/>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eastAsia="zh-CN"/>
              </w:rPr>
              <w:t>存在问题</w:t>
            </w:r>
          </w:p>
        </w:tc>
        <w:tc>
          <w:tcPr>
            <w:tcW w:w="1590"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afterAutospacing="0" w:line="240" w:lineRule="auto"/>
              <w:jc w:val="left"/>
              <w:textAlignment w:val="auto"/>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eastAsia="zh-CN"/>
              </w:rPr>
              <w:t>原因分析</w:t>
            </w:r>
          </w:p>
        </w:tc>
        <w:tc>
          <w:tcPr>
            <w:tcW w:w="1500"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afterAutospacing="0" w:line="240" w:lineRule="auto"/>
              <w:jc w:val="left"/>
              <w:textAlignment w:val="auto"/>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eastAsia="zh-CN"/>
              </w:rPr>
              <w:t>整改措施</w:t>
            </w:r>
          </w:p>
        </w:tc>
        <w:tc>
          <w:tcPr>
            <w:tcW w:w="1620"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afterAutospacing="0" w:line="240" w:lineRule="auto"/>
              <w:jc w:val="left"/>
              <w:textAlignment w:val="auto"/>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eastAsia="zh-CN"/>
              </w:rPr>
              <w:t>整改时限</w:t>
            </w:r>
          </w:p>
        </w:tc>
        <w:tc>
          <w:tcPr>
            <w:tcW w:w="943"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afterAutospacing="0" w:line="240" w:lineRule="auto"/>
              <w:jc w:val="left"/>
              <w:textAlignment w:val="auto"/>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705"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color w:val="auto"/>
                <w:sz w:val="21"/>
                <w:szCs w:val="21"/>
                <w:highlight w:val="none"/>
                <w:vertAlign w:val="baseline"/>
                <w:lang w:eastAsia="zh-CN"/>
              </w:rPr>
            </w:pPr>
          </w:p>
        </w:tc>
        <w:tc>
          <w:tcPr>
            <w:tcW w:w="1110"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color w:val="auto"/>
                <w:sz w:val="21"/>
                <w:szCs w:val="21"/>
                <w:highlight w:val="none"/>
                <w:vertAlign w:val="baseline"/>
                <w:lang w:eastAsia="zh-CN"/>
              </w:rPr>
            </w:pPr>
          </w:p>
        </w:tc>
        <w:tc>
          <w:tcPr>
            <w:tcW w:w="1875"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color w:val="auto"/>
                <w:sz w:val="21"/>
                <w:szCs w:val="21"/>
                <w:highlight w:val="none"/>
                <w:vertAlign w:val="baseline"/>
                <w:lang w:eastAsia="zh-CN"/>
              </w:rPr>
            </w:pPr>
          </w:p>
        </w:tc>
        <w:tc>
          <w:tcPr>
            <w:tcW w:w="1590"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color w:val="auto"/>
                <w:sz w:val="21"/>
                <w:szCs w:val="21"/>
                <w:highlight w:val="none"/>
                <w:vertAlign w:val="baseline"/>
                <w:lang w:eastAsia="zh-CN"/>
              </w:rPr>
            </w:pPr>
          </w:p>
        </w:tc>
        <w:tc>
          <w:tcPr>
            <w:tcW w:w="1500"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color w:val="auto"/>
                <w:sz w:val="21"/>
                <w:szCs w:val="21"/>
                <w:highlight w:val="none"/>
                <w:vertAlign w:val="baseline"/>
                <w:lang w:eastAsia="zh-CN"/>
              </w:rPr>
            </w:pPr>
          </w:p>
        </w:tc>
        <w:tc>
          <w:tcPr>
            <w:tcW w:w="1620"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color w:val="auto"/>
                <w:sz w:val="21"/>
                <w:szCs w:val="21"/>
                <w:highlight w:val="none"/>
                <w:vertAlign w:val="baseline"/>
                <w:lang w:eastAsia="zh-CN"/>
              </w:rPr>
            </w:pPr>
          </w:p>
        </w:tc>
        <w:tc>
          <w:tcPr>
            <w:tcW w:w="943"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color w:val="auto"/>
                <w:sz w:val="21"/>
                <w:szCs w:val="21"/>
                <w:highlight w:val="none"/>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705"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color w:val="auto"/>
                <w:sz w:val="21"/>
                <w:szCs w:val="21"/>
                <w:highlight w:val="none"/>
                <w:vertAlign w:val="baseline"/>
                <w:lang w:eastAsia="zh-CN"/>
              </w:rPr>
            </w:pPr>
          </w:p>
        </w:tc>
        <w:tc>
          <w:tcPr>
            <w:tcW w:w="1110"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color w:val="auto"/>
                <w:sz w:val="21"/>
                <w:szCs w:val="21"/>
                <w:highlight w:val="none"/>
                <w:vertAlign w:val="baseline"/>
                <w:lang w:eastAsia="zh-CN"/>
              </w:rPr>
            </w:pPr>
          </w:p>
        </w:tc>
        <w:tc>
          <w:tcPr>
            <w:tcW w:w="1875"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color w:val="auto"/>
                <w:sz w:val="21"/>
                <w:szCs w:val="21"/>
                <w:highlight w:val="none"/>
                <w:vertAlign w:val="baseline"/>
                <w:lang w:eastAsia="zh-CN"/>
              </w:rPr>
            </w:pPr>
          </w:p>
        </w:tc>
        <w:tc>
          <w:tcPr>
            <w:tcW w:w="1590"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color w:val="auto"/>
                <w:sz w:val="21"/>
                <w:szCs w:val="21"/>
                <w:highlight w:val="none"/>
                <w:vertAlign w:val="baseline"/>
                <w:lang w:eastAsia="zh-CN"/>
              </w:rPr>
            </w:pPr>
          </w:p>
        </w:tc>
        <w:tc>
          <w:tcPr>
            <w:tcW w:w="1500"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color w:val="auto"/>
                <w:sz w:val="21"/>
                <w:szCs w:val="21"/>
                <w:highlight w:val="none"/>
                <w:vertAlign w:val="baseline"/>
                <w:lang w:eastAsia="zh-CN"/>
              </w:rPr>
            </w:pPr>
          </w:p>
        </w:tc>
        <w:tc>
          <w:tcPr>
            <w:tcW w:w="1620"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color w:val="auto"/>
                <w:sz w:val="21"/>
                <w:szCs w:val="21"/>
                <w:highlight w:val="none"/>
                <w:vertAlign w:val="baseline"/>
                <w:lang w:eastAsia="zh-CN"/>
              </w:rPr>
            </w:pPr>
          </w:p>
        </w:tc>
        <w:tc>
          <w:tcPr>
            <w:tcW w:w="943"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color w:val="auto"/>
                <w:sz w:val="21"/>
                <w:szCs w:val="21"/>
                <w:highlight w:val="none"/>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705"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color w:val="auto"/>
                <w:sz w:val="21"/>
                <w:szCs w:val="21"/>
                <w:highlight w:val="none"/>
                <w:vertAlign w:val="baseline"/>
                <w:lang w:eastAsia="zh-CN"/>
              </w:rPr>
            </w:pPr>
          </w:p>
        </w:tc>
        <w:tc>
          <w:tcPr>
            <w:tcW w:w="1110"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color w:val="auto"/>
                <w:sz w:val="21"/>
                <w:szCs w:val="21"/>
                <w:highlight w:val="none"/>
                <w:vertAlign w:val="baseline"/>
                <w:lang w:eastAsia="zh-CN"/>
              </w:rPr>
            </w:pPr>
          </w:p>
        </w:tc>
        <w:tc>
          <w:tcPr>
            <w:tcW w:w="1875"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color w:val="auto"/>
                <w:sz w:val="21"/>
                <w:szCs w:val="21"/>
                <w:highlight w:val="none"/>
                <w:vertAlign w:val="baseline"/>
                <w:lang w:eastAsia="zh-CN"/>
              </w:rPr>
            </w:pPr>
          </w:p>
        </w:tc>
        <w:tc>
          <w:tcPr>
            <w:tcW w:w="1590"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color w:val="auto"/>
                <w:sz w:val="21"/>
                <w:szCs w:val="21"/>
                <w:highlight w:val="none"/>
                <w:vertAlign w:val="baseline"/>
                <w:lang w:eastAsia="zh-CN"/>
              </w:rPr>
            </w:pPr>
          </w:p>
        </w:tc>
        <w:tc>
          <w:tcPr>
            <w:tcW w:w="1500"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color w:val="auto"/>
                <w:sz w:val="21"/>
                <w:szCs w:val="21"/>
                <w:highlight w:val="none"/>
                <w:vertAlign w:val="baseline"/>
                <w:lang w:eastAsia="zh-CN"/>
              </w:rPr>
            </w:pPr>
          </w:p>
        </w:tc>
        <w:tc>
          <w:tcPr>
            <w:tcW w:w="1620"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color w:val="auto"/>
                <w:sz w:val="21"/>
                <w:szCs w:val="21"/>
                <w:highlight w:val="none"/>
                <w:vertAlign w:val="baseline"/>
                <w:lang w:eastAsia="zh-CN"/>
              </w:rPr>
            </w:pPr>
          </w:p>
        </w:tc>
        <w:tc>
          <w:tcPr>
            <w:tcW w:w="943"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color w:val="auto"/>
                <w:sz w:val="21"/>
                <w:szCs w:val="21"/>
                <w:highlight w:val="none"/>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705"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color w:val="auto"/>
                <w:sz w:val="21"/>
                <w:szCs w:val="21"/>
                <w:highlight w:val="none"/>
                <w:vertAlign w:val="baseline"/>
                <w:lang w:eastAsia="zh-CN"/>
              </w:rPr>
            </w:pPr>
          </w:p>
        </w:tc>
        <w:tc>
          <w:tcPr>
            <w:tcW w:w="1110"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color w:val="auto"/>
                <w:sz w:val="21"/>
                <w:szCs w:val="21"/>
                <w:highlight w:val="none"/>
                <w:vertAlign w:val="baseline"/>
                <w:lang w:eastAsia="zh-CN"/>
              </w:rPr>
            </w:pPr>
          </w:p>
        </w:tc>
        <w:tc>
          <w:tcPr>
            <w:tcW w:w="1875"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color w:val="auto"/>
                <w:sz w:val="21"/>
                <w:szCs w:val="21"/>
                <w:highlight w:val="none"/>
                <w:vertAlign w:val="baseline"/>
                <w:lang w:eastAsia="zh-CN"/>
              </w:rPr>
            </w:pPr>
          </w:p>
        </w:tc>
        <w:tc>
          <w:tcPr>
            <w:tcW w:w="1590"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color w:val="auto"/>
                <w:sz w:val="21"/>
                <w:szCs w:val="21"/>
                <w:highlight w:val="none"/>
                <w:vertAlign w:val="baseline"/>
                <w:lang w:eastAsia="zh-CN"/>
              </w:rPr>
            </w:pPr>
          </w:p>
        </w:tc>
        <w:tc>
          <w:tcPr>
            <w:tcW w:w="1500"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color w:val="auto"/>
                <w:sz w:val="21"/>
                <w:szCs w:val="21"/>
                <w:highlight w:val="none"/>
                <w:vertAlign w:val="baseline"/>
                <w:lang w:eastAsia="zh-CN"/>
              </w:rPr>
            </w:pPr>
          </w:p>
        </w:tc>
        <w:tc>
          <w:tcPr>
            <w:tcW w:w="1620"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color w:val="auto"/>
                <w:sz w:val="21"/>
                <w:szCs w:val="21"/>
                <w:highlight w:val="none"/>
                <w:vertAlign w:val="baseline"/>
                <w:lang w:eastAsia="zh-CN"/>
              </w:rPr>
            </w:pPr>
          </w:p>
        </w:tc>
        <w:tc>
          <w:tcPr>
            <w:tcW w:w="943"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color w:val="auto"/>
                <w:sz w:val="21"/>
                <w:szCs w:val="21"/>
                <w:highlight w:val="none"/>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705"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color w:val="auto"/>
                <w:sz w:val="21"/>
                <w:szCs w:val="21"/>
                <w:highlight w:val="none"/>
                <w:vertAlign w:val="baseline"/>
                <w:lang w:eastAsia="zh-CN"/>
              </w:rPr>
            </w:pPr>
          </w:p>
        </w:tc>
        <w:tc>
          <w:tcPr>
            <w:tcW w:w="1110"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color w:val="auto"/>
                <w:sz w:val="21"/>
                <w:szCs w:val="21"/>
                <w:highlight w:val="none"/>
                <w:vertAlign w:val="baseline"/>
                <w:lang w:eastAsia="zh-CN"/>
              </w:rPr>
            </w:pPr>
          </w:p>
        </w:tc>
        <w:tc>
          <w:tcPr>
            <w:tcW w:w="1875"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color w:val="auto"/>
                <w:sz w:val="21"/>
                <w:szCs w:val="21"/>
                <w:highlight w:val="none"/>
                <w:vertAlign w:val="baseline"/>
                <w:lang w:eastAsia="zh-CN"/>
              </w:rPr>
            </w:pPr>
          </w:p>
        </w:tc>
        <w:tc>
          <w:tcPr>
            <w:tcW w:w="1590"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color w:val="auto"/>
                <w:sz w:val="21"/>
                <w:szCs w:val="21"/>
                <w:highlight w:val="none"/>
                <w:vertAlign w:val="baseline"/>
                <w:lang w:eastAsia="zh-CN"/>
              </w:rPr>
            </w:pPr>
          </w:p>
        </w:tc>
        <w:tc>
          <w:tcPr>
            <w:tcW w:w="1500"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color w:val="auto"/>
                <w:sz w:val="21"/>
                <w:szCs w:val="21"/>
                <w:highlight w:val="none"/>
                <w:vertAlign w:val="baseline"/>
                <w:lang w:eastAsia="zh-CN"/>
              </w:rPr>
            </w:pPr>
          </w:p>
        </w:tc>
        <w:tc>
          <w:tcPr>
            <w:tcW w:w="1620"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color w:val="auto"/>
                <w:sz w:val="21"/>
                <w:szCs w:val="21"/>
                <w:highlight w:val="none"/>
                <w:vertAlign w:val="baseline"/>
                <w:lang w:eastAsia="zh-CN"/>
              </w:rPr>
            </w:pPr>
          </w:p>
        </w:tc>
        <w:tc>
          <w:tcPr>
            <w:tcW w:w="943"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color w:val="auto"/>
                <w:sz w:val="21"/>
                <w:szCs w:val="21"/>
                <w:highlight w:val="none"/>
                <w:vertAlign w:val="baseline"/>
                <w:lang w:eastAsia="zh-CN"/>
              </w:rPr>
            </w:pPr>
          </w:p>
        </w:tc>
      </w:tr>
    </w:tbl>
    <w:p>
      <w:pPr>
        <w:pStyle w:val="1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监督人员签名:</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日</w:t>
      </w:r>
    </w:p>
    <w:p>
      <w:pPr>
        <w:pStyle w:val="19"/>
        <w:rPr>
          <w:rFonts w:hint="eastAsia" w:ascii="宋体" w:hAnsi="宋体" w:eastAsia="宋体" w:cs="宋体"/>
          <w:color w:val="auto"/>
          <w:sz w:val="21"/>
          <w:szCs w:val="21"/>
          <w:highlight w:val="none"/>
        </w:rPr>
      </w:pPr>
    </w:p>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b/>
          <w:bCs/>
          <w:color w:val="auto"/>
          <w:sz w:val="21"/>
          <w:szCs w:val="21"/>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b/>
          <w:bCs/>
          <w:color w:val="auto"/>
          <w:sz w:val="21"/>
          <w:szCs w:val="21"/>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b/>
          <w:bCs/>
          <w:color w:val="auto"/>
          <w:sz w:val="21"/>
          <w:szCs w:val="21"/>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b/>
          <w:bCs/>
          <w:color w:val="auto"/>
          <w:sz w:val="21"/>
          <w:szCs w:val="21"/>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b/>
          <w:bCs/>
          <w:color w:val="auto"/>
          <w:sz w:val="21"/>
          <w:szCs w:val="21"/>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b/>
          <w:bCs/>
          <w:color w:val="auto"/>
          <w:sz w:val="21"/>
          <w:szCs w:val="21"/>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b/>
          <w:bCs/>
          <w:color w:val="auto"/>
          <w:sz w:val="21"/>
          <w:szCs w:val="21"/>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br w:type="textWrapping"/>
      </w:r>
    </w:p>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附件3</w:t>
      </w:r>
    </w:p>
    <w:p>
      <w:pPr>
        <w:pStyle w:val="140"/>
        <w:rPr>
          <w:rFonts w:hint="eastAsia" w:ascii="宋体" w:hAnsi="宋体" w:eastAsia="宋体" w:cs="宋体"/>
          <w:color w:val="auto"/>
          <w:sz w:val="21"/>
          <w:szCs w:val="21"/>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after="240" w:afterAutospacing="0" w:line="360" w:lineRule="auto"/>
        <w:jc w:val="center"/>
        <w:textAlignment w:val="auto"/>
        <w:rPr>
          <w:rStyle w:val="318"/>
          <w:rFonts w:hint="eastAsia" w:ascii="宋体" w:hAnsi="宋体" w:eastAsia="宋体" w:cs="宋体"/>
          <w:color w:val="auto"/>
          <w:sz w:val="21"/>
          <w:szCs w:val="21"/>
          <w:highlight w:val="none"/>
        </w:rPr>
      </w:pPr>
      <w:r>
        <w:rPr>
          <w:rStyle w:val="318"/>
          <w:rFonts w:hint="eastAsia" w:ascii="宋体" w:hAnsi="宋体" w:eastAsia="宋体" w:cs="宋体"/>
          <w:color w:val="auto"/>
          <w:sz w:val="21"/>
          <w:szCs w:val="21"/>
          <w:highlight w:val="none"/>
          <w:lang w:eastAsia="zh-CN"/>
        </w:rPr>
        <w:t>物业管理服务质量考核标准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239" w:leftChars="114" w:firstLine="210" w:firstLineChars="1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为保障甲方能获得乙方提供的优质服务，特制定本考核标准。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19" w:leftChars="9" w:firstLine="401" w:firstLineChars="191"/>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中标供应商</w:t>
      </w:r>
      <w:r>
        <w:rPr>
          <w:rFonts w:hint="eastAsia" w:ascii="宋体" w:hAnsi="宋体" w:eastAsia="宋体" w:cs="宋体"/>
          <w:color w:val="auto"/>
          <w:sz w:val="21"/>
          <w:szCs w:val="21"/>
          <w:highlight w:val="none"/>
        </w:rPr>
        <w:t>在合同签订并办理完交接验收手续十</w:t>
      </w:r>
      <w:r>
        <w:rPr>
          <w:rFonts w:hint="eastAsia" w:ascii="宋体" w:hAnsi="宋体" w:eastAsia="宋体" w:cs="宋体"/>
          <w:color w:val="auto"/>
          <w:sz w:val="21"/>
          <w:szCs w:val="21"/>
          <w:highlight w:val="none"/>
          <w:lang w:val="en-US" w:eastAsia="zh-CN"/>
        </w:rPr>
        <w:t>五</w:t>
      </w:r>
      <w:r>
        <w:rPr>
          <w:rFonts w:hint="eastAsia" w:ascii="宋体" w:hAnsi="宋体" w:eastAsia="宋体" w:cs="宋体"/>
          <w:color w:val="auto"/>
          <w:sz w:val="21"/>
          <w:szCs w:val="21"/>
          <w:highlight w:val="none"/>
        </w:rPr>
        <w:t>个工作日内向招标方提供各岗位设置、岗位说明、人员安排计划表，作为招标人考核服务质量的依据之一。</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19" w:leftChars="9" w:firstLine="401" w:firstLineChars="191"/>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2、考核时间:</w:t>
      </w:r>
      <w:r>
        <w:rPr>
          <w:rFonts w:hint="eastAsia" w:ascii="宋体" w:hAnsi="宋体" w:eastAsia="宋体" w:cs="宋体"/>
          <w:color w:val="auto"/>
          <w:sz w:val="21"/>
          <w:szCs w:val="21"/>
          <w:highlight w:val="none"/>
          <w:lang w:eastAsia="zh-CN"/>
        </w:rPr>
        <w:t>物业</w:t>
      </w:r>
      <w:r>
        <w:rPr>
          <w:rFonts w:hint="eastAsia" w:ascii="宋体" w:hAnsi="宋体" w:eastAsia="宋体" w:cs="宋体"/>
          <w:color w:val="auto"/>
          <w:sz w:val="21"/>
          <w:szCs w:val="21"/>
          <w:highlight w:val="none"/>
        </w:rPr>
        <w:t>服务质量监管小组每月</w:t>
      </w:r>
      <w:r>
        <w:rPr>
          <w:rFonts w:hint="eastAsia" w:ascii="宋体" w:hAnsi="宋体" w:eastAsia="宋体" w:cs="宋体"/>
          <w:color w:val="auto"/>
          <w:sz w:val="21"/>
          <w:szCs w:val="21"/>
          <w:highlight w:val="none"/>
          <w:lang w:eastAsia="zh-CN"/>
        </w:rPr>
        <w:t>、每年</w:t>
      </w:r>
      <w:r>
        <w:rPr>
          <w:rFonts w:hint="eastAsia" w:ascii="宋体" w:hAnsi="宋体" w:eastAsia="宋体" w:cs="宋体"/>
          <w:color w:val="auto"/>
          <w:sz w:val="21"/>
          <w:szCs w:val="21"/>
          <w:highlight w:val="none"/>
        </w:rPr>
        <w:t>对各服务项目进行随机检查评分。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19" w:leftChars="9" w:firstLine="401" w:firstLineChars="191"/>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3、考核方法:见《</w:t>
      </w:r>
      <w:r>
        <w:rPr>
          <w:rFonts w:hint="eastAsia" w:ascii="宋体" w:hAnsi="宋体" w:eastAsia="宋体" w:cs="宋体"/>
          <w:color w:val="auto"/>
          <w:sz w:val="21"/>
          <w:szCs w:val="21"/>
          <w:highlight w:val="none"/>
          <w:lang w:eastAsia="zh-CN"/>
        </w:rPr>
        <w:t>住院部</w:t>
      </w:r>
      <w:r>
        <w:rPr>
          <w:rFonts w:hint="eastAsia" w:ascii="宋体" w:hAnsi="宋体" w:eastAsia="宋体" w:cs="宋体"/>
          <w:color w:val="auto"/>
          <w:sz w:val="21"/>
          <w:szCs w:val="21"/>
          <w:highlight w:val="none"/>
          <w:lang w:val="en-US" w:eastAsia="zh-CN"/>
        </w:rPr>
        <w:t>/门急诊</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洗衣房、行政办公楼、保安服务</w:t>
      </w:r>
      <w:r>
        <w:rPr>
          <w:rFonts w:hint="eastAsia" w:ascii="宋体" w:hAnsi="宋体" w:eastAsia="宋体" w:cs="宋体"/>
          <w:color w:val="auto"/>
          <w:sz w:val="21"/>
          <w:szCs w:val="21"/>
          <w:highlight w:val="none"/>
        </w:rPr>
        <w:t>工作质量考评表》，根据不同项目</w:t>
      </w:r>
      <w:r>
        <w:rPr>
          <w:rFonts w:hint="eastAsia" w:ascii="宋体" w:hAnsi="宋体" w:eastAsia="宋体" w:cs="宋体"/>
          <w:color w:val="auto"/>
          <w:sz w:val="21"/>
          <w:szCs w:val="21"/>
          <w:highlight w:val="none"/>
          <w:lang w:eastAsia="zh-CN"/>
        </w:rPr>
        <w:t>位置</w:t>
      </w:r>
      <w:r>
        <w:rPr>
          <w:rFonts w:hint="eastAsia" w:ascii="宋体" w:hAnsi="宋体" w:eastAsia="宋体" w:cs="宋体"/>
          <w:color w:val="auto"/>
          <w:sz w:val="21"/>
          <w:szCs w:val="21"/>
          <w:highlight w:val="none"/>
        </w:rPr>
        <w:t>按不同的标准分项考核，分项评分，最后累总综合评定，按标准扣罚。</w:t>
      </w:r>
    </w:p>
    <w:p>
      <w:pPr>
        <w:pStyle w:val="140"/>
        <w:rPr>
          <w:rFonts w:hint="eastAsia" w:ascii="宋体" w:hAnsi="宋体" w:eastAsia="宋体" w:cs="宋体"/>
          <w:color w:val="auto"/>
          <w:sz w:val="21"/>
          <w:szCs w:val="21"/>
          <w:highlight w:val="none"/>
        </w:rPr>
      </w:pPr>
    </w:p>
    <w:p>
      <w:pPr>
        <w:keepNext w:val="0"/>
        <w:keepLines w:val="0"/>
        <w:pageBreakBefore w:val="0"/>
        <w:widowControl w:val="0"/>
        <w:numPr>
          <w:ilvl w:val="0"/>
          <w:numId w:val="0"/>
        </w:numPr>
        <w:kinsoku/>
        <w:wordWrap/>
        <w:overflowPunct/>
        <w:topLinePunct w:val="0"/>
        <w:autoSpaceDE/>
        <w:autoSpaceDN/>
        <w:bidi w:val="0"/>
        <w:adjustRightInd/>
        <w:snapToGrid/>
        <w:spacing w:after="240" w:line="360" w:lineRule="auto"/>
        <w:ind w:left="0" w:leftChars="0" w:firstLine="0" w:firstLineChars="0"/>
        <w:jc w:val="left"/>
        <w:textAlignment w:val="auto"/>
        <w:rPr>
          <w:rFonts w:hint="eastAsia" w:ascii="宋体" w:hAnsi="宋体" w:eastAsia="宋体" w:cs="宋体"/>
          <w:b/>
          <w:bCs/>
          <w:color w:val="auto"/>
          <w:sz w:val="21"/>
          <w:szCs w:val="21"/>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240" w:line="360" w:lineRule="auto"/>
        <w:ind w:left="0" w:leftChars="0" w:firstLine="0" w:firstLineChars="0"/>
        <w:jc w:val="left"/>
        <w:textAlignment w:val="auto"/>
        <w:rPr>
          <w:rFonts w:hint="eastAsia" w:ascii="宋体" w:hAnsi="宋体" w:eastAsia="宋体" w:cs="宋体"/>
          <w:b/>
          <w:bCs/>
          <w:color w:val="auto"/>
          <w:sz w:val="21"/>
          <w:szCs w:val="21"/>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240" w:line="360" w:lineRule="auto"/>
        <w:ind w:left="0" w:leftChars="0" w:firstLine="0" w:firstLineChars="0"/>
        <w:jc w:val="left"/>
        <w:textAlignment w:val="auto"/>
        <w:rPr>
          <w:rFonts w:hint="eastAsia" w:ascii="宋体" w:hAnsi="宋体" w:eastAsia="宋体" w:cs="宋体"/>
          <w:b/>
          <w:bCs/>
          <w:color w:val="auto"/>
          <w:sz w:val="21"/>
          <w:szCs w:val="21"/>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240" w:line="360" w:lineRule="auto"/>
        <w:ind w:left="0" w:leftChars="0" w:firstLine="0" w:firstLineChars="0"/>
        <w:jc w:val="left"/>
        <w:textAlignment w:val="auto"/>
        <w:rPr>
          <w:rFonts w:hint="eastAsia" w:ascii="宋体" w:hAnsi="宋体" w:eastAsia="宋体" w:cs="宋体"/>
          <w:b/>
          <w:bCs/>
          <w:color w:val="auto"/>
          <w:sz w:val="21"/>
          <w:szCs w:val="21"/>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240" w:line="360" w:lineRule="auto"/>
        <w:ind w:left="0" w:leftChars="0" w:firstLine="0" w:firstLineChars="0"/>
        <w:jc w:val="left"/>
        <w:textAlignment w:val="auto"/>
        <w:rPr>
          <w:rFonts w:hint="eastAsia" w:ascii="宋体" w:hAnsi="宋体" w:eastAsia="宋体" w:cs="宋体"/>
          <w:b/>
          <w:bCs/>
          <w:color w:val="auto"/>
          <w:sz w:val="21"/>
          <w:szCs w:val="21"/>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240" w:line="360" w:lineRule="auto"/>
        <w:ind w:left="0" w:leftChars="0" w:firstLine="0" w:firstLineChars="0"/>
        <w:jc w:val="left"/>
        <w:textAlignment w:val="auto"/>
        <w:rPr>
          <w:rFonts w:hint="eastAsia" w:ascii="宋体" w:hAnsi="宋体" w:eastAsia="宋体" w:cs="宋体"/>
          <w:b/>
          <w:bCs/>
          <w:color w:val="auto"/>
          <w:sz w:val="21"/>
          <w:szCs w:val="21"/>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240" w:line="360" w:lineRule="auto"/>
        <w:ind w:left="0" w:leftChars="0" w:firstLine="0" w:firstLineChars="0"/>
        <w:jc w:val="left"/>
        <w:textAlignment w:val="auto"/>
        <w:rPr>
          <w:rFonts w:hint="eastAsia" w:ascii="宋体" w:hAnsi="宋体" w:eastAsia="宋体" w:cs="宋体"/>
          <w:b/>
          <w:bCs/>
          <w:color w:val="auto"/>
          <w:sz w:val="21"/>
          <w:szCs w:val="21"/>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240" w:line="360" w:lineRule="auto"/>
        <w:ind w:left="0" w:leftChars="0" w:firstLine="0" w:firstLineChars="0"/>
        <w:jc w:val="left"/>
        <w:textAlignment w:val="auto"/>
        <w:rPr>
          <w:rFonts w:hint="eastAsia" w:ascii="宋体" w:hAnsi="宋体" w:eastAsia="宋体" w:cs="宋体"/>
          <w:b/>
          <w:bCs/>
          <w:color w:val="auto"/>
          <w:sz w:val="21"/>
          <w:szCs w:val="21"/>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240" w:line="360" w:lineRule="auto"/>
        <w:ind w:left="0" w:leftChars="0" w:firstLine="0" w:firstLineChars="0"/>
        <w:jc w:val="left"/>
        <w:textAlignment w:val="auto"/>
        <w:rPr>
          <w:rFonts w:hint="eastAsia" w:ascii="宋体" w:hAnsi="宋体" w:eastAsia="宋体" w:cs="宋体"/>
          <w:b/>
          <w:bCs/>
          <w:color w:val="auto"/>
          <w:sz w:val="21"/>
          <w:szCs w:val="21"/>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240" w:line="360" w:lineRule="auto"/>
        <w:ind w:left="0" w:leftChars="0" w:firstLine="0" w:firstLineChars="0"/>
        <w:jc w:val="left"/>
        <w:textAlignment w:val="auto"/>
        <w:rPr>
          <w:rFonts w:hint="eastAsia" w:ascii="宋体" w:hAnsi="宋体" w:eastAsia="宋体" w:cs="宋体"/>
          <w:b/>
          <w:bCs/>
          <w:color w:val="auto"/>
          <w:sz w:val="21"/>
          <w:szCs w:val="21"/>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240" w:line="360" w:lineRule="auto"/>
        <w:ind w:left="0" w:leftChars="0" w:firstLine="0" w:firstLineChars="0"/>
        <w:jc w:val="left"/>
        <w:textAlignment w:val="auto"/>
        <w:rPr>
          <w:rFonts w:hint="eastAsia" w:ascii="宋体" w:hAnsi="宋体" w:eastAsia="宋体" w:cs="宋体"/>
          <w:b/>
          <w:bCs/>
          <w:color w:val="auto"/>
          <w:sz w:val="21"/>
          <w:szCs w:val="21"/>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240" w:line="360" w:lineRule="auto"/>
        <w:ind w:left="0" w:leftChars="0" w:firstLine="0" w:firstLineChars="0"/>
        <w:jc w:val="left"/>
        <w:textAlignment w:val="auto"/>
        <w:rPr>
          <w:rFonts w:hint="eastAsia" w:ascii="宋体" w:hAnsi="宋体" w:eastAsia="宋体" w:cs="宋体"/>
          <w:b/>
          <w:bCs/>
          <w:color w:val="auto"/>
          <w:sz w:val="21"/>
          <w:szCs w:val="21"/>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240" w:line="360" w:lineRule="auto"/>
        <w:ind w:left="0" w:leftChars="0" w:firstLine="0" w:firstLineChars="0"/>
        <w:jc w:val="left"/>
        <w:textAlignment w:val="auto"/>
        <w:rPr>
          <w:rFonts w:hint="eastAsia" w:ascii="宋体" w:hAnsi="宋体" w:eastAsia="宋体" w:cs="宋体"/>
          <w:b/>
          <w:bCs/>
          <w:color w:val="auto"/>
          <w:sz w:val="21"/>
          <w:szCs w:val="21"/>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240" w:line="360" w:lineRule="auto"/>
        <w:ind w:left="0" w:leftChars="0" w:firstLine="0" w:firstLineChars="0"/>
        <w:jc w:val="left"/>
        <w:textAlignment w:val="auto"/>
        <w:rPr>
          <w:rStyle w:val="318"/>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附件4</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19" w:leftChars="9" w:firstLine="403" w:firstLineChars="191"/>
        <w:jc w:val="center"/>
        <w:textAlignment w:val="auto"/>
        <w:rPr>
          <w:rStyle w:val="318"/>
          <w:rFonts w:hint="eastAsia" w:ascii="宋体" w:hAnsi="宋体" w:eastAsia="宋体" w:cs="宋体"/>
          <w:color w:val="auto"/>
          <w:sz w:val="21"/>
          <w:szCs w:val="21"/>
          <w:highlight w:val="none"/>
          <w:lang w:eastAsia="zh-CN"/>
        </w:rPr>
      </w:pPr>
      <w:r>
        <w:rPr>
          <w:rStyle w:val="318"/>
          <w:rFonts w:hint="eastAsia" w:ascii="宋体" w:hAnsi="宋体" w:eastAsia="宋体" w:cs="宋体"/>
          <w:color w:val="auto"/>
          <w:sz w:val="21"/>
          <w:szCs w:val="21"/>
          <w:highlight w:val="none"/>
          <w:lang w:eastAsia="zh-CN"/>
        </w:rPr>
        <w:t>住院部服务工作质量考评表</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保洁区域: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保洁员:</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考评时间:20</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年</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月</w:t>
      </w:r>
    </w:p>
    <w:tbl>
      <w:tblPr>
        <w:tblStyle w:val="5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82"/>
        <w:gridCol w:w="960"/>
        <w:gridCol w:w="11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6882"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afterAutospacing="0" w:line="240" w:lineRule="auto"/>
              <w:jc w:val="center"/>
              <w:textAlignment w:val="auto"/>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eastAsia="zh-CN"/>
              </w:rPr>
              <w:t>保洁质量考评标准</w:t>
            </w:r>
          </w:p>
        </w:tc>
        <w:tc>
          <w:tcPr>
            <w:tcW w:w="960"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afterAutospacing="0" w:line="240" w:lineRule="auto"/>
              <w:jc w:val="center"/>
              <w:textAlignment w:val="auto"/>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eastAsia="zh-CN"/>
              </w:rPr>
              <w:t>分值</w:t>
            </w:r>
          </w:p>
        </w:tc>
        <w:tc>
          <w:tcPr>
            <w:tcW w:w="1170"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afterAutospacing="0" w:line="240" w:lineRule="auto"/>
              <w:jc w:val="center"/>
              <w:textAlignment w:val="auto"/>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eastAsia="zh-CN"/>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0" w:hRule="atLeast"/>
        </w:trPr>
        <w:tc>
          <w:tcPr>
            <w:tcW w:w="6882"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一、</w:t>
            </w:r>
            <w:r>
              <w:rPr>
                <w:rFonts w:hint="eastAsia" w:ascii="宋体" w:hAnsi="宋体" w:eastAsia="宋体" w:cs="宋体"/>
                <w:color w:val="auto"/>
                <w:sz w:val="21"/>
                <w:szCs w:val="21"/>
                <w:highlight w:val="none"/>
                <w:lang w:eastAsia="zh-CN"/>
              </w:rPr>
              <w:t>大厅、走廊保洁标准:</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1、地面:表面洁净、无尘土、污迹、烟头、纸屑、油迹及垃圾。3分</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2、墙面:无尘土、污迹。3分</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3、电梯门:无尘土、光亮洁净、无印迹。2分</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按键面板:无尘土、无印迹。2分</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5、照明灯具:无厚积尘土。2分</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6、各房间门、通道门:无尘土、污迹。2分</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7、客梯厅顶部:无厚积尘土。2分</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8、不锈钢面:无脏、污点。2分</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lang w:eastAsia="zh-CN"/>
              </w:rPr>
              <w:t>9、装饰物:盆、座表面干净无尘土:装饰物（如塑料花卉、油画、电箱）等表面无尘士。2分</w:t>
            </w:r>
          </w:p>
        </w:tc>
        <w:tc>
          <w:tcPr>
            <w:tcW w:w="960"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20</w:t>
            </w:r>
          </w:p>
        </w:tc>
        <w:tc>
          <w:tcPr>
            <w:tcW w:w="1170"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color w:val="auto"/>
                <w:sz w:val="21"/>
                <w:szCs w:val="21"/>
                <w:highlight w:val="none"/>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5" w:hRule="atLeast"/>
        </w:trPr>
        <w:tc>
          <w:tcPr>
            <w:tcW w:w="6882"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二、值班/生活区域保洁标准:</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1、卫生间无异味。3分</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2、地面:无尘土、碎纸烟头、积水、尿迹污迹。3分</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3、洗手池:池壁无污垢、痰迹及头发等不洁物。2分</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4、水龙头:无印迹、污垢、光亮、洁净。1分</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5、洗手池台面:无水迹、无尘土、无污物。2分</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6、镜面:无水点、水迹、尘土、污迹。2分</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7、衣物架:无手印、无锈迹、光亮、洁净。1分</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8、垃圾桶:污物量不超过桶体2/3，内外表干净。2分</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9、墙面:无尘土、污迹。2分</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10、顶板：无尘土、污迹。1分</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11、隔板:无尘土、污迹、无手印。1分</w:t>
            </w:r>
          </w:p>
        </w:tc>
        <w:tc>
          <w:tcPr>
            <w:tcW w:w="960"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20</w:t>
            </w:r>
          </w:p>
        </w:tc>
        <w:tc>
          <w:tcPr>
            <w:tcW w:w="1170"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color w:val="auto"/>
                <w:sz w:val="21"/>
                <w:szCs w:val="21"/>
                <w:highlight w:val="none"/>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0" w:hRule="atLeast"/>
        </w:trPr>
        <w:tc>
          <w:tcPr>
            <w:tcW w:w="6882"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三、楼梯保洁标准:</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1、地面:无尘土、痰迹、碎纸、烟头、垃圾。3分</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2、墙面:无污迹。2分</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3、电梯货梯: 无尘土、厢内无手印、无锈迹、光亮、洁净、污迹、痰迹、碎纸、烟头、垃圾。3分</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4、消防设备:表面无尘土。1分</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lang w:val="en-US" w:eastAsia="zh-CN"/>
              </w:rPr>
              <w:t>5、楼梯、扶手:地面无尘土、烟头、痰迹及垃圾杂物，扶手无尘土。3分</w:t>
            </w:r>
          </w:p>
        </w:tc>
        <w:tc>
          <w:tcPr>
            <w:tcW w:w="960"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12</w:t>
            </w:r>
          </w:p>
        </w:tc>
        <w:tc>
          <w:tcPr>
            <w:tcW w:w="1170"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color w:val="auto"/>
                <w:sz w:val="21"/>
                <w:szCs w:val="21"/>
                <w:highlight w:val="none"/>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882"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四、病房保洁标准:</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1、地面:洁净、光亮、无尘土、痰渍、碎纸、烟头、杂物。4分</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2、墙面:无手印、污迹。2分</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3、窗户:明亮、无积灰。3分</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4、天花板:无蜘蛛网、无积灰。3分</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5、床、床边柜、床架:无尘土、无积灰。3分</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Chars="0"/>
              <w:jc w:val="both"/>
              <w:textAlignment w:val="auto"/>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lang w:val="en-US" w:eastAsia="zh-CN"/>
              </w:rPr>
              <w:t>6、灯具:无厚积尘土。2分</w:t>
            </w:r>
          </w:p>
        </w:tc>
        <w:tc>
          <w:tcPr>
            <w:tcW w:w="960"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17</w:t>
            </w:r>
          </w:p>
        </w:tc>
        <w:tc>
          <w:tcPr>
            <w:tcW w:w="1170"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color w:val="auto"/>
                <w:sz w:val="21"/>
                <w:szCs w:val="21"/>
                <w:highlight w:val="none"/>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0" w:hRule="atLeast"/>
        </w:trPr>
        <w:tc>
          <w:tcPr>
            <w:tcW w:w="6882"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五、学习室/会议室保洁标准</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1、桌面、窗台:无尘土。2分</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2、地面:无污渍，无碎屑、无渣，清抹干净。2分</w:t>
            </w:r>
          </w:p>
          <w:p>
            <w:pPr>
              <w:keepNext w:val="0"/>
              <w:keepLines w:val="0"/>
              <w:pageBreakBefore w:val="0"/>
              <w:widowControl/>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lang w:val="en-US" w:eastAsia="zh-CN"/>
              </w:rPr>
              <w:t>3、垃圾桶：污物量不超过桶体2/3，内外表干净。2分</w:t>
            </w:r>
          </w:p>
        </w:tc>
        <w:tc>
          <w:tcPr>
            <w:tcW w:w="960"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6</w:t>
            </w:r>
          </w:p>
        </w:tc>
        <w:tc>
          <w:tcPr>
            <w:tcW w:w="1170"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color w:val="auto"/>
                <w:sz w:val="21"/>
                <w:szCs w:val="21"/>
                <w:highlight w:val="none"/>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1" w:hRule="atLeast"/>
        </w:trPr>
        <w:tc>
          <w:tcPr>
            <w:tcW w:w="6882"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六、</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color w:val="auto"/>
                <w:sz w:val="21"/>
                <w:szCs w:val="21"/>
                <w:highlight w:val="none"/>
                <w:lang w:val="en-US" w:eastAsia="zh-CN"/>
              </w:rPr>
              <w:t>临床操作区域保洁、消毒要求:</w:t>
            </w:r>
          </w:p>
          <w:p>
            <w:pPr>
              <w:keepNext w:val="0"/>
              <w:keepLines w:val="0"/>
              <w:pageBreakBefore w:val="0"/>
              <w:widowControl/>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1、每天全面清扫不少于2次，每天拖抹及消毒不少于3次。其余时间作巡回保洁，及按医务人员的要求及时消毒。3分</w:t>
            </w:r>
          </w:p>
          <w:p>
            <w:pPr>
              <w:keepNext w:val="0"/>
              <w:keepLines w:val="0"/>
              <w:pageBreakBefore w:val="0"/>
              <w:widowControl/>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2、各类临床医务办公室、配药室、储存室、值班室、休息室、候诊室等半污染区室每天全面清洁及消毒不少于2次，其余时间作巡回保洁及按医务人员的要求及时消毒。3分</w:t>
            </w:r>
          </w:p>
          <w:p>
            <w:pPr>
              <w:keepNext w:val="0"/>
              <w:keepLines w:val="0"/>
              <w:pageBreakBefore w:val="0"/>
              <w:widowControl/>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3、各类临床病区、监护室、手术室、注射室、治疗室、诊室等污染区室每天全面清洁、消毒不少于2次，其余时间作巡回保洁及按医务人员的要求及时消毒。2分</w:t>
            </w:r>
          </w:p>
          <w:p>
            <w:pPr>
              <w:keepNext w:val="0"/>
              <w:keepLines w:val="0"/>
              <w:pageBreakBefore w:val="0"/>
              <w:widowControl/>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4、临床科室附设各类治疗车、器械、机械、消毒灯具及医疗设备及工具表面每天全面清洁、消毒不少于2次，其余时间作巡回保洁及按医务人员的要求及时消毒。3分</w:t>
            </w:r>
          </w:p>
          <w:p>
            <w:pPr>
              <w:keepNext w:val="0"/>
              <w:keepLines w:val="0"/>
              <w:pageBreakBefore w:val="0"/>
              <w:widowControl/>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5、临床使用的医用毛巾、拖鞋、便盆等，按医务人员的要求及时清洗及 按规范消毒。3分</w:t>
            </w:r>
          </w:p>
          <w:p>
            <w:pPr>
              <w:keepNext w:val="0"/>
              <w:keepLines w:val="0"/>
              <w:pageBreakBefore w:val="0"/>
              <w:widowControl/>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6、临床区域内的台、椅、凳、病床、床头柜每天全面清抹及消毒不少于1次，其余按医务人员的要求及时消毒。出院病床单元及时进行全面清洁及消毒。3分</w:t>
            </w:r>
          </w:p>
          <w:p>
            <w:pPr>
              <w:keepNext w:val="0"/>
              <w:keepLines w:val="0"/>
              <w:pageBreakBefore w:val="0"/>
              <w:widowControl/>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7、临床区域的洗手盆、治疗盘等每天全面清理、消毒不少于2次。2分</w:t>
            </w:r>
          </w:p>
          <w:p>
            <w:pPr>
              <w:keepNext w:val="0"/>
              <w:keepLines w:val="0"/>
              <w:pageBreakBefore w:val="0"/>
              <w:widowControl/>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8、临床区域的卫生间每天全面清洁、清理、消毒不少于2次，其余时间作巡回保洁。3分</w:t>
            </w:r>
          </w:p>
          <w:p>
            <w:pPr>
              <w:keepNext w:val="0"/>
              <w:keepLines w:val="0"/>
              <w:pageBreakBefore w:val="0"/>
              <w:widowControl/>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lang w:val="en-US" w:eastAsia="zh-CN"/>
              </w:rPr>
              <w:t>9、各类临床科室的清洁及消毒工作除要达到上述要求外，另根据各科室的实际情况按医务人员的</w:t>
            </w:r>
            <w:r>
              <w:rPr>
                <w:rFonts w:hint="eastAsia" w:ascii="宋体" w:hAnsi="宋体" w:eastAsia="宋体" w:cs="宋体"/>
                <w:color w:val="auto"/>
                <w:sz w:val="21"/>
                <w:szCs w:val="21"/>
                <w:highlight w:val="none"/>
              </w:rPr>
              <w:t>要求及安排(工作范围内)进行。3分</w:t>
            </w:r>
          </w:p>
        </w:tc>
        <w:tc>
          <w:tcPr>
            <w:tcW w:w="960"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25</w:t>
            </w:r>
          </w:p>
        </w:tc>
        <w:tc>
          <w:tcPr>
            <w:tcW w:w="1170"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color w:val="auto"/>
                <w:sz w:val="21"/>
                <w:szCs w:val="21"/>
                <w:highlight w:val="none"/>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42" w:type="dxa"/>
            <w:gridSpan w:val="2"/>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afterAutospacing="0" w:line="240" w:lineRule="auto"/>
              <w:jc w:val="left"/>
              <w:textAlignment w:val="auto"/>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eastAsia="zh-CN"/>
              </w:rPr>
              <w:t>得分合计</w:t>
            </w:r>
          </w:p>
        </w:tc>
        <w:tc>
          <w:tcPr>
            <w:tcW w:w="1170"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color w:val="auto"/>
                <w:sz w:val="21"/>
                <w:szCs w:val="21"/>
                <w:highlight w:val="none"/>
                <w:vertAlign w:val="baseline"/>
                <w:lang w:eastAsia="zh-CN"/>
              </w:rPr>
            </w:pPr>
          </w:p>
        </w:tc>
      </w:tr>
    </w:tbl>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color w:val="auto"/>
          <w:sz w:val="21"/>
          <w:szCs w:val="21"/>
          <w:highlight w:val="none"/>
        </w:rPr>
      </w:pPr>
    </w:p>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对该区域保洁员评价</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口满意</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口基本满意</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口不满意</w:t>
      </w:r>
    </w:p>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color w:val="auto"/>
          <w:sz w:val="21"/>
          <w:szCs w:val="21"/>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监督人员签名:</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日</w:t>
      </w:r>
    </w:p>
    <w:p>
      <w:pPr>
        <w:pStyle w:val="140"/>
        <w:rPr>
          <w:rFonts w:hint="eastAsia" w:ascii="宋体" w:hAnsi="宋体" w:eastAsia="宋体" w:cs="宋体"/>
          <w:color w:val="auto"/>
          <w:sz w:val="21"/>
          <w:szCs w:val="21"/>
          <w:highlight w:val="none"/>
        </w:rPr>
      </w:pPr>
    </w:p>
    <w:p>
      <w:pPr>
        <w:pStyle w:val="19"/>
        <w:rPr>
          <w:rFonts w:hint="eastAsia" w:ascii="宋体" w:hAnsi="宋体" w:eastAsia="宋体" w:cs="宋体"/>
          <w:color w:val="auto"/>
          <w:sz w:val="21"/>
          <w:szCs w:val="21"/>
          <w:highlight w:val="none"/>
        </w:rPr>
      </w:pPr>
    </w:p>
    <w:p>
      <w:pPr>
        <w:numPr>
          <w:ilvl w:val="0"/>
          <w:numId w:val="0"/>
        </w:numPr>
        <w:spacing w:after="240" w:line="360" w:lineRule="auto"/>
        <w:rPr>
          <w:rFonts w:hint="eastAsia" w:ascii="宋体" w:hAnsi="宋体" w:eastAsia="宋体" w:cs="宋体"/>
          <w:b/>
          <w:bCs/>
          <w:color w:val="auto"/>
          <w:sz w:val="21"/>
          <w:szCs w:val="21"/>
          <w:highlight w:val="none"/>
          <w:lang w:val="en-US" w:eastAsia="zh-CN"/>
        </w:rPr>
      </w:pPr>
    </w:p>
    <w:p>
      <w:pPr>
        <w:numPr>
          <w:ilvl w:val="0"/>
          <w:numId w:val="0"/>
        </w:numPr>
        <w:spacing w:after="240" w:line="360" w:lineRule="auto"/>
        <w:rPr>
          <w:rFonts w:hint="eastAsia" w:ascii="宋体" w:hAnsi="宋体" w:eastAsia="宋体" w:cs="宋体"/>
          <w:color w:val="auto"/>
          <w:sz w:val="21"/>
          <w:szCs w:val="21"/>
          <w:highlight w:val="none"/>
          <w:lang w:val="en-US"/>
        </w:rPr>
      </w:pPr>
      <w:r>
        <w:rPr>
          <w:rFonts w:hint="eastAsia" w:ascii="宋体" w:hAnsi="宋体" w:eastAsia="宋体" w:cs="宋体"/>
          <w:b/>
          <w:bCs/>
          <w:color w:val="auto"/>
          <w:sz w:val="21"/>
          <w:szCs w:val="21"/>
          <w:highlight w:val="none"/>
          <w:lang w:val="en-US" w:eastAsia="zh-CN"/>
        </w:rPr>
        <w:t>附件5</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Style w:val="318"/>
          <w:rFonts w:hint="eastAsia" w:ascii="宋体" w:hAnsi="宋体" w:eastAsia="宋体" w:cs="宋体"/>
          <w:color w:val="auto"/>
          <w:sz w:val="21"/>
          <w:szCs w:val="21"/>
          <w:highlight w:val="none"/>
          <w:lang w:eastAsia="zh-CN"/>
        </w:rPr>
      </w:pPr>
      <w:r>
        <w:rPr>
          <w:rStyle w:val="318"/>
          <w:rFonts w:hint="eastAsia" w:ascii="宋体" w:hAnsi="宋体" w:eastAsia="宋体" w:cs="宋体"/>
          <w:color w:val="auto"/>
          <w:sz w:val="21"/>
          <w:szCs w:val="21"/>
          <w:highlight w:val="none"/>
          <w:lang w:eastAsia="zh-CN"/>
        </w:rPr>
        <w:t>门</w:t>
      </w:r>
      <w:r>
        <w:rPr>
          <w:rStyle w:val="318"/>
          <w:rFonts w:hint="eastAsia" w:ascii="宋体" w:hAnsi="宋体" w:eastAsia="宋体" w:cs="宋体"/>
          <w:color w:val="auto"/>
          <w:sz w:val="21"/>
          <w:szCs w:val="21"/>
          <w:highlight w:val="none"/>
          <w:lang w:val="en-US" w:eastAsia="zh-CN"/>
        </w:rPr>
        <w:t>急</w:t>
      </w:r>
      <w:r>
        <w:rPr>
          <w:rStyle w:val="318"/>
          <w:rFonts w:hint="eastAsia" w:ascii="宋体" w:hAnsi="宋体" w:eastAsia="宋体" w:cs="宋体"/>
          <w:color w:val="auto"/>
          <w:sz w:val="21"/>
          <w:szCs w:val="21"/>
          <w:highlight w:val="none"/>
          <w:lang w:eastAsia="zh-CN"/>
        </w:rPr>
        <w:t>诊</w:t>
      </w:r>
      <w:r>
        <w:rPr>
          <w:rStyle w:val="318"/>
          <w:rFonts w:hint="eastAsia" w:ascii="宋体" w:hAnsi="宋体" w:eastAsia="宋体" w:cs="宋体"/>
          <w:color w:val="auto"/>
          <w:sz w:val="21"/>
          <w:szCs w:val="21"/>
          <w:highlight w:val="none"/>
          <w:lang w:val="en-US" w:eastAsia="zh-CN"/>
        </w:rPr>
        <w:t>服务</w:t>
      </w:r>
      <w:r>
        <w:rPr>
          <w:rStyle w:val="318"/>
          <w:rFonts w:hint="eastAsia" w:ascii="宋体" w:hAnsi="宋体" w:eastAsia="宋体" w:cs="宋体"/>
          <w:color w:val="auto"/>
          <w:sz w:val="21"/>
          <w:szCs w:val="21"/>
          <w:highlight w:val="none"/>
          <w:lang w:eastAsia="zh-CN"/>
        </w:rPr>
        <w:t>工作质量考评表</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Style w:val="318"/>
          <w:rFonts w:hint="eastAsia" w:ascii="宋体" w:hAnsi="宋体" w:eastAsia="宋体" w:cs="宋体"/>
          <w:color w:val="auto"/>
          <w:sz w:val="21"/>
          <w:szCs w:val="21"/>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服务区域: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保洁员:</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考评时间:20</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年</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月</w:t>
      </w:r>
    </w:p>
    <w:tbl>
      <w:tblPr>
        <w:tblStyle w:val="5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69"/>
        <w:gridCol w:w="1350"/>
        <w:gridCol w:w="14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5769"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afterAutospacing="0" w:line="240" w:lineRule="auto"/>
              <w:jc w:val="center"/>
              <w:textAlignment w:val="auto"/>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eastAsia="zh-CN"/>
              </w:rPr>
              <w:t>保洁质量考评标准</w:t>
            </w:r>
          </w:p>
        </w:tc>
        <w:tc>
          <w:tcPr>
            <w:tcW w:w="1350"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afterAutospacing="0" w:line="240" w:lineRule="auto"/>
              <w:jc w:val="center"/>
              <w:textAlignment w:val="auto"/>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eastAsia="zh-CN"/>
              </w:rPr>
              <w:t>分值</w:t>
            </w:r>
          </w:p>
        </w:tc>
        <w:tc>
          <w:tcPr>
            <w:tcW w:w="1403"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afterAutospacing="0" w:line="240" w:lineRule="auto"/>
              <w:jc w:val="center"/>
              <w:textAlignment w:val="auto"/>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eastAsia="zh-CN"/>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5769"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1、大厅走廊地面洁净、无尘土、痰迹、碎纸、烟头及垃圾杂物，扶手无尘土。</w:t>
            </w:r>
          </w:p>
        </w:tc>
        <w:tc>
          <w:tcPr>
            <w:tcW w:w="1350"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afterAutospacing="0" w:line="240" w:lineRule="auto"/>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10</w:t>
            </w:r>
          </w:p>
        </w:tc>
        <w:tc>
          <w:tcPr>
            <w:tcW w:w="1403"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afterAutospacing="0" w:line="240" w:lineRule="auto"/>
              <w:jc w:val="both"/>
              <w:textAlignment w:val="auto"/>
              <w:rPr>
                <w:rFonts w:hint="eastAsia" w:ascii="宋体" w:hAnsi="宋体" w:eastAsia="宋体" w:cs="宋体"/>
                <w:color w:val="auto"/>
                <w:sz w:val="21"/>
                <w:szCs w:val="21"/>
                <w:highlight w:val="none"/>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5769"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2、窗户明亮无积灰，天花板无蜘蛛网、污迹，出风口无积灰，照明灯具无厚积尘土。</w:t>
            </w:r>
          </w:p>
        </w:tc>
        <w:tc>
          <w:tcPr>
            <w:tcW w:w="1350"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afterAutospacing="0" w:line="240" w:lineRule="auto"/>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10</w:t>
            </w:r>
          </w:p>
        </w:tc>
        <w:tc>
          <w:tcPr>
            <w:tcW w:w="1403"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afterAutospacing="0" w:line="240" w:lineRule="auto"/>
              <w:jc w:val="both"/>
              <w:textAlignment w:val="auto"/>
              <w:rPr>
                <w:rFonts w:hint="eastAsia" w:ascii="宋体" w:hAnsi="宋体" w:eastAsia="宋体" w:cs="宋体"/>
                <w:color w:val="auto"/>
                <w:sz w:val="21"/>
                <w:szCs w:val="21"/>
                <w:highlight w:val="none"/>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5769"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3、各诊室地面洁净、无尘土，桌面无尘土，洗手池洁净、池壁无污垢。</w:t>
            </w:r>
          </w:p>
        </w:tc>
        <w:tc>
          <w:tcPr>
            <w:tcW w:w="1350"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afterAutospacing="0" w:line="240" w:lineRule="auto"/>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10</w:t>
            </w:r>
          </w:p>
        </w:tc>
        <w:tc>
          <w:tcPr>
            <w:tcW w:w="1403"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afterAutospacing="0" w:line="240" w:lineRule="auto"/>
              <w:jc w:val="both"/>
              <w:textAlignment w:val="auto"/>
              <w:rPr>
                <w:rFonts w:hint="eastAsia" w:ascii="宋体" w:hAnsi="宋体" w:eastAsia="宋体" w:cs="宋体"/>
                <w:color w:val="auto"/>
                <w:sz w:val="21"/>
                <w:szCs w:val="21"/>
                <w:highlight w:val="none"/>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5769"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4、垃圾桶污物量不超过桶体2/3，并保持外表干净。</w:t>
            </w:r>
          </w:p>
        </w:tc>
        <w:tc>
          <w:tcPr>
            <w:tcW w:w="1350"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afterAutospacing="0" w:line="240" w:lineRule="auto"/>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10</w:t>
            </w:r>
          </w:p>
        </w:tc>
        <w:tc>
          <w:tcPr>
            <w:tcW w:w="1403"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afterAutospacing="0" w:line="240" w:lineRule="auto"/>
              <w:jc w:val="both"/>
              <w:textAlignment w:val="auto"/>
              <w:rPr>
                <w:rFonts w:hint="eastAsia" w:ascii="宋体" w:hAnsi="宋体" w:eastAsia="宋体" w:cs="宋体"/>
                <w:color w:val="auto"/>
                <w:sz w:val="21"/>
                <w:szCs w:val="21"/>
                <w:highlight w:val="none"/>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5769"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5、卫生间无异味，地面无积水、尿迹、污迹、烟头、垃圾杂物，厕盆洁净无污物，洗手台、水龙头无水迹、污迹，墙面无手印、污迹。</w:t>
            </w:r>
          </w:p>
        </w:tc>
        <w:tc>
          <w:tcPr>
            <w:tcW w:w="1350"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afterAutospacing="0" w:line="240" w:lineRule="auto"/>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10</w:t>
            </w:r>
          </w:p>
        </w:tc>
        <w:tc>
          <w:tcPr>
            <w:tcW w:w="1403"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afterAutospacing="0" w:line="240" w:lineRule="auto"/>
              <w:jc w:val="both"/>
              <w:textAlignment w:val="auto"/>
              <w:rPr>
                <w:rFonts w:hint="eastAsia" w:ascii="宋体" w:hAnsi="宋体" w:eastAsia="宋体" w:cs="宋体"/>
                <w:color w:val="auto"/>
                <w:sz w:val="21"/>
                <w:szCs w:val="21"/>
                <w:highlight w:val="none"/>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5769"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6、卫生清洁用具放置整洁有序，杂物摆置整齐。</w:t>
            </w:r>
          </w:p>
        </w:tc>
        <w:tc>
          <w:tcPr>
            <w:tcW w:w="1350"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afterAutospacing="0" w:line="240" w:lineRule="auto"/>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10</w:t>
            </w:r>
          </w:p>
        </w:tc>
        <w:tc>
          <w:tcPr>
            <w:tcW w:w="1403"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afterAutospacing="0" w:line="240" w:lineRule="auto"/>
              <w:jc w:val="both"/>
              <w:textAlignment w:val="auto"/>
              <w:rPr>
                <w:rFonts w:hint="eastAsia" w:ascii="宋体" w:hAnsi="宋体" w:eastAsia="宋体" w:cs="宋体"/>
                <w:color w:val="auto"/>
                <w:sz w:val="21"/>
                <w:szCs w:val="21"/>
                <w:highlight w:val="none"/>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5769"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7、电梯内面干净，楼梯地面无尘土、痰迹、碎纸、烟头及垃圾杂物，扶手干净。</w:t>
            </w:r>
          </w:p>
        </w:tc>
        <w:tc>
          <w:tcPr>
            <w:tcW w:w="1350"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afterAutospacing="0" w:line="240" w:lineRule="auto"/>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10</w:t>
            </w:r>
          </w:p>
        </w:tc>
        <w:tc>
          <w:tcPr>
            <w:tcW w:w="1403"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afterAutospacing="0" w:line="240" w:lineRule="auto"/>
              <w:jc w:val="both"/>
              <w:textAlignment w:val="auto"/>
              <w:rPr>
                <w:rFonts w:hint="eastAsia" w:ascii="宋体" w:hAnsi="宋体" w:eastAsia="宋体" w:cs="宋体"/>
                <w:color w:val="auto"/>
                <w:sz w:val="21"/>
                <w:szCs w:val="21"/>
                <w:highlight w:val="none"/>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5769"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8、输液室、大厅椅子，无尘土、碎纸、整齐干净、烟头及垃圾杂物。</w:t>
            </w:r>
          </w:p>
        </w:tc>
        <w:tc>
          <w:tcPr>
            <w:tcW w:w="1350"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afterAutospacing="0" w:line="240" w:lineRule="auto"/>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10</w:t>
            </w:r>
          </w:p>
        </w:tc>
        <w:tc>
          <w:tcPr>
            <w:tcW w:w="1403"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afterAutospacing="0" w:line="240" w:lineRule="auto"/>
              <w:jc w:val="both"/>
              <w:textAlignment w:val="auto"/>
              <w:rPr>
                <w:rFonts w:hint="eastAsia" w:ascii="宋体" w:hAnsi="宋体" w:eastAsia="宋体" w:cs="宋体"/>
                <w:color w:val="auto"/>
                <w:sz w:val="21"/>
                <w:szCs w:val="21"/>
                <w:highlight w:val="none"/>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5769"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9、抢救室地面洁净、无尘土、痰迹、碎纸、烟头及垃圾杂物。</w:t>
            </w:r>
          </w:p>
        </w:tc>
        <w:tc>
          <w:tcPr>
            <w:tcW w:w="1350"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afterAutospacing="0" w:line="240" w:lineRule="auto"/>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10</w:t>
            </w:r>
          </w:p>
        </w:tc>
        <w:tc>
          <w:tcPr>
            <w:tcW w:w="1403"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afterAutospacing="0" w:line="240" w:lineRule="auto"/>
              <w:jc w:val="both"/>
              <w:textAlignment w:val="auto"/>
              <w:rPr>
                <w:rFonts w:hint="eastAsia" w:ascii="宋体" w:hAnsi="宋体" w:eastAsia="宋体" w:cs="宋体"/>
                <w:color w:val="auto"/>
                <w:sz w:val="21"/>
                <w:szCs w:val="21"/>
                <w:highlight w:val="none"/>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5769"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10、墙面:无污迹，天花板：无蜘蛛网、无积灰</w:t>
            </w:r>
          </w:p>
        </w:tc>
        <w:tc>
          <w:tcPr>
            <w:tcW w:w="1350"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afterAutospacing="0" w:line="240" w:lineRule="auto"/>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10</w:t>
            </w:r>
          </w:p>
        </w:tc>
        <w:tc>
          <w:tcPr>
            <w:tcW w:w="1403"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afterAutospacing="0" w:line="240" w:lineRule="auto"/>
              <w:jc w:val="both"/>
              <w:textAlignment w:val="auto"/>
              <w:rPr>
                <w:rFonts w:hint="eastAsia" w:ascii="宋体" w:hAnsi="宋体" w:eastAsia="宋体" w:cs="宋体"/>
                <w:color w:val="auto"/>
                <w:sz w:val="21"/>
                <w:szCs w:val="21"/>
                <w:highlight w:val="none"/>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5769"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vertAlign w:val="baseline"/>
                <w:lang w:eastAsia="zh-CN"/>
              </w:rPr>
              <w:t>得分合计</w:t>
            </w:r>
          </w:p>
        </w:tc>
        <w:tc>
          <w:tcPr>
            <w:tcW w:w="1350"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afterAutospacing="0" w:line="240" w:lineRule="auto"/>
              <w:jc w:val="center"/>
              <w:textAlignment w:val="auto"/>
              <w:rPr>
                <w:rFonts w:hint="eastAsia" w:ascii="宋体" w:hAnsi="宋体" w:eastAsia="宋体" w:cs="宋体"/>
                <w:color w:val="auto"/>
                <w:sz w:val="21"/>
                <w:szCs w:val="21"/>
                <w:highlight w:val="none"/>
                <w:vertAlign w:val="baseline"/>
                <w:lang w:val="en-US" w:eastAsia="zh-CN"/>
              </w:rPr>
            </w:pPr>
          </w:p>
        </w:tc>
        <w:tc>
          <w:tcPr>
            <w:tcW w:w="1403"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afterAutospacing="0" w:line="240" w:lineRule="auto"/>
              <w:jc w:val="both"/>
              <w:textAlignment w:val="auto"/>
              <w:rPr>
                <w:rFonts w:hint="eastAsia" w:ascii="宋体" w:hAnsi="宋体" w:eastAsia="宋体" w:cs="宋体"/>
                <w:color w:val="auto"/>
                <w:sz w:val="21"/>
                <w:szCs w:val="21"/>
                <w:highlight w:val="none"/>
                <w:vertAlign w:val="baseline"/>
                <w:lang w:eastAsia="zh-CN"/>
              </w:rPr>
            </w:pPr>
          </w:p>
        </w:tc>
      </w:tr>
    </w:tbl>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color w:val="auto"/>
          <w:sz w:val="21"/>
          <w:szCs w:val="21"/>
          <w:highlight w:val="none"/>
        </w:rPr>
      </w:pPr>
    </w:p>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对该区域保洁员评价</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口满意</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口基本满意</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口不满意</w:t>
      </w:r>
    </w:p>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color w:val="auto"/>
          <w:sz w:val="21"/>
          <w:szCs w:val="21"/>
          <w:highlight w:val="none"/>
          <w:lang w:eastAsia="zh-CN"/>
        </w:rPr>
      </w:pPr>
    </w:p>
    <w:p>
      <w:pPr>
        <w:numPr>
          <w:ilvl w:val="0"/>
          <w:numId w:val="0"/>
        </w:numPr>
        <w:spacing w:after="24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监督人员签名:</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日</w:t>
      </w:r>
    </w:p>
    <w:p>
      <w:pPr>
        <w:pStyle w:val="140"/>
        <w:rPr>
          <w:rFonts w:hint="eastAsia" w:ascii="宋体" w:hAnsi="宋体" w:eastAsia="宋体" w:cs="宋体"/>
          <w:color w:val="auto"/>
          <w:sz w:val="21"/>
          <w:szCs w:val="21"/>
          <w:highlight w:val="none"/>
        </w:rPr>
      </w:pPr>
    </w:p>
    <w:p>
      <w:pPr>
        <w:pStyle w:val="19"/>
        <w:rPr>
          <w:rFonts w:hint="eastAsia" w:ascii="宋体" w:hAnsi="宋体" w:eastAsia="宋体" w:cs="宋体"/>
          <w:color w:val="auto"/>
          <w:sz w:val="21"/>
          <w:szCs w:val="21"/>
          <w:highlight w:val="none"/>
        </w:rPr>
      </w:pPr>
    </w:p>
    <w:p>
      <w:pPr>
        <w:keepNext w:val="0"/>
        <w:keepLines w:val="0"/>
        <w:pageBreakBefore w:val="0"/>
        <w:widowControl w:val="0"/>
        <w:numPr>
          <w:ilvl w:val="0"/>
          <w:numId w:val="0"/>
        </w:numPr>
        <w:kinsoku/>
        <w:wordWrap/>
        <w:overflowPunct/>
        <w:topLinePunct w:val="0"/>
        <w:autoSpaceDE/>
        <w:autoSpaceDN/>
        <w:bidi w:val="0"/>
        <w:adjustRightInd/>
        <w:snapToGrid/>
        <w:spacing w:after="240" w:line="360" w:lineRule="auto"/>
        <w:jc w:val="lef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附件6</w:t>
      </w:r>
    </w:p>
    <w:p>
      <w:pPr>
        <w:keepNext w:val="0"/>
        <w:keepLines w:val="0"/>
        <w:pageBreakBefore w:val="0"/>
        <w:widowControl w:val="0"/>
        <w:numPr>
          <w:ilvl w:val="0"/>
          <w:numId w:val="0"/>
        </w:numPr>
        <w:kinsoku/>
        <w:wordWrap/>
        <w:overflowPunct/>
        <w:topLinePunct w:val="0"/>
        <w:autoSpaceDE/>
        <w:autoSpaceDN/>
        <w:bidi w:val="0"/>
        <w:adjustRightInd/>
        <w:snapToGrid/>
        <w:spacing w:after="240" w:line="360" w:lineRule="auto"/>
        <w:ind w:firstLine="1054" w:firstLineChars="500"/>
        <w:jc w:val="left"/>
        <w:textAlignment w:val="auto"/>
        <w:rPr>
          <w:rStyle w:val="318"/>
          <w:rFonts w:hint="eastAsia" w:ascii="宋体" w:hAnsi="宋体" w:eastAsia="宋体" w:cs="宋体"/>
          <w:color w:val="auto"/>
          <w:sz w:val="21"/>
          <w:szCs w:val="21"/>
          <w:highlight w:val="none"/>
        </w:rPr>
      </w:pPr>
      <w:r>
        <w:rPr>
          <w:rStyle w:val="318"/>
          <w:rFonts w:hint="eastAsia" w:ascii="宋体" w:hAnsi="宋体" w:eastAsia="宋体" w:cs="宋体"/>
          <w:color w:val="auto"/>
          <w:sz w:val="21"/>
          <w:szCs w:val="21"/>
          <w:highlight w:val="none"/>
        </w:rPr>
        <w:t>洗衣房服务</w:t>
      </w:r>
      <w:r>
        <w:rPr>
          <w:rStyle w:val="318"/>
          <w:rFonts w:hint="eastAsia" w:ascii="宋体" w:hAnsi="宋体" w:eastAsia="宋体" w:cs="宋体"/>
          <w:color w:val="auto"/>
          <w:sz w:val="21"/>
          <w:szCs w:val="21"/>
          <w:highlight w:val="none"/>
          <w:lang w:eastAsia="zh-CN"/>
        </w:rPr>
        <w:t>工作质量考评表</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服务区域: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保洁员:</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考评时间:20</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年</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月</w:t>
      </w:r>
    </w:p>
    <w:tbl>
      <w:tblPr>
        <w:tblStyle w:val="5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69"/>
        <w:gridCol w:w="1350"/>
        <w:gridCol w:w="14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9"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afterAutospacing="0" w:line="240" w:lineRule="auto"/>
              <w:jc w:val="center"/>
              <w:textAlignment w:val="auto"/>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eastAsia="zh-CN"/>
              </w:rPr>
              <w:t>质量考评标准</w:t>
            </w:r>
          </w:p>
        </w:tc>
        <w:tc>
          <w:tcPr>
            <w:tcW w:w="1350"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afterAutospacing="0" w:line="240" w:lineRule="auto"/>
              <w:jc w:val="center"/>
              <w:textAlignment w:val="auto"/>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eastAsia="zh-CN"/>
              </w:rPr>
              <w:t>分值</w:t>
            </w:r>
          </w:p>
        </w:tc>
        <w:tc>
          <w:tcPr>
            <w:tcW w:w="1403"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afterAutospacing="0" w:line="240" w:lineRule="auto"/>
              <w:jc w:val="center"/>
              <w:textAlignment w:val="auto"/>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eastAsia="zh-CN"/>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5769"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pacing w:val="0"/>
                <w:sz w:val="21"/>
                <w:szCs w:val="21"/>
                <w:highlight w:val="none"/>
                <w:lang w:eastAsia="zh-CN"/>
              </w:rPr>
              <w:t>1.服务态度好，无投诉现象。</w:t>
            </w:r>
          </w:p>
        </w:tc>
        <w:tc>
          <w:tcPr>
            <w:tcW w:w="1350"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afterAutospacing="0" w:line="240" w:lineRule="auto"/>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10</w:t>
            </w:r>
          </w:p>
        </w:tc>
        <w:tc>
          <w:tcPr>
            <w:tcW w:w="1403"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afterAutospacing="0" w:line="240" w:lineRule="auto"/>
              <w:jc w:val="both"/>
              <w:textAlignment w:val="auto"/>
              <w:rPr>
                <w:rFonts w:hint="eastAsia" w:ascii="宋体" w:hAnsi="宋体" w:eastAsia="宋体" w:cs="宋体"/>
                <w:color w:val="auto"/>
                <w:sz w:val="21"/>
                <w:szCs w:val="21"/>
                <w:highlight w:val="none"/>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5769"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pacing w:val="0"/>
                <w:sz w:val="21"/>
                <w:szCs w:val="21"/>
                <w:highlight w:val="none"/>
                <w:lang w:eastAsia="zh-CN"/>
              </w:rPr>
              <w:t>2.爱护公物，节约水、电、洗涤剂。</w:t>
            </w:r>
          </w:p>
        </w:tc>
        <w:tc>
          <w:tcPr>
            <w:tcW w:w="1350"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afterAutospacing="0" w:line="240" w:lineRule="auto"/>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10</w:t>
            </w:r>
          </w:p>
        </w:tc>
        <w:tc>
          <w:tcPr>
            <w:tcW w:w="1403"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afterAutospacing="0" w:line="240" w:lineRule="auto"/>
              <w:jc w:val="both"/>
              <w:textAlignment w:val="auto"/>
              <w:rPr>
                <w:rFonts w:hint="eastAsia" w:ascii="宋体" w:hAnsi="宋体" w:eastAsia="宋体" w:cs="宋体"/>
                <w:color w:val="auto"/>
                <w:sz w:val="21"/>
                <w:szCs w:val="21"/>
                <w:highlight w:val="none"/>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5769" w:type="dxa"/>
            <w:noWrap w:val="0"/>
            <w:vAlign w:val="center"/>
          </w:tcPr>
          <w:p>
            <w:pPr>
              <w:widowControl/>
              <w:numPr>
                <w:ilvl w:val="0"/>
                <w:numId w:val="0"/>
              </w:numPr>
              <w:snapToGrid/>
              <w:spacing w:line="240" w:lineRule="auto"/>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3.严格操作规程：</w:t>
            </w:r>
          </w:p>
          <w:p>
            <w:pPr>
              <w:widowControl/>
              <w:numPr>
                <w:ilvl w:val="0"/>
                <w:numId w:val="0"/>
              </w:numPr>
              <w:snapToGrid/>
              <w:spacing w:line="240" w:lineRule="auto"/>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（1）仪器使用操作规程。</w:t>
            </w:r>
          </w:p>
          <w:p>
            <w:pPr>
              <w:widowControl/>
              <w:numPr>
                <w:ilvl w:val="0"/>
                <w:numId w:val="0"/>
              </w:numPr>
              <w:snapToGrid/>
              <w:spacing w:line="240" w:lineRule="auto"/>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收回的被服及时清点分类消毒、洗涤，防止交叉感染，工作服、洗手衣、隔离衣与病人被服分开，有色与无色分开，妇产科、儿科与其他科室分开，手术室物品单独洗涤、感染积物专机洗涤，棉与纤维分开。</w:t>
            </w:r>
          </w:p>
        </w:tc>
        <w:tc>
          <w:tcPr>
            <w:tcW w:w="1350"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afterAutospacing="0" w:line="240" w:lineRule="auto"/>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10</w:t>
            </w:r>
          </w:p>
        </w:tc>
        <w:tc>
          <w:tcPr>
            <w:tcW w:w="1403"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afterAutospacing="0" w:line="240" w:lineRule="auto"/>
              <w:jc w:val="both"/>
              <w:textAlignment w:val="auto"/>
              <w:rPr>
                <w:rFonts w:hint="eastAsia" w:ascii="宋体" w:hAnsi="宋体" w:eastAsia="宋体" w:cs="宋体"/>
                <w:color w:val="auto"/>
                <w:sz w:val="21"/>
                <w:szCs w:val="21"/>
                <w:highlight w:val="none"/>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5769"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pacing w:val="0"/>
                <w:sz w:val="21"/>
                <w:szCs w:val="21"/>
                <w:highlight w:val="none"/>
                <w:lang w:eastAsia="zh-CN"/>
              </w:rPr>
              <w:t>4.所洗衣被洁净、干爽、分类放置，做好供应工作，烂的、绳子掉、少扣等要缝补后方可发放。做到发放被服无破、无潮、无不洁。</w:t>
            </w:r>
          </w:p>
        </w:tc>
        <w:tc>
          <w:tcPr>
            <w:tcW w:w="1350"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afterAutospacing="0" w:line="240" w:lineRule="auto"/>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10</w:t>
            </w:r>
          </w:p>
        </w:tc>
        <w:tc>
          <w:tcPr>
            <w:tcW w:w="1403"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afterAutospacing="0" w:line="240" w:lineRule="auto"/>
              <w:jc w:val="both"/>
              <w:textAlignment w:val="auto"/>
              <w:rPr>
                <w:rFonts w:hint="eastAsia" w:ascii="宋体" w:hAnsi="宋体" w:eastAsia="宋体" w:cs="宋体"/>
                <w:color w:val="auto"/>
                <w:sz w:val="21"/>
                <w:szCs w:val="21"/>
                <w:highlight w:val="none"/>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5769"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pacing w:val="0"/>
                <w:sz w:val="21"/>
                <w:szCs w:val="21"/>
                <w:highlight w:val="none"/>
                <w:lang w:eastAsia="zh-CN"/>
              </w:rPr>
              <w:t>5.下收下送，收发被服（特别是工作服）要当面点清、记清，</w:t>
            </w:r>
            <w:r>
              <w:rPr>
                <w:rFonts w:hint="eastAsia" w:ascii="宋体" w:hAnsi="宋体" w:eastAsia="宋体" w:cs="宋体"/>
                <w:color w:val="auto"/>
                <w:sz w:val="21"/>
                <w:szCs w:val="21"/>
                <w:highlight w:val="none"/>
              </w:rPr>
              <w:t>下</w:t>
            </w:r>
            <w:r>
              <w:rPr>
                <w:rFonts w:hint="eastAsia" w:ascii="宋体" w:hAnsi="宋体" w:eastAsia="宋体" w:cs="宋体"/>
                <w:color w:val="auto"/>
                <w:sz w:val="21"/>
                <w:szCs w:val="21"/>
                <w:highlight w:val="none"/>
                <w:lang w:eastAsia="zh-CN"/>
              </w:rPr>
              <w:t>发</w:t>
            </w:r>
            <w:r>
              <w:rPr>
                <w:rFonts w:hint="eastAsia" w:ascii="宋体" w:hAnsi="宋体" w:eastAsia="宋体" w:cs="宋体"/>
                <w:color w:val="auto"/>
                <w:sz w:val="21"/>
                <w:szCs w:val="21"/>
                <w:highlight w:val="none"/>
              </w:rPr>
              <w:t>时保证被、服干净、烫平、无染色、无破损、叠</w:t>
            </w:r>
            <w:r>
              <w:rPr>
                <w:rFonts w:hint="eastAsia" w:ascii="宋体" w:hAnsi="宋体" w:eastAsia="宋体" w:cs="宋体"/>
                <w:color w:val="auto"/>
                <w:sz w:val="21"/>
                <w:szCs w:val="21"/>
                <w:highlight w:val="none"/>
                <w:lang w:val="en-US" w:eastAsia="zh-CN"/>
              </w:rPr>
              <w:t>放</w:t>
            </w:r>
            <w:r>
              <w:rPr>
                <w:rFonts w:hint="eastAsia" w:ascii="宋体" w:hAnsi="宋体" w:eastAsia="宋体" w:cs="宋体"/>
                <w:color w:val="auto"/>
                <w:sz w:val="21"/>
                <w:szCs w:val="21"/>
                <w:highlight w:val="none"/>
              </w:rPr>
              <w:t>整齐，衣物分男女冬夏叠整齐分开放</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pacing w:val="0"/>
                <w:sz w:val="21"/>
                <w:szCs w:val="21"/>
                <w:highlight w:val="none"/>
                <w:lang w:eastAsia="zh-CN"/>
              </w:rPr>
              <w:t>防止差错。</w:t>
            </w:r>
          </w:p>
        </w:tc>
        <w:tc>
          <w:tcPr>
            <w:tcW w:w="1350"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afterAutospacing="0" w:line="240" w:lineRule="auto"/>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10</w:t>
            </w:r>
          </w:p>
        </w:tc>
        <w:tc>
          <w:tcPr>
            <w:tcW w:w="1403"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afterAutospacing="0" w:line="240" w:lineRule="auto"/>
              <w:jc w:val="both"/>
              <w:textAlignment w:val="auto"/>
              <w:rPr>
                <w:rFonts w:hint="eastAsia" w:ascii="宋体" w:hAnsi="宋体" w:eastAsia="宋体" w:cs="宋体"/>
                <w:color w:val="auto"/>
                <w:sz w:val="21"/>
                <w:szCs w:val="21"/>
                <w:highlight w:val="none"/>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5769"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pacing w:val="0"/>
                <w:sz w:val="21"/>
                <w:szCs w:val="21"/>
                <w:highlight w:val="none"/>
                <w:lang w:eastAsia="zh-CN"/>
              </w:rPr>
              <w:t>6.加强洗涤机、烘干机等机械保养，仪器表面清洁，无污渍、无尘、无铁锈，每天清洁，每月机器外壳保养1次。</w:t>
            </w:r>
          </w:p>
        </w:tc>
        <w:tc>
          <w:tcPr>
            <w:tcW w:w="1350"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afterAutospacing="0" w:line="240" w:lineRule="auto"/>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10</w:t>
            </w:r>
          </w:p>
        </w:tc>
        <w:tc>
          <w:tcPr>
            <w:tcW w:w="1403"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afterAutospacing="0" w:line="240" w:lineRule="auto"/>
              <w:jc w:val="both"/>
              <w:textAlignment w:val="auto"/>
              <w:rPr>
                <w:rFonts w:hint="eastAsia" w:ascii="宋体" w:hAnsi="宋体" w:eastAsia="宋体" w:cs="宋体"/>
                <w:color w:val="auto"/>
                <w:sz w:val="21"/>
                <w:szCs w:val="21"/>
                <w:highlight w:val="none"/>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5769"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pacing w:val="0"/>
                <w:sz w:val="21"/>
                <w:szCs w:val="21"/>
                <w:highlight w:val="none"/>
                <w:lang w:eastAsia="zh-CN"/>
              </w:rPr>
              <w:t>7.保持工作间清洁，无污渍，无臭味，每天工作结束要搞清洁卫生工作。</w:t>
            </w:r>
          </w:p>
        </w:tc>
        <w:tc>
          <w:tcPr>
            <w:tcW w:w="1350"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afterAutospacing="0" w:line="240" w:lineRule="auto"/>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10</w:t>
            </w:r>
          </w:p>
        </w:tc>
        <w:tc>
          <w:tcPr>
            <w:tcW w:w="1403"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afterAutospacing="0" w:line="240" w:lineRule="auto"/>
              <w:jc w:val="both"/>
              <w:textAlignment w:val="auto"/>
              <w:rPr>
                <w:rFonts w:hint="eastAsia" w:ascii="宋体" w:hAnsi="宋体" w:eastAsia="宋体" w:cs="宋体"/>
                <w:color w:val="auto"/>
                <w:sz w:val="21"/>
                <w:szCs w:val="21"/>
                <w:highlight w:val="none"/>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5769"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8.</w:t>
            </w:r>
            <w:r>
              <w:rPr>
                <w:rFonts w:hint="eastAsia" w:ascii="宋体" w:hAnsi="宋体" w:eastAsia="宋体" w:cs="宋体"/>
                <w:color w:val="auto"/>
                <w:spacing w:val="0"/>
                <w:sz w:val="21"/>
                <w:szCs w:val="21"/>
                <w:highlight w:val="none"/>
                <w:lang w:eastAsia="zh-CN"/>
              </w:rPr>
              <w:t>门、窗洁净、光亮，无潮湿、无污渍。</w:t>
            </w:r>
          </w:p>
        </w:tc>
        <w:tc>
          <w:tcPr>
            <w:tcW w:w="1350"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afterAutospacing="0" w:line="240" w:lineRule="auto"/>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10</w:t>
            </w:r>
          </w:p>
        </w:tc>
        <w:tc>
          <w:tcPr>
            <w:tcW w:w="1403"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afterAutospacing="0" w:line="240" w:lineRule="auto"/>
              <w:jc w:val="both"/>
              <w:textAlignment w:val="auto"/>
              <w:rPr>
                <w:rFonts w:hint="eastAsia" w:ascii="宋体" w:hAnsi="宋体" w:eastAsia="宋体" w:cs="宋体"/>
                <w:color w:val="auto"/>
                <w:sz w:val="21"/>
                <w:szCs w:val="21"/>
                <w:highlight w:val="none"/>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5769"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9.</w:t>
            </w:r>
            <w:r>
              <w:rPr>
                <w:rFonts w:hint="eastAsia" w:ascii="宋体" w:hAnsi="宋体" w:eastAsia="宋体" w:cs="宋体"/>
                <w:color w:val="auto"/>
                <w:spacing w:val="0"/>
                <w:sz w:val="21"/>
                <w:szCs w:val="21"/>
                <w:highlight w:val="none"/>
                <w:lang w:eastAsia="zh-CN"/>
              </w:rPr>
              <w:t>掌握消毒液配制、使用方法，不同被服所用浓度符合要求。</w:t>
            </w:r>
          </w:p>
        </w:tc>
        <w:tc>
          <w:tcPr>
            <w:tcW w:w="1350"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afterAutospacing="0" w:line="240" w:lineRule="auto"/>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10</w:t>
            </w:r>
          </w:p>
        </w:tc>
        <w:tc>
          <w:tcPr>
            <w:tcW w:w="1403"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afterAutospacing="0" w:line="240" w:lineRule="auto"/>
              <w:jc w:val="both"/>
              <w:textAlignment w:val="auto"/>
              <w:rPr>
                <w:rFonts w:hint="eastAsia" w:ascii="宋体" w:hAnsi="宋体" w:eastAsia="宋体" w:cs="宋体"/>
                <w:color w:val="auto"/>
                <w:sz w:val="21"/>
                <w:szCs w:val="21"/>
                <w:highlight w:val="none"/>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5769"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10.</w:t>
            </w:r>
            <w:r>
              <w:rPr>
                <w:rFonts w:hint="eastAsia" w:ascii="宋体" w:hAnsi="宋体" w:eastAsia="宋体" w:cs="宋体"/>
                <w:color w:val="auto"/>
                <w:spacing w:val="0"/>
                <w:sz w:val="21"/>
                <w:szCs w:val="21"/>
                <w:highlight w:val="none"/>
              </w:rPr>
              <w:t>工作流程符合</w:t>
            </w:r>
            <w:r>
              <w:rPr>
                <w:rFonts w:hint="eastAsia" w:ascii="宋体" w:hAnsi="宋体" w:eastAsia="宋体" w:cs="宋体"/>
                <w:color w:val="auto"/>
                <w:spacing w:val="0"/>
                <w:sz w:val="21"/>
                <w:szCs w:val="21"/>
                <w:highlight w:val="none"/>
                <w:lang w:val="en-US" w:eastAsia="zh-CN"/>
              </w:rPr>
              <w:t>医院标准操作规定</w:t>
            </w:r>
            <w:r>
              <w:rPr>
                <w:rFonts w:hint="eastAsia" w:ascii="宋体" w:hAnsi="宋体" w:eastAsia="宋体" w:cs="宋体"/>
                <w:color w:val="auto"/>
                <w:spacing w:val="0"/>
                <w:sz w:val="21"/>
                <w:szCs w:val="21"/>
                <w:highlight w:val="none"/>
              </w:rPr>
              <w:t>要求。</w:t>
            </w:r>
          </w:p>
        </w:tc>
        <w:tc>
          <w:tcPr>
            <w:tcW w:w="1350"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afterAutospacing="0" w:line="240" w:lineRule="auto"/>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10</w:t>
            </w:r>
          </w:p>
        </w:tc>
        <w:tc>
          <w:tcPr>
            <w:tcW w:w="1403"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afterAutospacing="0" w:line="240" w:lineRule="auto"/>
              <w:jc w:val="both"/>
              <w:textAlignment w:val="auto"/>
              <w:rPr>
                <w:rFonts w:hint="eastAsia" w:ascii="宋体" w:hAnsi="宋体" w:eastAsia="宋体" w:cs="宋体"/>
                <w:color w:val="auto"/>
                <w:sz w:val="21"/>
                <w:szCs w:val="21"/>
                <w:highlight w:val="none"/>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5769"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得分合计</w:t>
            </w:r>
          </w:p>
        </w:tc>
        <w:tc>
          <w:tcPr>
            <w:tcW w:w="1350"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afterAutospacing="0" w:line="240" w:lineRule="auto"/>
              <w:jc w:val="center"/>
              <w:textAlignment w:val="auto"/>
              <w:rPr>
                <w:rFonts w:hint="eastAsia" w:ascii="宋体" w:hAnsi="宋体" w:eastAsia="宋体" w:cs="宋体"/>
                <w:color w:val="auto"/>
                <w:sz w:val="21"/>
                <w:szCs w:val="21"/>
                <w:highlight w:val="none"/>
                <w:vertAlign w:val="baseline"/>
                <w:lang w:val="en-US" w:eastAsia="zh-CN"/>
              </w:rPr>
            </w:pPr>
          </w:p>
        </w:tc>
        <w:tc>
          <w:tcPr>
            <w:tcW w:w="1403"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afterAutospacing="0" w:line="240" w:lineRule="auto"/>
              <w:jc w:val="both"/>
              <w:textAlignment w:val="auto"/>
              <w:rPr>
                <w:rFonts w:hint="eastAsia" w:ascii="宋体" w:hAnsi="宋体" w:eastAsia="宋体" w:cs="宋体"/>
                <w:color w:val="auto"/>
                <w:sz w:val="21"/>
                <w:szCs w:val="21"/>
                <w:highlight w:val="none"/>
                <w:vertAlign w:val="baseline"/>
                <w:lang w:eastAsia="zh-CN"/>
              </w:rPr>
            </w:pPr>
          </w:p>
        </w:tc>
      </w:tr>
    </w:tbl>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对该区域保洁员评价</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口满意</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口基本满意</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口不满意</w:t>
      </w:r>
    </w:p>
    <w:p>
      <w:pPr>
        <w:keepNext w:val="0"/>
        <w:keepLines w:val="0"/>
        <w:pageBreakBefore w:val="0"/>
        <w:widowControl w:val="0"/>
        <w:numPr>
          <w:ilvl w:val="0"/>
          <w:numId w:val="0"/>
        </w:numPr>
        <w:kinsoku/>
        <w:wordWrap/>
        <w:overflowPunct/>
        <w:topLinePunct w:val="0"/>
        <w:autoSpaceDE/>
        <w:autoSpaceDN/>
        <w:bidi w:val="0"/>
        <w:adjustRightInd/>
        <w:snapToGrid/>
        <w:spacing w:after="240"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监督人员签名:</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日</w:t>
      </w:r>
    </w:p>
    <w:p>
      <w:pPr>
        <w:keepNext w:val="0"/>
        <w:keepLines w:val="0"/>
        <w:pageBreakBefore w:val="0"/>
        <w:widowControl w:val="0"/>
        <w:numPr>
          <w:ilvl w:val="0"/>
          <w:numId w:val="0"/>
        </w:numPr>
        <w:kinsoku/>
        <w:wordWrap/>
        <w:overflowPunct/>
        <w:topLinePunct w:val="0"/>
        <w:autoSpaceDE/>
        <w:autoSpaceDN/>
        <w:bidi w:val="0"/>
        <w:adjustRightInd/>
        <w:snapToGrid/>
        <w:spacing w:after="240" w:line="360" w:lineRule="exact"/>
        <w:jc w:val="left"/>
        <w:textAlignment w:val="auto"/>
        <w:rPr>
          <w:rFonts w:hint="eastAsia" w:ascii="宋体" w:hAnsi="宋体" w:eastAsia="宋体" w:cs="宋体"/>
          <w:b/>
          <w:bCs/>
          <w:color w:val="auto"/>
          <w:sz w:val="21"/>
          <w:szCs w:val="21"/>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240" w:line="360" w:lineRule="exact"/>
        <w:jc w:val="left"/>
        <w:textAlignment w:val="auto"/>
        <w:rPr>
          <w:rFonts w:hint="eastAsia" w:ascii="宋体" w:hAnsi="宋体" w:eastAsia="宋体" w:cs="宋体"/>
          <w:b/>
          <w:bCs/>
          <w:color w:val="auto"/>
          <w:sz w:val="21"/>
          <w:szCs w:val="21"/>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240" w:line="240" w:lineRule="exact"/>
        <w:jc w:val="lef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附件7</w:t>
      </w:r>
    </w:p>
    <w:p>
      <w:pPr>
        <w:keepNext w:val="0"/>
        <w:keepLines w:val="0"/>
        <w:pageBreakBefore w:val="0"/>
        <w:widowControl w:val="0"/>
        <w:numPr>
          <w:ilvl w:val="0"/>
          <w:numId w:val="0"/>
        </w:numPr>
        <w:kinsoku/>
        <w:wordWrap/>
        <w:overflowPunct/>
        <w:topLinePunct w:val="0"/>
        <w:autoSpaceDE/>
        <w:autoSpaceDN/>
        <w:bidi w:val="0"/>
        <w:adjustRightInd/>
        <w:snapToGrid/>
        <w:spacing w:after="240" w:line="240" w:lineRule="exact"/>
        <w:jc w:val="center"/>
        <w:textAlignment w:val="auto"/>
        <w:rPr>
          <w:rStyle w:val="318"/>
          <w:rFonts w:hint="eastAsia" w:ascii="宋体" w:hAnsi="宋体" w:eastAsia="宋体" w:cs="宋体"/>
          <w:color w:val="auto"/>
          <w:sz w:val="21"/>
          <w:szCs w:val="21"/>
          <w:highlight w:val="none"/>
          <w:lang w:eastAsia="zh-CN"/>
        </w:rPr>
      </w:pPr>
      <w:r>
        <w:rPr>
          <w:rStyle w:val="318"/>
          <w:rFonts w:hint="eastAsia" w:ascii="宋体" w:hAnsi="宋体" w:eastAsia="宋体" w:cs="宋体"/>
          <w:color w:val="auto"/>
          <w:sz w:val="21"/>
          <w:szCs w:val="21"/>
          <w:highlight w:val="none"/>
          <w:lang w:val="en-US" w:eastAsia="zh-CN"/>
        </w:rPr>
        <w:t>行政办公楼服务</w:t>
      </w:r>
      <w:r>
        <w:rPr>
          <w:rStyle w:val="318"/>
          <w:rFonts w:hint="eastAsia" w:ascii="宋体" w:hAnsi="宋体" w:eastAsia="宋体" w:cs="宋体"/>
          <w:color w:val="auto"/>
          <w:sz w:val="21"/>
          <w:szCs w:val="21"/>
          <w:highlight w:val="none"/>
          <w:lang w:eastAsia="zh-CN"/>
        </w:rPr>
        <w:t>工作质量考评表</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color w:val="auto"/>
          <w:w w:val="100"/>
          <w:sz w:val="21"/>
          <w:szCs w:val="21"/>
          <w:highlight w:val="none"/>
          <w:lang w:eastAsia="zh-CN"/>
        </w:rPr>
      </w:pPr>
      <w:r>
        <w:rPr>
          <w:rFonts w:hint="eastAsia" w:ascii="宋体" w:hAnsi="宋体" w:eastAsia="宋体" w:cs="宋体"/>
          <w:color w:val="auto"/>
          <w:w w:val="100"/>
          <w:sz w:val="21"/>
          <w:szCs w:val="21"/>
          <w:highlight w:val="none"/>
          <w:lang w:eastAsia="zh-CN"/>
        </w:rPr>
        <w:t>服务区域:  </w:t>
      </w:r>
      <w:r>
        <w:rPr>
          <w:rFonts w:hint="eastAsia" w:ascii="宋体" w:hAnsi="宋体" w:eastAsia="宋体" w:cs="宋体"/>
          <w:color w:val="auto"/>
          <w:w w:val="100"/>
          <w:sz w:val="21"/>
          <w:szCs w:val="21"/>
          <w:highlight w:val="none"/>
          <w:lang w:val="en-US" w:eastAsia="zh-CN"/>
        </w:rPr>
        <w:t xml:space="preserve">                      </w:t>
      </w:r>
      <w:r>
        <w:rPr>
          <w:rFonts w:hint="eastAsia" w:ascii="宋体" w:hAnsi="宋体" w:eastAsia="宋体" w:cs="宋体"/>
          <w:color w:val="auto"/>
          <w:w w:val="100"/>
          <w:sz w:val="21"/>
          <w:szCs w:val="21"/>
          <w:highlight w:val="none"/>
          <w:lang w:eastAsia="zh-CN"/>
        </w:rPr>
        <w:t>保洁员:</w:t>
      </w:r>
      <w:r>
        <w:rPr>
          <w:rFonts w:hint="eastAsia" w:ascii="宋体" w:hAnsi="宋体" w:eastAsia="宋体" w:cs="宋体"/>
          <w:color w:val="auto"/>
          <w:w w:val="100"/>
          <w:sz w:val="21"/>
          <w:szCs w:val="21"/>
          <w:highlight w:val="none"/>
          <w:lang w:val="en-US" w:eastAsia="zh-CN"/>
        </w:rPr>
        <w:t xml:space="preserve">                     </w:t>
      </w:r>
      <w:r>
        <w:rPr>
          <w:rFonts w:hint="eastAsia" w:ascii="宋体" w:hAnsi="宋体" w:eastAsia="宋体" w:cs="宋体"/>
          <w:color w:val="auto"/>
          <w:w w:val="100"/>
          <w:sz w:val="21"/>
          <w:szCs w:val="21"/>
          <w:highlight w:val="none"/>
          <w:lang w:eastAsia="zh-CN"/>
        </w:rPr>
        <w:t>考评时间:20</w:t>
      </w:r>
      <w:r>
        <w:rPr>
          <w:rFonts w:hint="eastAsia" w:ascii="宋体" w:hAnsi="宋体" w:eastAsia="宋体" w:cs="宋体"/>
          <w:color w:val="auto"/>
          <w:w w:val="100"/>
          <w:sz w:val="21"/>
          <w:szCs w:val="21"/>
          <w:highlight w:val="none"/>
          <w:lang w:val="en-US" w:eastAsia="zh-CN"/>
        </w:rPr>
        <w:t xml:space="preserve">     </w:t>
      </w:r>
      <w:r>
        <w:rPr>
          <w:rFonts w:hint="eastAsia" w:ascii="宋体" w:hAnsi="宋体" w:eastAsia="宋体" w:cs="宋体"/>
          <w:color w:val="auto"/>
          <w:w w:val="100"/>
          <w:sz w:val="21"/>
          <w:szCs w:val="21"/>
          <w:highlight w:val="none"/>
          <w:lang w:eastAsia="zh-CN"/>
        </w:rPr>
        <w:t>年</w:t>
      </w:r>
      <w:r>
        <w:rPr>
          <w:rFonts w:hint="eastAsia" w:ascii="宋体" w:hAnsi="宋体" w:eastAsia="宋体" w:cs="宋体"/>
          <w:color w:val="auto"/>
          <w:w w:val="100"/>
          <w:sz w:val="21"/>
          <w:szCs w:val="21"/>
          <w:highlight w:val="none"/>
          <w:lang w:val="en-US" w:eastAsia="zh-CN"/>
        </w:rPr>
        <w:t xml:space="preserve">    </w:t>
      </w:r>
      <w:r>
        <w:rPr>
          <w:rFonts w:hint="eastAsia" w:ascii="宋体" w:hAnsi="宋体" w:eastAsia="宋体" w:cs="宋体"/>
          <w:color w:val="auto"/>
          <w:w w:val="100"/>
          <w:sz w:val="21"/>
          <w:szCs w:val="21"/>
          <w:highlight w:val="none"/>
          <w:lang w:eastAsia="zh-CN"/>
        </w:rPr>
        <w:t>月</w:t>
      </w:r>
    </w:p>
    <w:tbl>
      <w:tblPr>
        <w:tblStyle w:val="50"/>
        <w:tblW w:w="0" w:type="auto"/>
        <w:tblInd w:w="2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27"/>
        <w:gridCol w:w="927"/>
        <w:gridCol w:w="10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trPr>
        <w:tc>
          <w:tcPr>
            <w:tcW w:w="7227"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afterAutospacing="0" w:line="240" w:lineRule="auto"/>
              <w:ind w:firstLine="0" w:firstLineChars="0"/>
              <w:jc w:val="center"/>
              <w:textAlignment w:val="auto"/>
              <w:rPr>
                <w:rFonts w:hint="eastAsia" w:ascii="宋体" w:hAnsi="宋体" w:eastAsia="宋体" w:cs="宋体"/>
                <w:color w:val="auto"/>
                <w:w w:val="100"/>
                <w:sz w:val="21"/>
                <w:szCs w:val="21"/>
                <w:highlight w:val="none"/>
                <w:vertAlign w:val="baseline"/>
                <w:lang w:eastAsia="zh-CN"/>
              </w:rPr>
            </w:pPr>
            <w:r>
              <w:rPr>
                <w:rFonts w:hint="eastAsia" w:ascii="宋体" w:hAnsi="宋体" w:eastAsia="宋体" w:cs="宋体"/>
                <w:color w:val="auto"/>
                <w:w w:val="100"/>
                <w:sz w:val="21"/>
                <w:szCs w:val="21"/>
                <w:highlight w:val="none"/>
                <w:vertAlign w:val="baseline"/>
                <w:lang w:eastAsia="zh-CN"/>
              </w:rPr>
              <w:t>质量考评标准</w:t>
            </w:r>
          </w:p>
        </w:tc>
        <w:tc>
          <w:tcPr>
            <w:tcW w:w="927"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afterAutospacing="0" w:line="240" w:lineRule="auto"/>
              <w:ind w:firstLine="0" w:firstLineChars="0"/>
              <w:jc w:val="center"/>
              <w:textAlignment w:val="auto"/>
              <w:rPr>
                <w:rFonts w:hint="eastAsia" w:ascii="宋体" w:hAnsi="宋体" w:eastAsia="宋体" w:cs="宋体"/>
                <w:color w:val="auto"/>
                <w:w w:val="100"/>
                <w:sz w:val="21"/>
                <w:szCs w:val="21"/>
                <w:highlight w:val="none"/>
                <w:vertAlign w:val="baseline"/>
                <w:lang w:eastAsia="zh-CN"/>
              </w:rPr>
            </w:pPr>
            <w:r>
              <w:rPr>
                <w:rFonts w:hint="eastAsia" w:ascii="宋体" w:hAnsi="宋体" w:eastAsia="宋体" w:cs="宋体"/>
                <w:color w:val="auto"/>
                <w:w w:val="100"/>
                <w:sz w:val="21"/>
                <w:szCs w:val="21"/>
                <w:highlight w:val="none"/>
                <w:vertAlign w:val="baseline"/>
                <w:lang w:eastAsia="zh-CN"/>
              </w:rPr>
              <w:t>分值</w:t>
            </w:r>
          </w:p>
        </w:tc>
        <w:tc>
          <w:tcPr>
            <w:tcW w:w="1064"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afterAutospacing="0" w:line="240" w:lineRule="auto"/>
              <w:ind w:firstLine="0" w:firstLineChars="0"/>
              <w:jc w:val="center"/>
              <w:textAlignment w:val="auto"/>
              <w:rPr>
                <w:rFonts w:hint="eastAsia" w:ascii="宋体" w:hAnsi="宋体" w:eastAsia="宋体" w:cs="宋体"/>
                <w:color w:val="auto"/>
                <w:w w:val="100"/>
                <w:sz w:val="21"/>
                <w:szCs w:val="21"/>
                <w:highlight w:val="none"/>
                <w:vertAlign w:val="baseline"/>
                <w:lang w:eastAsia="zh-CN"/>
              </w:rPr>
            </w:pPr>
            <w:r>
              <w:rPr>
                <w:rFonts w:hint="eastAsia" w:ascii="宋体" w:hAnsi="宋体" w:eastAsia="宋体" w:cs="宋体"/>
                <w:color w:val="auto"/>
                <w:w w:val="100"/>
                <w:sz w:val="21"/>
                <w:szCs w:val="21"/>
                <w:highlight w:val="none"/>
                <w:vertAlign w:val="baseline"/>
                <w:lang w:eastAsia="zh-CN"/>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2" w:hRule="atLeast"/>
        </w:trPr>
        <w:tc>
          <w:tcPr>
            <w:tcW w:w="7227"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line="300" w:lineRule="exact"/>
              <w:ind w:firstLine="0" w:firstLineChars="0"/>
              <w:jc w:val="left"/>
              <w:textAlignment w:val="auto"/>
              <w:rPr>
                <w:rFonts w:hint="eastAsia" w:ascii="宋体" w:hAnsi="宋体" w:eastAsia="宋体" w:cs="宋体"/>
                <w:color w:val="auto"/>
                <w:w w:val="100"/>
                <w:sz w:val="21"/>
                <w:szCs w:val="21"/>
                <w:highlight w:val="none"/>
                <w:lang w:val="en-US" w:eastAsia="zh-CN"/>
              </w:rPr>
            </w:pPr>
            <w:r>
              <w:rPr>
                <w:rFonts w:hint="eastAsia" w:ascii="宋体" w:hAnsi="宋体" w:eastAsia="宋体" w:cs="宋体"/>
                <w:color w:val="auto"/>
                <w:w w:val="100"/>
                <w:sz w:val="21"/>
                <w:szCs w:val="21"/>
                <w:highlight w:val="none"/>
                <w:lang w:val="en-US" w:eastAsia="zh-CN"/>
              </w:rPr>
              <w:t>一、各楼层区域保洁标准:</w:t>
            </w:r>
          </w:p>
          <w:p>
            <w:pPr>
              <w:keepNext w:val="0"/>
              <w:keepLines w:val="0"/>
              <w:pageBreakBefore w:val="0"/>
              <w:widowControl/>
              <w:numPr>
                <w:ilvl w:val="0"/>
                <w:numId w:val="0"/>
              </w:numPr>
              <w:kinsoku/>
              <w:wordWrap/>
              <w:overflowPunct/>
              <w:topLinePunct w:val="0"/>
              <w:autoSpaceDE/>
              <w:autoSpaceDN/>
              <w:bidi w:val="0"/>
              <w:adjustRightInd/>
              <w:snapToGrid/>
              <w:spacing w:line="300" w:lineRule="exact"/>
              <w:ind w:firstLine="0" w:firstLineChars="0"/>
              <w:jc w:val="left"/>
              <w:textAlignment w:val="auto"/>
              <w:rPr>
                <w:rFonts w:hint="eastAsia" w:ascii="宋体" w:hAnsi="宋体" w:eastAsia="宋体" w:cs="宋体"/>
                <w:color w:val="auto"/>
                <w:w w:val="100"/>
                <w:sz w:val="21"/>
                <w:szCs w:val="21"/>
                <w:highlight w:val="none"/>
                <w:lang w:val="en-US" w:eastAsia="zh-CN"/>
              </w:rPr>
            </w:pPr>
            <w:r>
              <w:rPr>
                <w:rFonts w:hint="eastAsia" w:ascii="宋体" w:hAnsi="宋体" w:eastAsia="宋体" w:cs="宋体"/>
                <w:color w:val="auto"/>
                <w:w w:val="100"/>
                <w:sz w:val="21"/>
                <w:szCs w:val="21"/>
                <w:highlight w:val="none"/>
                <w:lang w:val="en-US" w:eastAsia="zh-CN"/>
              </w:rPr>
              <w:t>1、卫生间无异味。4分</w:t>
            </w:r>
          </w:p>
          <w:p>
            <w:pPr>
              <w:keepNext w:val="0"/>
              <w:keepLines w:val="0"/>
              <w:pageBreakBefore w:val="0"/>
              <w:widowControl/>
              <w:numPr>
                <w:ilvl w:val="0"/>
                <w:numId w:val="0"/>
              </w:numPr>
              <w:kinsoku/>
              <w:wordWrap/>
              <w:overflowPunct/>
              <w:topLinePunct w:val="0"/>
              <w:autoSpaceDE/>
              <w:autoSpaceDN/>
              <w:bidi w:val="0"/>
              <w:adjustRightInd/>
              <w:snapToGrid/>
              <w:spacing w:line="300" w:lineRule="exact"/>
              <w:ind w:firstLine="0" w:firstLineChars="0"/>
              <w:jc w:val="left"/>
              <w:textAlignment w:val="auto"/>
              <w:rPr>
                <w:rFonts w:hint="eastAsia" w:ascii="宋体" w:hAnsi="宋体" w:eastAsia="宋体" w:cs="宋体"/>
                <w:color w:val="auto"/>
                <w:w w:val="100"/>
                <w:sz w:val="21"/>
                <w:szCs w:val="21"/>
                <w:highlight w:val="none"/>
                <w:lang w:val="en-US" w:eastAsia="zh-CN"/>
              </w:rPr>
            </w:pPr>
            <w:r>
              <w:rPr>
                <w:rFonts w:hint="eastAsia" w:ascii="宋体" w:hAnsi="宋体" w:eastAsia="宋体" w:cs="宋体"/>
                <w:color w:val="auto"/>
                <w:w w:val="100"/>
                <w:sz w:val="21"/>
                <w:szCs w:val="21"/>
                <w:highlight w:val="none"/>
                <w:lang w:val="en-US" w:eastAsia="zh-CN"/>
              </w:rPr>
              <w:t>2、</w:t>
            </w:r>
            <w:r>
              <w:rPr>
                <w:rFonts w:hint="eastAsia" w:ascii="宋体" w:hAnsi="宋体" w:eastAsia="宋体" w:cs="宋体"/>
                <w:color w:val="auto"/>
                <w:w w:val="100"/>
                <w:sz w:val="21"/>
                <w:szCs w:val="21"/>
                <w:highlight w:val="none"/>
                <w:lang w:eastAsia="zh-CN"/>
              </w:rPr>
              <w:t>走廊</w:t>
            </w:r>
            <w:r>
              <w:rPr>
                <w:rFonts w:hint="eastAsia" w:ascii="宋体" w:hAnsi="宋体" w:eastAsia="宋体" w:cs="宋体"/>
                <w:color w:val="auto"/>
                <w:w w:val="100"/>
                <w:sz w:val="21"/>
                <w:szCs w:val="21"/>
                <w:highlight w:val="none"/>
                <w:lang w:val="en-US" w:eastAsia="zh-CN"/>
              </w:rPr>
              <w:t>及地面:无尘土、碎纸烟头、积水、尿迹污迹。4分</w:t>
            </w:r>
          </w:p>
          <w:p>
            <w:pPr>
              <w:keepNext w:val="0"/>
              <w:keepLines w:val="0"/>
              <w:pageBreakBefore w:val="0"/>
              <w:widowControl/>
              <w:numPr>
                <w:ilvl w:val="0"/>
                <w:numId w:val="0"/>
              </w:numPr>
              <w:kinsoku/>
              <w:wordWrap/>
              <w:overflowPunct/>
              <w:topLinePunct w:val="0"/>
              <w:autoSpaceDE/>
              <w:autoSpaceDN/>
              <w:bidi w:val="0"/>
              <w:adjustRightInd/>
              <w:snapToGrid/>
              <w:spacing w:line="300" w:lineRule="exact"/>
              <w:ind w:firstLine="0" w:firstLineChars="0"/>
              <w:jc w:val="left"/>
              <w:textAlignment w:val="auto"/>
              <w:rPr>
                <w:rFonts w:hint="eastAsia" w:ascii="宋体" w:hAnsi="宋体" w:eastAsia="宋体" w:cs="宋体"/>
                <w:color w:val="auto"/>
                <w:w w:val="100"/>
                <w:sz w:val="21"/>
                <w:szCs w:val="21"/>
                <w:highlight w:val="none"/>
                <w:lang w:val="en-US" w:eastAsia="zh-CN"/>
              </w:rPr>
            </w:pPr>
            <w:r>
              <w:rPr>
                <w:rFonts w:hint="eastAsia" w:ascii="宋体" w:hAnsi="宋体" w:eastAsia="宋体" w:cs="宋体"/>
                <w:color w:val="auto"/>
                <w:w w:val="100"/>
                <w:sz w:val="21"/>
                <w:szCs w:val="21"/>
                <w:highlight w:val="none"/>
                <w:lang w:val="en-US" w:eastAsia="zh-CN"/>
              </w:rPr>
              <w:t>3、洗手池:池壁无污垢、痰迹及头发等不洁物。2分</w:t>
            </w:r>
          </w:p>
          <w:p>
            <w:pPr>
              <w:keepNext w:val="0"/>
              <w:keepLines w:val="0"/>
              <w:pageBreakBefore w:val="0"/>
              <w:widowControl/>
              <w:numPr>
                <w:ilvl w:val="0"/>
                <w:numId w:val="0"/>
              </w:numPr>
              <w:kinsoku/>
              <w:wordWrap/>
              <w:overflowPunct/>
              <w:topLinePunct w:val="0"/>
              <w:autoSpaceDE/>
              <w:autoSpaceDN/>
              <w:bidi w:val="0"/>
              <w:adjustRightInd/>
              <w:snapToGrid/>
              <w:spacing w:line="300" w:lineRule="exact"/>
              <w:ind w:firstLine="0" w:firstLineChars="0"/>
              <w:jc w:val="left"/>
              <w:textAlignment w:val="auto"/>
              <w:rPr>
                <w:rFonts w:hint="eastAsia" w:ascii="宋体" w:hAnsi="宋体" w:eastAsia="宋体" w:cs="宋体"/>
                <w:color w:val="auto"/>
                <w:w w:val="100"/>
                <w:sz w:val="21"/>
                <w:szCs w:val="21"/>
                <w:highlight w:val="none"/>
                <w:lang w:val="en-US" w:eastAsia="zh-CN"/>
              </w:rPr>
            </w:pPr>
            <w:r>
              <w:rPr>
                <w:rFonts w:hint="eastAsia" w:ascii="宋体" w:hAnsi="宋体" w:eastAsia="宋体" w:cs="宋体"/>
                <w:color w:val="auto"/>
                <w:w w:val="100"/>
                <w:sz w:val="21"/>
                <w:szCs w:val="21"/>
                <w:highlight w:val="none"/>
                <w:lang w:val="en-US" w:eastAsia="zh-CN"/>
              </w:rPr>
              <w:t>4、水龙头:无印迹、污垢、光亮、洁净。2分</w:t>
            </w:r>
          </w:p>
          <w:p>
            <w:pPr>
              <w:keepNext w:val="0"/>
              <w:keepLines w:val="0"/>
              <w:pageBreakBefore w:val="0"/>
              <w:widowControl/>
              <w:numPr>
                <w:ilvl w:val="0"/>
                <w:numId w:val="0"/>
              </w:numPr>
              <w:kinsoku/>
              <w:wordWrap/>
              <w:overflowPunct/>
              <w:topLinePunct w:val="0"/>
              <w:autoSpaceDE/>
              <w:autoSpaceDN/>
              <w:bidi w:val="0"/>
              <w:adjustRightInd/>
              <w:snapToGrid/>
              <w:spacing w:line="300" w:lineRule="exact"/>
              <w:ind w:firstLine="0" w:firstLineChars="0"/>
              <w:jc w:val="left"/>
              <w:textAlignment w:val="auto"/>
              <w:rPr>
                <w:rFonts w:hint="eastAsia" w:ascii="宋体" w:hAnsi="宋体" w:eastAsia="宋体" w:cs="宋体"/>
                <w:color w:val="auto"/>
                <w:w w:val="100"/>
                <w:sz w:val="21"/>
                <w:szCs w:val="21"/>
                <w:highlight w:val="none"/>
                <w:lang w:val="en-US" w:eastAsia="zh-CN"/>
              </w:rPr>
            </w:pPr>
            <w:r>
              <w:rPr>
                <w:rFonts w:hint="eastAsia" w:ascii="宋体" w:hAnsi="宋体" w:eastAsia="宋体" w:cs="宋体"/>
                <w:color w:val="auto"/>
                <w:w w:val="100"/>
                <w:sz w:val="21"/>
                <w:szCs w:val="21"/>
                <w:highlight w:val="none"/>
                <w:lang w:val="en-US" w:eastAsia="zh-CN"/>
              </w:rPr>
              <w:t>5、洗手池台面:无水迹、无尘土、无污物。2分</w:t>
            </w:r>
          </w:p>
          <w:p>
            <w:pPr>
              <w:keepNext w:val="0"/>
              <w:keepLines w:val="0"/>
              <w:pageBreakBefore w:val="0"/>
              <w:widowControl/>
              <w:numPr>
                <w:ilvl w:val="0"/>
                <w:numId w:val="0"/>
              </w:numPr>
              <w:kinsoku/>
              <w:wordWrap/>
              <w:overflowPunct/>
              <w:topLinePunct w:val="0"/>
              <w:autoSpaceDE/>
              <w:autoSpaceDN/>
              <w:bidi w:val="0"/>
              <w:adjustRightInd/>
              <w:snapToGrid/>
              <w:spacing w:line="300" w:lineRule="exact"/>
              <w:ind w:firstLine="0" w:firstLineChars="0"/>
              <w:jc w:val="left"/>
              <w:textAlignment w:val="auto"/>
              <w:rPr>
                <w:rFonts w:hint="eastAsia" w:ascii="宋体" w:hAnsi="宋体" w:eastAsia="宋体" w:cs="宋体"/>
                <w:color w:val="auto"/>
                <w:w w:val="100"/>
                <w:sz w:val="21"/>
                <w:szCs w:val="21"/>
                <w:highlight w:val="none"/>
                <w:lang w:val="en-US" w:eastAsia="zh-CN"/>
              </w:rPr>
            </w:pPr>
            <w:r>
              <w:rPr>
                <w:rFonts w:hint="eastAsia" w:ascii="宋体" w:hAnsi="宋体" w:eastAsia="宋体" w:cs="宋体"/>
                <w:color w:val="auto"/>
                <w:w w:val="100"/>
                <w:sz w:val="21"/>
                <w:szCs w:val="21"/>
                <w:highlight w:val="none"/>
                <w:lang w:val="en-US" w:eastAsia="zh-CN"/>
              </w:rPr>
              <w:t>6、镜面:无水点、水迹、尘土、污迹。2分</w:t>
            </w:r>
          </w:p>
          <w:p>
            <w:pPr>
              <w:keepNext w:val="0"/>
              <w:keepLines w:val="0"/>
              <w:pageBreakBefore w:val="0"/>
              <w:widowControl/>
              <w:numPr>
                <w:ilvl w:val="0"/>
                <w:numId w:val="0"/>
              </w:numPr>
              <w:kinsoku/>
              <w:wordWrap/>
              <w:overflowPunct/>
              <w:topLinePunct w:val="0"/>
              <w:autoSpaceDE/>
              <w:autoSpaceDN/>
              <w:bidi w:val="0"/>
              <w:adjustRightInd/>
              <w:snapToGrid/>
              <w:spacing w:line="300" w:lineRule="exact"/>
              <w:ind w:firstLine="0" w:firstLineChars="0"/>
              <w:jc w:val="left"/>
              <w:textAlignment w:val="auto"/>
              <w:rPr>
                <w:rFonts w:hint="eastAsia" w:ascii="宋体" w:hAnsi="宋体" w:eastAsia="宋体" w:cs="宋体"/>
                <w:color w:val="auto"/>
                <w:w w:val="100"/>
                <w:sz w:val="21"/>
                <w:szCs w:val="21"/>
                <w:highlight w:val="none"/>
                <w:lang w:val="en-US" w:eastAsia="zh-CN"/>
              </w:rPr>
            </w:pPr>
            <w:r>
              <w:rPr>
                <w:rFonts w:hint="eastAsia" w:ascii="宋体" w:hAnsi="宋体" w:eastAsia="宋体" w:cs="宋体"/>
                <w:color w:val="auto"/>
                <w:w w:val="100"/>
                <w:sz w:val="21"/>
                <w:szCs w:val="21"/>
                <w:highlight w:val="none"/>
                <w:lang w:val="en-US" w:eastAsia="zh-CN"/>
              </w:rPr>
              <w:t>8、垃圾桶:污物量不超过桶体2/3，内外表干净。3分</w:t>
            </w:r>
          </w:p>
          <w:p>
            <w:pPr>
              <w:keepNext w:val="0"/>
              <w:keepLines w:val="0"/>
              <w:pageBreakBefore w:val="0"/>
              <w:widowControl/>
              <w:numPr>
                <w:ilvl w:val="0"/>
                <w:numId w:val="0"/>
              </w:numPr>
              <w:kinsoku/>
              <w:wordWrap/>
              <w:overflowPunct/>
              <w:topLinePunct w:val="0"/>
              <w:autoSpaceDE/>
              <w:autoSpaceDN/>
              <w:bidi w:val="0"/>
              <w:adjustRightInd/>
              <w:snapToGrid/>
              <w:spacing w:line="300" w:lineRule="exact"/>
              <w:ind w:firstLine="0" w:firstLineChars="0"/>
              <w:jc w:val="left"/>
              <w:textAlignment w:val="auto"/>
              <w:rPr>
                <w:rFonts w:hint="eastAsia" w:ascii="宋体" w:hAnsi="宋体" w:eastAsia="宋体" w:cs="宋体"/>
                <w:color w:val="auto"/>
                <w:w w:val="100"/>
                <w:sz w:val="21"/>
                <w:szCs w:val="21"/>
                <w:highlight w:val="none"/>
                <w:lang w:val="en-US" w:eastAsia="zh-CN"/>
              </w:rPr>
            </w:pPr>
            <w:r>
              <w:rPr>
                <w:rFonts w:hint="eastAsia" w:ascii="宋体" w:hAnsi="宋体" w:eastAsia="宋体" w:cs="宋体"/>
                <w:color w:val="auto"/>
                <w:w w:val="100"/>
                <w:sz w:val="21"/>
                <w:szCs w:val="21"/>
                <w:highlight w:val="none"/>
                <w:lang w:val="en-US" w:eastAsia="zh-CN"/>
              </w:rPr>
              <w:t>9、墙面:无尘土、污迹。2分</w:t>
            </w:r>
          </w:p>
          <w:p>
            <w:pPr>
              <w:keepNext w:val="0"/>
              <w:keepLines w:val="0"/>
              <w:pageBreakBefore w:val="0"/>
              <w:widowControl/>
              <w:numPr>
                <w:ilvl w:val="0"/>
                <w:numId w:val="0"/>
              </w:numPr>
              <w:kinsoku/>
              <w:wordWrap/>
              <w:overflowPunct/>
              <w:topLinePunct w:val="0"/>
              <w:autoSpaceDE/>
              <w:autoSpaceDN/>
              <w:bidi w:val="0"/>
              <w:adjustRightInd/>
              <w:snapToGrid/>
              <w:spacing w:line="300" w:lineRule="exact"/>
              <w:ind w:firstLine="0" w:firstLineChars="0"/>
              <w:jc w:val="left"/>
              <w:textAlignment w:val="auto"/>
              <w:rPr>
                <w:rFonts w:hint="eastAsia" w:ascii="宋体" w:hAnsi="宋体" w:eastAsia="宋体" w:cs="宋体"/>
                <w:color w:val="auto"/>
                <w:w w:val="100"/>
                <w:sz w:val="21"/>
                <w:szCs w:val="21"/>
                <w:highlight w:val="none"/>
                <w:lang w:val="en-US" w:eastAsia="zh-CN"/>
              </w:rPr>
            </w:pPr>
            <w:r>
              <w:rPr>
                <w:rFonts w:hint="eastAsia" w:ascii="宋体" w:hAnsi="宋体" w:eastAsia="宋体" w:cs="宋体"/>
                <w:color w:val="auto"/>
                <w:w w:val="100"/>
                <w:sz w:val="21"/>
                <w:szCs w:val="21"/>
                <w:highlight w:val="none"/>
                <w:lang w:val="en-US" w:eastAsia="zh-CN"/>
              </w:rPr>
              <w:t>10、顶板:无尘土、污迹。2分</w:t>
            </w:r>
          </w:p>
          <w:p>
            <w:pPr>
              <w:keepNext w:val="0"/>
              <w:keepLines w:val="0"/>
              <w:pageBreakBefore w:val="0"/>
              <w:widowControl/>
              <w:numPr>
                <w:ilvl w:val="0"/>
                <w:numId w:val="0"/>
              </w:numPr>
              <w:kinsoku/>
              <w:wordWrap/>
              <w:overflowPunct/>
              <w:topLinePunct w:val="0"/>
              <w:autoSpaceDE/>
              <w:autoSpaceDN/>
              <w:bidi w:val="0"/>
              <w:adjustRightInd/>
              <w:snapToGrid/>
              <w:spacing w:line="300" w:lineRule="exact"/>
              <w:ind w:firstLine="0" w:firstLineChars="0"/>
              <w:jc w:val="left"/>
              <w:textAlignment w:val="auto"/>
              <w:rPr>
                <w:rFonts w:hint="eastAsia" w:ascii="宋体" w:hAnsi="宋体" w:eastAsia="宋体" w:cs="宋体"/>
                <w:color w:val="auto"/>
                <w:w w:val="90"/>
                <w:sz w:val="21"/>
                <w:szCs w:val="21"/>
                <w:highlight w:val="none"/>
                <w:lang w:val="en-US" w:eastAsia="zh-CN"/>
              </w:rPr>
            </w:pPr>
            <w:r>
              <w:rPr>
                <w:rFonts w:hint="eastAsia" w:ascii="宋体" w:hAnsi="宋体" w:eastAsia="宋体" w:cs="宋体"/>
                <w:color w:val="auto"/>
                <w:w w:val="100"/>
                <w:sz w:val="21"/>
                <w:szCs w:val="21"/>
                <w:highlight w:val="none"/>
                <w:lang w:val="en-US" w:eastAsia="zh-CN"/>
              </w:rPr>
              <w:t>11、隔板:无尘土、污迹、无手印。2分</w:t>
            </w:r>
          </w:p>
        </w:tc>
        <w:tc>
          <w:tcPr>
            <w:tcW w:w="927"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afterAutospacing="0" w:line="300" w:lineRule="exact"/>
              <w:jc w:val="center"/>
              <w:textAlignment w:val="auto"/>
              <w:rPr>
                <w:rFonts w:hint="eastAsia" w:ascii="宋体" w:hAnsi="宋体" w:eastAsia="宋体" w:cs="宋体"/>
                <w:color w:val="auto"/>
                <w:w w:val="90"/>
                <w:sz w:val="21"/>
                <w:szCs w:val="21"/>
                <w:highlight w:val="none"/>
                <w:vertAlign w:val="baseline"/>
                <w:lang w:val="en-US" w:eastAsia="zh-CN"/>
              </w:rPr>
            </w:pPr>
            <w:r>
              <w:rPr>
                <w:rFonts w:hint="eastAsia" w:ascii="宋体" w:hAnsi="宋体" w:eastAsia="宋体" w:cs="宋体"/>
                <w:color w:val="auto"/>
                <w:w w:val="90"/>
                <w:sz w:val="21"/>
                <w:szCs w:val="21"/>
                <w:highlight w:val="none"/>
                <w:vertAlign w:val="baseline"/>
                <w:lang w:val="en-US" w:eastAsia="zh-CN"/>
              </w:rPr>
              <w:t>25分</w:t>
            </w:r>
          </w:p>
        </w:tc>
        <w:tc>
          <w:tcPr>
            <w:tcW w:w="1064"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afterAutospacing="0" w:line="300" w:lineRule="exact"/>
              <w:jc w:val="both"/>
              <w:textAlignment w:val="auto"/>
              <w:rPr>
                <w:rFonts w:hint="eastAsia" w:ascii="宋体" w:hAnsi="宋体" w:eastAsia="宋体" w:cs="宋体"/>
                <w:color w:val="auto"/>
                <w:w w:val="90"/>
                <w:sz w:val="21"/>
                <w:szCs w:val="21"/>
                <w:highlight w:val="none"/>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227"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line="300" w:lineRule="exact"/>
              <w:ind w:firstLine="0" w:firstLineChars="0"/>
              <w:jc w:val="left"/>
              <w:textAlignment w:val="auto"/>
              <w:rPr>
                <w:rFonts w:hint="eastAsia" w:ascii="宋体" w:hAnsi="宋体" w:eastAsia="宋体" w:cs="宋体"/>
                <w:color w:val="auto"/>
                <w:w w:val="100"/>
                <w:sz w:val="21"/>
                <w:szCs w:val="21"/>
                <w:highlight w:val="none"/>
                <w:lang w:val="en-US" w:eastAsia="zh-CN"/>
              </w:rPr>
            </w:pPr>
            <w:r>
              <w:rPr>
                <w:rFonts w:hint="eastAsia" w:ascii="宋体" w:hAnsi="宋体" w:eastAsia="宋体" w:cs="宋体"/>
                <w:color w:val="auto"/>
                <w:w w:val="100"/>
                <w:sz w:val="21"/>
                <w:szCs w:val="21"/>
                <w:highlight w:val="none"/>
                <w:lang w:val="en-US" w:eastAsia="zh-CN"/>
              </w:rPr>
              <w:t>二、楼梯保洁标准:</w:t>
            </w:r>
          </w:p>
          <w:p>
            <w:pPr>
              <w:keepNext w:val="0"/>
              <w:keepLines w:val="0"/>
              <w:pageBreakBefore w:val="0"/>
              <w:widowControl/>
              <w:numPr>
                <w:ilvl w:val="0"/>
                <w:numId w:val="0"/>
              </w:numPr>
              <w:kinsoku/>
              <w:wordWrap/>
              <w:overflowPunct/>
              <w:topLinePunct w:val="0"/>
              <w:autoSpaceDE/>
              <w:autoSpaceDN/>
              <w:bidi w:val="0"/>
              <w:adjustRightInd/>
              <w:snapToGrid/>
              <w:spacing w:line="300" w:lineRule="exact"/>
              <w:ind w:firstLine="0" w:firstLineChars="0"/>
              <w:jc w:val="left"/>
              <w:textAlignment w:val="auto"/>
              <w:rPr>
                <w:rFonts w:hint="eastAsia" w:ascii="宋体" w:hAnsi="宋体" w:eastAsia="宋体" w:cs="宋体"/>
                <w:color w:val="auto"/>
                <w:w w:val="100"/>
                <w:sz w:val="21"/>
                <w:szCs w:val="21"/>
                <w:highlight w:val="none"/>
                <w:lang w:val="en-US" w:eastAsia="zh-CN"/>
              </w:rPr>
            </w:pPr>
            <w:r>
              <w:rPr>
                <w:rFonts w:hint="eastAsia" w:ascii="宋体" w:hAnsi="宋体" w:eastAsia="宋体" w:cs="宋体"/>
                <w:color w:val="auto"/>
                <w:w w:val="100"/>
                <w:sz w:val="21"/>
                <w:szCs w:val="21"/>
                <w:highlight w:val="none"/>
                <w:lang w:val="en-US" w:eastAsia="zh-CN"/>
              </w:rPr>
              <w:t>1、地面:无尘土、痰迹、碎纸、烟头、垃圾。7分</w:t>
            </w:r>
          </w:p>
          <w:p>
            <w:pPr>
              <w:keepNext w:val="0"/>
              <w:keepLines w:val="0"/>
              <w:pageBreakBefore w:val="0"/>
              <w:widowControl/>
              <w:numPr>
                <w:ilvl w:val="0"/>
                <w:numId w:val="0"/>
              </w:numPr>
              <w:kinsoku/>
              <w:wordWrap/>
              <w:overflowPunct/>
              <w:topLinePunct w:val="0"/>
              <w:autoSpaceDE/>
              <w:autoSpaceDN/>
              <w:bidi w:val="0"/>
              <w:adjustRightInd/>
              <w:snapToGrid/>
              <w:spacing w:line="300" w:lineRule="exact"/>
              <w:ind w:firstLine="0" w:firstLineChars="0"/>
              <w:jc w:val="left"/>
              <w:textAlignment w:val="auto"/>
              <w:rPr>
                <w:rFonts w:hint="eastAsia" w:ascii="宋体" w:hAnsi="宋体" w:eastAsia="宋体" w:cs="宋体"/>
                <w:color w:val="auto"/>
                <w:w w:val="100"/>
                <w:sz w:val="21"/>
                <w:szCs w:val="21"/>
                <w:highlight w:val="none"/>
                <w:lang w:val="en-US" w:eastAsia="zh-CN"/>
              </w:rPr>
            </w:pPr>
            <w:r>
              <w:rPr>
                <w:rFonts w:hint="eastAsia" w:ascii="宋体" w:hAnsi="宋体" w:eastAsia="宋体" w:cs="宋体"/>
                <w:color w:val="auto"/>
                <w:w w:val="100"/>
                <w:sz w:val="21"/>
                <w:szCs w:val="21"/>
                <w:highlight w:val="none"/>
                <w:lang w:val="en-US" w:eastAsia="zh-CN"/>
              </w:rPr>
              <w:t>2、墙面:无污迹。3分</w:t>
            </w:r>
          </w:p>
          <w:p>
            <w:pPr>
              <w:keepNext w:val="0"/>
              <w:keepLines w:val="0"/>
              <w:pageBreakBefore w:val="0"/>
              <w:widowControl/>
              <w:numPr>
                <w:ilvl w:val="0"/>
                <w:numId w:val="0"/>
              </w:numPr>
              <w:kinsoku/>
              <w:wordWrap/>
              <w:overflowPunct/>
              <w:topLinePunct w:val="0"/>
              <w:autoSpaceDE/>
              <w:autoSpaceDN/>
              <w:bidi w:val="0"/>
              <w:adjustRightInd/>
              <w:snapToGrid/>
              <w:spacing w:line="300" w:lineRule="exact"/>
              <w:ind w:firstLine="0" w:firstLineChars="0"/>
              <w:jc w:val="left"/>
              <w:textAlignment w:val="auto"/>
              <w:rPr>
                <w:rFonts w:hint="eastAsia" w:ascii="宋体" w:hAnsi="宋体" w:eastAsia="宋体" w:cs="宋体"/>
                <w:color w:val="auto"/>
                <w:w w:val="100"/>
                <w:sz w:val="21"/>
                <w:szCs w:val="21"/>
                <w:highlight w:val="none"/>
                <w:lang w:val="en-US" w:eastAsia="zh-CN"/>
              </w:rPr>
            </w:pPr>
            <w:r>
              <w:rPr>
                <w:rFonts w:hint="eastAsia" w:ascii="宋体" w:hAnsi="宋体" w:eastAsia="宋体" w:cs="宋体"/>
                <w:color w:val="auto"/>
                <w:w w:val="100"/>
                <w:sz w:val="21"/>
                <w:szCs w:val="21"/>
                <w:highlight w:val="none"/>
                <w:lang w:val="en-US" w:eastAsia="zh-CN"/>
              </w:rPr>
              <w:t>3、消防设备:表面无尘土。3分</w:t>
            </w:r>
          </w:p>
          <w:p>
            <w:pPr>
              <w:keepNext w:val="0"/>
              <w:keepLines w:val="0"/>
              <w:pageBreakBefore w:val="0"/>
              <w:widowControl/>
              <w:numPr>
                <w:ilvl w:val="0"/>
                <w:numId w:val="0"/>
              </w:numPr>
              <w:kinsoku/>
              <w:wordWrap/>
              <w:overflowPunct/>
              <w:topLinePunct w:val="0"/>
              <w:autoSpaceDE/>
              <w:autoSpaceDN/>
              <w:bidi w:val="0"/>
              <w:adjustRightInd/>
              <w:snapToGrid/>
              <w:spacing w:line="300" w:lineRule="exact"/>
              <w:ind w:firstLine="0" w:firstLineChars="0"/>
              <w:jc w:val="left"/>
              <w:textAlignment w:val="auto"/>
              <w:rPr>
                <w:rFonts w:hint="eastAsia" w:ascii="宋体" w:hAnsi="宋体" w:eastAsia="宋体" w:cs="宋体"/>
                <w:color w:val="auto"/>
                <w:w w:val="100"/>
                <w:sz w:val="21"/>
                <w:szCs w:val="21"/>
                <w:highlight w:val="none"/>
                <w:lang w:val="en-US" w:eastAsia="zh-CN"/>
              </w:rPr>
            </w:pPr>
            <w:r>
              <w:rPr>
                <w:rFonts w:hint="eastAsia" w:ascii="宋体" w:hAnsi="宋体" w:eastAsia="宋体" w:cs="宋体"/>
                <w:color w:val="auto"/>
                <w:w w:val="100"/>
                <w:sz w:val="21"/>
                <w:szCs w:val="21"/>
                <w:highlight w:val="none"/>
                <w:lang w:val="en-US" w:eastAsia="zh-CN"/>
              </w:rPr>
              <w:t>4、楼梯、扶手:地面无尘土、烟头、痰迹及垃圾杂物，扶手无尘土。3分</w:t>
            </w:r>
          </w:p>
          <w:p>
            <w:pPr>
              <w:keepNext w:val="0"/>
              <w:keepLines w:val="0"/>
              <w:pageBreakBefore w:val="0"/>
              <w:widowControl/>
              <w:numPr>
                <w:ilvl w:val="0"/>
                <w:numId w:val="0"/>
              </w:numPr>
              <w:kinsoku/>
              <w:wordWrap/>
              <w:overflowPunct/>
              <w:topLinePunct w:val="0"/>
              <w:autoSpaceDE/>
              <w:autoSpaceDN/>
              <w:bidi w:val="0"/>
              <w:adjustRightInd/>
              <w:snapToGrid/>
              <w:spacing w:line="300" w:lineRule="exact"/>
              <w:ind w:firstLine="0" w:firstLineChars="0"/>
              <w:textAlignment w:val="auto"/>
              <w:rPr>
                <w:rFonts w:hint="eastAsia" w:ascii="宋体" w:hAnsi="宋体" w:eastAsia="宋体" w:cs="宋体"/>
                <w:color w:val="auto"/>
                <w:w w:val="100"/>
                <w:sz w:val="21"/>
                <w:szCs w:val="21"/>
                <w:highlight w:val="none"/>
                <w:lang w:val="en-US" w:eastAsia="zh-CN"/>
              </w:rPr>
            </w:pPr>
            <w:r>
              <w:rPr>
                <w:rFonts w:hint="eastAsia" w:ascii="宋体" w:hAnsi="宋体" w:eastAsia="宋体" w:cs="宋体"/>
                <w:color w:val="auto"/>
                <w:w w:val="100"/>
                <w:sz w:val="21"/>
                <w:szCs w:val="21"/>
                <w:highlight w:val="none"/>
                <w:lang w:val="en-US" w:eastAsia="zh-CN"/>
              </w:rPr>
              <w:t>5、垃圾桶：污物量不超过桶体2/3，内外表干净。6分</w:t>
            </w:r>
          </w:p>
          <w:p>
            <w:pPr>
              <w:keepNext w:val="0"/>
              <w:keepLines w:val="0"/>
              <w:pageBreakBefore w:val="0"/>
              <w:widowControl/>
              <w:numPr>
                <w:ilvl w:val="0"/>
                <w:numId w:val="0"/>
              </w:numPr>
              <w:kinsoku/>
              <w:wordWrap/>
              <w:overflowPunct/>
              <w:topLinePunct w:val="0"/>
              <w:autoSpaceDE/>
              <w:autoSpaceDN/>
              <w:bidi w:val="0"/>
              <w:adjustRightInd/>
              <w:snapToGrid/>
              <w:spacing w:line="300" w:lineRule="exact"/>
              <w:ind w:firstLine="0" w:firstLineChars="0"/>
              <w:textAlignment w:val="auto"/>
              <w:rPr>
                <w:rFonts w:hint="eastAsia" w:ascii="宋体" w:hAnsi="宋体" w:eastAsia="宋体" w:cs="宋体"/>
                <w:color w:val="auto"/>
                <w:w w:val="90"/>
                <w:sz w:val="21"/>
                <w:szCs w:val="21"/>
                <w:highlight w:val="none"/>
                <w:lang w:val="en-US" w:eastAsia="zh-CN"/>
              </w:rPr>
            </w:pPr>
            <w:r>
              <w:rPr>
                <w:rFonts w:hint="eastAsia" w:ascii="宋体" w:hAnsi="宋体" w:eastAsia="宋体" w:cs="宋体"/>
                <w:color w:val="auto"/>
                <w:w w:val="100"/>
                <w:sz w:val="21"/>
                <w:szCs w:val="21"/>
                <w:highlight w:val="none"/>
                <w:lang w:val="en-US" w:eastAsia="zh-CN"/>
              </w:rPr>
              <w:t>6、顶板:无尘土、污迹。3分</w:t>
            </w:r>
          </w:p>
        </w:tc>
        <w:tc>
          <w:tcPr>
            <w:tcW w:w="927"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afterAutospacing="0" w:line="300" w:lineRule="exact"/>
              <w:jc w:val="center"/>
              <w:textAlignment w:val="auto"/>
              <w:rPr>
                <w:rFonts w:hint="eastAsia" w:ascii="宋体" w:hAnsi="宋体" w:eastAsia="宋体" w:cs="宋体"/>
                <w:color w:val="auto"/>
                <w:w w:val="90"/>
                <w:sz w:val="21"/>
                <w:szCs w:val="21"/>
                <w:highlight w:val="none"/>
                <w:vertAlign w:val="baseline"/>
                <w:lang w:val="en-US" w:eastAsia="zh-CN"/>
              </w:rPr>
            </w:pPr>
            <w:r>
              <w:rPr>
                <w:rFonts w:hint="eastAsia" w:ascii="宋体" w:hAnsi="宋体" w:eastAsia="宋体" w:cs="宋体"/>
                <w:color w:val="auto"/>
                <w:w w:val="90"/>
                <w:sz w:val="21"/>
                <w:szCs w:val="21"/>
                <w:highlight w:val="none"/>
                <w:vertAlign w:val="baseline"/>
                <w:lang w:val="en-US" w:eastAsia="zh-CN"/>
              </w:rPr>
              <w:t>25分</w:t>
            </w:r>
          </w:p>
        </w:tc>
        <w:tc>
          <w:tcPr>
            <w:tcW w:w="1064"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afterAutospacing="0" w:line="300" w:lineRule="exact"/>
              <w:jc w:val="both"/>
              <w:textAlignment w:val="auto"/>
              <w:rPr>
                <w:rFonts w:hint="eastAsia" w:ascii="宋体" w:hAnsi="宋体" w:eastAsia="宋体" w:cs="宋体"/>
                <w:color w:val="auto"/>
                <w:w w:val="90"/>
                <w:sz w:val="21"/>
                <w:szCs w:val="21"/>
                <w:highlight w:val="none"/>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5" w:hRule="atLeast"/>
        </w:trPr>
        <w:tc>
          <w:tcPr>
            <w:tcW w:w="7227"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line="300" w:lineRule="exact"/>
              <w:ind w:firstLine="0" w:firstLineChars="0"/>
              <w:jc w:val="left"/>
              <w:textAlignment w:val="auto"/>
              <w:rPr>
                <w:rFonts w:hint="eastAsia" w:ascii="宋体" w:hAnsi="宋体" w:eastAsia="宋体" w:cs="宋体"/>
                <w:color w:val="auto"/>
                <w:w w:val="100"/>
                <w:sz w:val="21"/>
                <w:szCs w:val="21"/>
                <w:highlight w:val="none"/>
                <w:lang w:val="en-US" w:eastAsia="zh-CN"/>
              </w:rPr>
            </w:pPr>
            <w:r>
              <w:rPr>
                <w:rFonts w:hint="eastAsia" w:ascii="宋体" w:hAnsi="宋体" w:eastAsia="宋体" w:cs="宋体"/>
                <w:color w:val="auto"/>
                <w:w w:val="100"/>
                <w:sz w:val="21"/>
                <w:szCs w:val="21"/>
                <w:highlight w:val="none"/>
                <w:lang w:val="en-US" w:eastAsia="zh-CN"/>
              </w:rPr>
              <w:t>三、房间保洁标准:</w:t>
            </w:r>
          </w:p>
          <w:p>
            <w:pPr>
              <w:keepNext w:val="0"/>
              <w:keepLines w:val="0"/>
              <w:pageBreakBefore w:val="0"/>
              <w:widowControl/>
              <w:numPr>
                <w:ilvl w:val="0"/>
                <w:numId w:val="0"/>
              </w:numPr>
              <w:kinsoku/>
              <w:wordWrap/>
              <w:overflowPunct/>
              <w:topLinePunct w:val="0"/>
              <w:autoSpaceDE/>
              <w:autoSpaceDN/>
              <w:bidi w:val="0"/>
              <w:adjustRightInd/>
              <w:snapToGrid/>
              <w:spacing w:line="300" w:lineRule="exact"/>
              <w:ind w:firstLine="0" w:firstLineChars="0"/>
              <w:jc w:val="left"/>
              <w:textAlignment w:val="auto"/>
              <w:rPr>
                <w:rFonts w:hint="eastAsia" w:ascii="宋体" w:hAnsi="宋体" w:eastAsia="宋体" w:cs="宋体"/>
                <w:color w:val="auto"/>
                <w:w w:val="100"/>
                <w:sz w:val="21"/>
                <w:szCs w:val="21"/>
                <w:highlight w:val="none"/>
                <w:lang w:val="en-US" w:eastAsia="zh-CN"/>
              </w:rPr>
            </w:pPr>
            <w:r>
              <w:rPr>
                <w:rFonts w:hint="eastAsia" w:ascii="宋体" w:hAnsi="宋体" w:eastAsia="宋体" w:cs="宋体"/>
                <w:color w:val="auto"/>
                <w:w w:val="100"/>
                <w:sz w:val="21"/>
                <w:szCs w:val="21"/>
                <w:highlight w:val="none"/>
                <w:lang w:val="en-US" w:eastAsia="zh-CN"/>
              </w:rPr>
              <w:t>1、地面:洁净、光亮、无尘土、痰渍、碎纸、烟头、杂物。5分</w:t>
            </w:r>
          </w:p>
          <w:p>
            <w:pPr>
              <w:keepNext w:val="0"/>
              <w:keepLines w:val="0"/>
              <w:pageBreakBefore w:val="0"/>
              <w:widowControl/>
              <w:numPr>
                <w:ilvl w:val="0"/>
                <w:numId w:val="0"/>
              </w:numPr>
              <w:kinsoku/>
              <w:wordWrap/>
              <w:overflowPunct/>
              <w:topLinePunct w:val="0"/>
              <w:autoSpaceDE/>
              <w:autoSpaceDN/>
              <w:bidi w:val="0"/>
              <w:adjustRightInd/>
              <w:snapToGrid/>
              <w:spacing w:line="300" w:lineRule="exact"/>
              <w:ind w:firstLine="0" w:firstLineChars="0"/>
              <w:jc w:val="left"/>
              <w:textAlignment w:val="auto"/>
              <w:rPr>
                <w:rFonts w:hint="eastAsia" w:ascii="宋体" w:hAnsi="宋体" w:eastAsia="宋体" w:cs="宋体"/>
                <w:color w:val="auto"/>
                <w:w w:val="100"/>
                <w:sz w:val="21"/>
                <w:szCs w:val="21"/>
                <w:highlight w:val="none"/>
                <w:lang w:val="en-US" w:eastAsia="zh-CN"/>
              </w:rPr>
            </w:pPr>
            <w:r>
              <w:rPr>
                <w:rFonts w:hint="eastAsia" w:ascii="宋体" w:hAnsi="宋体" w:eastAsia="宋体" w:cs="宋体"/>
                <w:color w:val="auto"/>
                <w:w w:val="100"/>
                <w:sz w:val="21"/>
                <w:szCs w:val="21"/>
                <w:highlight w:val="none"/>
                <w:lang w:val="en-US" w:eastAsia="zh-CN"/>
              </w:rPr>
              <w:t>2、墙面:无手印、污迹。3分</w:t>
            </w:r>
          </w:p>
          <w:p>
            <w:pPr>
              <w:keepNext w:val="0"/>
              <w:keepLines w:val="0"/>
              <w:pageBreakBefore w:val="0"/>
              <w:widowControl/>
              <w:numPr>
                <w:ilvl w:val="0"/>
                <w:numId w:val="0"/>
              </w:numPr>
              <w:kinsoku/>
              <w:wordWrap/>
              <w:overflowPunct/>
              <w:topLinePunct w:val="0"/>
              <w:autoSpaceDE/>
              <w:autoSpaceDN/>
              <w:bidi w:val="0"/>
              <w:adjustRightInd/>
              <w:snapToGrid/>
              <w:spacing w:line="300" w:lineRule="exact"/>
              <w:ind w:left="0" w:leftChars="0" w:firstLine="0" w:firstLineChars="0"/>
              <w:jc w:val="left"/>
              <w:textAlignment w:val="auto"/>
              <w:rPr>
                <w:rFonts w:hint="eastAsia" w:ascii="宋体" w:hAnsi="宋体" w:eastAsia="宋体" w:cs="宋体"/>
                <w:color w:val="auto"/>
                <w:w w:val="100"/>
                <w:sz w:val="21"/>
                <w:szCs w:val="21"/>
                <w:highlight w:val="none"/>
                <w:lang w:val="en-US" w:eastAsia="zh-CN"/>
              </w:rPr>
            </w:pPr>
            <w:r>
              <w:rPr>
                <w:rFonts w:hint="eastAsia" w:ascii="宋体" w:hAnsi="宋体" w:eastAsia="宋体" w:cs="宋体"/>
                <w:color w:val="auto"/>
                <w:w w:val="100"/>
                <w:sz w:val="21"/>
                <w:szCs w:val="21"/>
                <w:highlight w:val="none"/>
                <w:lang w:val="en-US" w:eastAsia="zh-CN"/>
              </w:rPr>
              <w:t>3、窗户:明亮、无积灰。3分</w:t>
            </w:r>
          </w:p>
          <w:p>
            <w:pPr>
              <w:keepNext w:val="0"/>
              <w:keepLines w:val="0"/>
              <w:pageBreakBefore w:val="0"/>
              <w:widowControl/>
              <w:numPr>
                <w:ilvl w:val="0"/>
                <w:numId w:val="0"/>
              </w:numPr>
              <w:kinsoku/>
              <w:wordWrap/>
              <w:overflowPunct/>
              <w:topLinePunct w:val="0"/>
              <w:autoSpaceDE/>
              <w:autoSpaceDN/>
              <w:bidi w:val="0"/>
              <w:adjustRightInd/>
              <w:snapToGrid/>
              <w:spacing w:line="300" w:lineRule="exact"/>
              <w:ind w:firstLine="0" w:firstLineChars="0"/>
              <w:jc w:val="left"/>
              <w:textAlignment w:val="auto"/>
              <w:rPr>
                <w:rFonts w:hint="eastAsia" w:ascii="宋体" w:hAnsi="宋体" w:eastAsia="宋体" w:cs="宋体"/>
                <w:color w:val="auto"/>
                <w:w w:val="100"/>
                <w:sz w:val="21"/>
                <w:szCs w:val="21"/>
                <w:highlight w:val="none"/>
                <w:lang w:val="en-US" w:eastAsia="zh-CN"/>
              </w:rPr>
            </w:pPr>
            <w:r>
              <w:rPr>
                <w:rFonts w:hint="eastAsia" w:ascii="宋体" w:hAnsi="宋体" w:eastAsia="宋体" w:cs="宋体"/>
                <w:color w:val="auto"/>
                <w:w w:val="100"/>
                <w:sz w:val="21"/>
                <w:szCs w:val="21"/>
                <w:highlight w:val="none"/>
                <w:lang w:val="en-US" w:eastAsia="zh-CN"/>
              </w:rPr>
              <w:t>4、天花板:无蜘蛛网、无积灰。3分</w:t>
            </w:r>
          </w:p>
          <w:p>
            <w:pPr>
              <w:keepNext w:val="0"/>
              <w:keepLines w:val="0"/>
              <w:pageBreakBefore w:val="0"/>
              <w:widowControl/>
              <w:kinsoku/>
              <w:wordWrap/>
              <w:overflowPunct/>
              <w:topLinePunct w:val="0"/>
              <w:autoSpaceDE/>
              <w:autoSpaceDN/>
              <w:bidi w:val="0"/>
              <w:adjustRightInd/>
              <w:snapToGrid/>
              <w:spacing w:line="300" w:lineRule="exact"/>
              <w:ind w:firstLine="0" w:firstLineChars="0"/>
              <w:textAlignment w:val="auto"/>
              <w:rPr>
                <w:rFonts w:hint="eastAsia" w:ascii="宋体" w:hAnsi="宋体" w:eastAsia="宋体" w:cs="宋体"/>
                <w:color w:val="auto"/>
                <w:w w:val="100"/>
                <w:sz w:val="21"/>
                <w:szCs w:val="21"/>
                <w:highlight w:val="none"/>
                <w:lang w:val="en-US" w:eastAsia="zh-CN"/>
              </w:rPr>
            </w:pPr>
            <w:r>
              <w:rPr>
                <w:rFonts w:hint="eastAsia" w:ascii="宋体" w:hAnsi="宋体" w:eastAsia="宋体" w:cs="宋体"/>
                <w:color w:val="auto"/>
                <w:w w:val="100"/>
                <w:sz w:val="21"/>
                <w:szCs w:val="21"/>
                <w:highlight w:val="none"/>
                <w:lang w:val="en-US" w:eastAsia="zh-CN"/>
              </w:rPr>
              <w:t>5、垃圾桶：污物量不超过桶体2/3，内外表干净。5分</w:t>
            </w:r>
          </w:p>
          <w:p>
            <w:pPr>
              <w:keepNext w:val="0"/>
              <w:keepLines w:val="0"/>
              <w:pageBreakBefore w:val="0"/>
              <w:widowControl/>
              <w:kinsoku/>
              <w:wordWrap/>
              <w:overflowPunct/>
              <w:topLinePunct w:val="0"/>
              <w:autoSpaceDE/>
              <w:autoSpaceDN/>
              <w:bidi w:val="0"/>
              <w:adjustRightInd/>
              <w:snapToGrid/>
              <w:spacing w:line="300" w:lineRule="exact"/>
              <w:ind w:firstLine="0" w:firstLineChars="0"/>
              <w:textAlignment w:val="auto"/>
              <w:rPr>
                <w:rFonts w:hint="eastAsia" w:ascii="宋体" w:hAnsi="宋体" w:eastAsia="宋体" w:cs="宋体"/>
                <w:color w:val="auto"/>
                <w:w w:val="100"/>
                <w:sz w:val="21"/>
                <w:szCs w:val="21"/>
                <w:highlight w:val="none"/>
                <w:lang w:val="en-US" w:eastAsia="zh-CN"/>
              </w:rPr>
            </w:pPr>
            <w:r>
              <w:rPr>
                <w:rFonts w:hint="eastAsia" w:ascii="宋体" w:hAnsi="宋体" w:eastAsia="宋体" w:cs="宋体"/>
                <w:color w:val="auto"/>
                <w:w w:val="100"/>
                <w:sz w:val="21"/>
                <w:szCs w:val="21"/>
                <w:highlight w:val="none"/>
                <w:lang w:val="en-US" w:eastAsia="zh-CN"/>
              </w:rPr>
              <w:t>5、灯具:无厚积尘土。3分</w:t>
            </w:r>
          </w:p>
          <w:p>
            <w:pPr>
              <w:keepNext w:val="0"/>
              <w:keepLines w:val="0"/>
              <w:pageBreakBefore w:val="0"/>
              <w:widowControl/>
              <w:kinsoku/>
              <w:wordWrap/>
              <w:overflowPunct/>
              <w:topLinePunct w:val="0"/>
              <w:autoSpaceDE/>
              <w:autoSpaceDN/>
              <w:bidi w:val="0"/>
              <w:adjustRightInd/>
              <w:snapToGrid/>
              <w:spacing w:line="300" w:lineRule="exact"/>
              <w:ind w:firstLine="0" w:firstLineChars="0"/>
              <w:textAlignment w:val="auto"/>
              <w:rPr>
                <w:rFonts w:hint="eastAsia" w:ascii="宋体" w:hAnsi="宋体" w:eastAsia="宋体" w:cs="宋体"/>
                <w:color w:val="auto"/>
                <w:w w:val="100"/>
                <w:sz w:val="21"/>
                <w:szCs w:val="21"/>
                <w:highlight w:val="none"/>
                <w:lang w:val="en-US" w:eastAsia="zh-CN"/>
              </w:rPr>
            </w:pPr>
            <w:r>
              <w:rPr>
                <w:rFonts w:hint="eastAsia" w:ascii="宋体" w:hAnsi="宋体" w:eastAsia="宋体" w:cs="宋体"/>
                <w:color w:val="auto"/>
                <w:w w:val="100"/>
                <w:sz w:val="21"/>
                <w:szCs w:val="21"/>
                <w:highlight w:val="none"/>
                <w:lang w:val="en-US" w:eastAsia="zh-CN"/>
              </w:rPr>
              <w:t>6、沙发:无印迹、光亮、洁净。4分</w:t>
            </w:r>
          </w:p>
          <w:p>
            <w:pPr>
              <w:keepNext w:val="0"/>
              <w:keepLines w:val="0"/>
              <w:pageBreakBefore w:val="0"/>
              <w:widowControl/>
              <w:kinsoku/>
              <w:wordWrap/>
              <w:overflowPunct/>
              <w:topLinePunct w:val="0"/>
              <w:autoSpaceDE/>
              <w:autoSpaceDN/>
              <w:bidi w:val="0"/>
              <w:adjustRightInd/>
              <w:snapToGrid/>
              <w:spacing w:line="300" w:lineRule="exact"/>
              <w:ind w:firstLine="0" w:firstLineChars="0"/>
              <w:textAlignment w:val="auto"/>
              <w:rPr>
                <w:rFonts w:hint="eastAsia" w:ascii="宋体" w:hAnsi="宋体" w:eastAsia="宋体" w:cs="宋体"/>
                <w:color w:val="auto"/>
                <w:w w:val="90"/>
                <w:sz w:val="21"/>
                <w:szCs w:val="21"/>
                <w:highlight w:val="none"/>
                <w:lang w:val="en-US" w:eastAsia="zh-CN"/>
              </w:rPr>
            </w:pPr>
            <w:r>
              <w:rPr>
                <w:rFonts w:hint="eastAsia" w:ascii="宋体" w:hAnsi="宋体" w:eastAsia="宋体" w:cs="宋体"/>
                <w:color w:val="auto"/>
                <w:w w:val="100"/>
                <w:sz w:val="21"/>
                <w:szCs w:val="21"/>
                <w:highlight w:val="none"/>
                <w:lang w:val="en-US" w:eastAsia="zh-CN"/>
              </w:rPr>
              <w:t>7、窗帘：无灰尘、污迹3分</w:t>
            </w:r>
          </w:p>
        </w:tc>
        <w:tc>
          <w:tcPr>
            <w:tcW w:w="927"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afterAutospacing="0" w:line="300" w:lineRule="exact"/>
              <w:jc w:val="center"/>
              <w:textAlignment w:val="auto"/>
              <w:rPr>
                <w:rFonts w:hint="eastAsia" w:ascii="宋体" w:hAnsi="宋体" w:eastAsia="宋体" w:cs="宋体"/>
                <w:color w:val="auto"/>
                <w:w w:val="90"/>
                <w:sz w:val="21"/>
                <w:szCs w:val="21"/>
                <w:highlight w:val="none"/>
                <w:vertAlign w:val="baseline"/>
                <w:lang w:val="en-US" w:eastAsia="zh-CN"/>
              </w:rPr>
            </w:pPr>
            <w:r>
              <w:rPr>
                <w:rFonts w:hint="eastAsia" w:ascii="宋体" w:hAnsi="宋体" w:eastAsia="宋体" w:cs="宋体"/>
                <w:color w:val="auto"/>
                <w:w w:val="90"/>
                <w:sz w:val="21"/>
                <w:szCs w:val="21"/>
                <w:highlight w:val="none"/>
                <w:vertAlign w:val="baseline"/>
                <w:lang w:val="en-US" w:eastAsia="zh-CN"/>
              </w:rPr>
              <w:t>25分</w:t>
            </w:r>
          </w:p>
        </w:tc>
        <w:tc>
          <w:tcPr>
            <w:tcW w:w="1064"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afterAutospacing="0" w:line="300" w:lineRule="exact"/>
              <w:jc w:val="both"/>
              <w:textAlignment w:val="auto"/>
              <w:rPr>
                <w:rFonts w:hint="eastAsia" w:ascii="宋体" w:hAnsi="宋体" w:eastAsia="宋体" w:cs="宋体"/>
                <w:color w:val="auto"/>
                <w:w w:val="90"/>
                <w:sz w:val="21"/>
                <w:szCs w:val="21"/>
                <w:highlight w:val="none"/>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7" w:hRule="atLeast"/>
        </w:trPr>
        <w:tc>
          <w:tcPr>
            <w:tcW w:w="7227"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line="300" w:lineRule="exact"/>
              <w:ind w:firstLine="0" w:firstLineChars="0"/>
              <w:jc w:val="left"/>
              <w:textAlignment w:val="auto"/>
              <w:rPr>
                <w:rFonts w:hint="eastAsia" w:ascii="宋体" w:hAnsi="宋体" w:eastAsia="宋体" w:cs="宋体"/>
                <w:color w:val="auto"/>
                <w:w w:val="100"/>
                <w:sz w:val="21"/>
                <w:szCs w:val="21"/>
                <w:highlight w:val="none"/>
                <w:lang w:val="en-US" w:eastAsia="zh-CN"/>
              </w:rPr>
            </w:pPr>
            <w:r>
              <w:rPr>
                <w:rFonts w:hint="eastAsia" w:ascii="宋体" w:hAnsi="宋体" w:eastAsia="宋体" w:cs="宋体"/>
                <w:color w:val="auto"/>
                <w:w w:val="100"/>
                <w:sz w:val="21"/>
                <w:szCs w:val="21"/>
                <w:highlight w:val="none"/>
                <w:lang w:val="en-US" w:eastAsia="zh-CN"/>
              </w:rPr>
              <w:t>四、会议室保洁标准</w:t>
            </w:r>
          </w:p>
          <w:p>
            <w:pPr>
              <w:keepNext w:val="0"/>
              <w:keepLines w:val="0"/>
              <w:pageBreakBefore w:val="0"/>
              <w:widowControl/>
              <w:numPr>
                <w:ilvl w:val="0"/>
                <w:numId w:val="0"/>
              </w:numPr>
              <w:kinsoku/>
              <w:wordWrap/>
              <w:overflowPunct/>
              <w:topLinePunct w:val="0"/>
              <w:autoSpaceDE/>
              <w:autoSpaceDN/>
              <w:bidi w:val="0"/>
              <w:adjustRightInd/>
              <w:snapToGrid/>
              <w:spacing w:line="300" w:lineRule="exact"/>
              <w:ind w:firstLine="0" w:firstLineChars="0"/>
              <w:jc w:val="left"/>
              <w:textAlignment w:val="auto"/>
              <w:rPr>
                <w:rFonts w:hint="eastAsia" w:ascii="宋体" w:hAnsi="宋体" w:eastAsia="宋体" w:cs="宋体"/>
                <w:color w:val="auto"/>
                <w:w w:val="100"/>
                <w:sz w:val="21"/>
                <w:szCs w:val="21"/>
                <w:highlight w:val="none"/>
                <w:lang w:val="en-US" w:eastAsia="zh-CN"/>
              </w:rPr>
            </w:pPr>
            <w:r>
              <w:rPr>
                <w:rFonts w:hint="eastAsia" w:ascii="宋体" w:hAnsi="宋体" w:eastAsia="宋体" w:cs="宋体"/>
                <w:color w:val="auto"/>
                <w:w w:val="100"/>
                <w:sz w:val="21"/>
                <w:szCs w:val="21"/>
                <w:highlight w:val="none"/>
                <w:lang w:val="en-US" w:eastAsia="zh-CN"/>
              </w:rPr>
              <w:t>1、会议桌面、椅子、窗台:无尘土、碎纸、整齐。3分</w:t>
            </w:r>
          </w:p>
          <w:p>
            <w:pPr>
              <w:keepNext w:val="0"/>
              <w:keepLines w:val="0"/>
              <w:pageBreakBefore w:val="0"/>
              <w:widowControl/>
              <w:numPr>
                <w:ilvl w:val="0"/>
                <w:numId w:val="0"/>
              </w:numPr>
              <w:kinsoku/>
              <w:wordWrap/>
              <w:overflowPunct/>
              <w:topLinePunct w:val="0"/>
              <w:autoSpaceDE/>
              <w:autoSpaceDN/>
              <w:bidi w:val="0"/>
              <w:adjustRightInd/>
              <w:snapToGrid/>
              <w:spacing w:line="300" w:lineRule="exact"/>
              <w:ind w:firstLine="0" w:firstLineChars="0"/>
              <w:jc w:val="left"/>
              <w:textAlignment w:val="auto"/>
              <w:rPr>
                <w:rFonts w:hint="eastAsia" w:ascii="宋体" w:hAnsi="宋体" w:eastAsia="宋体" w:cs="宋体"/>
                <w:color w:val="auto"/>
                <w:w w:val="100"/>
                <w:sz w:val="21"/>
                <w:szCs w:val="21"/>
                <w:highlight w:val="none"/>
                <w:lang w:val="en-US" w:eastAsia="zh-CN"/>
              </w:rPr>
            </w:pPr>
            <w:r>
              <w:rPr>
                <w:rFonts w:hint="eastAsia" w:ascii="宋体" w:hAnsi="宋体" w:eastAsia="宋体" w:cs="宋体"/>
                <w:color w:val="auto"/>
                <w:w w:val="100"/>
                <w:sz w:val="21"/>
                <w:szCs w:val="21"/>
                <w:highlight w:val="none"/>
                <w:lang w:val="en-US" w:eastAsia="zh-CN"/>
              </w:rPr>
              <w:t>2、地面:无污渍，无碎屑、无渣，清抹干净。3分</w:t>
            </w:r>
          </w:p>
          <w:p>
            <w:pPr>
              <w:keepNext w:val="0"/>
              <w:keepLines w:val="0"/>
              <w:pageBreakBefore w:val="0"/>
              <w:widowControl/>
              <w:numPr>
                <w:ilvl w:val="0"/>
                <w:numId w:val="0"/>
              </w:numPr>
              <w:kinsoku/>
              <w:wordWrap/>
              <w:overflowPunct/>
              <w:topLinePunct w:val="0"/>
              <w:autoSpaceDE/>
              <w:autoSpaceDN/>
              <w:bidi w:val="0"/>
              <w:adjustRightInd/>
              <w:snapToGrid/>
              <w:spacing w:line="300" w:lineRule="exact"/>
              <w:ind w:firstLine="0" w:firstLineChars="0"/>
              <w:jc w:val="left"/>
              <w:textAlignment w:val="auto"/>
              <w:rPr>
                <w:rFonts w:hint="eastAsia" w:ascii="宋体" w:hAnsi="宋体" w:eastAsia="宋体" w:cs="宋体"/>
                <w:color w:val="auto"/>
                <w:w w:val="100"/>
                <w:sz w:val="21"/>
                <w:szCs w:val="21"/>
                <w:highlight w:val="none"/>
                <w:lang w:val="en-US" w:eastAsia="zh-CN"/>
              </w:rPr>
            </w:pPr>
            <w:r>
              <w:rPr>
                <w:rFonts w:hint="eastAsia" w:ascii="宋体" w:hAnsi="宋体" w:eastAsia="宋体" w:cs="宋体"/>
                <w:color w:val="auto"/>
                <w:w w:val="100"/>
                <w:sz w:val="21"/>
                <w:szCs w:val="21"/>
                <w:highlight w:val="none"/>
                <w:lang w:val="en-US" w:eastAsia="zh-CN"/>
              </w:rPr>
              <w:t>3、窗帘：无灰尘、污迹3分</w:t>
            </w:r>
          </w:p>
          <w:p>
            <w:pPr>
              <w:keepNext w:val="0"/>
              <w:keepLines w:val="0"/>
              <w:pageBreakBefore w:val="0"/>
              <w:widowControl/>
              <w:numPr>
                <w:ilvl w:val="0"/>
                <w:numId w:val="0"/>
              </w:numPr>
              <w:kinsoku/>
              <w:wordWrap/>
              <w:overflowPunct/>
              <w:topLinePunct w:val="0"/>
              <w:autoSpaceDE/>
              <w:autoSpaceDN/>
              <w:bidi w:val="0"/>
              <w:adjustRightInd/>
              <w:snapToGrid/>
              <w:spacing w:line="300" w:lineRule="exact"/>
              <w:ind w:firstLine="0" w:firstLineChars="0"/>
              <w:jc w:val="left"/>
              <w:textAlignment w:val="auto"/>
              <w:rPr>
                <w:rFonts w:hint="eastAsia" w:ascii="宋体" w:hAnsi="宋体" w:eastAsia="宋体" w:cs="宋体"/>
                <w:color w:val="auto"/>
                <w:w w:val="100"/>
                <w:sz w:val="21"/>
                <w:szCs w:val="21"/>
                <w:highlight w:val="none"/>
                <w:lang w:val="en-US" w:eastAsia="zh-CN"/>
              </w:rPr>
            </w:pPr>
            <w:r>
              <w:rPr>
                <w:rFonts w:hint="eastAsia" w:ascii="宋体" w:hAnsi="宋体" w:eastAsia="宋体" w:cs="宋体"/>
                <w:color w:val="auto"/>
                <w:w w:val="100"/>
                <w:sz w:val="21"/>
                <w:szCs w:val="21"/>
                <w:highlight w:val="none"/>
                <w:lang w:val="en-US" w:eastAsia="zh-CN"/>
              </w:rPr>
              <w:t>4、垃圾桶：污物量不超过桶体2/3，内外表干净。4分</w:t>
            </w:r>
          </w:p>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w w:val="100"/>
                <w:sz w:val="21"/>
                <w:szCs w:val="21"/>
                <w:highlight w:val="none"/>
                <w:lang w:val="en-US" w:eastAsia="zh-CN"/>
              </w:rPr>
            </w:pPr>
            <w:r>
              <w:rPr>
                <w:rFonts w:hint="eastAsia" w:ascii="宋体" w:hAnsi="宋体" w:eastAsia="宋体" w:cs="宋体"/>
                <w:color w:val="auto"/>
                <w:w w:val="100"/>
                <w:sz w:val="21"/>
                <w:szCs w:val="21"/>
                <w:highlight w:val="none"/>
                <w:lang w:val="en-US" w:eastAsia="zh-CN"/>
              </w:rPr>
              <w:t>5、空调外壳：无灰尘、污迹2分</w:t>
            </w:r>
          </w:p>
          <w:p>
            <w:pPr>
              <w:keepNext w:val="0"/>
              <w:keepLines w:val="0"/>
              <w:pageBreakBefore w:val="0"/>
              <w:widowControl/>
              <w:numPr>
                <w:ilvl w:val="0"/>
                <w:numId w:val="0"/>
              </w:numPr>
              <w:kinsoku/>
              <w:wordWrap/>
              <w:overflowPunct/>
              <w:topLinePunct w:val="0"/>
              <w:autoSpaceDE/>
              <w:autoSpaceDN/>
              <w:bidi w:val="0"/>
              <w:adjustRightInd/>
              <w:snapToGrid/>
              <w:spacing w:line="300" w:lineRule="exact"/>
              <w:ind w:firstLine="0" w:firstLineChars="0"/>
              <w:jc w:val="left"/>
              <w:textAlignment w:val="auto"/>
              <w:rPr>
                <w:rFonts w:hint="eastAsia" w:ascii="宋体" w:hAnsi="宋体" w:eastAsia="宋体" w:cs="宋体"/>
                <w:color w:val="auto"/>
                <w:w w:val="100"/>
                <w:sz w:val="21"/>
                <w:szCs w:val="21"/>
                <w:highlight w:val="none"/>
                <w:lang w:val="en-US" w:eastAsia="zh-CN"/>
              </w:rPr>
            </w:pPr>
            <w:r>
              <w:rPr>
                <w:rFonts w:hint="eastAsia" w:ascii="宋体" w:hAnsi="宋体" w:eastAsia="宋体" w:cs="宋体"/>
                <w:color w:val="auto"/>
                <w:w w:val="100"/>
                <w:sz w:val="21"/>
                <w:szCs w:val="21"/>
                <w:highlight w:val="none"/>
                <w:lang w:val="en-US" w:eastAsia="zh-CN"/>
              </w:rPr>
              <w:t>6、墙面:无污迹。2分</w:t>
            </w:r>
          </w:p>
          <w:p>
            <w:pPr>
              <w:keepNext w:val="0"/>
              <w:keepLines w:val="0"/>
              <w:pageBreakBefore w:val="0"/>
              <w:widowControl/>
              <w:kinsoku/>
              <w:wordWrap/>
              <w:overflowPunct/>
              <w:topLinePunct w:val="0"/>
              <w:autoSpaceDE/>
              <w:autoSpaceDN/>
              <w:bidi w:val="0"/>
              <w:adjustRightInd/>
              <w:snapToGrid/>
              <w:spacing w:line="300" w:lineRule="exact"/>
              <w:textAlignment w:val="auto"/>
              <w:rPr>
                <w:rFonts w:hint="eastAsia" w:ascii="宋体" w:hAnsi="宋体" w:eastAsia="宋体" w:cs="宋体"/>
                <w:color w:val="auto"/>
                <w:w w:val="100"/>
                <w:sz w:val="21"/>
                <w:szCs w:val="21"/>
                <w:highlight w:val="none"/>
                <w:lang w:val="en-US" w:eastAsia="zh-CN"/>
              </w:rPr>
            </w:pPr>
            <w:r>
              <w:rPr>
                <w:rFonts w:hint="eastAsia" w:ascii="宋体" w:hAnsi="宋体" w:eastAsia="宋体" w:cs="宋体"/>
                <w:color w:val="auto"/>
                <w:w w:val="100"/>
                <w:sz w:val="21"/>
                <w:szCs w:val="21"/>
                <w:highlight w:val="none"/>
                <w:lang w:val="en-US" w:eastAsia="zh-CN"/>
              </w:rPr>
              <w:t>7、消防设备:表面无尘土。2分</w:t>
            </w:r>
          </w:p>
          <w:p>
            <w:pPr>
              <w:keepNext w:val="0"/>
              <w:keepLines w:val="0"/>
              <w:pageBreakBefore w:val="0"/>
              <w:widowControl/>
              <w:kinsoku/>
              <w:wordWrap/>
              <w:overflowPunct/>
              <w:topLinePunct w:val="0"/>
              <w:autoSpaceDE/>
              <w:autoSpaceDN/>
              <w:bidi w:val="0"/>
              <w:adjustRightInd/>
              <w:snapToGrid/>
              <w:spacing w:line="300" w:lineRule="exact"/>
              <w:textAlignment w:val="auto"/>
              <w:rPr>
                <w:rFonts w:hint="eastAsia" w:ascii="宋体" w:hAnsi="宋体" w:eastAsia="宋体" w:cs="宋体"/>
                <w:color w:val="auto"/>
                <w:w w:val="100"/>
                <w:sz w:val="21"/>
                <w:szCs w:val="21"/>
                <w:highlight w:val="none"/>
                <w:lang w:val="en-US" w:eastAsia="zh-CN"/>
              </w:rPr>
            </w:pPr>
            <w:r>
              <w:rPr>
                <w:rFonts w:hint="eastAsia" w:ascii="宋体" w:hAnsi="宋体" w:eastAsia="宋体" w:cs="宋体"/>
                <w:color w:val="auto"/>
                <w:w w:val="100"/>
                <w:sz w:val="21"/>
                <w:szCs w:val="21"/>
                <w:highlight w:val="none"/>
                <w:lang w:val="en-US" w:eastAsia="zh-CN"/>
              </w:rPr>
              <w:t>8、天花板:无蜘蛛网、无积灰。3分</w:t>
            </w:r>
          </w:p>
          <w:p>
            <w:pPr>
              <w:keepNext w:val="0"/>
              <w:keepLines w:val="0"/>
              <w:pageBreakBefore w:val="0"/>
              <w:widowControl/>
              <w:kinsoku/>
              <w:wordWrap/>
              <w:overflowPunct/>
              <w:topLinePunct w:val="0"/>
              <w:autoSpaceDE/>
              <w:autoSpaceDN/>
              <w:bidi w:val="0"/>
              <w:adjustRightInd/>
              <w:snapToGrid/>
              <w:spacing w:line="300" w:lineRule="exact"/>
              <w:textAlignment w:val="auto"/>
              <w:rPr>
                <w:rFonts w:hint="eastAsia" w:ascii="宋体" w:hAnsi="宋体" w:eastAsia="宋体" w:cs="宋体"/>
                <w:color w:val="auto"/>
                <w:w w:val="90"/>
                <w:sz w:val="21"/>
                <w:szCs w:val="21"/>
                <w:highlight w:val="none"/>
                <w:lang w:val="en-US" w:eastAsia="zh-CN"/>
              </w:rPr>
            </w:pPr>
            <w:r>
              <w:rPr>
                <w:rFonts w:hint="eastAsia" w:ascii="宋体" w:hAnsi="宋体" w:eastAsia="宋体" w:cs="宋体"/>
                <w:color w:val="auto"/>
                <w:w w:val="100"/>
                <w:sz w:val="21"/>
                <w:szCs w:val="21"/>
                <w:highlight w:val="none"/>
                <w:lang w:val="en-US" w:eastAsia="zh-CN"/>
              </w:rPr>
              <w:t>9、灯具:无厚积尘土。3分</w:t>
            </w:r>
          </w:p>
        </w:tc>
        <w:tc>
          <w:tcPr>
            <w:tcW w:w="927"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afterAutospacing="0" w:line="300" w:lineRule="exact"/>
              <w:jc w:val="center"/>
              <w:textAlignment w:val="auto"/>
              <w:rPr>
                <w:rFonts w:hint="eastAsia" w:ascii="宋体" w:hAnsi="宋体" w:eastAsia="宋体" w:cs="宋体"/>
                <w:color w:val="auto"/>
                <w:w w:val="90"/>
                <w:sz w:val="21"/>
                <w:szCs w:val="21"/>
                <w:highlight w:val="none"/>
                <w:vertAlign w:val="baseline"/>
                <w:lang w:val="en-US" w:eastAsia="zh-CN"/>
              </w:rPr>
            </w:pPr>
            <w:r>
              <w:rPr>
                <w:rFonts w:hint="eastAsia" w:ascii="宋体" w:hAnsi="宋体" w:eastAsia="宋体" w:cs="宋体"/>
                <w:color w:val="auto"/>
                <w:w w:val="90"/>
                <w:sz w:val="21"/>
                <w:szCs w:val="21"/>
                <w:highlight w:val="none"/>
                <w:vertAlign w:val="baseline"/>
                <w:lang w:val="en-US" w:eastAsia="zh-CN"/>
              </w:rPr>
              <w:t>25分</w:t>
            </w:r>
          </w:p>
        </w:tc>
        <w:tc>
          <w:tcPr>
            <w:tcW w:w="1064"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afterAutospacing="0" w:line="300" w:lineRule="exact"/>
              <w:jc w:val="both"/>
              <w:textAlignment w:val="auto"/>
              <w:rPr>
                <w:rFonts w:hint="eastAsia" w:ascii="宋体" w:hAnsi="宋体" w:eastAsia="宋体" w:cs="宋体"/>
                <w:color w:val="auto"/>
                <w:w w:val="90"/>
                <w:sz w:val="21"/>
                <w:szCs w:val="21"/>
                <w:highlight w:val="none"/>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 w:hRule="atLeast"/>
        </w:trPr>
        <w:tc>
          <w:tcPr>
            <w:tcW w:w="7227"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line="300" w:lineRule="exact"/>
              <w:jc w:val="both"/>
              <w:textAlignment w:val="auto"/>
              <w:rPr>
                <w:rFonts w:hint="eastAsia" w:ascii="宋体" w:hAnsi="宋体" w:eastAsia="宋体" w:cs="宋体"/>
                <w:color w:val="auto"/>
                <w:spacing w:val="0"/>
                <w:w w:val="90"/>
                <w:sz w:val="21"/>
                <w:szCs w:val="21"/>
                <w:highlight w:val="none"/>
                <w:lang w:val="en-US" w:eastAsia="zh-CN"/>
              </w:rPr>
            </w:pPr>
            <w:r>
              <w:rPr>
                <w:rFonts w:hint="eastAsia" w:ascii="宋体" w:hAnsi="宋体" w:eastAsia="宋体" w:cs="宋体"/>
                <w:color w:val="auto"/>
                <w:spacing w:val="0"/>
                <w:w w:val="100"/>
                <w:sz w:val="21"/>
                <w:szCs w:val="21"/>
                <w:highlight w:val="none"/>
                <w:lang w:val="en-US" w:eastAsia="zh-CN"/>
              </w:rPr>
              <w:t>得分合计</w:t>
            </w:r>
          </w:p>
        </w:tc>
        <w:tc>
          <w:tcPr>
            <w:tcW w:w="927"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afterAutospacing="0" w:line="300" w:lineRule="exact"/>
              <w:jc w:val="center"/>
              <w:textAlignment w:val="auto"/>
              <w:rPr>
                <w:rFonts w:hint="eastAsia" w:ascii="宋体" w:hAnsi="宋体" w:eastAsia="宋体" w:cs="宋体"/>
                <w:color w:val="auto"/>
                <w:w w:val="90"/>
                <w:sz w:val="21"/>
                <w:szCs w:val="21"/>
                <w:highlight w:val="none"/>
                <w:vertAlign w:val="baseline"/>
                <w:lang w:val="en-US" w:eastAsia="zh-CN"/>
              </w:rPr>
            </w:pPr>
          </w:p>
        </w:tc>
        <w:tc>
          <w:tcPr>
            <w:tcW w:w="1064"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afterAutospacing="0" w:line="300" w:lineRule="exact"/>
              <w:jc w:val="both"/>
              <w:textAlignment w:val="auto"/>
              <w:rPr>
                <w:rFonts w:hint="eastAsia" w:ascii="宋体" w:hAnsi="宋体" w:eastAsia="宋体" w:cs="宋体"/>
                <w:color w:val="auto"/>
                <w:w w:val="90"/>
                <w:sz w:val="21"/>
                <w:szCs w:val="21"/>
                <w:highlight w:val="none"/>
                <w:vertAlign w:val="baseline"/>
                <w:lang w:eastAsia="zh-CN"/>
              </w:rPr>
            </w:pPr>
          </w:p>
        </w:tc>
      </w:tr>
    </w:tbl>
    <w:p>
      <w:pPr>
        <w:numPr>
          <w:ilvl w:val="0"/>
          <w:numId w:val="0"/>
        </w:numPr>
        <w:spacing w:after="0" w:line="240" w:lineRule="auto"/>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对该区域保洁员评价</w:t>
      </w:r>
      <w:r>
        <w:rPr>
          <w:rFonts w:hint="eastAsia" w:ascii="宋体" w:hAnsi="宋体" w:eastAsia="宋体" w:cs="宋体"/>
          <w:color w:val="auto"/>
          <w:w w:val="100"/>
          <w:sz w:val="21"/>
          <w:szCs w:val="21"/>
          <w:highlight w:val="none"/>
          <w:lang w:val="en-US" w:eastAsia="zh-CN"/>
        </w:rPr>
        <w:t xml:space="preserve">         </w:t>
      </w:r>
      <w:r>
        <w:rPr>
          <w:rFonts w:hint="eastAsia" w:ascii="宋体" w:hAnsi="宋体" w:eastAsia="宋体" w:cs="宋体"/>
          <w:color w:val="auto"/>
          <w:w w:val="100"/>
          <w:sz w:val="21"/>
          <w:szCs w:val="21"/>
          <w:highlight w:val="none"/>
        </w:rPr>
        <w:t>口满意</w:t>
      </w:r>
      <w:r>
        <w:rPr>
          <w:rFonts w:hint="eastAsia" w:ascii="宋体" w:hAnsi="宋体" w:eastAsia="宋体" w:cs="宋体"/>
          <w:color w:val="auto"/>
          <w:w w:val="100"/>
          <w:sz w:val="21"/>
          <w:szCs w:val="21"/>
          <w:highlight w:val="none"/>
          <w:lang w:val="en-US" w:eastAsia="zh-CN"/>
        </w:rPr>
        <w:t xml:space="preserve">         </w:t>
      </w:r>
      <w:r>
        <w:rPr>
          <w:rFonts w:hint="eastAsia" w:ascii="宋体" w:hAnsi="宋体" w:eastAsia="宋体" w:cs="宋体"/>
          <w:color w:val="auto"/>
          <w:w w:val="100"/>
          <w:sz w:val="21"/>
          <w:szCs w:val="21"/>
          <w:highlight w:val="none"/>
        </w:rPr>
        <w:t>口基本满意</w:t>
      </w:r>
      <w:r>
        <w:rPr>
          <w:rFonts w:hint="eastAsia" w:ascii="宋体" w:hAnsi="宋体" w:eastAsia="宋体" w:cs="宋体"/>
          <w:color w:val="auto"/>
          <w:w w:val="100"/>
          <w:sz w:val="21"/>
          <w:szCs w:val="21"/>
          <w:highlight w:val="none"/>
          <w:lang w:val="en-US" w:eastAsia="zh-CN"/>
        </w:rPr>
        <w:t xml:space="preserve">         </w:t>
      </w:r>
      <w:r>
        <w:rPr>
          <w:rFonts w:hint="eastAsia" w:ascii="宋体" w:hAnsi="宋体" w:eastAsia="宋体" w:cs="宋体"/>
          <w:color w:val="auto"/>
          <w:w w:val="100"/>
          <w:sz w:val="21"/>
          <w:szCs w:val="21"/>
          <w:highlight w:val="none"/>
        </w:rPr>
        <w:t>口不满意</w:t>
      </w:r>
    </w:p>
    <w:p>
      <w:pPr>
        <w:numPr>
          <w:ilvl w:val="0"/>
          <w:numId w:val="0"/>
        </w:numPr>
        <w:spacing w:after="0" w:line="240" w:lineRule="auto"/>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监督人员签名:</w:t>
      </w:r>
      <w:r>
        <w:rPr>
          <w:rFonts w:hint="eastAsia" w:ascii="宋体" w:hAnsi="宋体" w:eastAsia="宋体" w:cs="宋体"/>
          <w:color w:val="auto"/>
          <w:w w:val="100"/>
          <w:sz w:val="21"/>
          <w:szCs w:val="21"/>
          <w:highlight w:val="none"/>
          <w:lang w:val="en-US" w:eastAsia="zh-CN"/>
        </w:rPr>
        <w:t xml:space="preserve">                                        </w:t>
      </w:r>
      <w:r>
        <w:rPr>
          <w:rFonts w:hint="eastAsia" w:ascii="宋体" w:hAnsi="宋体" w:eastAsia="宋体" w:cs="宋体"/>
          <w:color w:val="auto"/>
          <w:w w:val="100"/>
          <w:sz w:val="21"/>
          <w:szCs w:val="21"/>
          <w:highlight w:val="none"/>
        </w:rPr>
        <w:t>年</w:t>
      </w:r>
      <w:r>
        <w:rPr>
          <w:rFonts w:hint="eastAsia" w:ascii="宋体" w:hAnsi="宋体" w:eastAsia="宋体" w:cs="宋体"/>
          <w:color w:val="auto"/>
          <w:w w:val="100"/>
          <w:sz w:val="21"/>
          <w:szCs w:val="21"/>
          <w:highlight w:val="none"/>
          <w:lang w:val="en-US" w:eastAsia="zh-CN"/>
        </w:rPr>
        <w:t xml:space="preserve">     </w:t>
      </w:r>
      <w:r>
        <w:rPr>
          <w:rFonts w:hint="eastAsia" w:ascii="宋体" w:hAnsi="宋体" w:eastAsia="宋体" w:cs="宋体"/>
          <w:color w:val="auto"/>
          <w:w w:val="100"/>
          <w:sz w:val="21"/>
          <w:szCs w:val="21"/>
          <w:highlight w:val="none"/>
        </w:rPr>
        <w:t>月</w:t>
      </w:r>
      <w:r>
        <w:rPr>
          <w:rFonts w:hint="eastAsia" w:ascii="宋体" w:hAnsi="宋体" w:eastAsia="宋体" w:cs="宋体"/>
          <w:color w:val="auto"/>
          <w:w w:val="100"/>
          <w:sz w:val="21"/>
          <w:szCs w:val="21"/>
          <w:highlight w:val="none"/>
          <w:lang w:val="en-US" w:eastAsia="zh-CN"/>
        </w:rPr>
        <w:t xml:space="preserve">     </w:t>
      </w:r>
      <w:r>
        <w:rPr>
          <w:rFonts w:hint="eastAsia" w:ascii="宋体" w:hAnsi="宋体" w:eastAsia="宋体" w:cs="宋体"/>
          <w:color w:val="auto"/>
          <w:w w:val="100"/>
          <w:sz w:val="21"/>
          <w:szCs w:val="21"/>
          <w:highlight w:val="none"/>
        </w:rPr>
        <w:t>日</w:t>
      </w:r>
    </w:p>
    <w:p>
      <w:pPr>
        <w:keepNext w:val="0"/>
        <w:keepLines w:val="0"/>
        <w:pageBreakBefore w:val="0"/>
        <w:widowControl w:val="0"/>
        <w:numPr>
          <w:ilvl w:val="0"/>
          <w:numId w:val="0"/>
        </w:numPr>
        <w:kinsoku/>
        <w:wordWrap/>
        <w:overflowPunct/>
        <w:topLinePunct w:val="0"/>
        <w:autoSpaceDE/>
        <w:autoSpaceDN/>
        <w:bidi w:val="0"/>
        <w:adjustRightInd/>
        <w:snapToGrid/>
        <w:spacing w:after="240" w:line="240" w:lineRule="auto"/>
        <w:jc w:val="lef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附件8 </w:t>
      </w:r>
    </w:p>
    <w:p>
      <w:pPr>
        <w:keepNext w:val="0"/>
        <w:keepLines w:val="0"/>
        <w:pageBreakBefore w:val="0"/>
        <w:widowControl w:val="0"/>
        <w:numPr>
          <w:ilvl w:val="0"/>
          <w:numId w:val="0"/>
        </w:numPr>
        <w:kinsoku/>
        <w:wordWrap/>
        <w:overflowPunct/>
        <w:topLinePunct w:val="0"/>
        <w:autoSpaceDE/>
        <w:autoSpaceDN/>
        <w:bidi w:val="0"/>
        <w:adjustRightInd/>
        <w:snapToGrid/>
        <w:spacing w:after="240" w:line="240" w:lineRule="auto"/>
        <w:jc w:val="center"/>
        <w:textAlignment w:val="auto"/>
        <w:rPr>
          <w:rStyle w:val="318"/>
          <w:rFonts w:hint="eastAsia" w:ascii="宋体" w:hAnsi="宋体" w:eastAsia="宋体" w:cs="宋体"/>
          <w:b w:val="0"/>
          <w:bCs/>
          <w:color w:val="auto"/>
          <w:sz w:val="21"/>
          <w:szCs w:val="21"/>
          <w:highlight w:val="none"/>
          <w:lang w:eastAsia="zh-CN"/>
        </w:rPr>
      </w:pPr>
      <w:r>
        <w:rPr>
          <w:rStyle w:val="318"/>
          <w:rFonts w:hint="eastAsia" w:ascii="宋体" w:hAnsi="宋体" w:eastAsia="宋体" w:cs="宋体"/>
          <w:color w:val="auto"/>
          <w:sz w:val="21"/>
          <w:szCs w:val="21"/>
          <w:highlight w:val="none"/>
        </w:rPr>
        <w:t>保安服务</w:t>
      </w:r>
      <w:r>
        <w:rPr>
          <w:rStyle w:val="318"/>
          <w:rFonts w:hint="eastAsia" w:ascii="宋体" w:hAnsi="宋体" w:eastAsia="宋体" w:cs="宋体"/>
          <w:b/>
          <w:bCs/>
          <w:color w:val="auto"/>
          <w:sz w:val="21"/>
          <w:szCs w:val="21"/>
          <w:highlight w:val="none"/>
          <w:lang w:eastAsia="zh-CN"/>
        </w:rPr>
        <w:t>工作质量考评表</w:t>
      </w:r>
    </w:p>
    <w:p>
      <w:pPr>
        <w:numPr>
          <w:ilvl w:val="0"/>
          <w:numId w:val="0"/>
        </w:num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服务区域: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保</w:t>
      </w:r>
      <w:r>
        <w:rPr>
          <w:rFonts w:hint="eastAsia" w:ascii="宋体" w:hAnsi="宋体" w:eastAsia="宋体" w:cs="宋体"/>
          <w:color w:val="auto"/>
          <w:sz w:val="21"/>
          <w:szCs w:val="21"/>
          <w:highlight w:val="none"/>
          <w:lang w:val="en-US" w:eastAsia="zh-CN"/>
        </w:rPr>
        <w:t>安</w:t>
      </w:r>
      <w:r>
        <w:rPr>
          <w:rFonts w:hint="eastAsia" w:ascii="宋体" w:hAnsi="宋体" w:eastAsia="宋体" w:cs="宋体"/>
          <w:color w:val="auto"/>
          <w:sz w:val="21"/>
          <w:szCs w:val="21"/>
          <w:highlight w:val="none"/>
          <w:lang w:eastAsia="zh-CN"/>
        </w:rPr>
        <w:t>员:</w:t>
      </w:r>
    </w:p>
    <w:p>
      <w:pPr>
        <w:numPr>
          <w:ilvl w:val="0"/>
          <w:numId w:val="0"/>
        </w:numPr>
        <w:spacing w:line="360" w:lineRule="auto"/>
        <w:rPr>
          <w:rStyle w:val="318"/>
          <w:rFonts w:hint="eastAsia" w:ascii="宋体" w:hAnsi="宋体" w:eastAsia="宋体" w:cs="宋体"/>
          <w:b w:val="0"/>
          <w:bCs/>
          <w:color w:val="auto"/>
          <w:sz w:val="21"/>
          <w:szCs w:val="21"/>
          <w:highlight w:val="none"/>
          <w:lang w:eastAsia="zh-CN"/>
        </w:rPr>
      </w:pPr>
      <w:r>
        <w:rPr>
          <w:rFonts w:hint="eastAsia" w:ascii="宋体" w:hAnsi="宋体" w:eastAsia="宋体" w:cs="宋体"/>
          <w:color w:val="auto"/>
          <w:sz w:val="21"/>
          <w:szCs w:val="21"/>
          <w:highlight w:val="none"/>
          <w:lang w:eastAsia="zh-CN"/>
        </w:rPr>
        <w:t>考评时间:20</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年</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月</w:t>
      </w:r>
    </w:p>
    <w:tbl>
      <w:tblPr>
        <w:tblStyle w:val="49"/>
        <w:tblpPr w:leftFromText="180" w:rightFromText="180" w:vertAnchor="text" w:horzAnchor="page" w:tblpX="1735" w:tblpY="365"/>
        <w:tblOverlap w:val="never"/>
        <w:tblW w:w="87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466"/>
        <w:gridCol w:w="5102"/>
        <w:gridCol w:w="1304"/>
        <w:gridCol w:w="11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center"/>
          </w:tcPr>
          <w:p>
            <w:pPr>
              <w:pStyle w:val="140"/>
              <w:keepNext w:val="0"/>
              <w:keepLines w:val="0"/>
              <w:pageBreakBefore w:val="0"/>
              <w:widowControl w:val="0"/>
              <w:kinsoku/>
              <w:wordWrap/>
              <w:overflowPunct/>
              <w:topLinePunct w:val="0"/>
              <w:autoSpaceDE/>
              <w:autoSpaceDN/>
              <w:bidi w:val="0"/>
              <w:spacing w:line="400" w:lineRule="exact"/>
              <w:ind w:firstLine="0" w:firstLineChars="0"/>
              <w:textAlignment w:val="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总分</w:t>
            </w:r>
          </w:p>
        </w:tc>
        <w:tc>
          <w:tcPr>
            <w:tcW w:w="466" w:type="dxa"/>
            <w:noWrap w:val="0"/>
            <w:vAlign w:val="center"/>
          </w:tcPr>
          <w:p>
            <w:pPr>
              <w:pStyle w:val="140"/>
              <w:keepNext w:val="0"/>
              <w:keepLines w:val="0"/>
              <w:pageBreakBefore w:val="0"/>
              <w:widowControl w:val="0"/>
              <w:kinsoku/>
              <w:wordWrap/>
              <w:overflowPunct/>
              <w:topLinePunct w:val="0"/>
              <w:autoSpaceDE/>
              <w:autoSpaceDN/>
              <w:bidi w:val="0"/>
              <w:spacing w:line="400" w:lineRule="exact"/>
              <w:ind w:firstLine="0" w:firstLineChars="0"/>
              <w:textAlignment w:val="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内 容</w:t>
            </w:r>
          </w:p>
        </w:tc>
        <w:tc>
          <w:tcPr>
            <w:tcW w:w="5102" w:type="dxa"/>
            <w:noWrap w:val="0"/>
            <w:vAlign w:val="center"/>
          </w:tcPr>
          <w:p>
            <w:pPr>
              <w:pStyle w:val="140"/>
              <w:keepNext w:val="0"/>
              <w:keepLines w:val="0"/>
              <w:pageBreakBefore w:val="0"/>
              <w:widowControl w:val="0"/>
              <w:kinsoku/>
              <w:wordWrap/>
              <w:overflowPunct/>
              <w:topLinePunct w:val="0"/>
              <w:autoSpaceDE/>
              <w:autoSpaceDN/>
              <w:bidi w:val="0"/>
              <w:spacing w:line="400" w:lineRule="exact"/>
              <w:ind w:firstLine="0" w:firstLineChars="0"/>
              <w:textAlignment w:val="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检查项目</w:t>
            </w:r>
          </w:p>
        </w:tc>
        <w:tc>
          <w:tcPr>
            <w:tcW w:w="1304" w:type="dxa"/>
            <w:noWrap w:val="0"/>
            <w:vAlign w:val="center"/>
          </w:tcPr>
          <w:p>
            <w:pPr>
              <w:pStyle w:val="140"/>
              <w:keepNext w:val="0"/>
              <w:keepLines w:val="0"/>
              <w:pageBreakBefore w:val="0"/>
              <w:widowControl w:val="0"/>
              <w:kinsoku/>
              <w:wordWrap/>
              <w:overflowPunct/>
              <w:topLinePunct w:val="0"/>
              <w:autoSpaceDE/>
              <w:autoSpaceDN/>
              <w:bidi w:val="0"/>
              <w:spacing w:line="400" w:lineRule="exact"/>
              <w:ind w:firstLine="0" w:firstLineChars="0"/>
              <w:textAlignment w:val="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扣分情况</w:t>
            </w:r>
          </w:p>
        </w:tc>
        <w:tc>
          <w:tcPr>
            <w:tcW w:w="1166" w:type="dxa"/>
            <w:noWrap w:val="0"/>
            <w:vAlign w:val="center"/>
          </w:tcPr>
          <w:p>
            <w:pPr>
              <w:pStyle w:val="140"/>
              <w:keepNext w:val="0"/>
              <w:keepLines w:val="0"/>
              <w:pageBreakBefore w:val="0"/>
              <w:widowControl w:val="0"/>
              <w:kinsoku/>
              <w:wordWrap/>
              <w:overflowPunct/>
              <w:topLinePunct w:val="0"/>
              <w:autoSpaceDE/>
              <w:autoSpaceDN/>
              <w:bidi w:val="0"/>
              <w:spacing w:line="400" w:lineRule="exact"/>
              <w:ind w:firstLine="0" w:firstLineChars="0"/>
              <w:textAlignment w:val="auto"/>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扣分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75" w:type="dxa"/>
            <w:noWrap w:val="0"/>
            <w:vAlign w:val="center"/>
          </w:tcPr>
          <w:p>
            <w:pPr>
              <w:pStyle w:val="140"/>
              <w:keepNext w:val="0"/>
              <w:keepLines w:val="0"/>
              <w:pageBreakBefore w:val="0"/>
              <w:widowControl w:val="0"/>
              <w:kinsoku/>
              <w:wordWrap/>
              <w:overflowPunct/>
              <w:topLinePunct w:val="0"/>
              <w:autoSpaceDE/>
              <w:autoSpaceDN/>
              <w:bidi w:val="0"/>
              <w:spacing w:line="400" w:lineRule="exact"/>
              <w:ind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25</w:t>
            </w:r>
          </w:p>
        </w:tc>
        <w:tc>
          <w:tcPr>
            <w:tcW w:w="466" w:type="dxa"/>
            <w:noWrap w:val="0"/>
            <w:vAlign w:val="center"/>
          </w:tcPr>
          <w:p>
            <w:pPr>
              <w:pStyle w:val="140"/>
              <w:keepNext w:val="0"/>
              <w:keepLines w:val="0"/>
              <w:pageBreakBefore w:val="0"/>
              <w:widowControl w:val="0"/>
              <w:kinsoku/>
              <w:wordWrap/>
              <w:overflowPunct/>
              <w:topLinePunct w:val="0"/>
              <w:autoSpaceDE/>
              <w:autoSpaceDN/>
              <w:bidi w:val="0"/>
              <w:spacing w:line="40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形象</w:t>
            </w:r>
          </w:p>
        </w:tc>
        <w:tc>
          <w:tcPr>
            <w:tcW w:w="5102" w:type="dxa"/>
            <w:noWrap w:val="0"/>
            <w:vAlign w:val="center"/>
          </w:tcPr>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员工上班时间必须穿规定的制服，制服应干净、整齐、笔挺；穿黑色皮鞋深色袜子，物品佩带整齐。</w:t>
            </w:r>
          </w:p>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勤剪指甲，男员工不得留过长的头发及胡须，女员工不得浓妆艳抹，须盘头上岗，所有员工不得佩戴明显饰品、时刻保持良好形象</w:t>
            </w:r>
          </w:p>
        </w:tc>
        <w:tc>
          <w:tcPr>
            <w:tcW w:w="1304" w:type="dxa"/>
            <w:noWrap w:val="0"/>
            <w:vAlign w:val="center"/>
          </w:tcPr>
          <w:p>
            <w:pPr>
              <w:pStyle w:val="140"/>
              <w:keepNext w:val="0"/>
              <w:keepLines w:val="0"/>
              <w:pageBreakBefore w:val="0"/>
              <w:widowControl w:val="0"/>
              <w:kinsoku/>
              <w:wordWrap/>
              <w:overflowPunct/>
              <w:topLinePunct w:val="0"/>
              <w:autoSpaceDE/>
              <w:autoSpaceDN/>
              <w:bidi w:val="0"/>
              <w:spacing w:line="400" w:lineRule="exact"/>
              <w:ind w:firstLine="0" w:firstLineChars="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违反一项扣5分</w:t>
            </w:r>
          </w:p>
        </w:tc>
        <w:tc>
          <w:tcPr>
            <w:tcW w:w="1166" w:type="dxa"/>
            <w:noWrap w:val="0"/>
            <w:vAlign w:val="center"/>
          </w:tcPr>
          <w:p>
            <w:pPr>
              <w:pStyle w:val="140"/>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8" w:hRule="atLeast"/>
        </w:trPr>
        <w:tc>
          <w:tcPr>
            <w:tcW w:w="675" w:type="dxa"/>
            <w:noWrap w:val="0"/>
            <w:vAlign w:val="center"/>
          </w:tcPr>
          <w:p>
            <w:pPr>
              <w:pStyle w:val="140"/>
              <w:keepNext w:val="0"/>
              <w:keepLines w:val="0"/>
              <w:pageBreakBefore w:val="0"/>
              <w:widowControl w:val="0"/>
              <w:kinsoku/>
              <w:wordWrap/>
              <w:overflowPunct/>
              <w:topLinePunct w:val="0"/>
              <w:autoSpaceDE/>
              <w:autoSpaceDN/>
              <w:bidi w:val="0"/>
              <w:spacing w:line="400" w:lineRule="exact"/>
              <w:ind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25</w:t>
            </w:r>
          </w:p>
        </w:tc>
        <w:tc>
          <w:tcPr>
            <w:tcW w:w="466" w:type="dxa"/>
            <w:noWrap w:val="0"/>
            <w:vAlign w:val="center"/>
          </w:tcPr>
          <w:p>
            <w:pPr>
              <w:pStyle w:val="140"/>
              <w:keepNext w:val="0"/>
              <w:keepLines w:val="0"/>
              <w:pageBreakBefore w:val="0"/>
              <w:widowControl w:val="0"/>
              <w:kinsoku/>
              <w:wordWrap/>
              <w:overflowPunct/>
              <w:topLinePunct w:val="0"/>
              <w:autoSpaceDE/>
              <w:autoSpaceDN/>
              <w:bidi w:val="0"/>
              <w:spacing w:line="40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纪律</w:t>
            </w:r>
          </w:p>
        </w:tc>
        <w:tc>
          <w:tcPr>
            <w:tcW w:w="5102" w:type="dxa"/>
            <w:noWrap w:val="0"/>
            <w:vAlign w:val="center"/>
          </w:tcPr>
          <w:p>
            <w:pPr>
              <w:pStyle w:val="140"/>
              <w:keepNext w:val="0"/>
              <w:keepLines w:val="0"/>
              <w:pageBreakBefore w:val="0"/>
              <w:widowControl w:val="0"/>
              <w:kinsoku/>
              <w:wordWrap/>
              <w:overflowPunct/>
              <w:topLinePunct w:val="0"/>
              <w:autoSpaceDE/>
              <w:autoSpaceDN/>
              <w:bidi w:val="0"/>
              <w:spacing w:line="400" w:lineRule="exact"/>
              <w:ind w:firstLine="460" w:firstLineChars="20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上班时间内不准干与工作无关的事情，不准做不雅或不尊敬的动作。</w:t>
            </w:r>
          </w:p>
          <w:p>
            <w:pPr>
              <w:pStyle w:val="140"/>
              <w:keepNext w:val="0"/>
              <w:keepLines w:val="0"/>
              <w:pageBreakBefore w:val="0"/>
              <w:widowControl w:val="0"/>
              <w:kinsoku/>
              <w:wordWrap/>
              <w:overflowPunct/>
              <w:topLinePunct w:val="0"/>
              <w:autoSpaceDE/>
              <w:autoSpaceDN/>
              <w:bidi w:val="0"/>
              <w:spacing w:line="400" w:lineRule="exact"/>
              <w:ind w:firstLine="460" w:firstLineChars="20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遵守劳动纪律，按时接班，不得迟到、早退，脱岗、串岗、旷工。</w:t>
            </w:r>
          </w:p>
          <w:p>
            <w:pPr>
              <w:pStyle w:val="140"/>
              <w:keepNext w:val="0"/>
              <w:keepLines w:val="0"/>
              <w:pageBreakBefore w:val="0"/>
              <w:widowControl w:val="0"/>
              <w:kinsoku/>
              <w:wordWrap/>
              <w:overflowPunct/>
              <w:topLinePunct w:val="0"/>
              <w:autoSpaceDE/>
              <w:autoSpaceDN/>
              <w:bidi w:val="0"/>
              <w:spacing w:line="400" w:lineRule="exact"/>
              <w:ind w:firstLine="460" w:firstLineChars="20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不得动用和擅自使用驻单位的车辆、物质、物品、设备、设施。</w:t>
            </w:r>
          </w:p>
          <w:p>
            <w:pPr>
              <w:pStyle w:val="140"/>
              <w:keepNext w:val="0"/>
              <w:keepLines w:val="0"/>
              <w:pageBreakBefore w:val="0"/>
              <w:widowControl w:val="0"/>
              <w:kinsoku/>
              <w:wordWrap/>
              <w:overflowPunct/>
              <w:topLinePunct w:val="0"/>
              <w:autoSpaceDE/>
              <w:autoSpaceDN/>
              <w:bidi w:val="0"/>
              <w:spacing w:line="400" w:lineRule="exact"/>
              <w:ind w:firstLine="460" w:firstLineChars="20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值班期间不准睡觉，不得在岗吸烟、喝酒、闲聊、争吵、看书报、听音乐、玩手机、打牌娱乐、随意会客，严禁赌博。</w:t>
            </w:r>
          </w:p>
        </w:tc>
        <w:tc>
          <w:tcPr>
            <w:tcW w:w="1304" w:type="dxa"/>
            <w:noWrap w:val="0"/>
            <w:vAlign w:val="center"/>
          </w:tcPr>
          <w:p>
            <w:pPr>
              <w:pStyle w:val="140"/>
              <w:keepNext w:val="0"/>
              <w:keepLines w:val="0"/>
              <w:pageBreakBefore w:val="0"/>
              <w:widowControl w:val="0"/>
              <w:kinsoku/>
              <w:wordWrap/>
              <w:overflowPunct/>
              <w:topLinePunct w:val="0"/>
              <w:autoSpaceDE/>
              <w:autoSpaceDN/>
              <w:bidi w:val="0"/>
              <w:spacing w:line="400" w:lineRule="exact"/>
              <w:ind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违反一项扣10分</w:t>
            </w:r>
          </w:p>
        </w:tc>
        <w:tc>
          <w:tcPr>
            <w:tcW w:w="1166" w:type="dxa"/>
            <w:noWrap w:val="0"/>
            <w:vAlign w:val="center"/>
          </w:tcPr>
          <w:p>
            <w:pPr>
              <w:pStyle w:val="140"/>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0" w:hRule="atLeast"/>
        </w:trPr>
        <w:tc>
          <w:tcPr>
            <w:tcW w:w="675" w:type="dxa"/>
            <w:noWrap w:val="0"/>
            <w:vAlign w:val="center"/>
          </w:tcPr>
          <w:p>
            <w:pPr>
              <w:pStyle w:val="140"/>
              <w:keepNext w:val="0"/>
              <w:keepLines w:val="0"/>
              <w:pageBreakBefore w:val="0"/>
              <w:widowControl w:val="0"/>
              <w:kinsoku/>
              <w:wordWrap/>
              <w:overflowPunct/>
              <w:topLinePunct w:val="0"/>
              <w:autoSpaceDE/>
              <w:autoSpaceDN/>
              <w:bidi w:val="0"/>
              <w:spacing w:line="400" w:lineRule="exact"/>
              <w:ind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25</w:t>
            </w:r>
          </w:p>
        </w:tc>
        <w:tc>
          <w:tcPr>
            <w:tcW w:w="466" w:type="dxa"/>
            <w:noWrap w:val="0"/>
            <w:vAlign w:val="center"/>
          </w:tcPr>
          <w:p>
            <w:pPr>
              <w:pStyle w:val="140"/>
              <w:keepNext w:val="0"/>
              <w:keepLines w:val="0"/>
              <w:pageBreakBefore w:val="0"/>
              <w:widowControl w:val="0"/>
              <w:kinsoku/>
              <w:wordWrap/>
              <w:overflowPunct/>
              <w:topLinePunct w:val="0"/>
              <w:autoSpaceDE/>
              <w:autoSpaceDN/>
              <w:bidi w:val="0"/>
              <w:spacing w:line="40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w:t>
            </w:r>
          </w:p>
        </w:tc>
        <w:tc>
          <w:tcPr>
            <w:tcW w:w="5102" w:type="dxa"/>
            <w:noWrap w:val="0"/>
            <w:vAlign w:val="center"/>
          </w:tcPr>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服务态度好，无投诉现象。</w:t>
            </w:r>
          </w:p>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主动指引车辆停放，帮扶有困难的病人，禁止其它车辆占用急救通道。</w:t>
            </w:r>
          </w:p>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热情为病人指引路向。</w:t>
            </w:r>
          </w:p>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服从上级领导工作安排，协助医院重大活动开展。</w:t>
            </w:r>
          </w:p>
        </w:tc>
        <w:tc>
          <w:tcPr>
            <w:tcW w:w="1304" w:type="dxa"/>
            <w:noWrap w:val="0"/>
            <w:vAlign w:val="center"/>
          </w:tcPr>
          <w:p>
            <w:pPr>
              <w:pStyle w:val="140"/>
              <w:keepNext w:val="0"/>
              <w:keepLines w:val="0"/>
              <w:pageBreakBefore w:val="0"/>
              <w:widowControl w:val="0"/>
              <w:kinsoku/>
              <w:wordWrap/>
              <w:overflowPunct/>
              <w:topLinePunct w:val="0"/>
              <w:autoSpaceDE/>
              <w:autoSpaceDN/>
              <w:bidi w:val="0"/>
              <w:spacing w:line="400" w:lineRule="exact"/>
              <w:ind w:firstLine="0" w:firstLineChars="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违反一项扣10分</w:t>
            </w:r>
          </w:p>
        </w:tc>
        <w:tc>
          <w:tcPr>
            <w:tcW w:w="1166" w:type="dxa"/>
            <w:noWrap w:val="0"/>
            <w:vAlign w:val="center"/>
          </w:tcPr>
          <w:p>
            <w:pPr>
              <w:pStyle w:val="140"/>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7" w:hRule="atLeast"/>
        </w:trPr>
        <w:tc>
          <w:tcPr>
            <w:tcW w:w="675" w:type="dxa"/>
            <w:noWrap w:val="0"/>
            <w:vAlign w:val="center"/>
          </w:tcPr>
          <w:p>
            <w:pPr>
              <w:pStyle w:val="140"/>
              <w:keepNext w:val="0"/>
              <w:keepLines w:val="0"/>
              <w:pageBreakBefore w:val="0"/>
              <w:widowControl w:val="0"/>
              <w:kinsoku/>
              <w:wordWrap/>
              <w:overflowPunct/>
              <w:topLinePunct w:val="0"/>
              <w:autoSpaceDE/>
              <w:autoSpaceDN/>
              <w:bidi w:val="0"/>
              <w:spacing w:line="400" w:lineRule="exact"/>
              <w:ind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25</w:t>
            </w:r>
          </w:p>
        </w:tc>
        <w:tc>
          <w:tcPr>
            <w:tcW w:w="466" w:type="dxa"/>
            <w:noWrap w:val="0"/>
            <w:vAlign w:val="center"/>
          </w:tcPr>
          <w:p>
            <w:pPr>
              <w:pStyle w:val="140"/>
              <w:keepNext w:val="0"/>
              <w:keepLines w:val="0"/>
              <w:pageBreakBefore w:val="0"/>
              <w:widowControl w:val="0"/>
              <w:kinsoku/>
              <w:wordWrap/>
              <w:overflowPunct/>
              <w:topLinePunct w:val="0"/>
              <w:autoSpaceDE/>
              <w:autoSpaceDN/>
              <w:bidi w:val="0"/>
              <w:spacing w:line="40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安全</w:t>
            </w:r>
          </w:p>
        </w:tc>
        <w:tc>
          <w:tcPr>
            <w:tcW w:w="5102" w:type="dxa"/>
            <w:noWrap w:val="0"/>
            <w:vAlign w:val="center"/>
          </w:tcPr>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严格遵守国家法律法规，严格遵守医院各项规章制度，维持医院门诊、急诊及楼层内外区域的正常工作秩序、治安秩序，消除安全隐患，遇火警拨119、匪警拨110，负责院内公共安全防范管理及治安维护工作。</w:t>
            </w:r>
          </w:p>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合理安排巡逻工作，发现可疑人员、车辆或大件物品搬离出院时，主动询问检查。</w:t>
            </w:r>
          </w:p>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发现纠纷事件应及时上报上级，并对当事人双方进行劝阻，以制止事态扩大；对于正在发生的刑事案件和可疑情况应及时制止并对可疑人员进行查问，情况严重的可直接与公安机关（110）部门联系。</w:t>
            </w:r>
          </w:p>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谢绝明显的精神病患者、乞讨者、醉酒者、拾破烂者进入医院，发现对影响医院形象，破坏医院声誉的行为及时制止。</w:t>
            </w:r>
          </w:p>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熟悉医院内部环境，会熟练使用各种灭火器材，发现隐患及时上报，对水电设施、门窗等有缺损时，及时上报上级领导处理。</w:t>
            </w:r>
          </w:p>
        </w:tc>
        <w:tc>
          <w:tcPr>
            <w:tcW w:w="1304" w:type="dxa"/>
            <w:noWrap w:val="0"/>
            <w:vAlign w:val="center"/>
          </w:tcPr>
          <w:p>
            <w:pPr>
              <w:pStyle w:val="140"/>
              <w:keepNext w:val="0"/>
              <w:keepLines w:val="0"/>
              <w:pageBreakBefore w:val="0"/>
              <w:widowControl w:val="0"/>
              <w:kinsoku/>
              <w:wordWrap/>
              <w:overflowPunct/>
              <w:topLinePunct w:val="0"/>
              <w:autoSpaceDE/>
              <w:autoSpaceDN/>
              <w:bidi w:val="0"/>
              <w:spacing w:line="400" w:lineRule="exact"/>
              <w:ind w:firstLine="0" w:firstLineChars="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违反一项扣10分</w:t>
            </w:r>
          </w:p>
        </w:tc>
        <w:tc>
          <w:tcPr>
            <w:tcW w:w="1166" w:type="dxa"/>
            <w:noWrap w:val="0"/>
            <w:vAlign w:val="center"/>
          </w:tcPr>
          <w:p>
            <w:pPr>
              <w:pStyle w:val="140"/>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trPr>
        <w:tc>
          <w:tcPr>
            <w:tcW w:w="6243" w:type="dxa"/>
            <w:gridSpan w:val="3"/>
            <w:noWrap w:val="0"/>
            <w:vAlign w:val="center"/>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得分合计</w:t>
            </w:r>
          </w:p>
        </w:tc>
        <w:tc>
          <w:tcPr>
            <w:tcW w:w="1304" w:type="dxa"/>
            <w:noWrap w:val="0"/>
            <w:vAlign w:val="center"/>
          </w:tcPr>
          <w:p>
            <w:pPr>
              <w:pStyle w:val="140"/>
              <w:keepNext w:val="0"/>
              <w:keepLines w:val="0"/>
              <w:pageBreakBefore w:val="0"/>
              <w:widowControl w:val="0"/>
              <w:kinsoku/>
              <w:wordWrap/>
              <w:overflowPunct/>
              <w:topLinePunct w:val="0"/>
              <w:autoSpaceDE/>
              <w:autoSpaceDN/>
              <w:bidi w:val="0"/>
              <w:spacing w:line="400" w:lineRule="exact"/>
              <w:ind w:firstLine="0" w:firstLineChars="0"/>
              <w:textAlignment w:val="auto"/>
              <w:rPr>
                <w:rFonts w:hint="eastAsia" w:ascii="宋体" w:hAnsi="宋体" w:eastAsia="宋体" w:cs="宋体"/>
                <w:color w:val="auto"/>
                <w:sz w:val="21"/>
                <w:szCs w:val="21"/>
                <w:highlight w:val="none"/>
                <w:lang w:val="en-US" w:eastAsia="zh-CN"/>
              </w:rPr>
            </w:pPr>
          </w:p>
        </w:tc>
        <w:tc>
          <w:tcPr>
            <w:tcW w:w="1166" w:type="dxa"/>
            <w:noWrap w:val="0"/>
            <w:vAlign w:val="center"/>
          </w:tcPr>
          <w:p>
            <w:pPr>
              <w:pStyle w:val="140"/>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color w:val="auto"/>
                <w:sz w:val="21"/>
                <w:szCs w:val="21"/>
                <w:highlight w:val="none"/>
                <w:lang w:val="en-US" w:eastAsia="zh-CN"/>
              </w:rPr>
            </w:pPr>
          </w:p>
        </w:tc>
      </w:tr>
    </w:tbl>
    <w:p>
      <w:pPr>
        <w:pStyle w:val="316"/>
        <w:ind w:firstLine="0" w:firstLineChars="0"/>
        <w:rPr>
          <w:rFonts w:hint="eastAsia" w:ascii="宋体" w:hAnsi="宋体" w:eastAsia="宋体" w:cs="宋体"/>
          <w:color w:val="auto"/>
          <w:sz w:val="21"/>
          <w:szCs w:val="21"/>
          <w:highlight w:val="none"/>
        </w:rPr>
      </w:pPr>
    </w:p>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对该区域保</w:t>
      </w:r>
      <w:r>
        <w:rPr>
          <w:rFonts w:hint="eastAsia" w:ascii="宋体" w:hAnsi="宋体" w:eastAsia="宋体" w:cs="宋体"/>
          <w:color w:val="auto"/>
          <w:sz w:val="21"/>
          <w:szCs w:val="21"/>
          <w:highlight w:val="none"/>
          <w:lang w:val="en-US" w:eastAsia="zh-CN"/>
        </w:rPr>
        <w:t>安</w:t>
      </w:r>
      <w:r>
        <w:rPr>
          <w:rFonts w:hint="eastAsia" w:ascii="宋体" w:hAnsi="宋体" w:eastAsia="宋体" w:cs="宋体"/>
          <w:color w:val="auto"/>
          <w:sz w:val="21"/>
          <w:szCs w:val="21"/>
          <w:highlight w:val="none"/>
        </w:rPr>
        <w:t>员评价</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口满意</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口基本满意</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口不满意</w:t>
      </w:r>
    </w:p>
    <w:p>
      <w:pPr>
        <w:numPr>
          <w:ilvl w:val="0"/>
          <w:numId w:val="0"/>
        </w:numPr>
        <w:spacing w:after="24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监督人员签名:</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日</w:t>
      </w:r>
    </w:p>
    <w:p>
      <w:pPr>
        <w:pStyle w:val="140"/>
        <w:rPr>
          <w:rFonts w:hint="eastAsia" w:ascii="宋体" w:hAnsi="宋体" w:eastAsia="宋体" w:cs="宋体"/>
          <w:color w:val="auto"/>
          <w:sz w:val="21"/>
          <w:szCs w:val="21"/>
          <w:highlight w:val="none"/>
        </w:rPr>
      </w:pPr>
    </w:p>
    <w:p>
      <w:pPr>
        <w:pStyle w:val="19"/>
        <w:rPr>
          <w:rFonts w:hint="eastAsia" w:ascii="宋体" w:hAnsi="宋体" w:eastAsia="宋体" w:cs="宋体"/>
          <w:color w:val="auto"/>
          <w:sz w:val="21"/>
          <w:szCs w:val="21"/>
          <w:highlight w:val="none"/>
        </w:rPr>
      </w:pPr>
    </w:p>
    <w:p>
      <w:pPr>
        <w:pStyle w:val="20"/>
        <w:rPr>
          <w:rFonts w:hint="eastAsia" w:ascii="宋体" w:hAnsi="宋体" w:eastAsia="宋体" w:cs="宋体"/>
          <w:color w:val="auto"/>
          <w:sz w:val="21"/>
          <w:szCs w:val="21"/>
          <w:highlight w:val="none"/>
        </w:rPr>
      </w:pPr>
    </w:p>
    <w:p>
      <w:pPr>
        <w:rPr>
          <w:rFonts w:hint="eastAsia" w:ascii="宋体" w:hAnsi="宋体" w:eastAsia="宋体" w:cs="宋体"/>
          <w:color w:val="auto"/>
          <w:sz w:val="21"/>
          <w:szCs w:val="21"/>
          <w:highlight w:val="none"/>
        </w:rPr>
      </w:pPr>
    </w:p>
    <w:p>
      <w:pPr>
        <w:pStyle w:val="140"/>
        <w:rPr>
          <w:rFonts w:hint="eastAsia" w:ascii="宋体" w:hAnsi="宋体" w:eastAsia="宋体" w:cs="宋体"/>
          <w:color w:val="auto"/>
          <w:sz w:val="21"/>
          <w:szCs w:val="21"/>
          <w:highlight w:val="none"/>
        </w:rPr>
      </w:pPr>
    </w:p>
    <w:p>
      <w:pPr>
        <w:pStyle w:val="19"/>
        <w:rPr>
          <w:rFonts w:hint="eastAsia" w:ascii="宋体" w:hAnsi="宋体" w:eastAsia="宋体" w:cs="宋体"/>
          <w:color w:val="auto"/>
          <w:sz w:val="21"/>
          <w:szCs w:val="21"/>
          <w:highlight w:val="none"/>
        </w:rPr>
      </w:pPr>
    </w:p>
    <w:p>
      <w:pPr>
        <w:pStyle w:val="20"/>
        <w:rPr>
          <w:rFonts w:hint="eastAsia" w:ascii="宋体" w:hAnsi="宋体" w:eastAsia="宋体" w:cs="宋体"/>
          <w:color w:val="auto"/>
          <w:sz w:val="21"/>
          <w:szCs w:val="21"/>
          <w:highlight w:val="none"/>
        </w:rPr>
      </w:pPr>
    </w:p>
    <w:p>
      <w:pPr>
        <w:rPr>
          <w:rFonts w:hint="eastAsia" w:ascii="宋体" w:hAnsi="宋体" w:eastAsia="宋体" w:cs="宋体"/>
          <w:color w:val="auto"/>
          <w:sz w:val="21"/>
          <w:szCs w:val="21"/>
          <w:highlight w:val="none"/>
        </w:rPr>
      </w:pPr>
    </w:p>
    <w:p>
      <w:pPr>
        <w:pStyle w:val="140"/>
        <w:rPr>
          <w:rFonts w:hint="eastAsia" w:ascii="宋体" w:hAnsi="宋体" w:eastAsia="宋体" w:cs="宋体"/>
          <w:color w:val="auto"/>
          <w:sz w:val="21"/>
          <w:szCs w:val="21"/>
          <w:highlight w:val="none"/>
        </w:rPr>
      </w:pPr>
    </w:p>
    <w:p>
      <w:pPr>
        <w:pStyle w:val="19"/>
        <w:rPr>
          <w:rFonts w:hint="eastAsia" w:ascii="宋体" w:hAnsi="宋体" w:eastAsia="宋体" w:cs="宋体"/>
          <w:color w:val="auto"/>
          <w:sz w:val="21"/>
          <w:szCs w:val="21"/>
          <w:highlight w:val="none"/>
        </w:rPr>
      </w:pPr>
    </w:p>
    <w:p>
      <w:pPr>
        <w:pStyle w:val="20"/>
        <w:rPr>
          <w:rFonts w:hint="eastAsia" w:ascii="宋体" w:hAnsi="宋体" w:eastAsia="宋体" w:cs="宋体"/>
          <w:color w:val="auto"/>
          <w:sz w:val="21"/>
          <w:szCs w:val="21"/>
          <w:highlight w:val="none"/>
        </w:rPr>
      </w:pPr>
    </w:p>
    <w:p>
      <w:pPr>
        <w:numPr>
          <w:ilvl w:val="0"/>
          <w:numId w:val="0"/>
        </w:numPr>
        <w:spacing w:after="240" w:line="360" w:lineRule="auto"/>
        <w:ind w:left="0" w:leftChars="0" w:firstLine="0" w:firstLineChars="0"/>
        <w:jc w:val="left"/>
        <w:rPr>
          <w:rFonts w:hint="eastAsia" w:ascii="宋体" w:hAnsi="宋体" w:eastAsia="宋体" w:cs="宋体"/>
          <w:b/>
          <w:bCs/>
          <w:color w:val="auto"/>
          <w:sz w:val="21"/>
          <w:szCs w:val="21"/>
          <w:highlight w:val="none"/>
          <w:lang w:val="en-US" w:eastAsia="zh-CN"/>
        </w:rPr>
      </w:pPr>
    </w:p>
    <w:p>
      <w:pPr>
        <w:numPr>
          <w:ilvl w:val="0"/>
          <w:numId w:val="0"/>
        </w:numPr>
        <w:spacing w:after="240" w:line="360" w:lineRule="auto"/>
        <w:ind w:left="0" w:leftChars="0" w:firstLine="0" w:firstLineChars="0"/>
        <w:jc w:val="left"/>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eastAsia="zh-CN"/>
        </w:rPr>
        <w:t>附件9</w:t>
      </w:r>
    </w:p>
    <w:p>
      <w:pPr>
        <w:ind w:left="0" w:leftChars="0" w:firstLine="0" w:firstLineChars="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投诉</w:t>
      </w:r>
      <w:r>
        <w:rPr>
          <w:rFonts w:hint="eastAsia" w:ascii="宋体" w:hAnsi="宋体" w:eastAsia="宋体" w:cs="宋体"/>
          <w:b/>
          <w:bCs/>
          <w:color w:val="auto"/>
          <w:sz w:val="21"/>
          <w:szCs w:val="21"/>
          <w:highlight w:val="none"/>
          <w:lang w:eastAsia="zh-CN"/>
        </w:rPr>
        <w:t>意见</w:t>
      </w:r>
      <w:r>
        <w:rPr>
          <w:rFonts w:hint="eastAsia" w:ascii="宋体" w:hAnsi="宋体" w:eastAsia="宋体" w:cs="宋体"/>
          <w:b/>
          <w:bCs/>
          <w:color w:val="auto"/>
          <w:sz w:val="21"/>
          <w:szCs w:val="21"/>
          <w:highlight w:val="none"/>
        </w:rPr>
        <w:t>处理表</w:t>
      </w:r>
    </w:p>
    <w:p>
      <w:pP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lang w:eastAsia="zh-CN"/>
        </w:rPr>
        <w:t>编号：</w:t>
      </w:r>
    </w:p>
    <w:tbl>
      <w:tblPr>
        <w:tblStyle w:val="49"/>
        <w:tblW w:w="0" w:type="auto"/>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5"/>
        <w:gridCol w:w="1965"/>
        <w:gridCol w:w="1260"/>
        <w:gridCol w:w="240"/>
        <w:gridCol w:w="1305"/>
        <w:gridCol w:w="26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665" w:type="dxa"/>
            <w:noWrap w:val="0"/>
            <w:vAlign w:val="center"/>
          </w:tcPr>
          <w:p>
            <w:pPr>
              <w:ind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投诉</w:t>
            </w:r>
            <w:r>
              <w:rPr>
                <w:rFonts w:hint="eastAsia" w:ascii="宋体" w:hAnsi="宋体" w:eastAsia="宋体" w:cs="宋体"/>
                <w:color w:val="auto"/>
                <w:sz w:val="21"/>
                <w:szCs w:val="21"/>
                <w:highlight w:val="none"/>
                <w:lang w:eastAsia="zh-CN"/>
              </w:rPr>
              <w:t>科室</w:t>
            </w:r>
          </w:p>
        </w:tc>
        <w:tc>
          <w:tcPr>
            <w:tcW w:w="3465" w:type="dxa"/>
            <w:gridSpan w:val="3"/>
            <w:noWrap w:val="0"/>
            <w:vAlign w:val="center"/>
          </w:tcPr>
          <w:p>
            <w:pPr>
              <w:rPr>
                <w:rFonts w:hint="eastAsia" w:ascii="宋体" w:hAnsi="宋体" w:eastAsia="宋体" w:cs="宋体"/>
                <w:color w:val="auto"/>
                <w:sz w:val="21"/>
                <w:szCs w:val="21"/>
                <w:highlight w:val="none"/>
              </w:rPr>
            </w:pPr>
          </w:p>
        </w:tc>
        <w:tc>
          <w:tcPr>
            <w:tcW w:w="1305" w:type="dxa"/>
            <w:noWrap w:val="0"/>
            <w:vAlign w:val="center"/>
          </w:tcPr>
          <w:p>
            <w:pPr>
              <w:ind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投诉时间</w:t>
            </w:r>
          </w:p>
        </w:tc>
        <w:tc>
          <w:tcPr>
            <w:tcW w:w="2613" w:type="dxa"/>
            <w:noWrap w:val="0"/>
            <w:vAlign w:val="center"/>
          </w:tcPr>
          <w:p>
            <w:pPr>
              <w:ind w:firstLine="0" w:firstLineChars="0"/>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665" w:type="dxa"/>
            <w:noWrap w:val="0"/>
            <w:vAlign w:val="center"/>
          </w:tcPr>
          <w:p>
            <w:pPr>
              <w:ind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投诉方式</w:t>
            </w:r>
          </w:p>
        </w:tc>
        <w:tc>
          <w:tcPr>
            <w:tcW w:w="3465" w:type="dxa"/>
            <w:gridSpan w:val="3"/>
            <w:noWrap w:val="0"/>
            <w:vAlign w:val="center"/>
          </w:tcPr>
          <w:p>
            <w:pPr>
              <w:ind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□来访 □来电 □来函 □其它</w:t>
            </w:r>
          </w:p>
        </w:tc>
        <w:tc>
          <w:tcPr>
            <w:tcW w:w="1305" w:type="dxa"/>
            <w:noWrap w:val="0"/>
            <w:vAlign w:val="center"/>
          </w:tcPr>
          <w:p>
            <w:pPr>
              <w:ind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p>
        </w:tc>
        <w:tc>
          <w:tcPr>
            <w:tcW w:w="2613" w:type="dxa"/>
            <w:noWrap w:val="0"/>
            <w:vAlign w:val="center"/>
          </w:tcPr>
          <w:p>
            <w:pPr>
              <w:ind w:firstLine="0" w:firstLineChars="0"/>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7" w:hRule="atLeast"/>
        </w:trPr>
        <w:tc>
          <w:tcPr>
            <w:tcW w:w="9048" w:type="dxa"/>
            <w:gridSpan w:val="6"/>
            <w:noWrap w:val="0"/>
            <w:vAlign w:val="top"/>
          </w:tcPr>
          <w:p>
            <w:pPr>
              <w:ind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投诉内容：</w:t>
            </w:r>
          </w:p>
          <w:p>
            <w:pPr>
              <w:ind w:firstLine="0" w:firstLineChars="0"/>
              <w:jc w:val="both"/>
              <w:rPr>
                <w:rFonts w:hint="eastAsia" w:ascii="宋体" w:hAnsi="宋体" w:eastAsia="宋体" w:cs="宋体"/>
                <w:color w:val="auto"/>
                <w:sz w:val="21"/>
                <w:szCs w:val="21"/>
                <w:highlight w:val="none"/>
              </w:rPr>
            </w:pPr>
          </w:p>
          <w:p>
            <w:pPr>
              <w:ind w:firstLine="0" w:firstLineChars="0"/>
              <w:jc w:val="both"/>
              <w:rPr>
                <w:rFonts w:hint="eastAsia" w:ascii="宋体" w:hAnsi="宋体" w:eastAsia="宋体" w:cs="宋体"/>
                <w:color w:val="auto"/>
                <w:sz w:val="21"/>
                <w:szCs w:val="21"/>
                <w:highlight w:val="none"/>
                <w:lang w:eastAsia="zh-CN"/>
              </w:rPr>
            </w:pPr>
          </w:p>
          <w:p>
            <w:pPr>
              <w:ind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p>
          <w:p>
            <w:pPr>
              <w:ind w:firstLine="4620" w:firstLineChars="2200"/>
              <w:jc w:val="both"/>
              <w:rPr>
                <w:rFonts w:hint="eastAsia" w:ascii="宋体" w:hAnsi="宋体" w:eastAsia="宋体" w:cs="宋体"/>
                <w:color w:val="auto"/>
                <w:sz w:val="21"/>
                <w:szCs w:val="21"/>
                <w:highlight w:val="none"/>
              </w:rPr>
            </w:pPr>
          </w:p>
          <w:p>
            <w:pPr>
              <w:ind w:firstLine="4620" w:firstLineChars="2200"/>
              <w:jc w:val="both"/>
              <w:rPr>
                <w:rFonts w:hint="eastAsia" w:ascii="宋体" w:hAnsi="宋体" w:eastAsia="宋体" w:cs="宋体"/>
                <w:color w:val="auto"/>
                <w:sz w:val="21"/>
                <w:szCs w:val="21"/>
                <w:highlight w:val="none"/>
              </w:rPr>
            </w:pPr>
          </w:p>
          <w:p>
            <w:pPr>
              <w:ind w:firstLine="4620" w:firstLineChars="2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受理人：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atLeast"/>
        </w:trPr>
        <w:tc>
          <w:tcPr>
            <w:tcW w:w="1665" w:type="dxa"/>
            <w:noWrap w:val="0"/>
            <w:vAlign w:val="center"/>
          </w:tcPr>
          <w:p>
            <w:pPr>
              <w:ind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总务科</w:t>
            </w:r>
            <w:r>
              <w:rPr>
                <w:rFonts w:hint="eastAsia" w:ascii="宋体" w:hAnsi="宋体" w:eastAsia="宋体" w:cs="宋体"/>
                <w:color w:val="auto"/>
                <w:sz w:val="21"/>
                <w:szCs w:val="21"/>
                <w:highlight w:val="none"/>
              </w:rPr>
              <w:t>责任人</w:t>
            </w:r>
          </w:p>
        </w:tc>
        <w:tc>
          <w:tcPr>
            <w:tcW w:w="1965" w:type="dxa"/>
            <w:noWrap w:val="0"/>
            <w:vAlign w:val="center"/>
          </w:tcPr>
          <w:p>
            <w:pPr>
              <w:rPr>
                <w:rFonts w:hint="eastAsia" w:ascii="宋体" w:hAnsi="宋体" w:eastAsia="宋体" w:cs="宋体"/>
                <w:color w:val="auto"/>
                <w:sz w:val="21"/>
                <w:szCs w:val="21"/>
                <w:highlight w:val="none"/>
              </w:rPr>
            </w:pPr>
          </w:p>
        </w:tc>
        <w:tc>
          <w:tcPr>
            <w:tcW w:w="1260" w:type="dxa"/>
            <w:noWrap w:val="0"/>
            <w:vAlign w:val="center"/>
          </w:tcPr>
          <w:p>
            <w:pPr>
              <w:ind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处理时限</w:t>
            </w:r>
          </w:p>
        </w:tc>
        <w:tc>
          <w:tcPr>
            <w:tcW w:w="4158" w:type="dxa"/>
            <w:gridSpan w:val="3"/>
            <w:noWrap w:val="0"/>
            <w:vAlign w:val="center"/>
          </w:tcPr>
          <w:p>
            <w:pPr>
              <w:ind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□当天  □3日内 </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___日内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4" w:hRule="atLeast"/>
        </w:trPr>
        <w:tc>
          <w:tcPr>
            <w:tcW w:w="9048" w:type="dxa"/>
            <w:gridSpan w:val="6"/>
            <w:noWrap w:val="0"/>
            <w:vAlign w:val="top"/>
          </w:tcPr>
          <w:p>
            <w:pPr>
              <w:ind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总务科</w:t>
            </w:r>
            <w:r>
              <w:rPr>
                <w:rFonts w:hint="eastAsia" w:ascii="宋体" w:hAnsi="宋体" w:eastAsia="宋体" w:cs="宋体"/>
                <w:color w:val="auto"/>
                <w:sz w:val="21"/>
                <w:szCs w:val="21"/>
                <w:highlight w:val="none"/>
              </w:rPr>
              <w:t>处理意见：</w:t>
            </w:r>
          </w:p>
          <w:p>
            <w:pPr>
              <w:ind w:firstLine="0" w:firstLineChars="0"/>
              <w:jc w:val="both"/>
              <w:rPr>
                <w:rFonts w:hint="eastAsia" w:ascii="宋体" w:hAnsi="宋体" w:eastAsia="宋体" w:cs="宋体"/>
                <w:color w:val="auto"/>
                <w:sz w:val="21"/>
                <w:szCs w:val="21"/>
                <w:highlight w:val="none"/>
              </w:rPr>
            </w:pPr>
          </w:p>
          <w:p>
            <w:pPr>
              <w:ind w:firstLine="0" w:firstLineChars="0"/>
              <w:jc w:val="both"/>
              <w:rPr>
                <w:rFonts w:hint="eastAsia" w:ascii="宋体" w:hAnsi="宋体" w:eastAsia="宋体" w:cs="宋体"/>
                <w:color w:val="auto"/>
                <w:sz w:val="21"/>
                <w:szCs w:val="21"/>
                <w:highlight w:val="none"/>
              </w:rPr>
            </w:pPr>
          </w:p>
          <w:p>
            <w:pPr>
              <w:ind w:firstLine="0" w:firstLineChars="0"/>
              <w:jc w:val="both"/>
              <w:rPr>
                <w:rFonts w:hint="eastAsia" w:ascii="宋体" w:hAnsi="宋体" w:eastAsia="宋体" w:cs="宋体"/>
                <w:color w:val="auto"/>
                <w:sz w:val="21"/>
                <w:szCs w:val="21"/>
                <w:highlight w:val="none"/>
                <w:lang w:eastAsia="zh-CN"/>
              </w:rPr>
            </w:pPr>
          </w:p>
          <w:p>
            <w:pPr>
              <w:ind w:firstLine="0" w:firstLineChars="0"/>
              <w:jc w:val="both"/>
              <w:rPr>
                <w:rFonts w:hint="eastAsia" w:ascii="宋体" w:hAnsi="宋体" w:eastAsia="宋体" w:cs="宋体"/>
                <w:color w:val="auto"/>
                <w:sz w:val="21"/>
                <w:szCs w:val="21"/>
                <w:highlight w:val="none"/>
                <w:lang w:eastAsia="zh-CN"/>
              </w:rPr>
            </w:pPr>
          </w:p>
          <w:p>
            <w:pPr>
              <w:ind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责任人签字：</w:t>
            </w:r>
          </w:p>
          <w:p>
            <w:pPr>
              <w:wordWrap w:val="0"/>
              <w:ind w:firstLine="4620" w:firstLineChars="2200"/>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日</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期：</w:t>
            </w:r>
            <w:r>
              <w:rPr>
                <w:rFonts w:hint="eastAsia" w:ascii="宋体" w:hAnsi="宋体" w:eastAsia="宋体" w:cs="宋体"/>
                <w:color w:val="auto"/>
                <w:sz w:val="21"/>
                <w:szCs w:val="21"/>
                <w:highlight w:val="non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4" w:hRule="atLeast"/>
        </w:trPr>
        <w:tc>
          <w:tcPr>
            <w:tcW w:w="9048" w:type="dxa"/>
            <w:gridSpan w:val="6"/>
            <w:noWrap w:val="0"/>
            <w:vAlign w:val="top"/>
          </w:tcPr>
          <w:p>
            <w:pPr>
              <w:ind w:firstLine="0" w:firstLineChars="0"/>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处理结果：</w:t>
            </w:r>
          </w:p>
          <w:p>
            <w:pPr>
              <w:ind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p>
          <w:p>
            <w:pPr>
              <w:ind w:firstLine="0" w:firstLineChars="0"/>
              <w:jc w:val="both"/>
              <w:rPr>
                <w:rFonts w:hint="eastAsia" w:ascii="宋体" w:hAnsi="宋体" w:eastAsia="宋体" w:cs="宋体"/>
                <w:color w:val="auto"/>
                <w:sz w:val="21"/>
                <w:szCs w:val="21"/>
                <w:highlight w:val="none"/>
              </w:rPr>
            </w:pPr>
          </w:p>
          <w:p>
            <w:pPr>
              <w:ind w:firstLine="0" w:firstLineChars="0"/>
              <w:jc w:val="both"/>
              <w:rPr>
                <w:rFonts w:hint="eastAsia" w:ascii="宋体" w:hAnsi="宋体" w:eastAsia="宋体" w:cs="宋体"/>
                <w:color w:val="auto"/>
                <w:sz w:val="21"/>
                <w:szCs w:val="21"/>
                <w:highlight w:val="none"/>
              </w:rPr>
            </w:pPr>
          </w:p>
          <w:p>
            <w:pPr>
              <w:ind w:firstLine="0" w:firstLineChars="0"/>
              <w:jc w:val="both"/>
              <w:rPr>
                <w:rFonts w:hint="eastAsia" w:ascii="宋体" w:hAnsi="宋体" w:eastAsia="宋体" w:cs="宋体"/>
                <w:color w:val="auto"/>
                <w:sz w:val="21"/>
                <w:szCs w:val="21"/>
                <w:highlight w:val="none"/>
              </w:rPr>
            </w:pPr>
          </w:p>
          <w:p>
            <w:pPr>
              <w:ind w:firstLine="0" w:firstLineChars="0"/>
              <w:jc w:val="both"/>
              <w:rPr>
                <w:rFonts w:hint="eastAsia" w:ascii="宋体" w:hAnsi="宋体" w:eastAsia="宋体" w:cs="宋体"/>
                <w:color w:val="auto"/>
                <w:sz w:val="21"/>
                <w:szCs w:val="21"/>
                <w:highlight w:val="none"/>
              </w:rPr>
            </w:pPr>
          </w:p>
          <w:p>
            <w:pPr>
              <w:ind w:firstLine="0" w:firstLineChars="0"/>
              <w:jc w:val="both"/>
              <w:rPr>
                <w:rFonts w:hint="eastAsia" w:ascii="宋体" w:hAnsi="宋体" w:eastAsia="宋体" w:cs="宋体"/>
                <w:color w:val="auto"/>
                <w:sz w:val="21"/>
                <w:szCs w:val="21"/>
                <w:highlight w:val="none"/>
              </w:rPr>
            </w:pPr>
          </w:p>
          <w:p>
            <w:pPr>
              <w:ind w:firstLine="0" w:firstLineChars="0"/>
              <w:jc w:val="both"/>
              <w:rPr>
                <w:rFonts w:hint="eastAsia" w:ascii="宋体" w:hAnsi="宋体" w:eastAsia="宋体" w:cs="宋体"/>
                <w:color w:val="auto"/>
                <w:sz w:val="21"/>
                <w:szCs w:val="21"/>
                <w:highlight w:val="none"/>
              </w:rPr>
            </w:pPr>
          </w:p>
          <w:p>
            <w:pPr>
              <w:ind w:firstLine="4620" w:firstLineChars="2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责任人签字：</w:t>
            </w:r>
          </w:p>
          <w:p>
            <w:pPr>
              <w:ind w:firstLine="4620" w:firstLineChars="2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日</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期：</w:t>
            </w:r>
            <w:r>
              <w:rPr>
                <w:rFonts w:hint="eastAsia" w:ascii="宋体" w:hAnsi="宋体" w:eastAsia="宋体" w:cs="宋体"/>
                <w:color w:val="auto"/>
                <w:sz w:val="21"/>
                <w:szCs w:val="21"/>
                <w:highlight w:val="none"/>
                <w:lang w:val="en-US" w:eastAsia="zh-CN"/>
              </w:rPr>
              <w:t xml:space="preserve">          </w:t>
            </w:r>
          </w:p>
        </w:tc>
      </w:tr>
    </w:tbl>
    <w:p>
      <w:pPr>
        <w:rPr>
          <w:rFonts w:hint="eastAsia" w:ascii="宋体" w:hAnsi="宋体" w:eastAsia="宋体" w:cs="宋体"/>
          <w:color w:val="auto"/>
          <w:sz w:val="21"/>
          <w:szCs w:val="21"/>
          <w:highlight w:val="none"/>
        </w:rPr>
      </w:pPr>
    </w:p>
    <w:p>
      <w:pPr>
        <w:pStyle w:val="20"/>
        <w:rPr>
          <w:rFonts w:hint="eastAsia" w:ascii="宋体" w:hAnsi="宋体" w:eastAsia="宋体" w:cs="宋体"/>
          <w:color w:val="auto"/>
          <w:sz w:val="21"/>
          <w:szCs w:val="21"/>
          <w:highlight w:val="none"/>
        </w:rPr>
      </w:pPr>
    </w:p>
    <w:p>
      <w:pPr>
        <w:numPr>
          <w:ilvl w:val="0"/>
          <w:numId w:val="0"/>
        </w:numPr>
        <w:spacing w:after="240" w:line="360" w:lineRule="auto"/>
        <w:rPr>
          <w:rFonts w:hint="eastAsia" w:ascii="宋体" w:hAnsi="宋体" w:eastAsia="宋体" w:cs="宋体"/>
          <w:b/>
          <w:bCs/>
          <w:color w:val="auto"/>
          <w:sz w:val="21"/>
          <w:szCs w:val="21"/>
          <w:highlight w:val="none"/>
          <w:lang w:val="en-US" w:eastAsia="zh-CN"/>
        </w:rPr>
      </w:pPr>
    </w:p>
    <w:p>
      <w:pPr>
        <w:numPr>
          <w:ilvl w:val="0"/>
          <w:numId w:val="0"/>
        </w:numPr>
        <w:spacing w:after="240" w:line="360" w:lineRule="auto"/>
        <w:rPr>
          <w:rFonts w:hint="eastAsia" w:ascii="宋体" w:hAnsi="宋体" w:eastAsia="宋体" w:cs="宋体"/>
          <w:b/>
          <w:bCs/>
          <w:color w:val="auto"/>
          <w:sz w:val="21"/>
          <w:szCs w:val="21"/>
          <w:highlight w:val="none"/>
          <w:lang w:val="en-US" w:eastAsia="zh-CN"/>
        </w:rPr>
      </w:pPr>
    </w:p>
    <w:p>
      <w:pPr>
        <w:numPr>
          <w:ilvl w:val="0"/>
          <w:numId w:val="0"/>
        </w:numPr>
        <w:spacing w:after="240" w:line="360" w:lineRule="auto"/>
        <w:rPr>
          <w:rFonts w:hint="eastAsia" w:ascii="宋体" w:hAnsi="宋体" w:eastAsia="宋体" w:cs="宋体"/>
          <w:color w:val="auto"/>
          <w:sz w:val="21"/>
          <w:szCs w:val="21"/>
          <w:highlight w:val="none"/>
          <w:lang w:val="en-US"/>
        </w:rPr>
      </w:pPr>
      <w:r>
        <w:rPr>
          <w:rFonts w:hint="eastAsia" w:ascii="宋体" w:hAnsi="宋体" w:eastAsia="宋体" w:cs="宋体"/>
          <w:b/>
          <w:bCs/>
          <w:color w:val="auto"/>
          <w:sz w:val="21"/>
          <w:szCs w:val="21"/>
          <w:highlight w:val="none"/>
          <w:lang w:val="en-US" w:eastAsia="zh-CN"/>
        </w:rPr>
        <w:t>附件10</w:t>
      </w:r>
    </w:p>
    <w:p>
      <w:pPr>
        <w:pStyle w:val="3"/>
        <w:bidi w:val="0"/>
        <w:ind w:firstLine="0" w:firstLineChars="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防城港市防城区</w:t>
      </w:r>
      <w:r>
        <w:rPr>
          <w:rFonts w:hint="eastAsia" w:ascii="宋体" w:hAnsi="宋体" w:eastAsia="宋体" w:cs="宋体"/>
          <w:color w:val="auto"/>
          <w:sz w:val="21"/>
          <w:szCs w:val="21"/>
          <w:highlight w:val="none"/>
          <w:lang w:eastAsia="zh-CN"/>
        </w:rPr>
        <w:t>妇幼保健院</w:t>
      </w:r>
      <w:r>
        <w:rPr>
          <w:rFonts w:hint="eastAsia" w:ascii="宋体" w:hAnsi="宋体" w:eastAsia="宋体" w:cs="宋体"/>
          <w:color w:val="auto"/>
          <w:sz w:val="21"/>
          <w:szCs w:val="21"/>
          <w:highlight w:val="none"/>
          <w:lang w:val="en-US" w:eastAsia="zh-CN"/>
        </w:rPr>
        <w:t>物业</w:t>
      </w:r>
      <w:r>
        <w:rPr>
          <w:rFonts w:hint="eastAsia" w:ascii="宋体" w:hAnsi="宋体" w:eastAsia="宋体" w:cs="宋体"/>
          <w:color w:val="auto"/>
          <w:sz w:val="21"/>
          <w:szCs w:val="21"/>
          <w:highlight w:val="none"/>
          <w:lang w:eastAsia="zh-CN"/>
        </w:rPr>
        <w:t>服务满意度问卷调查表</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各位</w:t>
      </w:r>
      <w:r>
        <w:rPr>
          <w:rFonts w:hint="eastAsia" w:ascii="宋体" w:hAnsi="宋体" w:eastAsia="宋体" w:cs="宋体"/>
          <w:color w:val="auto"/>
          <w:sz w:val="21"/>
          <w:szCs w:val="21"/>
          <w:highlight w:val="none"/>
          <w:lang w:val="en-US" w:eastAsia="zh-CN"/>
        </w:rPr>
        <w:t>同事</w:t>
      </w:r>
      <w:r>
        <w:rPr>
          <w:rFonts w:hint="eastAsia" w:ascii="宋体" w:hAnsi="宋体" w:eastAsia="宋体" w:cs="宋体"/>
          <w:color w:val="auto"/>
          <w:sz w:val="21"/>
          <w:szCs w:val="21"/>
          <w:highlight w:val="none"/>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为了加强对</w:t>
      </w:r>
      <w:r>
        <w:rPr>
          <w:rFonts w:hint="eastAsia" w:ascii="宋体" w:hAnsi="宋体" w:eastAsia="宋体" w:cs="宋体"/>
          <w:color w:val="auto"/>
          <w:sz w:val="21"/>
          <w:szCs w:val="21"/>
          <w:highlight w:val="none"/>
          <w:lang w:val="en-US" w:eastAsia="zh-CN"/>
        </w:rPr>
        <w:t>物业服务</w:t>
      </w:r>
      <w:r>
        <w:rPr>
          <w:rFonts w:hint="eastAsia" w:ascii="宋体" w:hAnsi="宋体" w:eastAsia="宋体" w:cs="宋体"/>
          <w:color w:val="auto"/>
          <w:sz w:val="21"/>
          <w:szCs w:val="21"/>
          <w:highlight w:val="none"/>
          <w:lang w:eastAsia="zh-CN"/>
        </w:rPr>
        <w:t>质量监管，提高</w:t>
      </w:r>
      <w:r>
        <w:rPr>
          <w:rFonts w:hint="eastAsia" w:ascii="宋体" w:hAnsi="宋体" w:eastAsia="宋体" w:cs="宋体"/>
          <w:color w:val="auto"/>
          <w:sz w:val="21"/>
          <w:szCs w:val="21"/>
          <w:highlight w:val="none"/>
          <w:lang w:val="en-US" w:eastAsia="zh-CN"/>
        </w:rPr>
        <w:t>物业</w:t>
      </w:r>
      <w:r>
        <w:rPr>
          <w:rFonts w:hint="eastAsia" w:ascii="宋体" w:hAnsi="宋体" w:eastAsia="宋体" w:cs="宋体"/>
          <w:color w:val="auto"/>
          <w:sz w:val="21"/>
          <w:szCs w:val="21"/>
          <w:highlight w:val="none"/>
          <w:lang w:eastAsia="zh-CN"/>
        </w:rPr>
        <w:t>服务质量，请您对本</w:t>
      </w:r>
      <w:r>
        <w:rPr>
          <w:rFonts w:hint="eastAsia" w:ascii="宋体" w:hAnsi="宋体" w:eastAsia="宋体" w:cs="宋体"/>
          <w:color w:val="auto"/>
          <w:sz w:val="21"/>
          <w:szCs w:val="21"/>
          <w:highlight w:val="none"/>
          <w:lang w:val="en-US" w:eastAsia="zh-CN"/>
        </w:rPr>
        <w:t>院物业</w:t>
      </w:r>
      <w:r>
        <w:rPr>
          <w:rFonts w:hint="eastAsia" w:ascii="宋体" w:hAnsi="宋体" w:eastAsia="宋体" w:cs="宋体"/>
          <w:color w:val="auto"/>
          <w:sz w:val="21"/>
          <w:szCs w:val="21"/>
          <w:highlight w:val="none"/>
          <w:lang w:eastAsia="zh-CN"/>
        </w:rPr>
        <w:t>服务工作进行客观评价，以便改进工作。请您在所选项目上打“√”。</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谢谢</w:t>
      </w:r>
      <w:r>
        <w:rPr>
          <w:rFonts w:hint="eastAsia" w:ascii="宋体" w:hAnsi="宋体" w:eastAsia="宋体" w:cs="宋体"/>
          <w:color w:val="auto"/>
          <w:sz w:val="21"/>
          <w:szCs w:val="21"/>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center"/>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                                              总务科</w:t>
      </w:r>
    </w:p>
    <w:p>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20</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年</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月</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日</w:t>
      </w:r>
    </w:p>
    <w:tbl>
      <w:tblPr>
        <w:tblStyle w:val="50"/>
        <w:tblpPr w:leftFromText="180" w:rightFromText="180" w:vertAnchor="text" w:horzAnchor="page" w:tblpX="1231" w:tblpY="514"/>
        <w:tblOverlap w:val="never"/>
        <w:tblW w:w="94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66"/>
        <w:gridCol w:w="675"/>
        <w:gridCol w:w="1080"/>
        <w:gridCol w:w="945"/>
        <w:gridCol w:w="2010"/>
        <w:gridCol w:w="690"/>
        <w:gridCol w:w="1140"/>
        <w:gridCol w:w="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4666" w:type="dxa"/>
            <w:gridSpan w:val="4"/>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eastAsia="zh-CN"/>
              </w:rPr>
              <w:t>保洁员姓名：</w:t>
            </w:r>
          </w:p>
        </w:tc>
        <w:tc>
          <w:tcPr>
            <w:tcW w:w="4800" w:type="dxa"/>
            <w:gridSpan w:val="4"/>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eastAsia="zh-CN"/>
              </w:rPr>
              <w:t>保</w:t>
            </w:r>
            <w:r>
              <w:rPr>
                <w:rFonts w:hint="eastAsia" w:ascii="宋体" w:hAnsi="宋体" w:eastAsia="宋体" w:cs="宋体"/>
                <w:color w:val="auto"/>
                <w:sz w:val="21"/>
                <w:szCs w:val="21"/>
                <w:highlight w:val="none"/>
                <w:vertAlign w:val="baseline"/>
                <w:lang w:val="en-US" w:eastAsia="zh-CN"/>
              </w:rPr>
              <w:t>安</w:t>
            </w:r>
            <w:r>
              <w:rPr>
                <w:rFonts w:hint="eastAsia" w:ascii="宋体" w:hAnsi="宋体" w:eastAsia="宋体" w:cs="宋体"/>
                <w:color w:val="auto"/>
                <w:sz w:val="21"/>
                <w:szCs w:val="21"/>
                <w:highlight w:val="none"/>
                <w:vertAlign w:val="baseline"/>
                <w:lang w:eastAsia="zh-CN"/>
              </w:rPr>
              <w:t>员姓名：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1966"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评价内容</w:t>
            </w:r>
          </w:p>
        </w:tc>
        <w:tc>
          <w:tcPr>
            <w:tcW w:w="675"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jc w:val="both"/>
              <w:textAlignment w:val="auto"/>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eastAsia="zh-CN"/>
              </w:rPr>
              <w:t>满意</w:t>
            </w:r>
          </w:p>
        </w:tc>
        <w:tc>
          <w:tcPr>
            <w:tcW w:w="1080"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jc w:val="center"/>
              <w:textAlignment w:val="auto"/>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eastAsia="zh-CN"/>
              </w:rPr>
              <w:t>基本满意</w:t>
            </w:r>
          </w:p>
        </w:tc>
        <w:tc>
          <w:tcPr>
            <w:tcW w:w="945"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jc w:val="both"/>
              <w:textAlignment w:val="auto"/>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eastAsia="zh-CN"/>
              </w:rPr>
              <w:t>不满意</w:t>
            </w:r>
          </w:p>
        </w:tc>
        <w:tc>
          <w:tcPr>
            <w:tcW w:w="2010"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ind w:left="0" w:leftChars="0" w:firstLine="0" w:firstLineChars="0"/>
              <w:jc w:val="center"/>
              <w:textAlignment w:val="auto"/>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val="en-US" w:eastAsia="zh-CN"/>
              </w:rPr>
              <w:t>评价内容</w:t>
            </w:r>
          </w:p>
        </w:tc>
        <w:tc>
          <w:tcPr>
            <w:tcW w:w="690"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ind w:left="0" w:leftChars="0" w:firstLine="0" w:firstLineChars="0"/>
              <w:jc w:val="both"/>
              <w:textAlignment w:val="auto"/>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eastAsia="zh-CN"/>
              </w:rPr>
              <w:t>满意</w:t>
            </w:r>
          </w:p>
        </w:tc>
        <w:tc>
          <w:tcPr>
            <w:tcW w:w="1140"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ind w:left="0" w:leftChars="0" w:firstLine="0" w:firstLineChars="0"/>
              <w:jc w:val="both"/>
              <w:textAlignment w:val="auto"/>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eastAsia="zh-CN"/>
              </w:rPr>
              <w:t>基本满意</w:t>
            </w:r>
          </w:p>
        </w:tc>
        <w:tc>
          <w:tcPr>
            <w:tcW w:w="960"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ind w:left="0" w:leftChars="0" w:firstLine="0" w:firstLineChars="0"/>
              <w:jc w:val="both"/>
              <w:textAlignment w:val="auto"/>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eastAsia="zh-CN"/>
              </w:rPr>
              <w:t>不满意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1966"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eastAsia="zh-CN"/>
              </w:rPr>
              <w:t>保洁员仪表仪容</w:t>
            </w:r>
          </w:p>
        </w:tc>
        <w:tc>
          <w:tcPr>
            <w:tcW w:w="675"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color w:val="auto"/>
                <w:sz w:val="21"/>
                <w:szCs w:val="21"/>
                <w:highlight w:val="none"/>
                <w:vertAlign w:val="baseline"/>
                <w:lang w:eastAsia="zh-CN"/>
              </w:rPr>
            </w:pPr>
          </w:p>
        </w:tc>
        <w:tc>
          <w:tcPr>
            <w:tcW w:w="1080"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color w:val="auto"/>
                <w:sz w:val="21"/>
                <w:szCs w:val="21"/>
                <w:highlight w:val="none"/>
                <w:vertAlign w:val="baseline"/>
                <w:lang w:eastAsia="zh-CN"/>
              </w:rPr>
            </w:pPr>
          </w:p>
        </w:tc>
        <w:tc>
          <w:tcPr>
            <w:tcW w:w="945"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color w:val="auto"/>
                <w:sz w:val="21"/>
                <w:szCs w:val="21"/>
                <w:highlight w:val="none"/>
                <w:vertAlign w:val="baseline"/>
                <w:lang w:eastAsia="zh-CN"/>
              </w:rPr>
            </w:pPr>
          </w:p>
        </w:tc>
        <w:tc>
          <w:tcPr>
            <w:tcW w:w="2010"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ind w:left="0" w:leftChars="0" w:firstLine="0" w:firstLineChars="0"/>
              <w:textAlignment w:val="auto"/>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val="en-US" w:eastAsia="zh-CN"/>
              </w:rPr>
              <w:t>保安</w:t>
            </w:r>
            <w:r>
              <w:rPr>
                <w:rFonts w:hint="eastAsia" w:ascii="宋体" w:hAnsi="宋体" w:eastAsia="宋体" w:cs="宋体"/>
                <w:color w:val="auto"/>
                <w:sz w:val="21"/>
                <w:szCs w:val="21"/>
                <w:highlight w:val="none"/>
                <w:vertAlign w:val="baseline"/>
                <w:lang w:eastAsia="zh-CN"/>
              </w:rPr>
              <w:t>员仪表仪容</w:t>
            </w:r>
          </w:p>
        </w:tc>
        <w:tc>
          <w:tcPr>
            <w:tcW w:w="690"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ind w:left="0" w:leftChars="0" w:firstLine="0" w:firstLineChars="0"/>
              <w:textAlignment w:val="auto"/>
              <w:rPr>
                <w:rFonts w:hint="eastAsia" w:ascii="宋体" w:hAnsi="宋体" w:eastAsia="宋体" w:cs="宋体"/>
                <w:color w:val="auto"/>
                <w:sz w:val="21"/>
                <w:szCs w:val="21"/>
                <w:highlight w:val="none"/>
                <w:vertAlign w:val="baseline"/>
                <w:lang w:eastAsia="zh-CN"/>
              </w:rPr>
            </w:pPr>
          </w:p>
        </w:tc>
        <w:tc>
          <w:tcPr>
            <w:tcW w:w="1140"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ind w:left="0" w:leftChars="0" w:firstLine="0" w:firstLineChars="0"/>
              <w:textAlignment w:val="auto"/>
              <w:rPr>
                <w:rFonts w:hint="eastAsia" w:ascii="宋体" w:hAnsi="宋体" w:eastAsia="宋体" w:cs="宋体"/>
                <w:color w:val="auto"/>
                <w:sz w:val="21"/>
                <w:szCs w:val="21"/>
                <w:highlight w:val="none"/>
                <w:vertAlign w:val="baseline"/>
                <w:lang w:eastAsia="zh-CN"/>
              </w:rPr>
            </w:pPr>
          </w:p>
        </w:tc>
        <w:tc>
          <w:tcPr>
            <w:tcW w:w="960"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ind w:left="0" w:leftChars="0" w:firstLine="0" w:firstLineChars="0"/>
              <w:textAlignment w:val="auto"/>
              <w:rPr>
                <w:rFonts w:hint="eastAsia" w:ascii="宋体" w:hAnsi="宋体" w:eastAsia="宋体" w:cs="宋体"/>
                <w:color w:val="auto"/>
                <w:sz w:val="21"/>
                <w:szCs w:val="21"/>
                <w:highlight w:val="none"/>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1966"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eastAsia="zh-CN"/>
              </w:rPr>
              <w:t>保洁员服务态度</w:t>
            </w:r>
          </w:p>
        </w:tc>
        <w:tc>
          <w:tcPr>
            <w:tcW w:w="675"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color w:val="auto"/>
                <w:sz w:val="21"/>
                <w:szCs w:val="21"/>
                <w:highlight w:val="none"/>
                <w:vertAlign w:val="baseline"/>
                <w:lang w:eastAsia="zh-CN"/>
              </w:rPr>
            </w:pPr>
          </w:p>
        </w:tc>
        <w:tc>
          <w:tcPr>
            <w:tcW w:w="1080"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color w:val="auto"/>
                <w:sz w:val="21"/>
                <w:szCs w:val="21"/>
                <w:highlight w:val="none"/>
                <w:vertAlign w:val="baseline"/>
                <w:lang w:eastAsia="zh-CN"/>
              </w:rPr>
            </w:pPr>
          </w:p>
        </w:tc>
        <w:tc>
          <w:tcPr>
            <w:tcW w:w="945"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color w:val="auto"/>
                <w:sz w:val="21"/>
                <w:szCs w:val="21"/>
                <w:highlight w:val="none"/>
                <w:vertAlign w:val="baseline"/>
                <w:lang w:eastAsia="zh-CN"/>
              </w:rPr>
            </w:pPr>
          </w:p>
        </w:tc>
        <w:tc>
          <w:tcPr>
            <w:tcW w:w="2010"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ind w:left="0" w:leftChars="0" w:firstLine="0" w:firstLineChars="0"/>
              <w:textAlignment w:val="auto"/>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val="en-US" w:eastAsia="zh-CN"/>
              </w:rPr>
              <w:t>保安</w:t>
            </w:r>
            <w:r>
              <w:rPr>
                <w:rFonts w:hint="eastAsia" w:ascii="宋体" w:hAnsi="宋体" w:eastAsia="宋体" w:cs="宋体"/>
                <w:color w:val="auto"/>
                <w:sz w:val="21"/>
                <w:szCs w:val="21"/>
                <w:highlight w:val="none"/>
                <w:vertAlign w:val="baseline"/>
                <w:lang w:eastAsia="zh-CN"/>
              </w:rPr>
              <w:t>员服务态度</w:t>
            </w:r>
          </w:p>
        </w:tc>
        <w:tc>
          <w:tcPr>
            <w:tcW w:w="690"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ind w:left="0" w:leftChars="0" w:firstLine="0" w:firstLineChars="0"/>
              <w:textAlignment w:val="auto"/>
              <w:rPr>
                <w:rFonts w:hint="eastAsia" w:ascii="宋体" w:hAnsi="宋体" w:eastAsia="宋体" w:cs="宋体"/>
                <w:color w:val="auto"/>
                <w:sz w:val="21"/>
                <w:szCs w:val="21"/>
                <w:highlight w:val="none"/>
                <w:vertAlign w:val="baseline"/>
                <w:lang w:eastAsia="zh-CN"/>
              </w:rPr>
            </w:pPr>
          </w:p>
        </w:tc>
        <w:tc>
          <w:tcPr>
            <w:tcW w:w="1140"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ind w:left="0" w:leftChars="0" w:firstLine="0" w:firstLineChars="0"/>
              <w:textAlignment w:val="auto"/>
              <w:rPr>
                <w:rFonts w:hint="eastAsia" w:ascii="宋体" w:hAnsi="宋体" w:eastAsia="宋体" w:cs="宋体"/>
                <w:color w:val="auto"/>
                <w:sz w:val="21"/>
                <w:szCs w:val="21"/>
                <w:highlight w:val="none"/>
                <w:vertAlign w:val="baseline"/>
                <w:lang w:eastAsia="zh-CN"/>
              </w:rPr>
            </w:pPr>
          </w:p>
        </w:tc>
        <w:tc>
          <w:tcPr>
            <w:tcW w:w="960"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ind w:left="0" w:leftChars="0" w:firstLine="0" w:firstLineChars="0"/>
              <w:textAlignment w:val="auto"/>
              <w:rPr>
                <w:rFonts w:hint="eastAsia" w:ascii="宋体" w:hAnsi="宋体" w:eastAsia="宋体" w:cs="宋体"/>
                <w:color w:val="auto"/>
                <w:sz w:val="21"/>
                <w:szCs w:val="21"/>
                <w:highlight w:val="none"/>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1966"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eastAsia="zh-CN"/>
              </w:rPr>
              <w:t>保洁员劳动纪律</w:t>
            </w:r>
          </w:p>
        </w:tc>
        <w:tc>
          <w:tcPr>
            <w:tcW w:w="675"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color w:val="auto"/>
                <w:sz w:val="21"/>
                <w:szCs w:val="21"/>
                <w:highlight w:val="none"/>
                <w:vertAlign w:val="baseline"/>
                <w:lang w:eastAsia="zh-CN"/>
              </w:rPr>
            </w:pPr>
          </w:p>
        </w:tc>
        <w:tc>
          <w:tcPr>
            <w:tcW w:w="1080"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color w:val="auto"/>
                <w:sz w:val="21"/>
                <w:szCs w:val="21"/>
                <w:highlight w:val="none"/>
                <w:vertAlign w:val="baseline"/>
                <w:lang w:eastAsia="zh-CN"/>
              </w:rPr>
            </w:pPr>
          </w:p>
        </w:tc>
        <w:tc>
          <w:tcPr>
            <w:tcW w:w="945"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color w:val="auto"/>
                <w:sz w:val="21"/>
                <w:szCs w:val="21"/>
                <w:highlight w:val="none"/>
                <w:vertAlign w:val="baseline"/>
                <w:lang w:eastAsia="zh-CN"/>
              </w:rPr>
            </w:pPr>
          </w:p>
        </w:tc>
        <w:tc>
          <w:tcPr>
            <w:tcW w:w="2010"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ind w:left="0" w:leftChars="0" w:firstLine="0" w:firstLineChars="0"/>
              <w:textAlignment w:val="auto"/>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val="en-US" w:eastAsia="zh-CN"/>
              </w:rPr>
              <w:t>保安</w:t>
            </w:r>
            <w:r>
              <w:rPr>
                <w:rFonts w:hint="eastAsia" w:ascii="宋体" w:hAnsi="宋体" w:eastAsia="宋体" w:cs="宋体"/>
                <w:color w:val="auto"/>
                <w:sz w:val="21"/>
                <w:szCs w:val="21"/>
                <w:highlight w:val="none"/>
                <w:vertAlign w:val="baseline"/>
                <w:lang w:eastAsia="zh-CN"/>
              </w:rPr>
              <w:t>员劳动纪律</w:t>
            </w:r>
          </w:p>
        </w:tc>
        <w:tc>
          <w:tcPr>
            <w:tcW w:w="690"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ind w:left="0" w:leftChars="0" w:firstLine="0" w:firstLineChars="0"/>
              <w:textAlignment w:val="auto"/>
              <w:rPr>
                <w:rFonts w:hint="eastAsia" w:ascii="宋体" w:hAnsi="宋体" w:eastAsia="宋体" w:cs="宋体"/>
                <w:color w:val="auto"/>
                <w:sz w:val="21"/>
                <w:szCs w:val="21"/>
                <w:highlight w:val="none"/>
                <w:vertAlign w:val="baseline"/>
                <w:lang w:eastAsia="zh-CN"/>
              </w:rPr>
            </w:pPr>
          </w:p>
        </w:tc>
        <w:tc>
          <w:tcPr>
            <w:tcW w:w="1140"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ind w:left="0" w:leftChars="0" w:firstLine="0" w:firstLineChars="0"/>
              <w:textAlignment w:val="auto"/>
              <w:rPr>
                <w:rFonts w:hint="eastAsia" w:ascii="宋体" w:hAnsi="宋体" w:eastAsia="宋体" w:cs="宋体"/>
                <w:color w:val="auto"/>
                <w:sz w:val="21"/>
                <w:szCs w:val="21"/>
                <w:highlight w:val="none"/>
                <w:vertAlign w:val="baseline"/>
                <w:lang w:eastAsia="zh-CN"/>
              </w:rPr>
            </w:pPr>
          </w:p>
        </w:tc>
        <w:tc>
          <w:tcPr>
            <w:tcW w:w="960"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ind w:left="0" w:leftChars="0" w:firstLine="0" w:firstLineChars="0"/>
              <w:textAlignment w:val="auto"/>
              <w:rPr>
                <w:rFonts w:hint="eastAsia" w:ascii="宋体" w:hAnsi="宋体" w:eastAsia="宋体" w:cs="宋体"/>
                <w:color w:val="auto"/>
                <w:sz w:val="21"/>
                <w:szCs w:val="21"/>
                <w:highlight w:val="none"/>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1966"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eastAsia="zh-CN"/>
              </w:rPr>
              <w:t>病区清洁卫生情况</w:t>
            </w:r>
          </w:p>
        </w:tc>
        <w:tc>
          <w:tcPr>
            <w:tcW w:w="675"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color w:val="auto"/>
                <w:sz w:val="21"/>
                <w:szCs w:val="21"/>
                <w:highlight w:val="none"/>
                <w:vertAlign w:val="baseline"/>
                <w:lang w:eastAsia="zh-CN"/>
              </w:rPr>
            </w:pPr>
          </w:p>
        </w:tc>
        <w:tc>
          <w:tcPr>
            <w:tcW w:w="1080"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color w:val="auto"/>
                <w:sz w:val="21"/>
                <w:szCs w:val="21"/>
                <w:highlight w:val="none"/>
                <w:vertAlign w:val="baseline"/>
                <w:lang w:eastAsia="zh-CN"/>
              </w:rPr>
            </w:pPr>
          </w:p>
        </w:tc>
        <w:tc>
          <w:tcPr>
            <w:tcW w:w="945"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color w:val="auto"/>
                <w:sz w:val="21"/>
                <w:szCs w:val="21"/>
                <w:highlight w:val="none"/>
                <w:vertAlign w:val="baseline"/>
                <w:lang w:eastAsia="zh-CN"/>
              </w:rPr>
            </w:pPr>
          </w:p>
        </w:tc>
        <w:tc>
          <w:tcPr>
            <w:tcW w:w="2010"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ind w:left="0" w:leftChars="0" w:firstLine="0" w:firstLineChars="0"/>
              <w:textAlignment w:val="auto"/>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val="en-US" w:eastAsia="zh-CN"/>
              </w:rPr>
              <w:t>区域安保工作</w:t>
            </w:r>
            <w:r>
              <w:rPr>
                <w:rFonts w:hint="eastAsia" w:ascii="宋体" w:hAnsi="宋体" w:eastAsia="宋体" w:cs="宋体"/>
                <w:color w:val="auto"/>
                <w:sz w:val="21"/>
                <w:szCs w:val="21"/>
                <w:highlight w:val="none"/>
                <w:vertAlign w:val="baseline"/>
                <w:lang w:eastAsia="zh-CN"/>
              </w:rPr>
              <w:t>情况</w:t>
            </w:r>
          </w:p>
        </w:tc>
        <w:tc>
          <w:tcPr>
            <w:tcW w:w="690"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ind w:left="0" w:leftChars="0" w:firstLine="0" w:firstLineChars="0"/>
              <w:textAlignment w:val="auto"/>
              <w:rPr>
                <w:rFonts w:hint="eastAsia" w:ascii="宋体" w:hAnsi="宋体" w:eastAsia="宋体" w:cs="宋体"/>
                <w:color w:val="auto"/>
                <w:sz w:val="21"/>
                <w:szCs w:val="21"/>
                <w:highlight w:val="none"/>
                <w:vertAlign w:val="baseline"/>
                <w:lang w:eastAsia="zh-CN"/>
              </w:rPr>
            </w:pPr>
          </w:p>
        </w:tc>
        <w:tc>
          <w:tcPr>
            <w:tcW w:w="1140"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ind w:left="0" w:leftChars="0" w:firstLine="0" w:firstLineChars="0"/>
              <w:textAlignment w:val="auto"/>
              <w:rPr>
                <w:rFonts w:hint="eastAsia" w:ascii="宋体" w:hAnsi="宋体" w:eastAsia="宋体" w:cs="宋体"/>
                <w:color w:val="auto"/>
                <w:sz w:val="21"/>
                <w:szCs w:val="21"/>
                <w:highlight w:val="none"/>
                <w:vertAlign w:val="baseline"/>
                <w:lang w:eastAsia="zh-CN"/>
              </w:rPr>
            </w:pPr>
          </w:p>
        </w:tc>
        <w:tc>
          <w:tcPr>
            <w:tcW w:w="960"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ind w:left="0" w:leftChars="0" w:firstLine="0" w:firstLineChars="0"/>
              <w:textAlignment w:val="auto"/>
              <w:rPr>
                <w:rFonts w:hint="eastAsia" w:ascii="宋体" w:hAnsi="宋体" w:eastAsia="宋体" w:cs="宋体"/>
                <w:color w:val="auto"/>
                <w:sz w:val="21"/>
                <w:szCs w:val="21"/>
                <w:highlight w:val="none"/>
                <w:vertAlign w:val="baseline"/>
                <w:lang w:eastAsia="zh-CN"/>
              </w:rPr>
            </w:pPr>
          </w:p>
        </w:tc>
      </w:tr>
    </w:tbl>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color w:val="auto"/>
          <w:sz w:val="21"/>
          <w:szCs w:val="21"/>
          <w:highlight w:val="none"/>
          <w:lang w:eastAsia="zh-CN"/>
        </w:rPr>
      </w:pPr>
    </w:p>
    <w:tbl>
      <w:tblPr>
        <w:tblStyle w:val="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15"/>
        <w:gridCol w:w="1050"/>
        <w:gridCol w:w="1125"/>
        <w:gridCol w:w="1002"/>
        <w:gridCol w:w="21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15"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ind w:left="0" w:leftChars="0" w:firstLine="0" w:firstLineChars="0"/>
              <w:jc w:val="center"/>
              <w:textAlignment w:val="auto"/>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val="en-US" w:eastAsia="zh-CN"/>
              </w:rPr>
              <w:t>评价内容</w:t>
            </w:r>
          </w:p>
        </w:tc>
        <w:tc>
          <w:tcPr>
            <w:tcW w:w="1050"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ind w:left="0" w:leftChars="0" w:firstLine="0" w:firstLineChars="0"/>
              <w:jc w:val="center"/>
              <w:textAlignment w:val="auto"/>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eastAsia="zh-CN"/>
              </w:rPr>
              <w:t>满</w:t>
            </w:r>
            <w:r>
              <w:rPr>
                <w:rFonts w:hint="eastAsia" w:ascii="宋体" w:hAnsi="宋体" w:eastAsia="宋体" w:cs="宋体"/>
                <w:color w:val="auto"/>
                <w:sz w:val="21"/>
                <w:szCs w:val="21"/>
                <w:highlight w:val="none"/>
                <w:vertAlign w:val="baseline"/>
                <w:lang w:val="en-US" w:eastAsia="zh-CN"/>
              </w:rPr>
              <w:t xml:space="preserve">  </w:t>
            </w:r>
            <w:r>
              <w:rPr>
                <w:rFonts w:hint="eastAsia" w:ascii="宋体" w:hAnsi="宋体" w:eastAsia="宋体" w:cs="宋体"/>
                <w:color w:val="auto"/>
                <w:sz w:val="21"/>
                <w:szCs w:val="21"/>
                <w:highlight w:val="none"/>
                <w:vertAlign w:val="baseline"/>
                <w:lang w:eastAsia="zh-CN"/>
              </w:rPr>
              <w:t>意</w:t>
            </w:r>
          </w:p>
        </w:tc>
        <w:tc>
          <w:tcPr>
            <w:tcW w:w="1125"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ind w:left="0" w:leftChars="0" w:firstLine="0" w:firstLineChars="0"/>
              <w:jc w:val="center"/>
              <w:textAlignment w:val="auto"/>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eastAsia="zh-CN"/>
              </w:rPr>
              <w:t>基本满意</w:t>
            </w:r>
          </w:p>
        </w:tc>
        <w:tc>
          <w:tcPr>
            <w:tcW w:w="1002"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ind w:left="0" w:leftChars="0" w:firstLine="0" w:firstLineChars="0"/>
              <w:jc w:val="center"/>
              <w:textAlignment w:val="auto"/>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eastAsia="zh-CN"/>
              </w:rPr>
              <w:t>不满意</w:t>
            </w:r>
          </w:p>
        </w:tc>
        <w:tc>
          <w:tcPr>
            <w:tcW w:w="2148"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jc w:val="center"/>
              <w:textAlignment w:val="auto"/>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15"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b/>
                <w:bCs/>
                <w:color w:val="auto"/>
                <w:sz w:val="21"/>
                <w:szCs w:val="21"/>
                <w:highlight w:val="none"/>
                <w:vertAlign w:val="baseline"/>
                <w:lang w:eastAsia="zh-CN"/>
              </w:rPr>
            </w:pPr>
            <w:r>
              <w:rPr>
                <w:rFonts w:hint="eastAsia" w:ascii="宋体" w:hAnsi="宋体" w:eastAsia="宋体" w:cs="宋体"/>
                <w:b w:val="0"/>
                <w:bCs w:val="0"/>
                <w:color w:val="auto"/>
                <w:sz w:val="21"/>
                <w:szCs w:val="21"/>
                <w:highlight w:val="none"/>
                <w:vertAlign w:val="baseline"/>
                <w:lang w:eastAsia="zh-CN"/>
              </w:rPr>
              <w:t>您对物业公司主管的整体评价</w:t>
            </w:r>
          </w:p>
        </w:tc>
        <w:tc>
          <w:tcPr>
            <w:tcW w:w="1050"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color w:val="auto"/>
                <w:sz w:val="21"/>
                <w:szCs w:val="21"/>
                <w:highlight w:val="none"/>
                <w:vertAlign w:val="baseline"/>
                <w:lang w:eastAsia="zh-CN"/>
              </w:rPr>
            </w:pPr>
          </w:p>
        </w:tc>
        <w:tc>
          <w:tcPr>
            <w:tcW w:w="1125"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color w:val="auto"/>
                <w:sz w:val="21"/>
                <w:szCs w:val="21"/>
                <w:highlight w:val="none"/>
                <w:vertAlign w:val="baseline"/>
                <w:lang w:eastAsia="zh-CN"/>
              </w:rPr>
            </w:pPr>
          </w:p>
        </w:tc>
        <w:tc>
          <w:tcPr>
            <w:tcW w:w="1002"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color w:val="auto"/>
                <w:sz w:val="21"/>
                <w:szCs w:val="21"/>
                <w:highlight w:val="none"/>
                <w:vertAlign w:val="baseline"/>
                <w:lang w:eastAsia="zh-CN"/>
              </w:rPr>
            </w:pPr>
          </w:p>
        </w:tc>
        <w:tc>
          <w:tcPr>
            <w:tcW w:w="2148"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color w:val="auto"/>
                <w:sz w:val="21"/>
                <w:szCs w:val="21"/>
                <w:highlight w:val="none"/>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15"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b/>
                <w:bCs/>
                <w:color w:val="auto"/>
                <w:sz w:val="21"/>
                <w:szCs w:val="21"/>
                <w:highlight w:val="none"/>
                <w:vertAlign w:val="baseline"/>
                <w:lang w:eastAsia="zh-CN"/>
              </w:rPr>
            </w:pPr>
            <w:r>
              <w:rPr>
                <w:rFonts w:hint="eastAsia" w:ascii="宋体" w:hAnsi="宋体" w:eastAsia="宋体" w:cs="宋体"/>
                <w:b w:val="0"/>
                <w:bCs w:val="0"/>
                <w:color w:val="auto"/>
                <w:sz w:val="21"/>
                <w:szCs w:val="21"/>
                <w:highlight w:val="none"/>
                <w:vertAlign w:val="baseline"/>
                <w:lang w:eastAsia="zh-CN"/>
              </w:rPr>
              <w:t>您对物业公司</w:t>
            </w:r>
            <w:r>
              <w:rPr>
                <w:rFonts w:hint="eastAsia" w:ascii="宋体" w:hAnsi="宋体" w:eastAsia="宋体" w:cs="宋体"/>
                <w:b w:val="0"/>
                <w:bCs w:val="0"/>
                <w:color w:val="auto"/>
                <w:sz w:val="21"/>
                <w:szCs w:val="21"/>
                <w:highlight w:val="none"/>
                <w:vertAlign w:val="baseline"/>
                <w:lang w:val="en-US" w:eastAsia="zh-CN"/>
              </w:rPr>
              <w:t>保洁保安</w:t>
            </w:r>
            <w:r>
              <w:rPr>
                <w:rFonts w:hint="eastAsia" w:ascii="宋体" w:hAnsi="宋体" w:eastAsia="宋体" w:cs="宋体"/>
                <w:b w:val="0"/>
                <w:bCs w:val="0"/>
                <w:color w:val="auto"/>
                <w:sz w:val="21"/>
                <w:szCs w:val="21"/>
                <w:highlight w:val="none"/>
                <w:vertAlign w:val="baseline"/>
                <w:lang w:eastAsia="zh-CN"/>
              </w:rPr>
              <w:t>服务的整体评价</w:t>
            </w:r>
          </w:p>
        </w:tc>
        <w:tc>
          <w:tcPr>
            <w:tcW w:w="1050"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color w:val="auto"/>
                <w:sz w:val="21"/>
                <w:szCs w:val="21"/>
                <w:highlight w:val="none"/>
                <w:vertAlign w:val="baseline"/>
                <w:lang w:eastAsia="zh-CN"/>
              </w:rPr>
            </w:pPr>
          </w:p>
        </w:tc>
        <w:tc>
          <w:tcPr>
            <w:tcW w:w="1125"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color w:val="auto"/>
                <w:sz w:val="21"/>
                <w:szCs w:val="21"/>
                <w:highlight w:val="none"/>
                <w:vertAlign w:val="baseline"/>
                <w:lang w:eastAsia="zh-CN"/>
              </w:rPr>
            </w:pPr>
          </w:p>
        </w:tc>
        <w:tc>
          <w:tcPr>
            <w:tcW w:w="1002"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color w:val="auto"/>
                <w:sz w:val="21"/>
                <w:szCs w:val="21"/>
                <w:highlight w:val="none"/>
                <w:vertAlign w:val="baseline"/>
                <w:lang w:eastAsia="zh-CN"/>
              </w:rPr>
            </w:pPr>
          </w:p>
        </w:tc>
        <w:tc>
          <w:tcPr>
            <w:tcW w:w="2148"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color w:val="auto"/>
                <w:sz w:val="21"/>
                <w:szCs w:val="21"/>
                <w:highlight w:val="none"/>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6" w:hRule="atLeast"/>
          <w:jc w:val="center"/>
        </w:trPr>
        <w:tc>
          <w:tcPr>
            <w:tcW w:w="9540" w:type="dxa"/>
            <w:gridSpan w:val="5"/>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line="360" w:lineRule="auto"/>
              <w:textAlignment w:val="auto"/>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eastAsia="zh-CN"/>
              </w:rPr>
              <w:t>对存在的突出问题，请您提出整改意见：</w:t>
            </w:r>
          </w:p>
        </w:tc>
      </w:tr>
    </w:tbl>
    <w:p>
      <w:pPr>
        <w:pStyle w:val="316"/>
        <w:rPr>
          <w:rFonts w:hint="eastAsia" w:ascii="宋体" w:hAnsi="宋体" w:eastAsia="宋体" w:cs="宋体"/>
          <w:color w:val="auto"/>
          <w:sz w:val="21"/>
          <w:szCs w:val="21"/>
          <w:highlight w:val="none"/>
          <w:lang w:val="en-US" w:eastAsia="zh-CN"/>
        </w:rPr>
      </w:pPr>
    </w:p>
    <w:p>
      <w:pPr>
        <w:numPr>
          <w:ilvl w:val="0"/>
          <w:numId w:val="0"/>
        </w:numPr>
        <w:spacing w:after="24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答卷人</w:t>
      </w:r>
      <w:r>
        <w:rPr>
          <w:rFonts w:hint="eastAsia" w:ascii="宋体" w:hAnsi="宋体" w:eastAsia="宋体" w:cs="宋体"/>
          <w:color w:val="auto"/>
          <w:sz w:val="21"/>
          <w:szCs w:val="21"/>
          <w:highlight w:val="none"/>
          <w:lang w:eastAsia="zh-CN"/>
        </w:rPr>
        <w:t>签字：</w:t>
      </w:r>
      <w:r>
        <w:rPr>
          <w:rFonts w:hint="eastAsia" w:ascii="宋体" w:hAnsi="宋体" w:eastAsia="宋体" w:cs="宋体"/>
          <w:color w:val="auto"/>
          <w:sz w:val="21"/>
          <w:szCs w:val="21"/>
          <w:highlight w:val="none"/>
          <w:lang w:val="en-US" w:eastAsia="zh-CN"/>
        </w:rPr>
        <w:t xml:space="preserve">                                 日期：      年    月    日</w:t>
      </w:r>
    </w:p>
    <w:p>
      <w:pPr>
        <w:pStyle w:val="2"/>
        <w:ind w:left="0" w:leftChars="0" w:firstLine="0" w:firstLineChars="0"/>
        <w:rPr>
          <w:rFonts w:hint="eastAsia"/>
          <w:color w:val="auto"/>
          <w:highlight w:val="none"/>
          <w:lang w:eastAsia="zh-CN"/>
        </w:rPr>
      </w:pPr>
    </w:p>
    <w:p>
      <w:pPr>
        <w:rPr>
          <w:rFonts w:ascii="Times New Roman" w:hAnsi="Times New Roman" w:eastAsia="宋体" w:cs="Times New Roman"/>
          <w:color w:val="auto"/>
          <w:szCs w:val="24"/>
          <w:highlight w:val="none"/>
        </w:rPr>
        <w:sectPr>
          <w:headerReference r:id="rId3" w:type="default"/>
          <w:footerReference r:id="rId4" w:type="default"/>
          <w:pgSz w:w="11906" w:h="16838"/>
          <w:pgMar w:top="1440" w:right="1133" w:bottom="1440" w:left="1134" w:header="851" w:footer="992" w:gutter="0"/>
          <w:cols w:space="425" w:num="1"/>
          <w:docGrid w:type="lines" w:linePitch="312" w:charSpace="0"/>
        </w:sectPr>
      </w:pPr>
    </w:p>
    <w:p>
      <w:pPr>
        <w:pStyle w:val="2"/>
        <w:rPr>
          <w:color w:val="auto"/>
          <w:highlight w:val="none"/>
        </w:rPr>
      </w:pPr>
    </w:p>
    <w:p>
      <w:pPr>
        <w:spacing w:line="400" w:lineRule="exact"/>
        <w:ind w:firstLine="420" w:firstLineChars="200"/>
        <w:rPr>
          <w:rFonts w:ascii="Times New Roman" w:hAnsi="Times New Roman" w:eastAsia="宋体" w:cs="Times New Roman"/>
          <w:color w:val="auto"/>
          <w:szCs w:val="24"/>
          <w:highlight w:val="none"/>
        </w:rPr>
      </w:pPr>
    </w:p>
    <w:p>
      <w:pPr>
        <w:spacing w:line="400" w:lineRule="exact"/>
        <w:rPr>
          <w:rFonts w:ascii="Times New Roman" w:hAnsi="Times New Roman" w:eastAsia="宋体" w:cs="Times New Roman"/>
          <w:color w:val="auto"/>
          <w:szCs w:val="24"/>
          <w:highlight w:val="none"/>
        </w:rPr>
      </w:pPr>
    </w:p>
    <w:p>
      <w:pPr>
        <w:spacing w:line="400" w:lineRule="exact"/>
        <w:rPr>
          <w:rFonts w:ascii="Times New Roman" w:hAnsi="Times New Roman" w:eastAsia="宋体" w:cs="Times New Roman"/>
          <w:color w:val="auto"/>
          <w:szCs w:val="24"/>
          <w:highlight w:val="none"/>
        </w:rPr>
      </w:pPr>
    </w:p>
    <w:p>
      <w:pPr>
        <w:spacing w:line="400" w:lineRule="exact"/>
        <w:rPr>
          <w:rFonts w:ascii="Times New Roman" w:hAnsi="Times New Roman" w:eastAsia="宋体" w:cs="Times New Roman"/>
          <w:color w:val="auto"/>
          <w:szCs w:val="24"/>
          <w:highlight w:val="none"/>
        </w:rPr>
      </w:pPr>
    </w:p>
    <w:p>
      <w:pPr>
        <w:spacing w:line="400" w:lineRule="exact"/>
        <w:rPr>
          <w:rFonts w:ascii="Times New Roman" w:hAnsi="Times New Roman" w:eastAsia="宋体" w:cs="Times New Roman"/>
          <w:color w:val="auto"/>
          <w:szCs w:val="24"/>
          <w:highlight w:val="none"/>
        </w:rPr>
      </w:pPr>
    </w:p>
    <w:p>
      <w:pPr>
        <w:spacing w:line="400" w:lineRule="exact"/>
        <w:rPr>
          <w:rFonts w:ascii="Times New Roman" w:hAnsi="Times New Roman" w:eastAsia="宋体" w:cs="Times New Roman"/>
          <w:color w:val="auto"/>
          <w:szCs w:val="24"/>
          <w:highlight w:val="none"/>
        </w:rPr>
      </w:pPr>
    </w:p>
    <w:p>
      <w:pPr>
        <w:spacing w:line="400" w:lineRule="exact"/>
        <w:rPr>
          <w:rFonts w:ascii="Times New Roman" w:hAnsi="Times New Roman" w:eastAsia="宋体" w:cs="Times New Roman"/>
          <w:color w:val="auto"/>
          <w:szCs w:val="24"/>
          <w:highlight w:val="none"/>
        </w:rPr>
      </w:pPr>
    </w:p>
    <w:p>
      <w:pPr>
        <w:spacing w:line="400" w:lineRule="exact"/>
        <w:rPr>
          <w:rFonts w:ascii="Times New Roman" w:hAnsi="Times New Roman" w:eastAsia="宋体" w:cs="Times New Roman"/>
          <w:color w:val="auto"/>
          <w:szCs w:val="24"/>
          <w:highlight w:val="none"/>
        </w:rPr>
      </w:pPr>
    </w:p>
    <w:p>
      <w:pPr>
        <w:spacing w:line="400" w:lineRule="exact"/>
        <w:rPr>
          <w:rFonts w:ascii="Times New Roman" w:hAnsi="Times New Roman" w:eastAsia="宋体" w:cs="Times New Roman"/>
          <w:color w:val="auto"/>
          <w:szCs w:val="24"/>
          <w:highlight w:val="none"/>
        </w:rPr>
      </w:pPr>
    </w:p>
    <w:p>
      <w:pPr>
        <w:spacing w:line="400" w:lineRule="exact"/>
        <w:rPr>
          <w:rFonts w:ascii="Times New Roman" w:hAnsi="Times New Roman" w:eastAsia="宋体" w:cs="Times New Roman"/>
          <w:color w:val="auto"/>
          <w:szCs w:val="24"/>
          <w:highlight w:val="none"/>
        </w:rPr>
      </w:pPr>
    </w:p>
    <w:p>
      <w:pPr>
        <w:spacing w:line="400" w:lineRule="exact"/>
        <w:rPr>
          <w:rFonts w:ascii="Times New Roman" w:hAnsi="Times New Roman" w:eastAsia="宋体" w:cs="Times New Roman"/>
          <w:color w:val="auto"/>
          <w:szCs w:val="24"/>
          <w:highlight w:val="none"/>
        </w:rPr>
      </w:pPr>
    </w:p>
    <w:p>
      <w:pPr>
        <w:spacing w:line="400" w:lineRule="exact"/>
        <w:rPr>
          <w:rFonts w:ascii="Times New Roman" w:hAnsi="Times New Roman" w:eastAsia="宋体" w:cs="Times New Roman"/>
          <w:color w:val="auto"/>
          <w:szCs w:val="24"/>
          <w:highlight w:val="none"/>
        </w:rPr>
      </w:pPr>
    </w:p>
    <w:p>
      <w:pPr>
        <w:spacing w:line="400" w:lineRule="exact"/>
        <w:rPr>
          <w:rFonts w:ascii="Times New Roman" w:hAnsi="Times New Roman" w:eastAsia="宋体" w:cs="Times New Roman"/>
          <w:color w:val="auto"/>
          <w:szCs w:val="24"/>
          <w:highlight w:val="none"/>
        </w:rPr>
      </w:pPr>
    </w:p>
    <w:p>
      <w:pPr>
        <w:spacing w:line="300" w:lineRule="auto"/>
        <w:jc w:val="center"/>
        <w:outlineLvl w:val="0"/>
        <w:rPr>
          <w:rFonts w:ascii="Cambria" w:hAnsi="Cambria" w:eastAsia="方正小标宋_GBK" w:cs="Times New Roman"/>
          <w:b/>
          <w:bCs/>
          <w:color w:val="auto"/>
          <w:kern w:val="0"/>
          <w:sz w:val="44"/>
          <w:szCs w:val="32"/>
          <w:highlight w:val="none"/>
        </w:rPr>
      </w:pPr>
      <w:bookmarkStart w:id="49" w:name="_Toc173764940"/>
      <w:r>
        <w:rPr>
          <w:rFonts w:hint="eastAsia" w:ascii="Cambria" w:hAnsi="Cambria" w:eastAsia="方正小标宋_GBK" w:cs="Times New Roman"/>
          <w:b/>
          <w:bCs/>
          <w:color w:val="auto"/>
          <w:kern w:val="0"/>
          <w:sz w:val="44"/>
          <w:szCs w:val="32"/>
          <w:highlight w:val="none"/>
        </w:rPr>
        <w:t>第三章</w:t>
      </w:r>
      <w:r>
        <w:rPr>
          <w:rFonts w:ascii="Cambria" w:hAnsi="Cambria" w:eastAsia="方正小标宋_GBK" w:cs="Times New Roman"/>
          <w:b/>
          <w:bCs/>
          <w:color w:val="auto"/>
          <w:kern w:val="0"/>
          <w:sz w:val="44"/>
          <w:szCs w:val="32"/>
          <w:highlight w:val="none"/>
        </w:rPr>
        <w:t xml:space="preserve">  </w:t>
      </w:r>
      <w:r>
        <w:rPr>
          <w:rFonts w:hint="eastAsia" w:ascii="Cambria" w:hAnsi="Cambria" w:eastAsia="方正小标宋_GBK" w:cs="Times New Roman"/>
          <w:b/>
          <w:bCs/>
          <w:color w:val="auto"/>
          <w:kern w:val="0"/>
          <w:sz w:val="44"/>
          <w:szCs w:val="32"/>
          <w:highlight w:val="none"/>
        </w:rPr>
        <w:t>投标人须知及前附表</w:t>
      </w:r>
      <w:bookmarkEnd w:id="43"/>
      <w:bookmarkEnd w:id="49"/>
    </w:p>
    <w:p>
      <w:pPr>
        <w:keepNext/>
        <w:keepLines/>
        <w:pageBreakBefore w:val="0"/>
        <w:widowControl w:val="0"/>
        <w:kinsoku/>
        <w:wordWrap/>
        <w:overflowPunct/>
        <w:topLinePunct w:val="0"/>
        <w:autoSpaceDE/>
        <w:autoSpaceDN/>
        <w:bidi w:val="0"/>
        <w:adjustRightInd/>
        <w:snapToGrid/>
        <w:spacing w:before="260" w:after="260" w:line="400" w:lineRule="exact"/>
        <w:jc w:val="center"/>
        <w:textAlignment w:val="auto"/>
        <w:outlineLvl w:val="1"/>
        <w:rPr>
          <w:rFonts w:hint="eastAsia" w:ascii="宋体" w:hAnsi="宋体" w:eastAsia="宋体" w:cs="Times New Roman"/>
          <w:b/>
          <w:bCs/>
          <w:color w:val="auto"/>
          <w:kern w:val="44"/>
          <w:sz w:val="44"/>
          <w:szCs w:val="44"/>
          <w:highlight w:val="none"/>
        </w:rPr>
      </w:pPr>
      <w:r>
        <w:rPr>
          <w:rFonts w:hint="eastAsia" w:ascii="方正小标宋_GBK" w:hAnsi="方正小标宋_GBK" w:eastAsia="方正小标宋_GBK" w:cs="Times New Roman"/>
          <w:color w:val="auto"/>
          <w:sz w:val="32"/>
          <w:szCs w:val="32"/>
          <w:highlight w:val="none"/>
        </w:rPr>
        <w:br w:type="page"/>
      </w:r>
      <w:r>
        <w:rPr>
          <w:rFonts w:hint="eastAsia" w:ascii="宋体" w:hAnsi="宋体" w:eastAsia="宋体" w:cs="Times New Roman"/>
          <w:b/>
          <w:bCs/>
          <w:color w:val="auto"/>
          <w:kern w:val="44"/>
          <w:sz w:val="44"/>
          <w:szCs w:val="44"/>
          <w:highlight w:val="none"/>
        </w:rPr>
        <w:t>投标人须知前附表</w:t>
      </w:r>
    </w:p>
    <w:tbl>
      <w:tblPr>
        <w:tblStyle w:val="49"/>
        <w:tblpPr w:leftFromText="180" w:rightFromText="180" w:vertAnchor="text" w:horzAnchor="margin" w:tblpX="108" w:tblpY="390"/>
        <w:tblW w:w="9889"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75"/>
        <w:gridCol w:w="921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9" w:hRule="atLeast"/>
        </w:trPr>
        <w:tc>
          <w:tcPr>
            <w:tcW w:w="675"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t>序号</w:t>
            </w:r>
          </w:p>
        </w:tc>
        <w:tc>
          <w:tcPr>
            <w:tcW w:w="9214"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t>内容、要求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57" w:hRule="atLeast"/>
        </w:trPr>
        <w:tc>
          <w:tcPr>
            <w:tcW w:w="675" w:type="dxa"/>
            <w:tcBorders>
              <w:top w:val="single" w:color="auto" w:sz="4" w:space="0"/>
              <w:left w:val="single" w:color="auto" w:sz="4" w:space="0"/>
              <w:bottom w:val="single" w:color="auto" w:sz="4" w:space="0"/>
              <w:right w:val="single" w:color="auto" w:sz="4" w:space="0"/>
            </w:tcBorders>
            <w:vAlign w:val="center"/>
          </w:tcPr>
          <w:p>
            <w:pPr>
              <w:spacing w:line="400" w:lineRule="exact"/>
              <w:ind w:left="-424" w:leftChars="-202" w:firstLine="420" w:firstLineChars="200"/>
              <w:jc w:val="center"/>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t>1</w:t>
            </w:r>
          </w:p>
        </w:tc>
        <w:tc>
          <w:tcPr>
            <w:tcW w:w="9214" w:type="dxa"/>
            <w:tcBorders>
              <w:top w:val="single" w:color="auto" w:sz="4" w:space="0"/>
              <w:left w:val="single" w:color="auto" w:sz="4" w:space="0"/>
              <w:bottom w:val="single" w:color="auto" w:sz="4" w:space="0"/>
              <w:right w:val="single" w:color="auto" w:sz="4" w:space="0"/>
            </w:tcBorders>
            <w:vAlign w:val="center"/>
          </w:tcPr>
          <w:p>
            <w:pPr>
              <w:snapToGrid w:val="0"/>
              <w:spacing w:line="340" w:lineRule="exact"/>
              <w:ind w:firstLine="8" w:firstLineChars="4"/>
              <w:rPr>
                <w:rFonts w:hint="eastAsia" w:ascii="宋体" w:hAnsi="宋体" w:eastAsia="宋体" w:cs="Arial"/>
                <w:bCs/>
                <w:color w:val="auto"/>
                <w:szCs w:val="21"/>
                <w:highlight w:val="none"/>
                <w:lang w:eastAsia="zh-CN"/>
              </w:rPr>
            </w:pPr>
            <w:r>
              <w:rPr>
                <w:color w:val="auto"/>
                <w:highlight w:val="none"/>
              </w:rPr>
              <w:fldChar w:fldCharType="begin"/>
            </w:r>
            <w:r>
              <w:rPr>
                <w:color w:val="auto"/>
                <w:highlight w:val="none"/>
              </w:rPr>
              <w:instrText xml:space="preserve"> HYPERLINK "file:///C:\\Users\\Lenovo\\Desktop\\范本制作\\2024.06\\公开招标(QZZC2024-Gx-000xx-CGZX)-专小.doc" \l "_一、总__则" </w:instrText>
            </w:r>
            <w:r>
              <w:rPr>
                <w:color w:val="auto"/>
                <w:highlight w:val="none"/>
              </w:rPr>
              <w:fldChar w:fldCharType="separate"/>
            </w:r>
            <w:r>
              <w:rPr>
                <w:rFonts w:hint="eastAsia" w:ascii="Times New Roman" w:hAnsi="宋体" w:eastAsia="宋体" w:cs="Times New Roman"/>
                <w:color w:val="auto"/>
                <w:szCs w:val="24"/>
                <w:highlight w:val="none"/>
              </w:rPr>
              <w:t>项目名称：</w:t>
            </w:r>
            <w:r>
              <w:rPr>
                <w:rFonts w:hint="eastAsia" w:ascii="Times New Roman" w:hAnsi="宋体" w:eastAsia="宋体" w:cs="Times New Roman"/>
                <w:color w:val="auto"/>
                <w:szCs w:val="24"/>
                <w:highlight w:val="none"/>
              </w:rPr>
              <w:fldChar w:fldCharType="end"/>
            </w:r>
            <w:r>
              <w:rPr>
                <w:rFonts w:hint="eastAsia" w:ascii="Times New Roman" w:hAnsi="宋体" w:eastAsia="宋体" w:cs="Times New Roman"/>
                <w:color w:val="auto"/>
                <w:szCs w:val="24"/>
                <w:highlight w:val="none"/>
                <w:lang w:eastAsia="zh-CN"/>
              </w:rPr>
              <w:t>防城港市防城区妇幼保健院物业服务</w:t>
            </w:r>
          </w:p>
          <w:p>
            <w:pPr>
              <w:snapToGrid w:val="0"/>
              <w:spacing w:line="340" w:lineRule="exact"/>
              <w:ind w:firstLine="8" w:firstLineChars="4"/>
              <w:rPr>
                <w:rFonts w:hint="eastAsia" w:ascii="Times New Roman" w:hAnsi="Times New Roman" w:eastAsia="宋体" w:cs="Times New Roman"/>
                <w:color w:val="auto"/>
                <w:szCs w:val="24"/>
                <w:highlight w:val="none"/>
                <w:lang w:eastAsia="zh-CN"/>
              </w:rPr>
            </w:pPr>
            <w:r>
              <w:rPr>
                <w:color w:val="auto"/>
                <w:highlight w:val="none"/>
              </w:rPr>
              <w:fldChar w:fldCharType="begin"/>
            </w:r>
            <w:r>
              <w:rPr>
                <w:color w:val="auto"/>
                <w:highlight w:val="none"/>
              </w:rPr>
              <w:instrText xml:space="preserve"> HYPERLINK "file:///C:\\Users\\Lenovo\\Desktop\\范本制作\\2024.06\\公开招标(QZZC2024-Gx-000xx-CGZX)-专小.doc" \l "_一、总__则" </w:instrText>
            </w:r>
            <w:r>
              <w:rPr>
                <w:color w:val="auto"/>
                <w:highlight w:val="none"/>
              </w:rPr>
              <w:fldChar w:fldCharType="separate"/>
            </w:r>
            <w:r>
              <w:rPr>
                <w:rFonts w:hint="eastAsia" w:ascii="宋体" w:hAnsi="宋体" w:eastAsia="宋体" w:cs="Times New Roman"/>
                <w:color w:val="auto"/>
                <w:szCs w:val="24"/>
                <w:highlight w:val="none"/>
              </w:rPr>
              <w:t>项目编号：</w:t>
            </w:r>
            <w:r>
              <w:rPr>
                <w:rFonts w:hint="eastAsia" w:ascii="宋体" w:hAnsi="宋体" w:eastAsia="宋体" w:cs="Times New Roman"/>
                <w:color w:val="auto"/>
                <w:szCs w:val="24"/>
                <w:highlight w:val="none"/>
              </w:rPr>
              <w:fldChar w:fldCharType="end"/>
            </w:r>
            <w:r>
              <w:rPr>
                <w:rFonts w:hint="eastAsia" w:ascii="宋体" w:hAnsi="宋体" w:eastAsia="宋体" w:cs="Times New Roman"/>
                <w:color w:val="auto"/>
                <w:szCs w:val="24"/>
                <w:highlight w:val="none"/>
                <w:lang w:eastAsia="zh-CN"/>
              </w:rPr>
              <w:t>FCZC2026-G3-030042-QZSZ</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15" w:hRule="atLeast"/>
        </w:trPr>
        <w:tc>
          <w:tcPr>
            <w:tcW w:w="675" w:type="dxa"/>
            <w:tcBorders>
              <w:top w:val="single" w:color="auto" w:sz="4" w:space="0"/>
              <w:left w:val="single" w:color="auto" w:sz="4" w:space="0"/>
              <w:bottom w:val="single" w:color="auto" w:sz="4" w:space="0"/>
              <w:right w:val="single" w:color="auto" w:sz="4" w:space="0"/>
            </w:tcBorders>
            <w:vAlign w:val="center"/>
          </w:tcPr>
          <w:p>
            <w:pPr>
              <w:spacing w:line="400" w:lineRule="exact"/>
              <w:ind w:left="-424" w:leftChars="-202" w:firstLine="420" w:firstLineChars="200"/>
              <w:jc w:val="center"/>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t>2</w:t>
            </w:r>
          </w:p>
        </w:tc>
        <w:tc>
          <w:tcPr>
            <w:tcW w:w="9214" w:type="dxa"/>
            <w:tcBorders>
              <w:top w:val="single" w:color="auto" w:sz="4" w:space="0"/>
              <w:left w:val="single" w:color="auto" w:sz="4" w:space="0"/>
              <w:bottom w:val="single" w:color="auto" w:sz="4" w:space="0"/>
              <w:right w:val="single" w:color="auto" w:sz="4" w:space="0"/>
            </w:tcBorders>
            <w:vAlign w:val="center"/>
          </w:tcPr>
          <w:p>
            <w:pPr>
              <w:spacing w:line="340" w:lineRule="exact"/>
              <w:ind w:firstLine="8" w:firstLineChars="4"/>
              <w:rPr>
                <w:rFonts w:hint="eastAsia" w:ascii="宋体" w:hAnsi="宋体" w:eastAsia="宋体" w:cs="Times New Roman"/>
                <w:color w:val="auto"/>
                <w:szCs w:val="24"/>
                <w:highlight w:val="none"/>
              </w:rPr>
            </w:pPr>
            <w:r>
              <w:rPr>
                <w:color w:val="auto"/>
                <w:highlight w:val="none"/>
              </w:rPr>
              <w:fldChar w:fldCharType="begin"/>
            </w:r>
            <w:r>
              <w:rPr>
                <w:color w:val="auto"/>
                <w:highlight w:val="none"/>
              </w:rPr>
              <w:instrText xml:space="preserve"> HYPERLINK "file:///C:\\Users\\Lenovo\\Desktop\\范本制作\\2024.06\\公开招标(QZZC2024-Gx-000xx-CGZX)-专小.doc" \l "_一、总__则" </w:instrText>
            </w:r>
            <w:r>
              <w:rPr>
                <w:color w:val="auto"/>
                <w:highlight w:val="none"/>
              </w:rPr>
              <w:fldChar w:fldCharType="separate"/>
            </w:r>
            <w:r>
              <w:rPr>
                <w:rFonts w:hint="eastAsia" w:ascii="宋体" w:hAnsi="宋体" w:eastAsia="宋体" w:cs="Times New Roman"/>
                <w:color w:val="auto"/>
                <w:szCs w:val="24"/>
                <w:highlight w:val="none"/>
              </w:rPr>
              <w:t>投标人资格：</w:t>
            </w:r>
            <w:r>
              <w:rPr>
                <w:rFonts w:hint="eastAsia" w:ascii="宋体" w:hAnsi="宋体" w:eastAsia="宋体" w:cs="Times New Roman"/>
                <w:color w:val="auto"/>
                <w:szCs w:val="24"/>
                <w:highlight w:val="none"/>
              </w:rPr>
              <w:fldChar w:fldCharType="end"/>
            </w:r>
          </w:p>
          <w:p>
            <w:pPr>
              <w:spacing w:line="340" w:lineRule="exact"/>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1.满足《中华人民共和国政府采购法》第二十二条规定；</w:t>
            </w:r>
          </w:p>
          <w:p>
            <w:pPr>
              <w:spacing w:line="340" w:lineRule="exact"/>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2.落实政府采购政策需满足的资格要求：服务全部由符合政策要求的中小企业承接</w:t>
            </w:r>
          </w:p>
          <w:p>
            <w:pPr>
              <w:spacing w:line="340" w:lineRule="exact"/>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3.本项目的特定资格要求：无</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700" w:hRule="atLeast"/>
        </w:trPr>
        <w:tc>
          <w:tcPr>
            <w:tcW w:w="675" w:type="dxa"/>
            <w:tcBorders>
              <w:top w:val="single" w:color="auto" w:sz="4" w:space="0"/>
              <w:left w:val="single" w:color="auto" w:sz="4" w:space="0"/>
              <w:bottom w:val="single" w:color="auto" w:sz="4" w:space="0"/>
              <w:right w:val="single" w:color="auto" w:sz="4" w:space="0"/>
            </w:tcBorders>
            <w:vAlign w:val="center"/>
          </w:tcPr>
          <w:p>
            <w:pPr>
              <w:spacing w:line="400" w:lineRule="exact"/>
              <w:ind w:left="-424" w:leftChars="-202" w:firstLine="420" w:firstLineChars="200"/>
              <w:jc w:val="center"/>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t>3</w:t>
            </w:r>
          </w:p>
        </w:tc>
        <w:tc>
          <w:tcPr>
            <w:tcW w:w="9214" w:type="dxa"/>
            <w:tcBorders>
              <w:top w:val="single" w:color="auto" w:sz="4" w:space="0"/>
              <w:left w:val="single" w:color="auto" w:sz="4" w:space="0"/>
              <w:bottom w:val="single" w:color="auto" w:sz="4" w:space="0"/>
              <w:right w:val="single" w:color="auto" w:sz="4" w:space="0"/>
            </w:tcBorders>
            <w:vAlign w:val="center"/>
          </w:tcPr>
          <w:p>
            <w:pPr>
              <w:snapToGrid w:val="0"/>
              <w:spacing w:line="340" w:lineRule="exact"/>
              <w:ind w:firstLine="8" w:firstLineChars="4"/>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投标人认为招标文件、招标过程或中标结果使自己的合法权益受到损害的，可以在知道或者应知其</w:t>
            </w:r>
            <w:r>
              <w:rPr>
                <w:rFonts w:hint="eastAsia" w:ascii="宋体" w:hAnsi="宋体" w:eastAsia="宋体" w:cs="Times New Roman"/>
                <w:color w:val="auto"/>
                <w:szCs w:val="21"/>
                <w:highlight w:val="none"/>
                <w:lang w:val="en-US" w:eastAsia="zh-CN"/>
              </w:rPr>
              <w:t>权益</w:t>
            </w:r>
            <w:r>
              <w:rPr>
                <w:rFonts w:hint="eastAsia" w:ascii="宋体" w:hAnsi="宋体" w:eastAsia="宋体" w:cs="Times New Roman"/>
                <w:color w:val="auto"/>
                <w:szCs w:val="21"/>
                <w:highlight w:val="none"/>
              </w:rPr>
              <w:t>受到损害之日起7个工作日内，以书面形式向采购人提出质疑。投标人必须在法定质疑期内一次性提出针对同一采购程序环节的质疑。</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2" w:hRule="atLeast"/>
        </w:trPr>
        <w:tc>
          <w:tcPr>
            <w:tcW w:w="675" w:type="dxa"/>
            <w:tcBorders>
              <w:top w:val="single" w:color="auto" w:sz="4" w:space="0"/>
              <w:left w:val="single" w:color="auto" w:sz="4" w:space="0"/>
              <w:bottom w:val="single" w:color="auto" w:sz="4" w:space="0"/>
              <w:right w:val="single" w:color="auto" w:sz="4" w:space="0"/>
            </w:tcBorders>
            <w:vAlign w:val="center"/>
          </w:tcPr>
          <w:p>
            <w:pPr>
              <w:spacing w:line="400" w:lineRule="exact"/>
              <w:ind w:left="-424" w:leftChars="-202" w:firstLine="420" w:firstLineChars="200"/>
              <w:jc w:val="center"/>
              <w:rPr>
                <w:rFonts w:hint="eastAsia" w:ascii="Times New Roman" w:hAnsi="Times New Roman" w:eastAsia="宋体" w:cs="Times New Roman"/>
                <w:color w:val="auto"/>
                <w:szCs w:val="24"/>
                <w:highlight w:val="none"/>
                <w:lang w:val="en-US" w:eastAsia="zh-CN"/>
              </w:rPr>
            </w:pPr>
            <w:r>
              <w:rPr>
                <w:rFonts w:hint="eastAsia" w:ascii="Times New Roman" w:hAnsi="Times New Roman" w:eastAsia="宋体" w:cs="Times New Roman"/>
                <w:color w:val="auto"/>
                <w:szCs w:val="24"/>
                <w:highlight w:val="none"/>
                <w:lang w:val="en-US" w:eastAsia="zh-CN"/>
              </w:rPr>
              <w:t>4</w:t>
            </w:r>
          </w:p>
        </w:tc>
        <w:tc>
          <w:tcPr>
            <w:tcW w:w="9214" w:type="dxa"/>
            <w:tcBorders>
              <w:top w:val="single" w:color="auto" w:sz="4" w:space="0"/>
              <w:left w:val="single" w:color="auto" w:sz="4" w:space="0"/>
              <w:bottom w:val="single" w:color="auto" w:sz="4" w:space="0"/>
              <w:right w:val="single" w:color="auto" w:sz="4" w:space="0"/>
            </w:tcBorders>
            <w:vAlign w:val="center"/>
          </w:tcPr>
          <w:p>
            <w:pPr>
              <w:snapToGrid w:val="0"/>
              <w:spacing w:line="340" w:lineRule="exact"/>
              <w:ind w:firstLine="8" w:firstLineChars="4"/>
              <w:rPr>
                <w:color w:val="auto"/>
                <w:highlight w:val="none"/>
              </w:rPr>
            </w:pPr>
            <w:r>
              <w:rPr>
                <w:color w:val="auto"/>
                <w:highlight w:val="none"/>
              </w:rPr>
              <w:fldChar w:fldCharType="begin"/>
            </w:r>
            <w:r>
              <w:rPr>
                <w:color w:val="auto"/>
                <w:highlight w:val="none"/>
              </w:rPr>
              <w:instrText xml:space="preserve"> HYPERLINK "file:///C:\\Users\\Lenovo\\Desktop\\范本制作\\2024.06\\公开招标(QZZC2024-Gx-000xx-CGZX)-专小.doc" \l "_三、投标文件" </w:instrText>
            </w:r>
            <w:r>
              <w:rPr>
                <w:color w:val="auto"/>
                <w:highlight w:val="none"/>
              </w:rPr>
              <w:fldChar w:fldCharType="separate"/>
            </w:r>
            <w:r>
              <w:rPr>
                <w:rFonts w:hint="eastAsia" w:ascii="宋体" w:hAnsi="宋体" w:eastAsia="宋体" w:cs="Times New Roman"/>
                <w:color w:val="auto"/>
                <w:szCs w:val="21"/>
                <w:highlight w:val="none"/>
              </w:rPr>
              <w:t>投标文件组成：</w:t>
            </w:r>
            <w:r>
              <w:rPr>
                <w:rFonts w:hint="eastAsia" w:ascii="宋体" w:hAnsi="宋体" w:eastAsia="宋体" w:cs="Arial"/>
                <w:color w:val="auto"/>
                <w:szCs w:val="21"/>
                <w:highlight w:val="none"/>
              </w:rPr>
              <w:t>资格文件、商务技术文件、</w:t>
            </w:r>
            <w:r>
              <w:rPr>
                <w:rFonts w:hint="eastAsia" w:ascii="宋体" w:hAnsi="宋体" w:eastAsia="宋体" w:cs="Times New Roman"/>
                <w:color w:val="auto"/>
                <w:szCs w:val="21"/>
                <w:highlight w:val="none"/>
              </w:rPr>
              <w:t>报价文件。</w:t>
            </w:r>
            <w:r>
              <w:rPr>
                <w:rFonts w:hint="eastAsia" w:ascii="宋体" w:hAnsi="宋体" w:eastAsia="宋体" w:cs="Times New Roman"/>
                <w:color w:val="auto"/>
                <w:szCs w:val="21"/>
                <w:highlight w:val="none"/>
              </w:rPr>
              <w:fldChar w:fldCharType="end"/>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675" w:type="dxa"/>
            <w:tcBorders>
              <w:top w:val="single" w:color="auto" w:sz="4" w:space="0"/>
              <w:left w:val="single" w:color="auto" w:sz="4" w:space="0"/>
              <w:bottom w:val="single" w:color="auto" w:sz="4" w:space="0"/>
              <w:right w:val="single" w:color="auto" w:sz="4" w:space="0"/>
            </w:tcBorders>
            <w:vAlign w:val="center"/>
          </w:tcPr>
          <w:p>
            <w:pPr>
              <w:spacing w:line="400" w:lineRule="exact"/>
              <w:ind w:left="-424" w:leftChars="-202" w:firstLine="420" w:firstLineChars="200"/>
              <w:jc w:val="center"/>
              <w:rPr>
                <w:rFonts w:hint="eastAsia"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val="en-US" w:eastAsia="zh-CN"/>
              </w:rPr>
              <w:t>5</w:t>
            </w:r>
          </w:p>
        </w:tc>
        <w:tc>
          <w:tcPr>
            <w:tcW w:w="9214" w:type="dxa"/>
            <w:tcBorders>
              <w:top w:val="single" w:color="auto" w:sz="4" w:space="0"/>
              <w:left w:val="single" w:color="auto" w:sz="4" w:space="0"/>
              <w:bottom w:val="single" w:color="auto" w:sz="4" w:space="0"/>
              <w:right w:val="single" w:color="auto" w:sz="4" w:space="0"/>
            </w:tcBorders>
            <w:vAlign w:val="center"/>
          </w:tcPr>
          <w:p>
            <w:pPr>
              <w:snapToGrid w:val="0"/>
              <w:spacing w:line="340" w:lineRule="exact"/>
              <w:ind w:firstLine="8" w:firstLineChars="4"/>
              <w:rPr>
                <w:rFonts w:hint="eastAsia" w:ascii="Times New Roman" w:hAnsi="宋体" w:eastAsia="宋体" w:cs="Times New Roman"/>
                <w:color w:val="auto"/>
                <w:szCs w:val="24"/>
                <w:highlight w:val="none"/>
              </w:rPr>
            </w:pPr>
            <w:r>
              <w:rPr>
                <w:color w:val="auto"/>
                <w:highlight w:val="none"/>
              </w:rPr>
              <w:fldChar w:fldCharType="begin"/>
            </w:r>
            <w:r>
              <w:rPr>
                <w:color w:val="auto"/>
                <w:highlight w:val="none"/>
              </w:rPr>
              <w:instrText xml:space="preserve"> HYPERLINK "file:///C:\\Users\\Lenovo\\Desktop\\范本制作\\2024.06\\公开招标(QZZC2024-Gx-000xx-CGZX)-专小.doc" \l "_（五）投标报价" </w:instrText>
            </w:r>
            <w:r>
              <w:rPr>
                <w:color w:val="auto"/>
                <w:highlight w:val="none"/>
              </w:rPr>
              <w:fldChar w:fldCharType="separate"/>
            </w:r>
            <w:r>
              <w:rPr>
                <w:rFonts w:hint="eastAsia" w:ascii="Times New Roman" w:hAnsi="宋体" w:eastAsia="宋体" w:cs="Times New Roman"/>
                <w:color w:val="auto"/>
                <w:szCs w:val="24"/>
                <w:highlight w:val="none"/>
              </w:rPr>
              <w:t>投标报价：投标人</w:t>
            </w:r>
            <w:r>
              <w:rPr>
                <w:rFonts w:hint="eastAsia" w:ascii="Times New Roman" w:hAnsi="Times New Roman" w:eastAsia="宋体" w:cs="Times New Roman"/>
                <w:color w:val="auto"/>
                <w:szCs w:val="24"/>
                <w:highlight w:val="none"/>
              </w:rPr>
              <w:t>必须就本项目</w:t>
            </w:r>
            <w:r>
              <w:rPr>
                <w:rFonts w:ascii="Times New Roman" w:hAnsi="Times New Roman" w:eastAsia="宋体" w:cs="Times New Roman"/>
                <w:color w:val="auto"/>
                <w:szCs w:val="24"/>
                <w:highlight w:val="none"/>
              </w:rPr>
              <w:t>/</w:t>
            </w:r>
            <w:r>
              <w:rPr>
                <w:rFonts w:hint="eastAsia" w:ascii="Times New Roman" w:hAnsi="Times New Roman" w:eastAsia="宋体" w:cs="Times New Roman"/>
                <w:color w:val="auto"/>
                <w:szCs w:val="24"/>
                <w:highlight w:val="none"/>
              </w:rPr>
              <w:t>标项货物及服务内容作完整唯一报价，否则投标无效。</w:t>
            </w:r>
            <w:r>
              <w:rPr>
                <w:rFonts w:hint="eastAsia" w:ascii="Times New Roman" w:hAnsi="Times New Roman" w:eastAsia="宋体" w:cs="Times New Roman"/>
                <w:color w:val="auto"/>
                <w:szCs w:val="24"/>
                <w:highlight w:val="none"/>
              </w:rPr>
              <w:fldChar w:fldCharType="end"/>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6" w:hRule="atLeast"/>
        </w:trPr>
        <w:tc>
          <w:tcPr>
            <w:tcW w:w="675" w:type="dxa"/>
            <w:tcBorders>
              <w:top w:val="single" w:color="auto" w:sz="4" w:space="0"/>
              <w:left w:val="single" w:color="auto" w:sz="4" w:space="0"/>
              <w:bottom w:val="single" w:color="auto" w:sz="4" w:space="0"/>
              <w:right w:val="single" w:color="auto" w:sz="4" w:space="0"/>
            </w:tcBorders>
            <w:vAlign w:val="center"/>
          </w:tcPr>
          <w:p>
            <w:pPr>
              <w:spacing w:line="400" w:lineRule="exact"/>
              <w:ind w:left="-424" w:leftChars="-202" w:firstLine="420" w:firstLineChars="200"/>
              <w:jc w:val="center"/>
              <w:rPr>
                <w:rFonts w:hint="eastAsia"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val="en-US" w:eastAsia="zh-CN"/>
              </w:rPr>
              <w:t>6</w:t>
            </w:r>
          </w:p>
        </w:tc>
        <w:tc>
          <w:tcPr>
            <w:tcW w:w="9214" w:type="dxa"/>
            <w:tcBorders>
              <w:top w:val="single" w:color="auto" w:sz="4" w:space="0"/>
              <w:left w:val="single" w:color="auto" w:sz="4" w:space="0"/>
              <w:bottom w:val="single" w:color="auto" w:sz="4" w:space="0"/>
              <w:right w:val="single" w:color="auto" w:sz="4" w:space="0"/>
            </w:tcBorders>
            <w:vAlign w:val="center"/>
          </w:tcPr>
          <w:p>
            <w:pPr>
              <w:snapToGrid w:val="0"/>
              <w:spacing w:line="340" w:lineRule="exact"/>
              <w:ind w:firstLine="8" w:firstLineChars="4"/>
              <w:rPr>
                <w:rFonts w:hint="eastAsia" w:ascii="Times New Roman" w:hAnsi="宋体" w:eastAsia="宋体" w:cs="Times New Roman"/>
                <w:color w:val="auto"/>
                <w:szCs w:val="24"/>
                <w:highlight w:val="none"/>
              </w:rPr>
            </w:pPr>
            <w:r>
              <w:rPr>
                <w:color w:val="auto"/>
                <w:highlight w:val="none"/>
              </w:rPr>
              <w:fldChar w:fldCharType="begin"/>
            </w:r>
            <w:r>
              <w:rPr>
                <w:color w:val="auto"/>
                <w:highlight w:val="none"/>
              </w:rPr>
              <w:instrText xml:space="preserve"> HYPERLINK "file:///C:\\Users\\Lenovo\\Desktop\\范本制作\\2024.06\\公开招标(QZZC2024-Gx-000xx-CGZX)-专小.doc" \l "_（六）投标文件有效期" </w:instrText>
            </w:r>
            <w:r>
              <w:rPr>
                <w:color w:val="auto"/>
                <w:highlight w:val="none"/>
              </w:rPr>
              <w:fldChar w:fldCharType="separate"/>
            </w:r>
            <w:r>
              <w:rPr>
                <w:rFonts w:hint="eastAsia" w:ascii="Times New Roman" w:hAnsi="宋体" w:eastAsia="宋体" w:cs="Times New Roman"/>
                <w:color w:val="auto"/>
                <w:szCs w:val="24"/>
                <w:highlight w:val="none"/>
              </w:rPr>
              <w:t>投标有效期：</w:t>
            </w:r>
            <w:r>
              <w:rPr>
                <w:rFonts w:ascii="Times New Roman" w:hAnsi="宋体" w:eastAsia="宋体" w:cs="Times New Roman"/>
                <w:color w:val="auto"/>
                <w:szCs w:val="24"/>
                <w:highlight w:val="none"/>
              </w:rPr>
              <w:t>90</w:t>
            </w:r>
            <w:r>
              <w:rPr>
                <w:rFonts w:hint="eastAsia" w:ascii="Times New Roman" w:hAnsi="宋体" w:eastAsia="宋体" w:cs="Times New Roman"/>
                <w:color w:val="auto"/>
                <w:szCs w:val="24"/>
                <w:highlight w:val="none"/>
              </w:rPr>
              <w:t>天</w:t>
            </w:r>
            <w:r>
              <w:rPr>
                <w:rFonts w:hint="eastAsia" w:ascii="Times New Roman" w:hAnsi="宋体" w:eastAsia="宋体" w:cs="Times New Roman"/>
                <w:color w:val="auto"/>
                <w:szCs w:val="24"/>
                <w:highlight w:val="none"/>
              </w:rPr>
              <w:fldChar w:fldCharType="end"/>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660" w:hRule="atLeast"/>
        </w:trPr>
        <w:tc>
          <w:tcPr>
            <w:tcW w:w="675" w:type="dxa"/>
            <w:tcBorders>
              <w:top w:val="single" w:color="auto" w:sz="4" w:space="0"/>
              <w:left w:val="single" w:color="auto" w:sz="4" w:space="0"/>
              <w:bottom w:val="single" w:color="auto" w:sz="4" w:space="0"/>
              <w:right w:val="single" w:color="auto" w:sz="4" w:space="0"/>
            </w:tcBorders>
            <w:vAlign w:val="center"/>
          </w:tcPr>
          <w:p>
            <w:pPr>
              <w:spacing w:line="400" w:lineRule="exact"/>
              <w:ind w:left="-424" w:leftChars="-202" w:firstLine="420" w:firstLineChars="200"/>
              <w:jc w:val="center"/>
              <w:rPr>
                <w:rFonts w:hint="eastAsia"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val="en-US" w:eastAsia="zh-CN"/>
              </w:rPr>
              <w:t>7</w:t>
            </w:r>
          </w:p>
        </w:tc>
        <w:tc>
          <w:tcPr>
            <w:tcW w:w="9214" w:type="dxa"/>
            <w:tcBorders>
              <w:top w:val="single" w:color="auto" w:sz="4" w:space="0"/>
              <w:left w:val="single" w:color="auto" w:sz="4" w:space="0"/>
              <w:bottom w:val="single" w:color="auto" w:sz="4" w:space="0"/>
              <w:right w:val="single" w:color="auto" w:sz="4" w:space="0"/>
            </w:tcBorders>
            <w:vAlign w:val="center"/>
          </w:tcPr>
          <w:p>
            <w:pPr>
              <w:spacing w:line="400" w:lineRule="exact"/>
              <w:ind w:firstLine="8" w:firstLineChars="4"/>
              <w:rPr>
                <w:rFonts w:hint="eastAsia" w:ascii="宋体" w:hAnsi="Courier New" w:eastAsia="宋体" w:cs="Courier New"/>
                <w:color w:val="auto"/>
                <w:szCs w:val="21"/>
                <w:highlight w:val="none"/>
                <w:lang w:eastAsia="zh-CN"/>
              </w:rPr>
            </w:pPr>
            <w:r>
              <w:rPr>
                <w:color w:val="auto"/>
                <w:highlight w:val="none"/>
              </w:rPr>
              <w:fldChar w:fldCharType="begin"/>
            </w:r>
            <w:r>
              <w:rPr>
                <w:color w:val="auto"/>
                <w:highlight w:val="none"/>
              </w:rPr>
              <w:instrText xml:space="preserve"> HYPERLINK "file:///C:\\Users\\Lenovo\\Desktop\\范本制作\\2024.06\\公开招标(QZZC2024-Gx-000xx-CGZX)-专小.doc" \l "_四、开标" </w:instrText>
            </w:r>
            <w:r>
              <w:rPr>
                <w:color w:val="auto"/>
                <w:highlight w:val="none"/>
              </w:rPr>
              <w:fldChar w:fldCharType="separate"/>
            </w:r>
            <w:r>
              <w:rPr>
                <w:rFonts w:hint="eastAsia" w:ascii="宋体" w:hAnsi="Courier New" w:eastAsia="宋体" w:cs="Courier New"/>
                <w:b/>
                <w:color w:val="auto"/>
                <w:szCs w:val="21"/>
                <w:highlight w:val="none"/>
              </w:rPr>
              <w:t>投标文件提交截止时间及开标时间：</w:t>
            </w:r>
            <w:r>
              <w:rPr>
                <w:rFonts w:hint="eastAsia" w:ascii="宋体" w:hAnsi="宋体" w:eastAsia="宋体" w:cs="Arial"/>
                <w:color w:val="auto"/>
                <w:szCs w:val="21"/>
                <w:highlight w:val="none"/>
              </w:rPr>
              <w:t>202</w:t>
            </w:r>
            <w:r>
              <w:rPr>
                <w:rFonts w:hint="eastAsia" w:ascii="宋体" w:hAnsi="宋体" w:eastAsia="宋体" w:cs="Arial"/>
                <w:color w:val="auto"/>
                <w:szCs w:val="21"/>
                <w:highlight w:val="none"/>
                <w:lang w:val="en-US" w:eastAsia="zh-CN"/>
              </w:rPr>
              <w:t>6</w:t>
            </w:r>
            <w:r>
              <w:rPr>
                <w:rFonts w:hint="eastAsia" w:ascii="宋体" w:hAnsi="宋体" w:eastAsia="宋体" w:cs="Arial"/>
                <w:color w:val="auto"/>
                <w:szCs w:val="21"/>
                <w:highlight w:val="none"/>
              </w:rPr>
              <w:t>年</w:t>
            </w:r>
            <w:r>
              <w:rPr>
                <w:rFonts w:hint="eastAsia" w:ascii="宋体" w:hAnsi="宋体" w:eastAsia="宋体" w:cs="Arial"/>
                <w:color w:val="auto"/>
                <w:szCs w:val="21"/>
                <w:highlight w:val="none"/>
                <w:lang w:val="en-US" w:eastAsia="zh-CN"/>
              </w:rPr>
              <w:t xml:space="preserve"> </w:t>
            </w:r>
            <w:r>
              <w:rPr>
                <w:rFonts w:hint="eastAsia" w:ascii="宋体" w:hAnsi="宋体" w:eastAsia="宋体" w:cs="Arial"/>
                <w:color w:val="auto"/>
                <w:szCs w:val="21"/>
                <w:highlight w:val="none"/>
              </w:rPr>
              <w:t>月</w:t>
            </w:r>
            <w:r>
              <w:rPr>
                <w:rFonts w:hint="eastAsia" w:ascii="宋体" w:hAnsi="宋体" w:eastAsia="宋体" w:cs="Arial"/>
                <w:color w:val="auto"/>
                <w:szCs w:val="21"/>
                <w:highlight w:val="none"/>
                <w:lang w:val="en-US" w:eastAsia="zh-CN"/>
              </w:rPr>
              <w:t xml:space="preserve"> </w:t>
            </w:r>
            <w:r>
              <w:rPr>
                <w:rFonts w:hint="eastAsia" w:ascii="宋体" w:hAnsi="宋体" w:eastAsia="宋体" w:cs="Arial"/>
                <w:color w:val="auto"/>
                <w:szCs w:val="21"/>
                <w:highlight w:val="none"/>
              </w:rPr>
              <w:t>日上午09时30分</w:t>
            </w:r>
            <w:r>
              <w:rPr>
                <w:rFonts w:hint="eastAsia" w:ascii="宋体" w:hAnsi="宋体" w:eastAsia="宋体" w:cs="Arial"/>
                <w:color w:val="auto"/>
                <w:szCs w:val="21"/>
                <w:highlight w:val="none"/>
              </w:rPr>
              <w:fldChar w:fldCharType="end"/>
            </w:r>
            <w:r>
              <w:rPr>
                <w:rFonts w:hint="eastAsia" w:ascii="宋体" w:hAnsi="宋体" w:eastAsia="宋体" w:cs="Arial"/>
                <w:color w:val="auto"/>
                <w:szCs w:val="21"/>
                <w:highlight w:val="none"/>
                <w:lang w:eastAsia="zh-CN"/>
              </w:rPr>
              <w:t>（</w:t>
            </w:r>
            <w:r>
              <w:rPr>
                <w:rFonts w:hint="eastAsia" w:ascii="宋体" w:hAnsi="宋体" w:eastAsia="宋体" w:cs="Arial"/>
                <w:color w:val="auto"/>
                <w:szCs w:val="21"/>
                <w:highlight w:val="none"/>
                <w:lang w:val="en-US" w:eastAsia="zh-CN"/>
              </w:rPr>
              <w:t>北京时间</w:t>
            </w:r>
            <w:r>
              <w:rPr>
                <w:rFonts w:hint="eastAsia" w:ascii="宋体" w:hAnsi="宋体" w:eastAsia="宋体" w:cs="Arial"/>
                <w:color w:val="auto"/>
                <w:szCs w:val="21"/>
                <w:highlight w:val="none"/>
                <w:lang w:eastAsia="zh-CN"/>
              </w:rPr>
              <w:t>）</w:t>
            </w:r>
          </w:p>
          <w:p>
            <w:pPr>
              <w:spacing w:line="400" w:lineRule="exact"/>
              <w:ind w:firstLine="8" w:firstLineChars="4"/>
              <w:rPr>
                <w:rFonts w:ascii="Times New Roman" w:hAnsi="Times New Roman" w:eastAsia="宋体" w:cs="Times New Roman"/>
                <w:color w:val="auto"/>
                <w:szCs w:val="21"/>
                <w:highlight w:val="none"/>
              </w:rPr>
            </w:pPr>
            <w:r>
              <w:rPr>
                <w:color w:val="auto"/>
                <w:highlight w:val="none"/>
              </w:rPr>
              <w:fldChar w:fldCharType="begin"/>
            </w:r>
            <w:r>
              <w:rPr>
                <w:color w:val="auto"/>
                <w:highlight w:val="none"/>
              </w:rPr>
              <w:instrText xml:space="preserve"> HYPERLINK "file:///C:\\Users\\Lenovo\\Desktop\\范本制作\\2024.06\\公开招标(QZZC2024-Gx-000xx-CGZX)-专小.doc" \l "_四、开标" </w:instrText>
            </w:r>
            <w:r>
              <w:rPr>
                <w:color w:val="auto"/>
                <w:highlight w:val="none"/>
              </w:rPr>
              <w:fldChar w:fldCharType="separate"/>
            </w:r>
            <w:r>
              <w:rPr>
                <w:rFonts w:hint="eastAsia" w:ascii="Times New Roman" w:hAnsi="Times New Roman" w:eastAsia="宋体" w:cs="Times New Roman"/>
                <w:color w:val="auto"/>
                <w:szCs w:val="21"/>
                <w:highlight w:val="none"/>
              </w:rPr>
              <w:t>投标地点</w:t>
            </w:r>
            <w:r>
              <w:rPr>
                <w:rFonts w:ascii="Times New Roman" w:hAnsi="Times New Roman" w:eastAsia="宋体" w:cs="Times New Roman"/>
                <w:color w:val="auto"/>
                <w:szCs w:val="21"/>
                <w:highlight w:val="none"/>
              </w:rPr>
              <w:t>(</w:t>
            </w:r>
            <w:r>
              <w:rPr>
                <w:rFonts w:hint="eastAsia" w:ascii="Times New Roman" w:hAnsi="Times New Roman" w:eastAsia="宋体" w:cs="Times New Roman"/>
                <w:color w:val="auto"/>
                <w:szCs w:val="21"/>
                <w:highlight w:val="none"/>
              </w:rPr>
              <w:t>网址）：政府采购云平台</w:t>
            </w:r>
            <w:r>
              <w:rPr>
                <w:rFonts w:hint="eastAsia" w:ascii="Times New Roman" w:hAnsi="Times New Roman" w:eastAsia="宋体" w:cs="Times New Roman"/>
                <w:color w:val="auto"/>
                <w:szCs w:val="21"/>
                <w:highlight w:val="none"/>
              </w:rPr>
              <w:fldChar w:fldCharType="end"/>
            </w:r>
          </w:p>
          <w:p>
            <w:pPr>
              <w:spacing w:line="400" w:lineRule="exact"/>
              <w:ind w:firstLine="8" w:firstLineChars="4"/>
              <w:rPr>
                <w:rFonts w:ascii="Times New Roman" w:hAnsi="Times New Roman" w:eastAsia="宋体" w:cs="Times New Roman"/>
                <w:color w:val="auto"/>
                <w:szCs w:val="21"/>
                <w:highlight w:val="none"/>
              </w:rPr>
            </w:pPr>
            <w:r>
              <w:rPr>
                <w:color w:val="auto"/>
                <w:highlight w:val="none"/>
              </w:rPr>
              <w:fldChar w:fldCharType="begin"/>
            </w:r>
            <w:r>
              <w:rPr>
                <w:color w:val="auto"/>
                <w:highlight w:val="none"/>
              </w:rPr>
              <w:instrText xml:space="preserve"> HYPERLINK "file:///C:\\Users\\Lenovo\\Desktop\\范本制作\\2024.06\\公开招标(QZZC2024-Gx-000xx-CGZX)-专小.doc" \l "_四、开标" </w:instrText>
            </w:r>
            <w:r>
              <w:rPr>
                <w:color w:val="auto"/>
                <w:highlight w:val="none"/>
              </w:rPr>
              <w:fldChar w:fldCharType="separate"/>
            </w:r>
            <w:r>
              <w:rPr>
                <w:rFonts w:hint="eastAsia" w:ascii="Times New Roman" w:hAnsi="Times New Roman" w:eastAsia="宋体" w:cs="Times New Roman"/>
                <w:color w:val="auto"/>
                <w:szCs w:val="21"/>
                <w:highlight w:val="none"/>
              </w:rPr>
              <w:t>开标地点：</w:t>
            </w:r>
            <w:r>
              <w:rPr>
                <w:rFonts w:hint="eastAsia" w:ascii="Times New Roman" w:hAnsi="Times New Roman" w:eastAsia="宋体" w:cs="Times New Roman"/>
                <w:color w:val="auto"/>
                <w:szCs w:val="24"/>
                <w:highlight w:val="none"/>
              </w:rPr>
              <w:t>广西钦州市金海湾东大街</w:t>
            </w:r>
            <w:r>
              <w:rPr>
                <w:rFonts w:ascii="Times New Roman" w:hAnsi="Times New Roman" w:eastAsia="宋体" w:cs="Times New Roman"/>
                <w:color w:val="auto"/>
                <w:szCs w:val="24"/>
                <w:highlight w:val="none"/>
              </w:rPr>
              <w:t>8</w:t>
            </w:r>
            <w:r>
              <w:rPr>
                <w:rFonts w:hint="eastAsia" w:ascii="Times New Roman" w:hAnsi="Times New Roman" w:eastAsia="宋体" w:cs="Times New Roman"/>
                <w:color w:val="auto"/>
                <w:szCs w:val="24"/>
                <w:highlight w:val="none"/>
              </w:rPr>
              <w:t>号市政务服务中心三楼开标室</w:t>
            </w:r>
            <w:r>
              <w:rPr>
                <w:rFonts w:hint="eastAsia" w:ascii="Times New Roman" w:hAnsi="Times New Roman" w:eastAsia="宋体" w:cs="Times New Roman"/>
                <w:color w:val="auto"/>
                <w:szCs w:val="24"/>
                <w:highlight w:val="none"/>
              </w:rPr>
              <w:fldChar w:fldCharType="end"/>
            </w:r>
          </w:p>
          <w:p>
            <w:pPr>
              <w:spacing w:line="400" w:lineRule="exact"/>
              <w:ind w:firstLine="8" w:firstLineChars="4"/>
              <w:rPr>
                <w:rFonts w:ascii="Times New Roman" w:hAnsi="Times New Roman" w:eastAsia="宋体" w:cs="Times New Roman"/>
                <w:b/>
                <w:bCs/>
                <w:color w:val="auto"/>
                <w:szCs w:val="24"/>
                <w:highlight w:val="none"/>
              </w:rPr>
            </w:pPr>
            <w:r>
              <w:rPr>
                <w:color w:val="auto"/>
                <w:highlight w:val="none"/>
              </w:rPr>
              <w:fldChar w:fldCharType="begin"/>
            </w:r>
            <w:r>
              <w:rPr>
                <w:color w:val="auto"/>
                <w:highlight w:val="none"/>
              </w:rPr>
              <w:instrText xml:space="preserve"> HYPERLINK "file:///C:\\Users\\Lenovo\\Desktop\\范本制作\\2024.06\\公开招标(QZZC2024-Gx-000xx-CGZX)-专小.doc" \l "_四、开标" </w:instrText>
            </w:r>
            <w:r>
              <w:rPr>
                <w:color w:val="auto"/>
                <w:highlight w:val="none"/>
              </w:rPr>
              <w:fldChar w:fldCharType="separate"/>
            </w:r>
            <w:r>
              <w:rPr>
                <w:rFonts w:hint="eastAsia" w:ascii="Times New Roman" w:hAnsi="Times New Roman" w:eastAsia="宋体" w:cs="Times New Roman"/>
                <w:b/>
                <w:bCs/>
                <w:color w:val="auto"/>
                <w:szCs w:val="24"/>
                <w:highlight w:val="none"/>
              </w:rPr>
              <w:t>注：</w:t>
            </w:r>
            <w:bookmarkStart w:id="50" w:name="_Hlk90299755"/>
            <w:r>
              <w:rPr>
                <w:rFonts w:hint="eastAsia" w:ascii="Times New Roman" w:hAnsi="Times New Roman" w:eastAsia="宋体" w:cs="Times New Roman"/>
                <w:b/>
                <w:bCs/>
                <w:color w:val="auto"/>
                <w:szCs w:val="24"/>
                <w:highlight w:val="none"/>
              </w:rPr>
              <w:t>投标人法定代表人或委托代理人须按时登录</w:t>
            </w:r>
            <w:r>
              <w:rPr>
                <w:rFonts w:hint="eastAsia" w:ascii="宋体" w:hAnsi="宋体" w:eastAsia="宋体" w:cs="Courier New"/>
                <w:b/>
                <w:bCs/>
                <w:color w:val="auto"/>
                <w:szCs w:val="21"/>
                <w:highlight w:val="none"/>
              </w:rPr>
              <w:t>政采云远程开标大厅</w:t>
            </w:r>
            <w:r>
              <w:rPr>
                <w:rFonts w:hint="eastAsia" w:ascii="Times New Roman" w:hAnsi="Times New Roman" w:eastAsia="宋体" w:cs="Times New Roman"/>
                <w:b/>
                <w:bCs/>
                <w:color w:val="auto"/>
                <w:szCs w:val="24"/>
                <w:highlight w:val="none"/>
              </w:rPr>
              <w:t>，保持全程在线并关注开标评标进度，评标期间评标委员会提出澄清等要求时，投标人须在规定时间内进行在线应答，否则按招标文件或政采云平台的相关规定执行。</w:t>
            </w:r>
            <w:bookmarkEnd w:id="50"/>
            <w:r>
              <w:rPr>
                <w:rFonts w:hint="eastAsia" w:ascii="Times New Roman" w:hAnsi="Times New Roman" w:eastAsia="宋体" w:cs="Times New Roman"/>
                <w:b/>
                <w:bCs/>
                <w:color w:val="auto"/>
                <w:szCs w:val="24"/>
                <w:highlight w:val="none"/>
              </w:rPr>
              <w:fldChar w:fldCharType="end"/>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9" w:hRule="atLeast"/>
        </w:trPr>
        <w:tc>
          <w:tcPr>
            <w:tcW w:w="675" w:type="dxa"/>
            <w:tcBorders>
              <w:top w:val="single" w:color="auto" w:sz="4" w:space="0"/>
              <w:left w:val="single" w:color="auto" w:sz="4" w:space="0"/>
              <w:bottom w:val="single" w:color="auto" w:sz="4" w:space="0"/>
              <w:right w:val="single" w:color="auto" w:sz="4" w:space="0"/>
            </w:tcBorders>
            <w:vAlign w:val="center"/>
          </w:tcPr>
          <w:p>
            <w:pPr>
              <w:spacing w:line="400" w:lineRule="exact"/>
              <w:ind w:left="-424" w:leftChars="-202" w:firstLine="420" w:firstLineChars="200"/>
              <w:jc w:val="center"/>
              <w:rPr>
                <w:rFonts w:hint="eastAsia"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lang w:val="en-US" w:eastAsia="zh-CN"/>
              </w:rPr>
              <w:t>8</w:t>
            </w:r>
          </w:p>
        </w:tc>
        <w:tc>
          <w:tcPr>
            <w:tcW w:w="9214"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spacing w:line="340" w:lineRule="exact"/>
              <w:textAlignment w:val="bottom"/>
              <w:rPr>
                <w:rFonts w:hint="eastAsia" w:ascii="宋体" w:hAnsi="宋体" w:eastAsia="宋体" w:cs="Times New Roman"/>
                <w:color w:val="auto"/>
                <w:szCs w:val="21"/>
                <w:highlight w:val="none"/>
              </w:rPr>
            </w:pPr>
            <w:r>
              <w:rPr>
                <w:color w:val="auto"/>
                <w:highlight w:val="none"/>
              </w:rPr>
              <w:fldChar w:fldCharType="begin"/>
            </w:r>
            <w:r>
              <w:rPr>
                <w:color w:val="auto"/>
                <w:highlight w:val="none"/>
              </w:rPr>
              <w:instrText xml:space="preserve"> HYPERLINK "file:///C:\\Users\\Lenovo\\Desktop\\范本制作\\2024.06\\公开招标(QZZC2024-Gx-000xx-CGZX)-专小.doc" \l "_五、评标" </w:instrText>
            </w:r>
            <w:r>
              <w:rPr>
                <w:color w:val="auto"/>
                <w:highlight w:val="none"/>
              </w:rPr>
              <w:fldChar w:fldCharType="separate"/>
            </w:r>
            <w:r>
              <w:rPr>
                <w:rFonts w:hint="eastAsia" w:ascii="宋体" w:hAnsi="宋体" w:eastAsia="宋体" w:cs="Times New Roman"/>
                <w:color w:val="auto"/>
                <w:szCs w:val="21"/>
                <w:highlight w:val="none"/>
              </w:rPr>
              <w:t>评标方法：</w:t>
            </w:r>
            <w:r>
              <w:rPr>
                <w:rFonts w:hint="eastAsia" w:ascii="Times New Roman" w:hAnsi="Times New Roman" w:eastAsia="宋体" w:cs="Times New Roman"/>
                <w:color w:val="auto"/>
                <w:szCs w:val="24"/>
                <w:highlight w:val="none"/>
              </w:rPr>
              <w:t>综合评分法</w:t>
            </w:r>
            <w:r>
              <w:rPr>
                <w:rFonts w:hint="eastAsia" w:ascii="Times New Roman" w:hAnsi="Times New Roman" w:eastAsia="宋体" w:cs="Times New Roman"/>
                <w:color w:val="auto"/>
                <w:szCs w:val="24"/>
                <w:highlight w:val="none"/>
              </w:rPr>
              <w:fldChar w:fldCharType="end"/>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63" w:hRule="atLeast"/>
        </w:trPr>
        <w:tc>
          <w:tcPr>
            <w:tcW w:w="675" w:type="dxa"/>
            <w:tcBorders>
              <w:top w:val="single" w:color="auto" w:sz="4" w:space="0"/>
              <w:left w:val="single" w:color="auto" w:sz="4" w:space="0"/>
              <w:bottom w:val="single" w:color="auto" w:sz="4" w:space="0"/>
              <w:right w:val="single" w:color="auto" w:sz="4" w:space="0"/>
            </w:tcBorders>
            <w:vAlign w:val="center"/>
          </w:tcPr>
          <w:p>
            <w:pPr>
              <w:spacing w:line="400" w:lineRule="exact"/>
              <w:ind w:left="-424" w:leftChars="-202" w:firstLine="420" w:firstLineChars="200"/>
              <w:jc w:val="center"/>
              <w:rPr>
                <w:rFonts w:hint="default" w:ascii="Times New Roman" w:hAnsi="Times New Roman" w:eastAsia="宋体" w:cs="Times New Roman"/>
                <w:color w:val="auto"/>
                <w:szCs w:val="24"/>
                <w:highlight w:val="none"/>
                <w:lang w:val="en-US" w:eastAsia="zh-CN"/>
              </w:rPr>
            </w:pPr>
            <w:r>
              <w:rPr>
                <w:rFonts w:hint="eastAsia" w:ascii="Times New Roman" w:hAnsi="Times New Roman" w:eastAsia="宋体" w:cs="Times New Roman"/>
                <w:color w:val="auto"/>
                <w:szCs w:val="24"/>
                <w:highlight w:val="none"/>
                <w:lang w:val="en-US" w:eastAsia="zh-CN"/>
              </w:rPr>
              <w:t>9</w:t>
            </w:r>
          </w:p>
        </w:tc>
        <w:tc>
          <w:tcPr>
            <w:tcW w:w="9214" w:type="dxa"/>
            <w:tcBorders>
              <w:top w:val="single" w:color="auto" w:sz="4" w:space="0"/>
              <w:left w:val="single" w:color="auto" w:sz="4" w:space="0"/>
              <w:bottom w:val="single" w:color="auto" w:sz="4" w:space="0"/>
              <w:right w:val="single" w:color="auto" w:sz="4" w:space="0"/>
            </w:tcBorders>
            <w:vAlign w:val="center"/>
          </w:tcPr>
          <w:p>
            <w:pPr>
              <w:spacing w:line="340" w:lineRule="exact"/>
              <w:ind w:firstLine="8" w:firstLineChars="4"/>
              <w:rPr>
                <w:rFonts w:ascii="宋体" w:hAnsi="Courier New" w:eastAsia="宋体" w:cs="Courier New"/>
                <w:color w:val="auto"/>
                <w:szCs w:val="21"/>
                <w:highlight w:val="none"/>
              </w:rPr>
            </w:pPr>
            <w:r>
              <w:rPr>
                <w:color w:val="auto"/>
                <w:highlight w:val="none"/>
              </w:rPr>
              <w:fldChar w:fldCharType="begin"/>
            </w:r>
            <w:r>
              <w:rPr>
                <w:color w:val="auto"/>
                <w:highlight w:val="none"/>
              </w:rPr>
              <w:instrText xml:space="preserve"> HYPERLINK "file:///C:\\Users\\Lenovo\\Desktop\\范本制作\\2024.06\\公开招标(QZZC2024-Gx-000xx-CGZX)-专小.doc" \l "_九、其他事项" </w:instrText>
            </w:r>
            <w:r>
              <w:rPr>
                <w:color w:val="auto"/>
                <w:highlight w:val="none"/>
              </w:rPr>
              <w:fldChar w:fldCharType="separate"/>
            </w:r>
            <w:r>
              <w:rPr>
                <w:rFonts w:hint="eastAsia" w:ascii="宋体" w:hAnsi="宋体" w:eastAsia="宋体" w:cs="Courier New"/>
                <w:color w:val="auto"/>
                <w:szCs w:val="21"/>
                <w:highlight w:val="none"/>
              </w:rPr>
              <w:t>代理服务费：本中心按钦州市物价局“钦市价费﹝2013﹞4号”文件规定向中标人收取代理服务费。中标人应向本中心一次性付清代理服务费。</w:t>
            </w:r>
            <w:r>
              <w:rPr>
                <w:rFonts w:hint="eastAsia" w:ascii="宋体" w:hAnsi="宋体" w:eastAsia="宋体" w:cs="Courier New"/>
                <w:color w:val="auto"/>
                <w:szCs w:val="21"/>
                <w:highlight w:val="none"/>
              </w:rPr>
              <w:fldChar w:fldCharType="end"/>
            </w:r>
          </w:p>
        </w:tc>
      </w:tr>
    </w:tbl>
    <w:p>
      <w:pPr>
        <w:spacing w:line="400" w:lineRule="exact"/>
        <w:jc w:val="left"/>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br w:type="page"/>
      </w:r>
      <w:bookmarkStart w:id="51" w:name="_Toc353785275"/>
      <w:bookmarkStart w:id="52" w:name="_Toc352700405"/>
      <w:bookmarkStart w:id="53" w:name="_Toc352578861"/>
      <w:bookmarkStart w:id="54" w:name="_Toc352578843"/>
      <w:bookmarkStart w:id="55" w:name="_Toc352578891"/>
    </w:p>
    <w:p>
      <w:pPr>
        <w:spacing w:line="520" w:lineRule="exact"/>
        <w:jc w:val="center"/>
        <w:rPr>
          <w:rFonts w:hint="eastAsia" w:ascii="仿宋_GB2312" w:hAnsi="宋体" w:eastAsia="仿宋_GB2312" w:cs="Times New Roman"/>
          <w:b/>
          <w:color w:val="auto"/>
          <w:sz w:val="44"/>
          <w:szCs w:val="44"/>
          <w:highlight w:val="none"/>
        </w:rPr>
      </w:pPr>
      <w:bookmarkStart w:id="56" w:name="_Hlk92374740"/>
      <w:r>
        <w:rPr>
          <w:rFonts w:hint="eastAsia" w:ascii="Times New Roman" w:hAnsi="Times New Roman" w:eastAsia="宋体" w:cs="Times New Roman"/>
          <w:b/>
          <w:color w:val="auto"/>
          <w:sz w:val="44"/>
          <w:szCs w:val="44"/>
          <w:highlight w:val="none"/>
        </w:rPr>
        <w:t>投标人须知</w:t>
      </w:r>
      <w:bookmarkEnd w:id="51"/>
      <w:bookmarkEnd w:id="52"/>
      <w:bookmarkEnd w:id="53"/>
      <w:bookmarkEnd w:id="54"/>
      <w:bookmarkEnd w:id="55"/>
    </w:p>
    <w:p>
      <w:pPr>
        <w:keepNext/>
        <w:keepLines/>
        <w:spacing w:line="400" w:lineRule="exact"/>
        <w:outlineLvl w:val="1"/>
        <w:rPr>
          <w:rFonts w:ascii="方正小标宋_GBK" w:hAnsi="Arial" w:eastAsia="方正小标宋_GBK" w:cs="Times New Roman"/>
          <w:b/>
          <w:bCs/>
          <w:color w:val="auto"/>
          <w:sz w:val="24"/>
          <w:szCs w:val="24"/>
          <w:highlight w:val="none"/>
        </w:rPr>
      </w:pPr>
      <w:bookmarkStart w:id="57" w:name="_一、总__则"/>
      <w:bookmarkEnd w:id="57"/>
      <w:bookmarkStart w:id="58" w:name="_Toc353785276"/>
      <w:bookmarkStart w:id="59" w:name="_Toc352700406"/>
      <w:r>
        <w:rPr>
          <w:rFonts w:hint="eastAsia" w:ascii="方正小标宋_GBK" w:hAnsi="Arial" w:eastAsia="方正小标宋_GBK" w:cs="Times New Roman"/>
          <w:b/>
          <w:bCs/>
          <w:color w:val="auto"/>
          <w:sz w:val="24"/>
          <w:szCs w:val="24"/>
          <w:highlight w:val="none"/>
        </w:rPr>
        <w:t>一、总  则</w:t>
      </w:r>
      <w:bookmarkEnd w:id="58"/>
      <w:bookmarkEnd w:id="59"/>
    </w:p>
    <w:p>
      <w:pPr>
        <w:spacing w:line="400" w:lineRule="exact"/>
        <w:ind w:firstLine="211" w:firstLineChars="100"/>
        <w:rPr>
          <w:rFonts w:ascii="Times New Roman" w:hAnsi="Times New Roman" w:eastAsia="宋体" w:cs="Times New Roman"/>
          <w:b/>
          <w:bCs/>
          <w:color w:val="auto"/>
          <w:szCs w:val="24"/>
          <w:highlight w:val="none"/>
        </w:rPr>
      </w:pPr>
      <w:r>
        <w:rPr>
          <w:rFonts w:hint="eastAsia" w:ascii="Times New Roman" w:hAnsi="Times New Roman" w:eastAsia="宋体" w:cs="Times New Roman"/>
          <w:b/>
          <w:bCs/>
          <w:color w:val="auto"/>
          <w:szCs w:val="24"/>
          <w:highlight w:val="none"/>
        </w:rPr>
        <w:t>（一）适用范围</w:t>
      </w:r>
    </w:p>
    <w:p>
      <w:pPr>
        <w:spacing w:line="400" w:lineRule="exact"/>
        <w:ind w:firstLine="420" w:firstLineChars="200"/>
        <w:rPr>
          <w:rFonts w:hint="eastAsia" w:ascii="Times New Roman" w:hAnsi="Times New Roman" w:eastAsia="宋体" w:cs="Times New Roman"/>
          <w:color w:val="auto"/>
          <w:szCs w:val="24"/>
          <w:highlight w:val="none"/>
          <w:lang w:eastAsia="zh-CN"/>
        </w:rPr>
      </w:pPr>
      <w:bookmarkStart w:id="60" w:name="_Toc352700408"/>
      <w:bookmarkStart w:id="61" w:name="_Toc254970669"/>
      <w:bookmarkStart w:id="62" w:name="_Toc353785278"/>
      <w:bookmarkStart w:id="63" w:name="_Toc254970528"/>
      <w:r>
        <w:rPr>
          <w:rFonts w:ascii="Times New Roman" w:hAnsi="Times New Roman" w:eastAsia="宋体" w:cs="Times New Roman"/>
          <w:color w:val="auto"/>
          <w:szCs w:val="24"/>
          <w:highlight w:val="none"/>
        </w:rPr>
        <w:t>1.</w:t>
      </w:r>
      <w:r>
        <w:rPr>
          <w:rFonts w:hint="eastAsia" w:ascii="Times New Roman" w:hAnsi="Times New Roman" w:eastAsia="宋体" w:cs="Times New Roman"/>
          <w:color w:val="auto"/>
          <w:szCs w:val="24"/>
          <w:highlight w:val="none"/>
        </w:rPr>
        <w:t>项目名称：</w:t>
      </w:r>
      <w:r>
        <w:rPr>
          <w:rFonts w:hint="eastAsia" w:ascii="Times New Roman" w:hAnsi="Times New Roman" w:eastAsia="宋体" w:cs="Times New Roman"/>
          <w:color w:val="auto"/>
          <w:szCs w:val="24"/>
          <w:highlight w:val="none"/>
          <w:lang w:eastAsia="zh-CN"/>
        </w:rPr>
        <w:t>防城港市防城区妇幼保健院物业服务</w:t>
      </w:r>
    </w:p>
    <w:p>
      <w:pPr>
        <w:spacing w:line="400" w:lineRule="exact"/>
        <w:ind w:firstLine="420" w:firstLineChars="200"/>
        <w:rPr>
          <w:rFonts w:hint="eastAsia" w:ascii="Times New Roman" w:hAnsi="Times New Roman" w:eastAsia="宋体" w:cs="Times New Roman"/>
          <w:color w:val="auto"/>
          <w:szCs w:val="24"/>
          <w:highlight w:val="none"/>
          <w:lang w:eastAsia="zh-CN"/>
        </w:rPr>
      </w:pPr>
      <w:r>
        <w:rPr>
          <w:rFonts w:ascii="Times New Roman" w:hAnsi="Times New Roman" w:eastAsia="宋体" w:cs="Times New Roman"/>
          <w:color w:val="auto"/>
          <w:szCs w:val="24"/>
          <w:highlight w:val="none"/>
        </w:rPr>
        <w:t>2.</w:t>
      </w:r>
      <w:r>
        <w:rPr>
          <w:rFonts w:hint="eastAsia" w:ascii="Times New Roman" w:hAnsi="Times New Roman" w:eastAsia="宋体" w:cs="Times New Roman"/>
          <w:color w:val="auto"/>
          <w:szCs w:val="24"/>
          <w:highlight w:val="none"/>
        </w:rPr>
        <w:t>项目编号：</w:t>
      </w:r>
      <w:r>
        <w:rPr>
          <w:rFonts w:hint="eastAsia" w:ascii="Times New Roman" w:hAnsi="Times New Roman" w:eastAsia="宋体" w:cs="Times New Roman"/>
          <w:color w:val="auto"/>
          <w:szCs w:val="24"/>
          <w:highlight w:val="none"/>
          <w:lang w:eastAsia="zh-CN"/>
        </w:rPr>
        <w:t>FCZC2026-G3-030042-QZSZ</w:t>
      </w:r>
    </w:p>
    <w:p>
      <w:pPr>
        <w:spacing w:line="400" w:lineRule="exact"/>
        <w:ind w:firstLine="420" w:firstLineChars="20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本招标文件仅适用于上述项目的招标、投标、评标、定标、验收、合同履约、付款等行为（法律、法规另有规定的，从其规定）。</w:t>
      </w:r>
    </w:p>
    <w:p>
      <w:pPr>
        <w:spacing w:line="400" w:lineRule="exact"/>
        <w:ind w:firstLine="211" w:firstLineChars="100"/>
        <w:rPr>
          <w:rFonts w:ascii="Times New Roman" w:hAnsi="Times New Roman" w:eastAsia="宋体" w:cs="Times New Roman"/>
          <w:b/>
          <w:bCs/>
          <w:color w:val="auto"/>
          <w:szCs w:val="24"/>
          <w:highlight w:val="none"/>
        </w:rPr>
      </w:pPr>
      <w:r>
        <w:rPr>
          <w:rFonts w:hint="eastAsia" w:ascii="Times New Roman" w:hAnsi="Times New Roman" w:eastAsia="宋体" w:cs="Times New Roman"/>
          <w:b/>
          <w:bCs/>
          <w:color w:val="auto"/>
          <w:szCs w:val="24"/>
          <w:highlight w:val="none"/>
        </w:rPr>
        <w:t>（二）定义</w:t>
      </w:r>
      <w:bookmarkEnd w:id="60"/>
      <w:bookmarkEnd w:id="61"/>
      <w:bookmarkEnd w:id="62"/>
      <w:bookmarkEnd w:id="63"/>
    </w:p>
    <w:p>
      <w:pPr>
        <w:snapToGrid w:val="0"/>
        <w:spacing w:line="400" w:lineRule="exact"/>
        <w:ind w:firstLine="420" w:firstLineChars="200"/>
        <w:rPr>
          <w:rFonts w:hint="eastAsia" w:ascii="宋体" w:hAnsi="宋体" w:eastAsia="宋体" w:cs="Courier New"/>
          <w:color w:val="auto"/>
          <w:szCs w:val="21"/>
          <w:highlight w:val="none"/>
        </w:rPr>
      </w:pPr>
      <w:bookmarkStart w:id="64" w:name="_Hlk92374304"/>
      <w:r>
        <w:rPr>
          <w:rFonts w:hint="eastAsia" w:ascii="宋体" w:hAnsi="宋体" w:eastAsia="宋体" w:cs="Courier New"/>
          <w:bCs/>
          <w:color w:val="auto"/>
          <w:szCs w:val="21"/>
          <w:highlight w:val="none"/>
        </w:rPr>
        <w:t>1.“采购人”系指</w:t>
      </w:r>
      <w:r>
        <w:rPr>
          <w:rFonts w:hint="eastAsia" w:ascii="宋体" w:hAnsi="宋体" w:eastAsia="宋体" w:cs="Courier New"/>
          <w:color w:val="auto"/>
          <w:szCs w:val="21"/>
          <w:highlight w:val="none"/>
        </w:rPr>
        <w:t>依法进行政府采购的国家机关、事业单位、团体组织</w:t>
      </w:r>
    </w:p>
    <w:p>
      <w:pPr>
        <w:snapToGrid w:val="0"/>
        <w:spacing w:line="400" w:lineRule="exact"/>
        <w:ind w:firstLine="420" w:firstLineChars="200"/>
        <w:rPr>
          <w:rFonts w:hint="eastAsia" w:ascii="宋体" w:hAnsi="宋体" w:eastAsia="宋体" w:cs="Courier New"/>
          <w:bCs/>
          <w:color w:val="auto"/>
          <w:szCs w:val="21"/>
          <w:highlight w:val="none"/>
        </w:rPr>
      </w:pPr>
      <w:r>
        <w:rPr>
          <w:rFonts w:hint="eastAsia" w:ascii="宋体" w:hAnsi="宋体" w:eastAsia="宋体" w:cs="Courier New"/>
          <w:bCs/>
          <w:color w:val="auto"/>
          <w:szCs w:val="21"/>
          <w:highlight w:val="none"/>
        </w:rPr>
        <w:t>2.“投标人”系指向招标方提交投标文件的单位或自然人。</w:t>
      </w:r>
    </w:p>
    <w:p>
      <w:pPr>
        <w:snapToGrid w:val="0"/>
        <w:spacing w:line="400" w:lineRule="exact"/>
        <w:ind w:firstLine="420" w:firstLineChars="200"/>
        <w:rPr>
          <w:rFonts w:hint="eastAsia" w:ascii="宋体" w:hAnsi="宋体" w:eastAsia="宋体" w:cs="Courier New"/>
          <w:bCs/>
          <w:color w:val="auto"/>
          <w:szCs w:val="21"/>
          <w:highlight w:val="none"/>
        </w:rPr>
      </w:pPr>
      <w:r>
        <w:rPr>
          <w:rFonts w:hint="eastAsia" w:ascii="宋体" w:hAnsi="宋体" w:eastAsia="宋体" w:cs="Courier New"/>
          <w:bCs/>
          <w:color w:val="auto"/>
          <w:szCs w:val="21"/>
          <w:highlight w:val="none"/>
        </w:rPr>
        <w:t>3.“采购代理机构”系指组织本次招标的钦州市政府采购中心（以下简称“本中心</w:t>
      </w:r>
      <w:r>
        <w:rPr>
          <w:rFonts w:hint="eastAsia" w:ascii="宋体" w:hAnsi="宋体" w:eastAsia="宋体" w:cs="Courier New"/>
          <w:bCs/>
          <w:color w:val="auto"/>
          <w:szCs w:val="21"/>
          <w:highlight w:val="none"/>
          <w:lang w:eastAsia="zh-CN"/>
        </w:rPr>
        <w:t>”</w:t>
      </w:r>
      <w:r>
        <w:rPr>
          <w:rFonts w:hint="eastAsia" w:ascii="宋体" w:hAnsi="宋体" w:eastAsia="宋体" w:cs="Courier New"/>
          <w:bCs/>
          <w:color w:val="auto"/>
          <w:szCs w:val="21"/>
          <w:highlight w:val="none"/>
        </w:rPr>
        <w:t>）。</w:t>
      </w:r>
    </w:p>
    <w:p>
      <w:pPr>
        <w:snapToGrid w:val="0"/>
        <w:spacing w:line="400" w:lineRule="exact"/>
        <w:ind w:firstLine="420" w:firstLineChars="200"/>
        <w:rPr>
          <w:rFonts w:hint="eastAsia" w:ascii="宋体" w:hAnsi="宋体" w:eastAsia="宋体" w:cs="Courier New"/>
          <w:bCs/>
          <w:color w:val="auto"/>
          <w:szCs w:val="21"/>
          <w:highlight w:val="none"/>
        </w:rPr>
      </w:pPr>
      <w:r>
        <w:rPr>
          <w:rFonts w:hint="eastAsia" w:ascii="宋体" w:hAnsi="宋体" w:eastAsia="宋体" w:cs="Courier New"/>
          <w:bCs/>
          <w:color w:val="auto"/>
          <w:szCs w:val="21"/>
          <w:highlight w:val="none"/>
        </w:rPr>
        <w:t>4.“货物”系指各种形态和种类的物品，包括原材料、燃料、设备、产品等。</w:t>
      </w:r>
    </w:p>
    <w:p>
      <w:pPr>
        <w:snapToGrid w:val="0"/>
        <w:spacing w:line="400" w:lineRule="exact"/>
        <w:ind w:firstLine="420" w:firstLineChars="200"/>
        <w:rPr>
          <w:rFonts w:hint="eastAsia" w:ascii="宋体" w:hAnsi="宋体" w:eastAsia="宋体" w:cs="Courier New"/>
          <w:bCs/>
          <w:color w:val="auto"/>
          <w:szCs w:val="21"/>
          <w:highlight w:val="none"/>
        </w:rPr>
      </w:pPr>
      <w:r>
        <w:rPr>
          <w:rFonts w:hint="eastAsia" w:ascii="宋体" w:hAnsi="宋体" w:eastAsia="宋体" w:cs="Courier New"/>
          <w:bCs/>
          <w:color w:val="auto"/>
          <w:szCs w:val="21"/>
          <w:highlight w:val="none"/>
        </w:rPr>
        <w:t>5.“服务”系指除货物和工程以外的其他政府采购对象。</w:t>
      </w:r>
    </w:p>
    <w:p>
      <w:pPr>
        <w:snapToGrid w:val="0"/>
        <w:spacing w:line="400" w:lineRule="exact"/>
        <w:ind w:firstLine="420" w:firstLineChars="200"/>
        <w:rPr>
          <w:rFonts w:hint="eastAsia" w:ascii="宋体" w:hAnsi="宋体" w:eastAsia="宋体" w:cs="Courier New"/>
          <w:bCs/>
          <w:color w:val="auto"/>
          <w:szCs w:val="21"/>
          <w:highlight w:val="none"/>
        </w:rPr>
      </w:pPr>
      <w:r>
        <w:rPr>
          <w:rFonts w:hint="eastAsia" w:ascii="宋体" w:hAnsi="宋体" w:eastAsia="宋体" w:cs="Courier New"/>
          <w:bCs/>
          <w:color w:val="auto"/>
          <w:szCs w:val="21"/>
          <w:highlight w:val="none"/>
        </w:rPr>
        <w:t>6.“项目”系指投标人按招标文件规定向采购人提供的产品和服务。</w:t>
      </w:r>
    </w:p>
    <w:p>
      <w:pPr>
        <w:snapToGrid w:val="0"/>
        <w:spacing w:line="400" w:lineRule="exact"/>
        <w:ind w:firstLine="420" w:firstLineChars="200"/>
        <w:rPr>
          <w:rFonts w:hint="eastAsia" w:ascii="宋体" w:hAnsi="宋体" w:eastAsia="宋体" w:cs="Courier New"/>
          <w:bCs/>
          <w:color w:val="auto"/>
          <w:szCs w:val="21"/>
          <w:highlight w:val="none"/>
        </w:rPr>
      </w:pPr>
      <w:r>
        <w:rPr>
          <w:rFonts w:hint="eastAsia" w:ascii="宋体" w:hAnsi="宋体" w:eastAsia="宋体" w:cs="Courier New"/>
          <w:bCs/>
          <w:color w:val="auto"/>
          <w:szCs w:val="21"/>
          <w:highlight w:val="none"/>
        </w:rPr>
        <w:t>7.“书面形式”</w:t>
      </w:r>
      <w:bookmarkEnd w:id="64"/>
      <w:r>
        <w:rPr>
          <w:rFonts w:hint="eastAsia" w:ascii="宋体" w:hAnsi="宋体" w:eastAsia="宋体" w:cs="Courier New"/>
          <w:bCs/>
          <w:color w:val="auto"/>
          <w:szCs w:val="21"/>
          <w:highlight w:val="none"/>
        </w:rPr>
        <w:t>是合同书、信件、电报、电传、传真等可以有形地表现所载内容的形式。</w:t>
      </w:r>
    </w:p>
    <w:p>
      <w:pPr>
        <w:spacing w:line="400" w:lineRule="exact"/>
        <w:ind w:firstLine="211" w:firstLineChars="100"/>
        <w:rPr>
          <w:rFonts w:ascii="Times New Roman" w:hAnsi="Times New Roman" w:eastAsia="宋体" w:cs="Times New Roman"/>
          <w:b/>
          <w:bCs/>
          <w:color w:val="auto"/>
          <w:szCs w:val="24"/>
          <w:highlight w:val="none"/>
        </w:rPr>
      </w:pPr>
      <w:bookmarkStart w:id="65" w:name="_Toc353785279"/>
      <w:r>
        <w:rPr>
          <w:rFonts w:hint="eastAsia" w:ascii="Times New Roman" w:hAnsi="Times New Roman" w:eastAsia="宋体" w:cs="Times New Roman"/>
          <w:b/>
          <w:bCs/>
          <w:color w:val="auto"/>
          <w:szCs w:val="24"/>
          <w:highlight w:val="none"/>
        </w:rPr>
        <w:t>（三）投标人资格</w:t>
      </w:r>
      <w:bookmarkEnd w:id="65"/>
    </w:p>
    <w:p>
      <w:pPr>
        <w:snapToGrid w:val="0"/>
        <w:spacing w:line="400" w:lineRule="exact"/>
        <w:ind w:firstLine="420" w:firstLineChars="200"/>
        <w:rPr>
          <w:rFonts w:hint="eastAsia" w:ascii="宋体" w:hAnsi="宋体" w:eastAsia="宋体" w:cs="Courier New"/>
          <w:bCs/>
          <w:color w:val="auto"/>
          <w:szCs w:val="21"/>
          <w:highlight w:val="none"/>
        </w:rPr>
      </w:pPr>
      <w:bookmarkStart w:id="66" w:name="_Toc254970670"/>
      <w:bookmarkStart w:id="67" w:name="_Toc254970529"/>
      <w:bookmarkStart w:id="68" w:name="_Toc353785280"/>
      <w:bookmarkStart w:id="69" w:name="_Toc352700409"/>
      <w:bookmarkStart w:id="70" w:name="_Hlk92444465"/>
      <w:r>
        <w:rPr>
          <w:rFonts w:hint="eastAsia" w:ascii="宋体" w:hAnsi="宋体" w:eastAsia="宋体" w:cs="Courier New"/>
          <w:bCs/>
          <w:color w:val="auto"/>
          <w:szCs w:val="21"/>
          <w:highlight w:val="none"/>
        </w:rPr>
        <w:t>1.满足《中华人民共和国政府采购法》第二十二条规定；</w:t>
      </w:r>
    </w:p>
    <w:p>
      <w:pPr>
        <w:snapToGrid w:val="0"/>
        <w:spacing w:line="400" w:lineRule="exact"/>
        <w:ind w:firstLine="420" w:firstLineChars="200"/>
        <w:rPr>
          <w:rFonts w:hint="eastAsia" w:ascii="宋体" w:hAnsi="宋体" w:eastAsia="宋体" w:cs="Courier New"/>
          <w:bCs/>
          <w:color w:val="auto"/>
          <w:szCs w:val="21"/>
          <w:highlight w:val="none"/>
        </w:rPr>
      </w:pPr>
      <w:r>
        <w:rPr>
          <w:rFonts w:hint="eastAsia" w:ascii="宋体" w:hAnsi="宋体" w:eastAsia="宋体" w:cs="Courier New"/>
          <w:bCs/>
          <w:color w:val="auto"/>
          <w:szCs w:val="21"/>
          <w:highlight w:val="none"/>
        </w:rPr>
        <w:t>2.落实政府采购政策需满足的资格要求：服务全部由符合政策要求的中小企业承接</w:t>
      </w:r>
    </w:p>
    <w:p>
      <w:pPr>
        <w:snapToGrid w:val="0"/>
        <w:spacing w:line="400" w:lineRule="exact"/>
        <w:ind w:firstLine="420" w:firstLineChars="200"/>
        <w:rPr>
          <w:rFonts w:hint="eastAsia" w:ascii="宋体" w:hAnsi="宋体" w:eastAsia="宋体" w:cs="Courier New"/>
          <w:bCs/>
          <w:color w:val="auto"/>
          <w:szCs w:val="21"/>
          <w:highlight w:val="none"/>
          <w:lang w:val="en-US" w:eastAsia="zh-CN"/>
        </w:rPr>
      </w:pPr>
      <w:r>
        <w:rPr>
          <w:rFonts w:hint="eastAsia" w:ascii="宋体" w:hAnsi="宋体" w:eastAsia="宋体" w:cs="Courier New"/>
          <w:bCs/>
          <w:color w:val="auto"/>
          <w:szCs w:val="21"/>
          <w:highlight w:val="none"/>
        </w:rPr>
        <w:t>3.本项目的特定资格要求：</w:t>
      </w:r>
      <w:r>
        <w:rPr>
          <w:rFonts w:hint="eastAsia" w:ascii="宋体" w:hAnsi="宋体" w:eastAsia="宋体" w:cs="Courier New"/>
          <w:bCs/>
          <w:color w:val="auto"/>
          <w:szCs w:val="21"/>
          <w:highlight w:val="none"/>
          <w:lang w:val="en-US" w:eastAsia="zh-CN"/>
        </w:rPr>
        <w:t>无</w:t>
      </w:r>
    </w:p>
    <w:p>
      <w:pPr>
        <w:spacing w:line="400" w:lineRule="exact"/>
        <w:ind w:firstLine="211" w:firstLineChars="100"/>
        <w:rPr>
          <w:rFonts w:ascii="Times New Roman" w:hAnsi="Times New Roman" w:eastAsia="宋体" w:cs="Times New Roman"/>
          <w:b/>
          <w:bCs/>
          <w:color w:val="auto"/>
          <w:szCs w:val="24"/>
          <w:highlight w:val="none"/>
        </w:rPr>
      </w:pPr>
      <w:r>
        <w:rPr>
          <w:rFonts w:hint="eastAsia" w:ascii="Times New Roman" w:hAnsi="Times New Roman" w:eastAsia="宋体" w:cs="Times New Roman"/>
          <w:b/>
          <w:bCs/>
          <w:color w:val="auto"/>
          <w:szCs w:val="24"/>
          <w:highlight w:val="none"/>
        </w:rPr>
        <w:t>（四）采购方式</w:t>
      </w:r>
      <w:bookmarkEnd w:id="66"/>
      <w:bookmarkEnd w:id="67"/>
      <w:bookmarkEnd w:id="68"/>
      <w:bookmarkEnd w:id="69"/>
    </w:p>
    <w:p>
      <w:pPr>
        <w:snapToGrid w:val="0"/>
        <w:spacing w:line="400" w:lineRule="exact"/>
        <w:ind w:firstLine="420" w:firstLineChars="2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公开招标方式。</w:t>
      </w:r>
    </w:p>
    <w:p>
      <w:pPr>
        <w:spacing w:line="400" w:lineRule="exact"/>
        <w:ind w:firstLine="211" w:firstLineChars="100"/>
        <w:rPr>
          <w:rFonts w:ascii="Times New Roman" w:hAnsi="Times New Roman" w:eastAsia="宋体" w:cs="Times New Roman"/>
          <w:b/>
          <w:bCs/>
          <w:color w:val="auto"/>
          <w:szCs w:val="24"/>
          <w:highlight w:val="none"/>
        </w:rPr>
      </w:pPr>
      <w:bookmarkStart w:id="71" w:name="_Toc254970530"/>
      <w:bookmarkStart w:id="72" w:name="_Toc254970671"/>
      <w:bookmarkStart w:id="73" w:name="_Toc352700410"/>
      <w:bookmarkStart w:id="74" w:name="_Toc353785281"/>
      <w:r>
        <w:rPr>
          <w:rFonts w:hint="eastAsia" w:ascii="Times New Roman" w:hAnsi="Times New Roman" w:eastAsia="宋体" w:cs="Times New Roman"/>
          <w:b/>
          <w:bCs/>
          <w:color w:val="auto"/>
          <w:szCs w:val="24"/>
          <w:highlight w:val="none"/>
        </w:rPr>
        <w:t>（五）投标委托</w:t>
      </w:r>
      <w:bookmarkEnd w:id="71"/>
      <w:bookmarkEnd w:id="72"/>
      <w:bookmarkEnd w:id="73"/>
      <w:bookmarkEnd w:id="74"/>
    </w:p>
    <w:p>
      <w:pPr>
        <w:snapToGrid w:val="0"/>
        <w:spacing w:line="400" w:lineRule="exact"/>
        <w:ind w:firstLine="420" w:firstLineChars="200"/>
        <w:rPr>
          <w:rFonts w:hint="eastAsia" w:ascii="宋体" w:hAnsi="宋体" w:eastAsia="宋体" w:cs="Courier New"/>
          <w:bCs/>
          <w:color w:val="auto"/>
          <w:szCs w:val="21"/>
          <w:highlight w:val="none"/>
        </w:rPr>
      </w:pPr>
      <w:r>
        <w:rPr>
          <w:rFonts w:hint="eastAsia" w:ascii="宋体" w:hAnsi="宋体" w:eastAsia="宋体" w:cs="Courier New"/>
          <w:bCs/>
          <w:color w:val="auto"/>
          <w:szCs w:val="21"/>
          <w:highlight w:val="none"/>
        </w:rPr>
        <w:t>委托投标的投标人须提供授权委托书（格式见第六章）。</w:t>
      </w:r>
    </w:p>
    <w:p>
      <w:pPr>
        <w:spacing w:line="400" w:lineRule="exact"/>
        <w:ind w:firstLine="211" w:firstLineChars="100"/>
        <w:rPr>
          <w:rFonts w:ascii="Times New Roman" w:hAnsi="Times New Roman" w:eastAsia="宋体" w:cs="Times New Roman"/>
          <w:b/>
          <w:bCs/>
          <w:color w:val="auto"/>
          <w:szCs w:val="24"/>
          <w:highlight w:val="none"/>
        </w:rPr>
      </w:pPr>
      <w:bookmarkStart w:id="75" w:name="_Toc353785282"/>
      <w:bookmarkStart w:id="76" w:name="_Toc254970672"/>
      <w:bookmarkStart w:id="77" w:name="_Toc352700411"/>
      <w:bookmarkStart w:id="78" w:name="_Toc254970531"/>
      <w:r>
        <w:rPr>
          <w:rFonts w:hint="eastAsia" w:ascii="Times New Roman" w:hAnsi="Times New Roman" w:eastAsia="宋体" w:cs="Times New Roman"/>
          <w:b/>
          <w:bCs/>
          <w:color w:val="auto"/>
          <w:szCs w:val="24"/>
          <w:highlight w:val="none"/>
        </w:rPr>
        <w:t>（六）投标费用</w:t>
      </w:r>
      <w:bookmarkEnd w:id="75"/>
      <w:bookmarkEnd w:id="76"/>
      <w:bookmarkEnd w:id="77"/>
      <w:bookmarkEnd w:id="78"/>
    </w:p>
    <w:p>
      <w:pPr>
        <w:snapToGrid w:val="0"/>
        <w:spacing w:line="400" w:lineRule="exact"/>
        <w:ind w:firstLine="420" w:firstLineChars="2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投标人自行承担所有与投标有关的全部费用。</w:t>
      </w:r>
    </w:p>
    <w:p>
      <w:pPr>
        <w:spacing w:line="400" w:lineRule="exact"/>
        <w:ind w:firstLine="211" w:firstLineChars="100"/>
        <w:rPr>
          <w:rFonts w:ascii="Times New Roman" w:hAnsi="Times New Roman" w:eastAsia="宋体" w:cs="Times New Roman"/>
          <w:b/>
          <w:bCs/>
          <w:color w:val="auto"/>
          <w:szCs w:val="24"/>
          <w:highlight w:val="none"/>
        </w:rPr>
      </w:pPr>
      <w:bookmarkStart w:id="79" w:name="_Toc353785283"/>
      <w:bookmarkStart w:id="80" w:name="_Toc352700413"/>
      <w:r>
        <w:rPr>
          <w:rFonts w:hint="eastAsia" w:ascii="Times New Roman" w:hAnsi="Times New Roman" w:eastAsia="宋体" w:cs="Times New Roman"/>
          <w:b/>
          <w:bCs/>
          <w:color w:val="auto"/>
          <w:szCs w:val="24"/>
          <w:highlight w:val="none"/>
        </w:rPr>
        <w:t>（七）转包与分包</w:t>
      </w:r>
      <w:bookmarkEnd w:id="79"/>
      <w:bookmarkEnd w:id="80"/>
    </w:p>
    <w:p>
      <w:pPr>
        <w:snapToGrid w:val="0"/>
        <w:spacing w:line="400" w:lineRule="exact"/>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1.本项目不允许转包。</w:t>
      </w:r>
    </w:p>
    <w:p>
      <w:pPr>
        <w:snapToGrid w:val="0"/>
        <w:spacing w:line="400" w:lineRule="exact"/>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2.采购人允许采用分包方式履行合同的，应当在采购文件中明确可以分包履行的具体内容、金额或者比例。</w:t>
      </w:r>
    </w:p>
    <w:p>
      <w:pPr>
        <w:snapToGrid w:val="0"/>
        <w:spacing w:line="400" w:lineRule="exact"/>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3.依据《政府采购促进中小企业发展管理办法》规定享受扶持政策获得政府采购合同的，小微企业不得将合同分包给大中型企业，中型企业不得将合同分包给大型企业。</w:t>
      </w:r>
    </w:p>
    <w:bookmarkEnd w:id="70"/>
    <w:p>
      <w:pPr>
        <w:spacing w:line="400" w:lineRule="exact"/>
        <w:ind w:firstLine="211" w:firstLineChars="100"/>
        <w:rPr>
          <w:rFonts w:ascii="Times New Roman" w:hAnsi="Times New Roman" w:eastAsia="宋体" w:cs="Times New Roman"/>
          <w:b/>
          <w:bCs/>
          <w:color w:val="auto"/>
          <w:szCs w:val="24"/>
          <w:highlight w:val="none"/>
        </w:rPr>
      </w:pPr>
      <w:bookmarkStart w:id="81" w:name="_Toc353785284"/>
      <w:bookmarkStart w:id="82" w:name="_Toc352700414"/>
      <w:bookmarkStart w:id="83" w:name="_Toc254970532"/>
      <w:bookmarkStart w:id="84" w:name="_Toc254970673"/>
      <w:bookmarkStart w:id="85" w:name="_Hlk92444771"/>
      <w:r>
        <w:rPr>
          <w:rFonts w:hint="eastAsia" w:ascii="Times New Roman" w:hAnsi="Times New Roman" w:eastAsia="宋体" w:cs="Times New Roman"/>
          <w:b/>
          <w:bCs/>
          <w:color w:val="auto"/>
          <w:szCs w:val="24"/>
          <w:highlight w:val="none"/>
        </w:rPr>
        <w:t>（八）特别说明：</w:t>
      </w:r>
      <w:bookmarkEnd w:id="81"/>
      <w:bookmarkEnd w:id="82"/>
      <w:bookmarkEnd w:id="83"/>
      <w:bookmarkEnd w:id="84"/>
    </w:p>
    <w:p>
      <w:pPr>
        <w:spacing w:line="400" w:lineRule="exact"/>
        <w:ind w:firstLine="420" w:firstLineChars="20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关联供应商不得参加同一合同项下政府采购活动，否则投标文件将被视为无效：</w:t>
      </w:r>
    </w:p>
    <w:p>
      <w:pPr>
        <w:snapToGrid w:val="0"/>
        <w:spacing w:line="400" w:lineRule="exact"/>
        <w:ind w:firstLine="420" w:firstLineChars="200"/>
        <w:rPr>
          <w:rFonts w:hint="eastAsia" w:ascii="宋体" w:hAnsi="宋体" w:eastAsia="宋体" w:cs="Courier New"/>
          <w:color w:val="auto"/>
          <w:szCs w:val="21"/>
          <w:highlight w:val="none"/>
        </w:rPr>
      </w:pPr>
      <w:r>
        <w:rPr>
          <w:rFonts w:hint="eastAsia" w:ascii="宋体" w:hAnsi="宋体" w:eastAsia="宋体" w:cs="Courier New"/>
          <w:color w:val="auto"/>
          <w:szCs w:val="21"/>
          <w:highlight w:val="none"/>
        </w:rPr>
        <w:t>1.单位负责人为同一人或者存在直接控股、管理关系的不同的投标人，不得参加同一合同项下的政府采购活动。</w:t>
      </w:r>
    </w:p>
    <w:p>
      <w:pPr>
        <w:snapToGrid w:val="0"/>
        <w:spacing w:line="400" w:lineRule="exact"/>
        <w:ind w:firstLine="420" w:firstLineChars="200"/>
        <w:rPr>
          <w:rFonts w:hint="eastAsia" w:ascii="宋体" w:hAnsi="宋体" w:eastAsia="宋体" w:cs="Courier New"/>
          <w:color w:val="auto"/>
          <w:szCs w:val="21"/>
          <w:highlight w:val="none"/>
        </w:rPr>
      </w:pPr>
      <w:r>
        <w:rPr>
          <w:rFonts w:hint="eastAsia" w:ascii="宋体" w:hAnsi="宋体" w:eastAsia="宋体" w:cs="Courier New"/>
          <w:color w:val="auto"/>
          <w:szCs w:val="21"/>
          <w:highlight w:val="none"/>
        </w:rPr>
        <w:t>2.为采购项目提供整体设计、规范编制或者项目管理、监理、检测等服务的投标人，不得再参加该采购项目的其他采购活动。</w:t>
      </w:r>
    </w:p>
    <w:p>
      <w:pPr>
        <w:spacing w:line="400" w:lineRule="exact"/>
        <w:ind w:firstLine="211" w:firstLineChars="100"/>
        <w:rPr>
          <w:rFonts w:ascii="Times New Roman" w:hAnsi="Times New Roman" w:eastAsia="宋体" w:cs="Times New Roman"/>
          <w:b/>
          <w:bCs/>
          <w:color w:val="auto"/>
          <w:szCs w:val="24"/>
          <w:highlight w:val="none"/>
        </w:rPr>
      </w:pPr>
      <w:bookmarkStart w:id="86" w:name="_Toc353785285"/>
      <w:bookmarkStart w:id="87" w:name="_Toc254970674"/>
      <w:bookmarkStart w:id="88" w:name="_Toc352700415"/>
      <w:bookmarkStart w:id="89" w:name="_Toc254970533"/>
      <w:r>
        <w:rPr>
          <w:rFonts w:hint="eastAsia" w:ascii="Times New Roman" w:hAnsi="Times New Roman" w:eastAsia="宋体" w:cs="Times New Roman"/>
          <w:b/>
          <w:bCs/>
          <w:color w:val="auto"/>
          <w:szCs w:val="24"/>
          <w:highlight w:val="none"/>
        </w:rPr>
        <w:t>（九）询问、质疑和投诉</w:t>
      </w:r>
      <w:bookmarkEnd w:id="86"/>
      <w:bookmarkEnd w:id="87"/>
      <w:bookmarkEnd w:id="88"/>
      <w:bookmarkEnd w:id="89"/>
    </w:p>
    <w:p>
      <w:pPr>
        <w:snapToGrid w:val="0"/>
        <w:spacing w:line="400" w:lineRule="exact"/>
        <w:ind w:firstLine="420" w:firstLineChars="200"/>
        <w:rPr>
          <w:rFonts w:hint="eastAsia" w:ascii="宋体" w:hAnsi="宋体" w:eastAsia="宋体" w:cs="Courier New"/>
          <w:bCs/>
          <w:color w:val="auto"/>
          <w:szCs w:val="21"/>
          <w:highlight w:val="none"/>
        </w:rPr>
      </w:pPr>
      <w:r>
        <w:rPr>
          <w:rFonts w:hint="eastAsia" w:ascii="宋体" w:hAnsi="宋体" w:eastAsia="宋体" w:cs="Courier New"/>
          <w:bCs/>
          <w:color w:val="auto"/>
          <w:szCs w:val="21"/>
          <w:highlight w:val="none"/>
        </w:rPr>
        <w:t>1.</w:t>
      </w:r>
      <w:r>
        <w:rPr>
          <w:rFonts w:hint="eastAsia" w:ascii="Arial" w:hAnsi="Arial" w:eastAsia="宋体" w:cs="Arial"/>
          <w:color w:val="auto"/>
          <w:kern w:val="0"/>
          <w:szCs w:val="21"/>
          <w:highlight w:val="none"/>
        </w:rPr>
        <w:t>投标人对政府采购活动事项有疑问的，可以向采购人或本中心提出询问，采购人或本中心当在</w:t>
      </w:r>
      <w:r>
        <w:rPr>
          <w:rFonts w:ascii="Arial" w:hAnsi="Arial" w:eastAsia="宋体" w:cs="Arial"/>
          <w:color w:val="auto"/>
          <w:kern w:val="0"/>
          <w:szCs w:val="21"/>
          <w:highlight w:val="none"/>
        </w:rPr>
        <w:t>3</w:t>
      </w:r>
      <w:r>
        <w:rPr>
          <w:rFonts w:hint="eastAsia" w:ascii="Arial" w:hAnsi="Arial" w:eastAsia="宋体" w:cs="Arial"/>
          <w:color w:val="auto"/>
          <w:kern w:val="0"/>
          <w:szCs w:val="21"/>
          <w:highlight w:val="none"/>
        </w:rPr>
        <w:t>个工作日内对投标人依法提出的询问作出答复，但答复的内容不得涉及商业秘密。</w:t>
      </w:r>
    </w:p>
    <w:p>
      <w:pPr>
        <w:snapToGrid w:val="0"/>
        <w:spacing w:line="400" w:lineRule="exact"/>
        <w:ind w:firstLine="420" w:firstLineChars="200"/>
        <w:rPr>
          <w:rFonts w:hint="eastAsia" w:ascii="宋体" w:hAnsi="宋体" w:eastAsia="宋体" w:cs="Courier New"/>
          <w:bCs/>
          <w:color w:val="auto"/>
          <w:szCs w:val="21"/>
          <w:highlight w:val="none"/>
        </w:rPr>
      </w:pPr>
      <w:r>
        <w:rPr>
          <w:rFonts w:hint="eastAsia" w:ascii="宋体" w:hAnsi="宋体" w:eastAsia="宋体" w:cs="Courier New"/>
          <w:bCs/>
          <w:color w:val="auto"/>
          <w:szCs w:val="21"/>
          <w:highlight w:val="none"/>
        </w:rPr>
        <w:t>2.投标人认为招标文件、招标过程或中标结果使自己的合法权益受到损害的，可以在知道或者应知其权益受到损害之日起7个工作日内，</w:t>
      </w:r>
      <w:r>
        <w:rPr>
          <w:rFonts w:hint="eastAsia" w:ascii="宋体" w:hAnsi="Courier New" w:eastAsia="宋体" w:cs="Arial"/>
          <w:color w:val="auto"/>
          <w:szCs w:val="21"/>
          <w:highlight w:val="none"/>
        </w:rPr>
        <w:t>以书面形式（政采云平台）向采购人提出质疑。</w:t>
      </w:r>
      <w:r>
        <w:rPr>
          <w:rFonts w:hint="eastAsia" w:ascii="宋体" w:hAnsi="宋体" w:eastAsia="宋体" w:cs="Courier New"/>
          <w:bCs/>
          <w:color w:val="auto"/>
          <w:szCs w:val="21"/>
          <w:highlight w:val="none"/>
        </w:rPr>
        <w:t>投标人必须在法定质疑期内一次性提出针对同一采购程序环节的质疑。</w:t>
      </w:r>
      <w:r>
        <w:rPr>
          <w:rFonts w:hint="eastAsia" w:ascii="宋体" w:hAnsi="宋体" w:eastAsia="宋体" w:cs="宋体"/>
          <w:color w:val="auto"/>
          <w:szCs w:val="21"/>
          <w:highlight w:val="none"/>
        </w:rPr>
        <w:t>投标人应知其权益受到损害之日，是指：</w:t>
      </w:r>
    </w:p>
    <w:p>
      <w:pPr>
        <w:adjustRightInd w:val="0"/>
        <w:snapToGrid w:val="0"/>
        <w:spacing w:line="400" w:lineRule="exact"/>
        <w:ind w:firstLine="308" w:firstLineChars="147"/>
        <w:rPr>
          <w:rFonts w:hint="eastAsia" w:ascii="宋体" w:hAnsi="宋体" w:eastAsia="宋体" w:cs="Courier New"/>
          <w:bCs/>
          <w:color w:val="auto"/>
          <w:szCs w:val="21"/>
          <w:highlight w:val="none"/>
        </w:rPr>
      </w:pPr>
      <w:r>
        <w:rPr>
          <w:rFonts w:hint="eastAsia" w:ascii="宋体" w:hAnsi="宋体" w:eastAsia="宋体" w:cs="Courier New"/>
          <w:bCs/>
          <w:color w:val="auto"/>
          <w:szCs w:val="21"/>
          <w:highlight w:val="none"/>
        </w:rPr>
        <w:t>(1)对招标文件提出质疑的，为获取招标文件之日；</w:t>
      </w:r>
    </w:p>
    <w:p>
      <w:pPr>
        <w:adjustRightInd w:val="0"/>
        <w:snapToGrid w:val="0"/>
        <w:spacing w:line="400" w:lineRule="exact"/>
        <w:ind w:firstLine="308" w:firstLineChars="147"/>
        <w:rPr>
          <w:rFonts w:hint="eastAsia" w:ascii="宋体" w:hAnsi="宋体" w:eastAsia="宋体" w:cs="Courier New"/>
          <w:bCs/>
          <w:color w:val="auto"/>
          <w:szCs w:val="21"/>
          <w:highlight w:val="none"/>
        </w:rPr>
      </w:pPr>
      <w:r>
        <w:rPr>
          <w:rFonts w:hint="eastAsia" w:ascii="宋体" w:hAnsi="宋体" w:eastAsia="宋体" w:cs="Courier New"/>
          <w:bCs/>
          <w:color w:val="auto"/>
          <w:szCs w:val="21"/>
          <w:highlight w:val="none"/>
        </w:rPr>
        <w:t>(2)对招标过程提出质疑的，为各采购程序环节结束之日；</w:t>
      </w:r>
    </w:p>
    <w:p>
      <w:pPr>
        <w:widowControl/>
        <w:adjustRightInd w:val="0"/>
        <w:snapToGrid w:val="0"/>
        <w:spacing w:line="400" w:lineRule="exact"/>
        <w:ind w:firstLine="102" w:firstLineChars="49"/>
        <w:jc w:val="left"/>
        <w:rPr>
          <w:rFonts w:hint="eastAsia" w:ascii="宋体" w:hAnsi="宋体" w:eastAsia="宋体" w:cs="Courier New"/>
          <w:bCs/>
          <w:color w:val="auto"/>
          <w:szCs w:val="21"/>
          <w:highlight w:val="none"/>
        </w:rPr>
      </w:pPr>
      <w:r>
        <w:rPr>
          <w:rFonts w:hint="eastAsia" w:ascii="宋体" w:hAnsi="宋体" w:eastAsia="宋体" w:cs="Courier New"/>
          <w:bCs/>
          <w:color w:val="auto"/>
          <w:szCs w:val="21"/>
          <w:highlight w:val="none"/>
        </w:rPr>
        <w:t xml:space="preserve">  (3)对中标结果提出质疑的，为中标结果公告期限届满之日。</w:t>
      </w:r>
    </w:p>
    <w:p>
      <w:pPr>
        <w:widowControl/>
        <w:adjustRightInd w:val="0"/>
        <w:snapToGrid w:val="0"/>
        <w:spacing w:line="400" w:lineRule="exact"/>
        <w:ind w:firstLine="420" w:firstLineChars="200"/>
        <w:jc w:val="left"/>
        <w:rPr>
          <w:rFonts w:hint="eastAsia" w:ascii="宋体" w:hAnsi="宋体" w:eastAsia="宋体" w:cs="Courier New"/>
          <w:bCs/>
          <w:color w:val="auto"/>
          <w:szCs w:val="21"/>
          <w:highlight w:val="none"/>
        </w:rPr>
      </w:pPr>
      <w:r>
        <w:rPr>
          <w:rFonts w:hint="eastAsia" w:ascii="宋体" w:hAnsi="宋体" w:eastAsia="宋体" w:cs="Courier New"/>
          <w:bCs/>
          <w:color w:val="auto"/>
          <w:szCs w:val="21"/>
          <w:highlight w:val="none"/>
        </w:rPr>
        <w:t>3.</w:t>
      </w:r>
      <w:r>
        <w:rPr>
          <w:rFonts w:hint="eastAsia" w:ascii="Times New Roman" w:hAnsi="宋体" w:eastAsia="宋体" w:cs="Times New Roman"/>
          <w:color w:val="auto"/>
          <w:szCs w:val="24"/>
          <w:highlight w:val="none"/>
        </w:rPr>
        <w:t>投标人对采购人质疑答复不满意或者采购人未在规定时间内作出答复的，可以在答复期满后十五个工作日内向同级采购监管部门投诉。</w:t>
      </w:r>
    </w:p>
    <w:p>
      <w:pPr>
        <w:snapToGrid w:val="0"/>
        <w:spacing w:line="400" w:lineRule="exact"/>
        <w:ind w:firstLine="420" w:firstLineChars="200"/>
        <w:rPr>
          <w:rFonts w:hint="eastAsia" w:ascii="宋体" w:hAnsi="宋体" w:eastAsia="宋体" w:cs="Courier New"/>
          <w:bCs/>
          <w:color w:val="auto"/>
          <w:szCs w:val="21"/>
          <w:highlight w:val="none"/>
        </w:rPr>
      </w:pPr>
      <w:r>
        <w:rPr>
          <w:rFonts w:hint="eastAsia" w:ascii="宋体" w:hAnsi="宋体" w:eastAsia="宋体" w:cs="Courier New"/>
          <w:bCs/>
          <w:color w:val="auto"/>
          <w:szCs w:val="21"/>
          <w:highlight w:val="none"/>
        </w:rPr>
        <w:t>4.质疑、投诉应当采用书面形式，质疑书、投诉书均应明确阐述招标文件、招标过程或中标结果中使自己合法权益受到损害的实质性内容，提供相关事实、依据和证据及其来源或线索，便于有关单位调查、答复和处理。（质疑、投诉不接受传真形式）</w:t>
      </w:r>
    </w:p>
    <w:p>
      <w:pPr>
        <w:spacing w:line="400" w:lineRule="exact"/>
        <w:ind w:firstLine="420" w:firstLineChars="20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质疑部门联系方式：防城港市防城区妇幼保健院</w:t>
      </w:r>
      <w:r>
        <w:rPr>
          <w:rFonts w:ascii="Times New Roman" w:hAnsi="Times New Roman" w:eastAsia="宋体" w:cs="Times New Roman"/>
          <w:color w:val="auto"/>
          <w:szCs w:val="24"/>
          <w:highlight w:val="none"/>
        </w:rPr>
        <w:t xml:space="preserve">    </w:t>
      </w:r>
      <w:r>
        <w:rPr>
          <w:rFonts w:hint="eastAsia" w:ascii="Times New Roman" w:hAnsi="Times New Roman" w:eastAsia="宋体" w:cs="Times New Roman"/>
          <w:color w:val="auto"/>
          <w:szCs w:val="24"/>
          <w:highlight w:val="none"/>
        </w:rPr>
        <w:t>0770-3271083</w:t>
      </w:r>
    </w:p>
    <w:p>
      <w:pPr>
        <w:spacing w:line="400" w:lineRule="exact"/>
        <w:ind w:firstLine="420" w:firstLineChars="20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采购监管部门联系方式：防城港市防城区政府采购中心   0770-2213601</w:t>
      </w:r>
      <w:bookmarkStart w:id="216" w:name="_GoBack"/>
      <w:bookmarkEnd w:id="216"/>
    </w:p>
    <w:p>
      <w:pPr>
        <w:spacing w:line="400" w:lineRule="exact"/>
        <w:ind w:firstLine="211" w:firstLineChars="100"/>
        <w:rPr>
          <w:rFonts w:hint="eastAsia" w:ascii="Times New Roman" w:hAnsi="宋体" w:eastAsia="宋体" w:cs="Times New Roman"/>
          <w:color w:val="auto"/>
          <w:szCs w:val="24"/>
          <w:highlight w:val="none"/>
        </w:rPr>
      </w:pPr>
      <w:bookmarkStart w:id="90" w:name="_Hlk92793564"/>
      <w:r>
        <w:rPr>
          <w:rFonts w:hint="eastAsia" w:ascii="Times New Roman" w:hAnsi="Times New Roman" w:eastAsia="宋体" w:cs="Times New Roman"/>
          <w:b/>
          <w:bCs/>
          <w:color w:val="auto"/>
          <w:szCs w:val="24"/>
          <w:highlight w:val="none"/>
        </w:rPr>
        <w:t>（十）查询媒体</w:t>
      </w:r>
      <w:bookmarkEnd w:id="85"/>
      <w:bookmarkEnd w:id="90"/>
      <w:r>
        <w:rPr>
          <w:rFonts w:ascii="Times New Roman" w:hAnsi="Times New Roman" w:eastAsia="宋体" w:cs="Times New Roman"/>
          <w:b/>
          <w:bCs/>
          <w:color w:val="auto"/>
          <w:szCs w:val="24"/>
          <w:highlight w:val="none"/>
        </w:rPr>
        <w:t>:</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hint="eastAsia" w:ascii="Times New Roman" w:hAnsi="宋体" w:eastAsia="宋体" w:cs="Times New Roman"/>
          <w:color w:val="auto"/>
          <w:szCs w:val="24"/>
          <w:highlight w:val="none"/>
        </w:rPr>
        <w:t>中国政府采购网</w:t>
      </w:r>
      <w:r>
        <w:rPr>
          <w:rFonts w:hint="eastAsia" w:ascii="Times New Roman" w:hAnsi="宋体" w:eastAsia="宋体" w:cs="Times New Roman"/>
          <w:color w:val="auto"/>
          <w:szCs w:val="24"/>
          <w:highlight w:val="none"/>
        </w:rPr>
        <w:fldChar w:fldCharType="end"/>
      </w:r>
      <w:r>
        <w:rPr>
          <w:rFonts w:hint="eastAsia" w:ascii="Times New Roman" w:hAnsi="宋体" w:eastAsia="宋体" w:cs="Times New Roman"/>
          <w:color w:val="auto"/>
          <w:szCs w:val="24"/>
          <w:highlight w:val="none"/>
        </w:rPr>
        <w:t>、</w:t>
      </w:r>
      <w:r>
        <w:rPr>
          <w:color w:val="auto"/>
          <w:highlight w:val="none"/>
        </w:rPr>
        <w:fldChar w:fldCharType="begin"/>
      </w:r>
      <w:r>
        <w:rPr>
          <w:color w:val="auto"/>
          <w:highlight w:val="none"/>
        </w:rPr>
        <w:instrText xml:space="preserve"> HYPERLINK "http://zfcg.gxzf.gov.cn/" </w:instrText>
      </w:r>
      <w:r>
        <w:rPr>
          <w:color w:val="auto"/>
          <w:highlight w:val="none"/>
        </w:rPr>
        <w:fldChar w:fldCharType="separate"/>
      </w:r>
      <w:r>
        <w:rPr>
          <w:rFonts w:hint="eastAsia" w:ascii="Times New Roman" w:hAnsi="宋体" w:eastAsia="宋体" w:cs="Times New Roman"/>
          <w:color w:val="auto"/>
          <w:szCs w:val="24"/>
          <w:highlight w:val="none"/>
        </w:rPr>
        <w:t>广西政府采购网</w:t>
      </w:r>
      <w:r>
        <w:rPr>
          <w:rFonts w:hint="eastAsia" w:ascii="Times New Roman" w:hAnsi="宋体" w:eastAsia="宋体" w:cs="Times New Roman"/>
          <w:color w:val="auto"/>
          <w:szCs w:val="24"/>
          <w:highlight w:val="none"/>
        </w:rPr>
        <w:fldChar w:fldCharType="end"/>
      </w:r>
      <w:r>
        <w:rPr>
          <w:rFonts w:hint="eastAsia" w:ascii="Times New Roman" w:hAnsi="宋体" w:eastAsia="宋体" w:cs="Times New Roman"/>
          <w:color w:val="auto"/>
          <w:szCs w:val="24"/>
          <w:highlight w:val="none"/>
        </w:rPr>
        <w:t>。</w:t>
      </w:r>
    </w:p>
    <w:p>
      <w:pPr>
        <w:spacing w:line="400" w:lineRule="exact"/>
        <w:ind w:firstLine="211" w:firstLineChars="100"/>
        <w:rPr>
          <w:rFonts w:ascii="Times New Roman" w:hAnsi="Times New Roman" w:eastAsia="宋体" w:cs="Times New Roman"/>
          <w:b/>
          <w:bCs/>
          <w:color w:val="auto"/>
          <w:szCs w:val="24"/>
          <w:highlight w:val="none"/>
        </w:rPr>
      </w:pPr>
    </w:p>
    <w:p>
      <w:pPr>
        <w:keepNext/>
        <w:keepLines/>
        <w:spacing w:line="400" w:lineRule="exact"/>
        <w:outlineLvl w:val="1"/>
        <w:rPr>
          <w:rFonts w:ascii="方正小标宋_GBK" w:hAnsi="Arial" w:eastAsia="方正小标宋_GBK" w:cs="Times New Roman"/>
          <w:b/>
          <w:bCs/>
          <w:color w:val="auto"/>
          <w:sz w:val="24"/>
          <w:szCs w:val="24"/>
          <w:highlight w:val="none"/>
        </w:rPr>
      </w:pPr>
      <w:bookmarkStart w:id="91" w:name="_Toc352700416"/>
      <w:bookmarkStart w:id="92" w:name="_Toc353785286"/>
      <w:r>
        <w:rPr>
          <w:rFonts w:hint="eastAsia" w:ascii="方正小标宋_GBK" w:hAnsi="Arial" w:eastAsia="方正小标宋_GBK" w:cs="Times New Roman"/>
          <w:b/>
          <w:bCs/>
          <w:color w:val="auto"/>
          <w:sz w:val="24"/>
          <w:szCs w:val="24"/>
          <w:highlight w:val="none"/>
        </w:rPr>
        <w:t>二、招标文件</w:t>
      </w:r>
      <w:bookmarkEnd w:id="91"/>
      <w:bookmarkEnd w:id="92"/>
    </w:p>
    <w:p>
      <w:pPr>
        <w:spacing w:line="400" w:lineRule="exact"/>
        <w:ind w:firstLine="211" w:firstLineChars="100"/>
        <w:rPr>
          <w:rFonts w:ascii="Times New Roman" w:hAnsi="Times New Roman" w:eastAsia="宋体" w:cs="Times New Roman"/>
          <w:b/>
          <w:bCs/>
          <w:color w:val="auto"/>
          <w:szCs w:val="24"/>
          <w:highlight w:val="none"/>
        </w:rPr>
      </w:pPr>
      <w:bookmarkStart w:id="93" w:name="_Toc353785287"/>
      <w:bookmarkStart w:id="94" w:name="_Toc352700417"/>
      <w:r>
        <w:rPr>
          <w:rFonts w:hint="eastAsia" w:ascii="Times New Roman" w:hAnsi="Times New Roman" w:eastAsia="宋体" w:cs="Times New Roman"/>
          <w:b/>
          <w:bCs/>
          <w:color w:val="auto"/>
          <w:szCs w:val="24"/>
          <w:highlight w:val="none"/>
        </w:rPr>
        <w:t>（一）招标文件的组成</w:t>
      </w:r>
      <w:bookmarkEnd w:id="93"/>
      <w:bookmarkEnd w:id="94"/>
    </w:p>
    <w:p>
      <w:pPr>
        <w:snapToGrid w:val="0"/>
        <w:spacing w:line="400" w:lineRule="exact"/>
        <w:ind w:firstLine="420" w:firstLineChars="200"/>
        <w:rPr>
          <w:rFonts w:hint="eastAsia" w:ascii="宋体" w:hAnsi="宋体" w:eastAsia="宋体" w:cs="Courier New"/>
          <w:color w:val="auto"/>
          <w:szCs w:val="21"/>
          <w:highlight w:val="none"/>
        </w:rPr>
      </w:pPr>
      <w:r>
        <w:rPr>
          <w:rFonts w:hint="eastAsia" w:ascii="宋体" w:hAnsi="宋体" w:eastAsia="宋体" w:cs="Courier New"/>
          <w:color w:val="auto"/>
          <w:szCs w:val="21"/>
          <w:highlight w:val="none"/>
        </w:rPr>
        <w:t>第一章 招标公告</w:t>
      </w:r>
    </w:p>
    <w:p>
      <w:pPr>
        <w:snapToGrid w:val="0"/>
        <w:spacing w:line="400" w:lineRule="exact"/>
        <w:ind w:firstLine="420" w:firstLineChars="200"/>
        <w:rPr>
          <w:rFonts w:hint="eastAsia" w:ascii="宋体" w:hAnsi="宋体" w:eastAsia="宋体" w:cs="Courier New"/>
          <w:color w:val="auto"/>
          <w:szCs w:val="21"/>
          <w:highlight w:val="none"/>
        </w:rPr>
      </w:pPr>
      <w:r>
        <w:rPr>
          <w:rFonts w:hint="eastAsia" w:ascii="宋体" w:hAnsi="宋体" w:eastAsia="宋体" w:cs="Courier New"/>
          <w:color w:val="auto"/>
          <w:szCs w:val="21"/>
          <w:highlight w:val="none"/>
        </w:rPr>
        <w:t>第二章 项目需求</w:t>
      </w:r>
    </w:p>
    <w:p>
      <w:pPr>
        <w:snapToGrid w:val="0"/>
        <w:spacing w:line="400" w:lineRule="exact"/>
        <w:ind w:firstLine="420" w:firstLineChars="200"/>
        <w:rPr>
          <w:rFonts w:hint="eastAsia" w:ascii="宋体" w:hAnsi="宋体" w:eastAsia="宋体" w:cs="Courier New"/>
          <w:color w:val="auto"/>
          <w:szCs w:val="21"/>
          <w:highlight w:val="none"/>
        </w:rPr>
      </w:pPr>
      <w:r>
        <w:rPr>
          <w:rFonts w:hint="eastAsia" w:ascii="宋体" w:hAnsi="宋体" w:eastAsia="宋体" w:cs="Courier New"/>
          <w:color w:val="auto"/>
          <w:szCs w:val="21"/>
          <w:highlight w:val="none"/>
        </w:rPr>
        <w:t>第三章 投标人须知及前附表</w:t>
      </w:r>
    </w:p>
    <w:p>
      <w:pPr>
        <w:snapToGrid w:val="0"/>
        <w:spacing w:line="400" w:lineRule="exact"/>
        <w:ind w:firstLine="420" w:firstLineChars="200"/>
        <w:rPr>
          <w:rFonts w:hint="eastAsia" w:ascii="宋体" w:hAnsi="宋体" w:eastAsia="宋体" w:cs="Courier New"/>
          <w:color w:val="auto"/>
          <w:szCs w:val="21"/>
          <w:highlight w:val="none"/>
        </w:rPr>
      </w:pPr>
      <w:r>
        <w:rPr>
          <w:rFonts w:hint="eastAsia" w:ascii="宋体" w:hAnsi="宋体" w:eastAsia="宋体" w:cs="Courier New"/>
          <w:color w:val="auto"/>
          <w:szCs w:val="21"/>
          <w:highlight w:val="none"/>
        </w:rPr>
        <w:t>第四章 评定标准及推荐原则</w:t>
      </w:r>
    </w:p>
    <w:p>
      <w:pPr>
        <w:snapToGrid w:val="0"/>
        <w:spacing w:line="400" w:lineRule="exact"/>
        <w:ind w:firstLine="420" w:firstLineChars="200"/>
        <w:rPr>
          <w:rFonts w:hint="eastAsia" w:ascii="宋体" w:hAnsi="宋体" w:eastAsia="宋体" w:cs="Courier New"/>
          <w:color w:val="auto"/>
          <w:szCs w:val="21"/>
          <w:highlight w:val="none"/>
        </w:rPr>
      </w:pPr>
      <w:r>
        <w:rPr>
          <w:rFonts w:hint="eastAsia" w:ascii="宋体" w:hAnsi="宋体" w:eastAsia="宋体" w:cs="Courier New"/>
          <w:color w:val="auto"/>
          <w:szCs w:val="21"/>
          <w:highlight w:val="none"/>
        </w:rPr>
        <w:t>第五章 政府采购合同主要条款</w:t>
      </w:r>
    </w:p>
    <w:p>
      <w:pPr>
        <w:snapToGrid w:val="0"/>
        <w:spacing w:line="400" w:lineRule="exact"/>
        <w:ind w:firstLine="420" w:firstLineChars="200"/>
        <w:rPr>
          <w:rFonts w:hint="eastAsia" w:ascii="宋体" w:hAnsi="宋体" w:eastAsia="宋体" w:cs="Courier New"/>
          <w:color w:val="auto"/>
          <w:szCs w:val="21"/>
          <w:highlight w:val="none"/>
        </w:rPr>
      </w:pPr>
      <w:r>
        <w:rPr>
          <w:rFonts w:hint="eastAsia" w:ascii="宋体" w:hAnsi="宋体" w:eastAsia="宋体" w:cs="Courier New"/>
          <w:color w:val="auto"/>
          <w:szCs w:val="21"/>
          <w:highlight w:val="none"/>
        </w:rPr>
        <w:t>第六章 投标文件格式</w:t>
      </w:r>
    </w:p>
    <w:p>
      <w:pPr>
        <w:spacing w:line="400" w:lineRule="exact"/>
        <w:ind w:firstLine="211" w:firstLineChars="100"/>
        <w:rPr>
          <w:rFonts w:ascii="Times New Roman" w:hAnsi="Times New Roman" w:eastAsia="宋体" w:cs="Times New Roman"/>
          <w:b/>
          <w:bCs/>
          <w:color w:val="auto"/>
          <w:szCs w:val="24"/>
          <w:highlight w:val="none"/>
        </w:rPr>
      </w:pPr>
      <w:bookmarkStart w:id="95" w:name="_Toc352700419"/>
      <w:bookmarkStart w:id="96" w:name="_Toc353785289"/>
      <w:r>
        <w:rPr>
          <w:rFonts w:hint="eastAsia" w:ascii="Times New Roman" w:hAnsi="Times New Roman" w:eastAsia="宋体" w:cs="Times New Roman"/>
          <w:b/>
          <w:bCs/>
          <w:color w:val="auto"/>
          <w:szCs w:val="24"/>
          <w:highlight w:val="none"/>
        </w:rPr>
        <w:t>（二）招标文件的澄清与修改</w:t>
      </w:r>
      <w:bookmarkEnd w:id="95"/>
      <w:bookmarkEnd w:id="96"/>
    </w:p>
    <w:p>
      <w:pPr>
        <w:snapToGrid w:val="0"/>
        <w:spacing w:line="400" w:lineRule="exact"/>
        <w:ind w:firstLine="420" w:firstLineChars="200"/>
        <w:jc w:val="left"/>
        <w:rPr>
          <w:rFonts w:ascii="宋体" w:hAnsi="Courier New" w:eastAsia="宋体" w:cs="Courier New"/>
          <w:color w:val="auto"/>
          <w:szCs w:val="21"/>
          <w:highlight w:val="none"/>
        </w:rPr>
      </w:pPr>
      <w:r>
        <w:rPr>
          <w:rFonts w:hint="eastAsia" w:ascii="宋体" w:hAnsi="宋体" w:eastAsia="宋体" w:cs="Courier New"/>
          <w:color w:val="auto"/>
          <w:szCs w:val="21"/>
          <w:highlight w:val="none"/>
        </w:rPr>
        <w:t>1.</w:t>
      </w:r>
      <w:r>
        <w:rPr>
          <w:rFonts w:hint="eastAsia" w:ascii="宋体" w:hAnsi="Courier New" w:eastAsia="宋体" w:cs="Courier New"/>
          <w:color w:val="auto"/>
          <w:szCs w:val="21"/>
          <w:highlight w:val="none"/>
        </w:rPr>
        <w:t>采购人或者本中心可以对已发出的招标文件进行必要的</w:t>
      </w:r>
      <w:bookmarkStart w:id="97" w:name="_Hlk92287343"/>
      <w:r>
        <w:rPr>
          <w:rFonts w:hint="eastAsia" w:ascii="宋体" w:hAnsi="Courier New" w:eastAsia="宋体" w:cs="Courier New"/>
          <w:color w:val="auto"/>
          <w:szCs w:val="21"/>
          <w:highlight w:val="none"/>
        </w:rPr>
        <w:t>澄清或者修改</w:t>
      </w:r>
      <w:bookmarkEnd w:id="97"/>
      <w:r>
        <w:rPr>
          <w:rFonts w:hint="eastAsia" w:ascii="宋体" w:hAnsi="Courier New" w:eastAsia="宋体" w:cs="Courier New"/>
          <w:color w:val="auto"/>
          <w:szCs w:val="21"/>
          <w:highlight w:val="none"/>
        </w:rPr>
        <w:t>，但不得改变采购标的和资格条件。澄清或者修改应当在原公告发布媒体上发布澄清公告。澄清或者修改的内容为招标文件的组成部分。</w:t>
      </w:r>
    </w:p>
    <w:p>
      <w:pPr>
        <w:snapToGrid w:val="0"/>
        <w:spacing w:line="400" w:lineRule="exact"/>
        <w:ind w:firstLine="420" w:firstLineChars="200"/>
        <w:jc w:val="left"/>
        <w:rPr>
          <w:rFonts w:hint="eastAsia" w:ascii="宋体" w:hAnsi="宋体" w:eastAsia="宋体" w:cs="Courier New"/>
          <w:color w:val="auto"/>
          <w:szCs w:val="21"/>
          <w:highlight w:val="none"/>
        </w:rPr>
      </w:pPr>
      <w:r>
        <w:rPr>
          <w:rFonts w:hint="eastAsia" w:ascii="宋体" w:hAnsi="宋体" w:eastAsia="宋体" w:cs="Courier New"/>
          <w:color w:val="auto"/>
          <w:szCs w:val="21"/>
          <w:highlight w:val="none"/>
        </w:rPr>
        <w:t>2.澄清或者修改的内容可能影响投标文件编制的，采购人或者采购代理机构应当在投标截止时间至少15日前，以书面形式通知所有依法获取招标文件的潜在投标人；不足15日的，采购人或者采购代理机构应当顺延提交投标文件的截止时间。</w:t>
      </w:r>
    </w:p>
    <w:p>
      <w:pPr>
        <w:snapToGrid w:val="0"/>
        <w:spacing w:line="400" w:lineRule="exact"/>
        <w:ind w:firstLine="420" w:firstLineChars="200"/>
        <w:jc w:val="left"/>
        <w:rPr>
          <w:rFonts w:ascii="Arial" w:hAnsi="Arial" w:eastAsia="宋体" w:cs="Arial"/>
          <w:color w:val="auto"/>
          <w:szCs w:val="21"/>
          <w:highlight w:val="none"/>
        </w:rPr>
      </w:pPr>
      <w:bookmarkStart w:id="98" w:name="_Hlk92446337"/>
      <w:r>
        <w:rPr>
          <w:rFonts w:hint="eastAsia" w:ascii="宋体" w:hAnsi="宋体" w:eastAsia="宋体" w:cs="Courier New"/>
          <w:color w:val="auto"/>
          <w:szCs w:val="21"/>
          <w:highlight w:val="none"/>
        </w:rPr>
        <w:t>3.</w:t>
      </w:r>
      <w:r>
        <w:rPr>
          <w:rFonts w:hint="eastAsia" w:ascii="Arial" w:hAnsi="Arial" w:eastAsia="宋体" w:cs="Arial"/>
          <w:color w:val="auto"/>
          <w:szCs w:val="21"/>
          <w:highlight w:val="none"/>
        </w:rPr>
        <w:t>提供期限届满后，获取招标文件的潜在投标人不足</w:t>
      </w:r>
      <w:r>
        <w:rPr>
          <w:rFonts w:ascii="Arial" w:hAnsi="Arial" w:eastAsia="宋体" w:cs="Arial"/>
          <w:color w:val="auto"/>
          <w:szCs w:val="21"/>
          <w:highlight w:val="none"/>
        </w:rPr>
        <w:t>3</w:t>
      </w:r>
      <w:r>
        <w:rPr>
          <w:rFonts w:hint="eastAsia" w:ascii="Arial" w:hAnsi="Arial" w:eastAsia="宋体" w:cs="Arial"/>
          <w:color w:val="auto"/>
          <w:szCs w:val="21"/>
          <w:highlight w:val="none"/>
        </w:rPr>
        <w:t>家的，本中心可以顺延提供期限，并予公告。</w:t>
      </w:r>
    </w:p>
    <w:bookmarkEnd w:id="98"/>
    <w:p>
      <w:pPr>
        <w:keepNext/>
        <w:keepLines/>
        <w:spacing w:line="400" w:lineRule="exact"/>
        <w:outlineLvl w:val="1"/>
        <w:rPr>
          <w:rFonts w:ascii="方正小标宋_GBK" w:hAnsi="Arial" w:eastAsia="方正小标宋_GBK" w:cs="Times New Roman"/>
          <w:bCs/>
          <w:color w:val="auto"/>
          <w:sz w:val="24"/>
          <w:szCs w:val="24"/>
          <w:highlight w:val="none"/>
        </w:rPr>
      </w:pPr>
      <w:bookmarkStart w:id="99" w:name="_三、投标文件"/>
      <w:bookmarkEnd w:id="99"/>
      <w:bookmarkStart w:id="100" w:name="_Toc254970535"/>
      <w:bookmarkStart w:id="101" w:name="_Toc353785290"/>
      <w:bookmarkStart w:id="102" w:name="_Toc352700420"/>
      <w:bookmarkStart w:id="103" w:name="_Toc254970676"/>
      <w:r>
        <w:rPr>
          <w:rFonts w:hint="eastAsia" w:ascii="方正小标宋_GBK" w:hAnsi="Arial" w:eastAsia="方正小标宋_GBK" w:cs="Times New Roman"/>
          <w:bCs/>
          <w:color w:val="auto"/>
          <w:sz w:val="24"/>
          <w:szCs w:val="24"/>
          <w:highlight w:val="none"/>
        </w:rPr>
        <w:t>三、</w:t>
      </w:r>
      <w:bookmarkStart w:id="104" w:name="_Hlk92446512"/>
      <w:r>
        <w:rPr>
          <w:rFonts w:hint="eastAsia" w:ascii="方正小标宋_GBK" w:hAnsi="Arial" w:eastAsia="方正小标宋_GBK" w:cs="Times New Roman"/>
          <w:bCs/>
          <w:color w:val="auto"/>
          <w:sz w:val="24"/>
          <w:szCs w:val="24"/>
          <w:highlight w:val="none"/>
        </w:rPr>
        <w:t>投标文件</w:t>
      </w:r>
      <w:bookmarkEnd w:id="100"/>
      <w:bookmarkEnd w:id="101"/>
      <w:bookmarkEnd w:id="102"/>
      <w:bookmarkEnd w:id="103"/>
    </w:p>
    <w:p>
      <w:pPr>
        <w:spacing w:line="400" w:lineRule="exact"/>
        <w:ind w:firstLine="211" w:firstLineChars="100"/>
        <w:rPr>
          <w:rFonts w:hint="eastAsia" w:ascii="Times New Roman" w:hAnsi="宋体" w:eastAsia="宋体" w:cs="Times New Roman"/>
          <w:b/>
          <w:bCs/>
          <w:color w:val="auto"/>
          <w:szCs w:val="24"/>
          <w:highlight w:val="none"/>
        </w:rPr>
      </w:pPr>
      <w:bookmarkStart w:id="105" w:name="_Toc353785291"/>
      <w:bookmarkStart w:id="106" w:name="_Toc352700421"/>
      <w:bookmarkStart w:id="107" w:name="_Toc254970677"/>
      <w:bookmarkStart w:id="108" w:name="_Toc254970536"/>
      <w:r>
        <w:rPr>
          <w:rFonts w:hint="eastAsia" w:ascii="Times New Roman" w:hAnsi="宋体" w:eastAsia="宋体" w:cs="Times New Roman"/>
          <w:b/>
          <w:bCs/>
          <w:color w:val="auto"/>
          <w:szCs w:val="24"/>
          <w:highlight w:val="none"/>
        </w:rPr>
        <w:t>（一）投标人的风险</w:t>
      </w:r>
    </w:p>
    <w:p>
      <w:pPr>
        <w:spacing w:line="400" w:lineRule="exact"/>
        <w:ind w:firstLine="420" w:firstLineChars="200"/>
        <w:rPr>
          <w:rFonts w:hint="eastAsia" w:ascii="Times New Roman" w:hAnsi="宋体" w:eastAsia="宋体" w:cs="Times New Roman"/>
          <w:color w:val="auto"/>
          <w:szCs w:val="24"/>
          <w:highlight w:val="none"/>
        </w:rPr>
      </w:pPr>
      <w:r>
        <w:rPr>
          <w:rFonts w:ascii="Times New Roman" w:hAnsi="宋体" w:eastAsia="宋体" w:cs="Times New Roman"/>
          <w:color w:val="auto"/>
          <w:szCs w:val="24"/>
          <w:highlight w:val="none"/>
        </w:rPr>
        <w:t>1.</w:t>
      </w:r>
      <w:r>
        <w:rPr>
          <w:rFonts w:hint="eastAsia" w:ascii="Times New Roman" w:hAnsi="宋体" w:eastAsia="宋体" w:cs="Times New Roman"/>
          <w:color w:val="auto"/>
          <w:szCs w:val="24"/>
          <w:highlight w:val="none"/>
        </w:rPr>
        <w:t>投标人应仔细阅读招标文件的全部内容，按照招标文件的要求提交投标文件，并对所提供的全部资料的真实性承担法律责任。</w:t>
      </w:r>
    </w:p>
    <w:p>
      <w:pPr>
        <w:spacing w:line="400" w:lineRule="exact"/>
        <w:ind w:firstLine="420" w:firstLineChars="200"/>
        <w:rPr>
          <w:rFonts w:hint="eastAsia" w:ascii="Times New Roman" w:hAnsi="宋体" w:eastAsia="宋体" w:cs="Times New Roman"/>
          <w:color w:val="auto"/>
          <w:szCs w:val="24"/>
          <w:highlight w:val="none"/>
        </w:rPr>
      </w:pPr>
      <w:r>
        <w:rPr>
          <w:rFonts w:ascii="Times New Roman" w:hAnsi="宋体" w:eastAsia="宋体" w:cs="Times New Roman"/>
          <w:color w:val="auto"/>
          <w:szCs w:val="24"/>
          <w:highlight w:val="none"/>
        </w:rPr>
        <w:t>2.</w:t>
      </w:r>
      <w:r>
        <w:rPr>
          <w:rFonts w:hint="eastAsia" w:ascii="Times New Roman" w:hAnsi="宋体" w:eastAsia="宋体" w:cs="Times New Roman"/>
          <w:color w:val="auto"/>
          <w:szCs w:val="24"/>
          <w:highlight w:val="none"/>
        </w:rPr>
        <w:t>投标人在投标活动中提供任何虚假材料的，评标委员会将报财政部门查处。</w:t>
      </w:r>
    </w:p>
    <w:bookmarkEnd w:id="104"/>
    <w:p>
      <w:pPr>
        <w:snapToGrid w:val="0"/>
        <w:spacing w:line="400" w:lineRule="exact"/>
        <w:ind w:firstLine="211" w:firstLineChars="100"/>
        <w:rPr>
          <w:rFonts w:hint="eastAsia" w:ascii="宋体" w:hAnsi="宋体" w:eastAsia="宋体" w:cs="Times New Roman"/>
          <w:b/>
          <w:color w:val="auto"/>
          <w:szCs w:val="21"/>
          <w:highlight w:val="none"/>
        </w:rPr>
      </w:pPr>
      <w:bookmarkStart w:id="109" w:name="_Hlk92446638"/>
      <w:r>
        <w:rPr>
          <w:rFonts w:hint="eastAsia" w:ascii="Times New Roman" w:hAnsi="宋体" w:eastAsia="宋体" w:cs="Times New Roman"/>
          <w:b/>
          <w:bCs/>
          <w:color w:val="auto"/>
          <w:szCs w:val="24"/>
          <w:highlight w:val="none"/>
        </w:rPr>
        <w:t>（二）</w:t>
      </w:r>
      <w:r>
        <w:rPr>
          <w:rFonts w:hint="eastAsia" w:ascii="宋体" w:hAnsi="宋体" w:eastAsia="宋体" w:cs="Times New Roman"/>
          <w:b/>
          <w:color w:val="auto"/>
          <w:szCs w:val="21"/>
          <w:highlight w:val="none"/>
        </w:rPr>
        <w:t>投标文件的组成</w:t>
      </w:r>
    </w:p>
    <w:p>
      <w:pPr>
        <w:snapToGrid w:val="0"/>
        <w:spacing w:line="400" w:lineRule="exact"/>
        <w:ind w:firstLine="422" w:firstLineChars="200"/>
        <w:rPr>
          <w:rFonts w:hint="eastAsia" w:ascii="宋体" w:hAnsi="宋体" w:eastAsia="宋体" w:cs="Times New Roman"/>
          <w:b/>
          <w:color w:val="auto"/>
          <w:szCs w:val="21"/>
          <w:highlight w:val="none"/>
        </w:rPr>
      </w:pPr>
      <w:bookmarkStart w:id="110" w:name="_Hlk92285760"/>
      <w:r>
        <w:rPr>
          <w:rFonts w:hint="eastAsia" w:ascii="宋体" w:hAnsi="宋体" w:eastAsia="宋体" w:cs="Times New Roman"/>
          <w:b/>
          <w:color w:val="auto"/>
          <w:szCs w:val="21"/>
          <w:highlight w:val="none"/>
        </w:rPr>
        <w:t>1.资格文件：</w:t>
      </w:r>
    </w:p>
    <w:p>
      <w:pPr>
        <w:tabs>
          <w:tab w:val="left" w:pos="3870"/>
          <w:tab w:val="left" w:pos="4085"/>
        </w:tabs>
        <w:snapToGrid w:val="0"/>
        <w:spacing w:line="400" w:lineRule="exact"/>
        <w:ind w:firstLine="420" w:firstLineChars="200"/>
        <w:rPr>
          <w:rFonts w:hint="eastAsia" w:ascii="宋体" w:hAnsi="宋体" w:eastAsia="宋体" w:cs="Times New Roman"/>
          <w:color w:val="auto"/>
          <w:szCs w:val="21"/>
          <w:highlight w:val="none"/>
        </w:rPr>
      </w:pPr>
      <w:r>
        <w:rPr>
          <w:rFonts w:hint="eastAsia" w:ascii="宋体" w:hAnsi="宋体" w:eastAsia="宋体" w:cs="宋体"/>
          <w:bCs/>
          <w:color w:val="auto"/>
          <w:kern w:val="0"/>
          <w:szCs w:val="21"/>
          <w:highlight w:val="none"/>
        </w:rPr>
        <w:t>★</w:t>
      </w:r>
      <w:bookmarkStart w:id="111" w:name="_Hlk90369149"/>
      <w:r>
        <w:rPr>
          <w:rFonts w:hint="eastAsia" w:ascii="宋体" w:hAnsi="宋体" w:eastAsia="宋体" w:cs="Times New Roman"/>
          <w:color w:val="auto"/>
          <w:szCs w:val="21"/>
          <w:highlight w:val="none"/>
        </w:rPr>
        <w:t>(1)法人或者其他组织的营业执照等证明文件</w:t>
      </w:r>
    </w:p>
    <w:bookmarkEnd w:id="111"/>
    <w:p>
      <w:pPr>
        <w:tabs>
          <w:tab w:val="left" w:pos="3870"/>
          <w:tab w:val="left" w:pos="4085"/>
        </w:tabs>
        <w:snapToGrid w:val="0"/>
        <w:spacing w:line="400" w:lineRule="exact"/>
        <w:ind w:firstLine="420" w:firstLineChars="200"/>
        <w:rPr>
          <w:rFonts w:hint="eastAsia" w:ascii="Times New Roman" w:hAnsi="宋体" w:eastAsia="宋体" w:cs="Times New Roman"/>
          <w:color w:val="auto"/>
          <w:szCs w:val="24"/>
          <w:highlight w:val="none"/>
        </w:rPr>
      </w:pPr>
      <w:r>
        <w:rPr>
          <w:rFonts w:hint="eastAsia" w:ascii="宋体" w:hAnsi="宋体" w:eastAsia="宋体" w:cs="宋体"/>
          <w:bCs/>
          <w:color w:val="auto"/>
          <w:kern w:val="0"/>
          <w:szCs w:val="21"/>
          <w:highlight w:val="none"/>
        </w:rPr>
        <w:t>★(2)</w:t>
      </w:r>
      <w:bookmarkStart w:id="112" w:name="_Hlk154044758"/>
      <w:r>
        <w:rPr>
          <w:rFonts w:hint="eastAsia" w:ascii="宋体" w:hAnsi="宋体" w:eastAsia="宋体" w:cs="Times New Roman"/>
          <w:color w:val="auto"/>
          <w:szCs w:val="21"/>
          <w:highlight w:val="none"/>
        </w:rPr>
        <w:t>投标人具备参加政府采购活动条件的承诺书</w:t>
      </w:r>
      <w:r>
        <w:rPr>
          <w:rFonts w:hint="eastAsia" w:ascii="宋体" w:hAnsi="宋体" w:eastAsia="宋体" w:cs="宋体"/>
          <w:color w:val="auto"/>
          <w:szCs w:val="21"/>
          <w:highlight w:val="none"/>
        </w:rPr>
        <w:t>(格式见第六章）</w:t>
      </w:r>
      <w:bookmarkEnd w:id="112"/>
    </w:p>
    <w:p>
      <w:pPr>
        <w:tabs>
          <w:tab w:val="left" w:pos="3870"/>
          <w:tab w:val="left" w:pos="4085"/>
        </w:tabs>
        <w:snapToGrid w:val="0"/>
        <w:spacing w:line="400" w:lineRule="exact"/>
        <w:ind w:firstLine="420" w:firstLineChars="200"/>
        <w:rPr>
          <w:rFonts w:hint="eastAsia" w:ascii="Times New Roman" w:hAnsi="宋体" w:eastAsia="宋体" w:cs="Times New Roman"/>
          <w:color w:val="auto"/>
          <w:szCs w:val="24"/>
          <w:highlight w:val="none"/>
        </w:rPr>
      </w:pPr>
      <w:r>
        <w:rPr>
          <w:rFonts w:hint="eastAsia" w:ascii="宋体" w:hAnsi="宋体" w:eastAsia="宋体" w:cs="宋体"/>
          <w:bCs/>
          <w:color w:val="auto"/>
          <w:kern w:val="0"/>
          <w:szCs w:val="21"/>
          <w:highlight w:val="none"/>
        </w:rPr>
        <w:t>★(3)</w:t>
      </w:r>
      <w:r>
        <w:rPr>
          <w:rFonts w:hint="eastAsia" w:ascii="Times New Roman" w:hAnsi="宋体" w:eastAsia="宋体" w:cs="Times New Roman"/>
          <w:color w:val="auto"/>
          <w:szCs w:val="24"/>
          <w:highlight w:val="none"/>
        </w:rPr>
        <w:t>参加政府采购活动前</w:t>
      </w:r>
      <w:r>
        <w:rPr>
          <w:rFonts w:ascii="Times New Roman" w:hAnsi="宋体" w:eastAsia="宋体" w:cs="Times New Roman"/>
          <w:color w:val="auto"/>
          <w:szCs w:val="24"/>
          <w:highlight w:val="none"/>
        </w:rPr>
        <w:t>3</w:t>
      </w:r>
      <w:r>
        <w:rPr>
          <w:rFonts w:hint="eastAsia" w:ascii="Times New Roman" w:hAnsi="宋体" w:eastAsia="宋体" w:cs="Times New Roman"/>
          <w:color w:val="auto"/>
          <w:szCs w:val="24"/>
          <w:highlight w:val="none"/>
        </w:rPr>
        <w:t>年内在经营活动中没有重大违法记录的书面声明</w:t>
      </w:r>
      <w:r>
        <w:rPr>
          <w:rFonts w:ascii="Times New Roman" w:hAnsi="宋体" w:eastAsia="宋体" w:cs="Times New Roman"/>
          <w:color w:val="auto"/>
          <w:szCs w:val="24"/>
          <w:highlight w:val="none"/>
        </w:rPr>
        <w:t>(</w:t>
      </w:r>
      <w:r>
        <w:rPr>
          <w:rFonts w:hint="eastAsia" w:ascii="Times New Roman" w:hAnsi="宋体" w:eastAsia="宋体" w:cs="Times New Roman"/>
          <w:color w:val="auto"/>
          <w:szCs w:val="24"/>
          <w:highlight w:val="none"/>
        </w:rPr>
        <w:t>格式见第六章</w:t>
      </w:r>
      <w:r>
        <w:rPr>
          <w:rFonts w:ascii="Times New Roman" w:hAnsi="宋体" w:eastAsia="宋体" w:cs="Times New Roman"/>
          <w:color w:val="auto"/>
          <w:szCs w:val="24"/>
          <w:highlight w:val="none"/>
        </w:rPr>
        <w:t>)</w:t>
      </w:r>
    </w:p>
    <w:p>
      <w:pPr>
        <w:tabs>
          <w:tab w:val="left" w:pos="3870"/>
          <w:tab w:val="left" w:pos="4085"/>
        </w:tabs>
        <w:snapToGrid w:val="0"/>
        <w:spacing w:line="460" w:lineRule="exact"/>
        <w:ind w:firstLine="420" w:firstLineChars="20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★(4)《中小企业声明函》(格式见第六章)</w:t>
      </w:r>
    </w:p>
    <w:p>
      <w:pPr>
        <w:snapToGrid w:val="0"/>
        <w:spacing w:line="400" w:lineRule="exact"/>
        <w:ind w:firstLine="422" w:firstLineChars="200"/>
        <w:rPr>
          <w:rFonts w:hint="eastAsia" w:ascii="宋体" w:hAnsi="宋体" w:eastAsia="宋体" w:cs="Times New Roman"/>
          <w:color w:val="auto"/>
          <w:szCs w:val="21"/>
          <w:highlight w:val="none"/>
        </w:rPr>
      </w:pPr>
      <w:r>
        <w:rPr>
          <w:rFonts w:hint="eastAsia" w:ascii="宋体" w:hAnsi="宋体" w:eastAsia="宋体" w:cs="Times New Roman"/>
          <w:b/>
          <w:color w:val="auto"/>
          <w:szCs w:val="21"/>
          <w:highlight w:val="none"/>
        </w:rPr>
        <w:t>2.商务技术文件：</w:t>
      </w:r>
    </w:p>
    <w:p>
      <w:pPr>
        <w:tabs>
          <w:tab w:val="left" w:pos="3870"/>
          <w:tab w:val="left" w:pos="4085"/>
        </w:tabs>
        <w:snapToGrid w:val="0"/>
        <w:spacing w:line="400" w:lineRule="exact"/>
        <w:ind w:firstLine="420" w:firstLineChars="200"/>
        <w:rPr>
          <w:rFonts w:hint="eastAsia" w:ascii="宋体" w:hAnsi="宋体" w:eastAsia="宋体" w:cs="Times New Roman"/>
          <w:color w:val="auto"/>
          <w:szCs w:val="21"/>
          <w:highlight w:val="none"/>
        </w:rPr>
      </w:pPr>
      <w:r>
        <w:rPr>
          <w:rFonts w:hint="eastAsia" w:ascii="宋体" w:hAnsi="宋体" w:eastAsia="宋体" w:cs="宋体"/>
          <w:bCs/>
          <w:color w:val="auto"/>
          <w:kern w:val="0"/>
          <w:szCs w:val="21"/>
          <w:highlight w:val="none"/>
        </w:rPr>
        <w:t>★</w:t>
      </w:r>
      <w:r>
        <w:rPr>
          <w:rFonts w:hint="eastAsia" w:ascii="宋体" w:hAnsi="宋体" w:eastAsia="宋体" w:cs="Times New Roman"/>
          <w:color w:val="auto"/>
          <w:szCs w:val="21"/>
          <w:highlight w:val="none"/>
        </w:rPr>
        <w:t>(</w:t>
      </w:r>
      <w:r>
        <w:rPr>
          <w:rFonts w:hint="eastAsia" w:ascii="宋体" w:hAnsi="宋体" w:eastAsia="宋体" w:cs="Times New Roman"/>
          <w:color w:val="auto"/>
          <w:szCs w:val="21"/>
          <w:highlight w:val="none"/>
          <w:lang w:val="en-US" w:eastAsia="zh-CN"/>
        </w:rPr>
        <w:t>1</w:t>
      </w:r>
      <w:r>
        <w:rPr>
          <w:rFonts w:hint="eastAsia" w:ascii="宋体" w:hAnsi="宋体" w:eastAsia="宋体" w:cs="Times New Roman"/>
          <w:color w:val="auto"/>
          <w:szCs w:val="21"/>
          <w:highlight w:val="none"/>
        </w:rPr>
        <w:t>)投标函（格式见第六章）</w:t>
      </w:r>
    </w:p>
    <w:p>
      <w:pPr>
        <w:tabs>
          <w:tab w:val="left" w:pos="3870"/>
          <w:tab w:val="left" w:pos="4085"/>
        </w:tabs>
        <w:snapToGrid w:val="0"/>
        <w:spacing w:line="400" w:lineRule="exact"/>
        <w:ind w:firstLine="420" w:firstLineChars="200"/>
        <w:rPr>
          <w:rFonts w:hint="eastAsia" w:ascii="宋体" w:hAnsi="宋体" w:eastAsia="宋体" w:cs="Times New Roman"/>
          <w:color w:val="auto"/>
          <w:szCs w:val="21"/>
          <w:highlight w:val="none"/>
        </w:rPr>
      </w:pPr>
      <w:r>
        <w:rPr>
          <w:rFonts w:hint="eastAsia" w:ascii="宋体" w:hAnsi="宋体" w:eastAsia="宋体" w:cs="宋体"/>
          <w:bCs/>
          <w:color w:val="auto"/>
          <w:kern w:val="0"/>
          <w:szCs w:val="21"/>
          <w:highlight w:val="none"/>
        </w:rPr>
        <w:t>★</w:t>
      </w:r>
      <w:r>
        <w:rPr>
          <w:rFonts w:hint="eastAsia" w:ascii="宋体" w:hAnsi="宋体" w:eastAsia="宋体" w:cs="Times New Roman"/>
          <w:color w:val="auto"/>
          <w:szCs w:val="21"/>
          <w:highlight w:val="none"/>
        </w:rPr>
        <w:t>(</w:t>
      </w:r>
      <w:r>
        <w:rPr>
          <w:rFonts w:hint="eastAsia" w:ascii="宋体" w:hAnsi="宋体" w:eastAsia="宋体" w:cs="Times New Roman"/>
          <w:color w:val="auto"/>
          <w:szCs w:val="21"/>
          <w:highlight w:val="none"/>
          <w:lang w:val="en-US" w:eastAsia="zh-CN"/>
        </w:rPr>
        <w:t>2</w:t>
      </w:r>
      <w:r>
        <w:rPr>
          <w:rFonts w:hint="eastAsia" w:ascii="宋体" w:hAnsi="宋体" w:eastAsia="宋体" w:cs="Times New Roman"/>
          <w:color w:val="auto"/>
          <w:szCs w:val="21"/>
          <w:highlight w:val="none"/>
        </w:rPr>
        <w:t>)法定代表人身份证</w:t>
      </w:r>
    </w:p>
    <w:p>
      <w:pPr>
        <w:snapToGrid w:val="0"/>
        <w:spacing w:line="400" w:lineRule="exact"/>
        <w:ind w:firstLine="417" w:firstLineChars="199"/>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w:t>
      </w:r>
      <w:r>
        <w:rPr>
          <w:rFonts w:hint="eastAsia" w:ascii="宋体" w:hAnsi="宋体" w:eastAsia="宋体" w:cs="Times New Roman"/>
          <w:color w:val="auto"/>
          <w:szCs w:val="21"/>
          <w:highlight w:val="none"/>
          <w:lang w:val="en-US" w:eastAsia="zh-CN"/>
        </w:rPr>
        <w:t>3</w:t>
      </w:r>
      <w:r>
        <w:rPr>
          <w:rFonts w:hint="eastAsia" w:ascii="宋体" w:hAnsi="宋体" w:eastAsia="宋体" w:cs="Times New Roman"/>
          <w:color w:val="auto"/>
          <w:szCs w:val="21"/>
          <w:highlight w:val="none"/>
        </w:rPr>
        <w:t>)法定代表人授权委托书和代理人身份证（委托代理时必须提供，格式见第六章）</w:t>
      </w:r>
    </w:p>
    <w:p>
      <w:pPr>
        <w:snapToGrid w:val="0"/>
        <w:spacing w:line="400" w:lineRule="exact"/>
        <w:ind w:firstLine="420" w:firstLineChars="199"/>
        <w:rPr>
          <w:rFonts w:hint="eastAsia" w:ascii="宋体" w:hAnsi="宋体" w:eastAsia="宋体" w:cs="Times New Roman"/>
          <w:color w:val="auto"/>
          <w:szCs w:val="21"/>
          <w:highlight w:val="none"/>
        </w:rPr>
      </w:pPr>
      <w:r>
        <w:rPr>
          <w:rFonts w:hint="eastAsia" w:ascii="宋体" w:hAnsi="宋体" w:eastAsia="宋体" w:cs="Times New Roman"/>
          <w:b/>
          <w:color w:val="auto"/>
          <w:szCs w:val="21"/>
          <w:highlight w:val="none"/>
        </w:rPr>
        <w:t>★</w:t>
      </w:r>
      <w:r>
        <w:rPr>
          <w:rFonts w:hint="eastAsia" w:ascii="宋体" w:hAnsi="宋体" w:eastAsia="宋体" w:cs="Times New Roman"/>
          <w:color w:val="auto"/>
          <w:szCs w:val="21"/>
          <w:highlight w:val="none"/>
        </w:rPr>
        <w:t>(</w:t>
      </w:r>
      <w:r>
        <w:rPr>
          <w:rFonts w:hint="eastAsia" w:ascii="宋体" w:hAnsi="宋体" w:eastAsia="宋体" w:cs="Times New Roman"/>
          <w:color w:val="auto"/>
          <w:szCs w:val="21"/>
          <w:highlight w:val="none"/>
          <w:lang w:val="en-US" w:eastAsia="zh-CN"/>
        </w:rPr>
        <w:t>4</w:t>
      </w:r>
      <w:r>
        <w:rPr>
          <w:rFonts w:hint="eastAsia" w:ascii="宋体" w:hAnsi="宋体" w:eastAsia="宋体" w:cs="Times New Roman"/>
          <w:color w:val="auto"/>
          <w:szCs w:val="21"/>
          <w:highlight w:val="none"/>
        </w:rPr>
        <w:t>)</w:t>
      </w:r>
      <w:r>
        <w:rPr>
          <w:rFonts w:hint="eastAsia" w:ascii="宋体" w:hAnsi="宋体" w:eastAsia="宋体" w:cs="Times New Roman"/>
          <w:color w:val="auto"/>
          <w:szCs w:val="24"/>
          <w:highlight w:val="none"/>
        </w:rPr>
        <w:t>商务响应表(格式见第六章)</w:t>
      </w:r>
    </w:p>
    <w:p>
      <w:pPr>
        <w:snapToGrid w:val="0"/>
        <w:spacing w:line="400" w:lineRule="exact"/>
        <w:ind w:firstLine="420" w:firstLineChars="199"/>
        <w:rPr>
          <w:rFonts w:hint="eastAsia" w:ascii="宋体" w:hAnsi="宋体" w:eastAsia="宋体" w:cs="Times New Roman"/>
          <w:color w:val="auto"/>
          <w:szCs w:val="21"/>
          <w:highlight w:val="none"/>
        </w:rPr>
      </w:pPr>
      <w:r>
        <w:rPr>
          <w:rFonts w:hint="eastAsia" w:ascii="宋体" w:hAnsi="宋体" w:eastAsia="宋体" w:cs="Times New Roman"/>
          <w:b/>
          <w:color w:val="auto"/>
          <w:szCs w:val="21"/>
          <w:highlight w:val="none"/>
        </w:rPr>
        <w:t>★</w:t>
      </w:r>
      <w:r>
        <w:rPr>
          <w:rFonts w:hint="eastAsia" w:ascii="宋体" w:hAnsi="宋体" w:eastAsia="宋体" w:cs="Times New Roman"/>
          <w:color w:val="auto"/>
          <w:szCs w:val="24"/>
          <w:highlight w:val="none"/>
        </w:rPr>
        <w:t>(</w:t>
      </w:r>
      <w:r>
        <w:rPr>
          <w:rFonts w:hint="eastAsia" w:ascii="宋体" w:hAnsi="宋体" w:eastAsia="宋体" w:cs="Times New Roman"/>
          <w:color w:val="auto"/>
          <w:szCs w:val="24"/>
          <w:highlight w:val="none"/>
          <w:lang w:val="en-US" w:eastAsia="zh-CN"/>
        </w:rPr>
        <w:t>5</w:t>
      </w:r>
      <w:r>
        <w:rPr>
          <w:rFonts w:hint="eastAsia" w:ascii="宋体" w:hAnsi="宋体" w:eastAsia="宋体" w:cs="Times New Roman"/>
          <w:color w:val="auto"/>
          <w:szCs w:val="24"/>
          <w:highlight w:val="none"/>
        </w:rPr>
        <w:t>)</w:t>
      </w:r>
      <w:r>
        <w:rPr>
          <w:rFonts w:hint="eastAsia" w:ascii="宋体" w:hAnsi="宋体" w:eastAsia="宋体" w:cs="Times New Roman"/>
          <w:color w:val="auto"/>
          <w:szCs w:val="21"/>
          <w:highlight w:val="none"/>
        </w:rPr>
        <w:t>技术响应表</w:t>
      </w:r>
      <w:bookmarkStart w:id="113" w:name="_Hlk92285954"/>
      <w:r>
        <w:rPr>
          <w:rFonts w:hint="eastAsia" w:ascii="宋体" w:hAnsi="宋体" w:eastAsia="宋体" w:cs="Times New Roman"/>
          <w:color w:val="auto"/>
          <w:szCs w:val="24"/>
          <w:highlight w:val="none"/>
        </w:rPr>
        <w:t>(格式见第六章)</w:t>
      </w:r>
      <w:bookmarkEnd w:id="113"/>
    </w:p>
    <w:p>
      <w:pPr>
        <w:snapToGrid w:val="0"/>
        <w:spacing w:line="400" w:lineRule="exact"/>
        <w:ind w:firstLine="627" w:firstLineChars="299"/>
        <w:rPr>
          <w:rFonts w:hint="eastAsia" w:ascii="宋体" w:hAnsi="宋体" w:eastAsia="宋体" w:cs="Times New Roman"/>
          <w:color w:val="auto"/>
          <w:szCs w:val="24"/>
          <w:highlight w:val="none"/>
        </w:rPr>
      </w:pPr>
      <w:r>
        <w:rPr>
          <w:rFonts w:hint="eastAsia" w:ascii="宋体" w:hAnsi="宋体" w:eastAsia="宋体" w:cs="Times New Roman"/>
          <w:color w:val="auto"/>
          <w:szCs w:val="21"/>
          <w:highlight w:val="none"/>
        </w:rPr>
        <w:t>(</w:t>
      </w:r>
      <w:r>
        <w:rPr>
          <w:rFonts w:hint="eastAsia" w:ascii="宋体" w:hAnsi="宋体" w:eastAsia="宋体" w:cs="Times New Roman"/>
          <w:color w:val="auto"/>
          <w:szCs w:val="21"/>
          <w:highlight w:val="none"/>
          <w:lang w:val="en-US" w:eastAsia="zh-CN"/>
        </w:rPr>
        <w:t>6</w:t>
      </w:r>
      <w:r>
        <w:rPr>
          <w:rFonts w:hint="eastAsia" w:ascii="宋体" w:hAnsi="宋体" w:eastAsia="宋体" w:cs="Times New Roman"/>
          <w:color w:val="auto"/>
          <w:szCs w:val="21"/>
          <w:highlight w:val="none"/>
        </w:rPr>
        <w:t>)</w:t>
      </w:r>
      <w:r>
        <w:rPr>
          <w:rFonts w:hint="eastAsia" w:ascii="宋体" w:hAnsi="宋体" w:eastAsia="宋体" w:cs="Times New Roman"/>
          <w:color w:val="auto"/>
          <w:szCs w:val="24"/>
          <w:highlight w:val="none"/>
        </w:rPr>
        <w:t>《项目需求》中要求</w:t>
      </w:r>
      <w:r>
        <w:rPr>
          <w:rFonts w:hint="eastAsia" w:ascii="宋体" w:hAnsi="宋体" w:eastAsia="宋体" w:cs="Times New Roman"/>
          <w:b/>
          <w:color w:val="auto"/>
          <w:szCs w:val="24"/>
          <w:highlight w:val="none"/>
        </w:rPr>
        <w:t>必须提供</w:t>
      </w:r>
      <w:r>
        <w:rPr>
          <w:rFonts w:hint="eastAsia" w:ascii="宋体" w:hAnsi="宋体" w:eastAsia="宋体" w:cs="Times New Roman"/>
          <w:color w:val="auto"/>
          <w:szCs w:val="24"/>
          <w:highlight w:val="none"/>
        </w:rPr>
        <w:t>的材料</w:t>
      </w:r>
    </w:p>
    <w:p>
      <w:pPr>
        <w:snapToGrid w:val="0"/>
        <w:spacing w:line="400" w:lineRule="exact"/>
        <w:ind w:firstLine="422" w:firstLineChars="200"/>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t>3.报价文件</w:t>
      </w:r>
    </w:p>
    <w:p>
      <w:pPr>
        <w:snapToGrid w:val="0"/>
        <w:spacing w:line="400" w:lineRule="exact"/>
        <w:ind w:firstLine="422" w:firstLineChars="200"/>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t>★</w:t>
      </w:r>
      <w:r>
        <w:rPr>
          <w:rFonts w:hint="eastAsia" w:ascii="宋体" w:hAnsi="宋体" w:eastAsia="宋体" w:cs="Times New Roman"/>
          <w:bCs/>
          <w:color w:val="auto"/>
          <w:szCs w:val="21"/>
          <w:highlight w:val="none"/>
        </w:rPr>
        <w:t>(1)</w:t>
      </w:r>
      <w:r>
        <w:rPr>
          <w:rFonts w:hint="eastAsia" w:ascii="宋体" w:hAnsi="宋体" w:eastAsia="宋体" w:cs="Times New Roman"/>
          <w:color w:val="auto"/>
          <w:szCs w:val="21"/>
          <w:highlight w:val="none"/>
        </w:rPr>
        <w:t>开标一览表(格式见第六章</w:t>
      </w:r>
      <w:r>
        <w:rPr>
          <w:rFonts w:hint="eastAsia" w:ascii="宋体" w:hAnsi="宋体" w:eastAsia="宋体" w:cs="Times New Roman"/>
          <w:bCs/>
          <w:color w:val="auto"/>
          <w:szCs w:val="21"/>
          <w:highlight w:val="none"/>
        </w:rPr>
        <w:t>)</w:t>
      </w:r>
    </w:p>
    <w:p>
      <w:pPr>
        <w:snapToGrid w:val="0"/>
        <w:spacing w:line="400" w:lineRule="exact"/>
        <w:ind w:firstLine="422" w:firstLineChars="200"/>
        <w:rPr>
          <w:rFonts w:hint="eastAsia" w:ascii="宋体" w:hAnsi="宋体" w:eastAsia="宋体" w:cs="Times New Roman"/>
          <w:color w:val="auto"/>
          <w:szCs w:val="24"/>
          <w:highlight w:val="none"/>
        </w:rPr>
      </w:pPr>
      <w:r>
        <w:rPr>
          <w:rFonts w:hint="eastAsia" w:ascii="宋体" w:hAnsi="宋体" w:eastAsia="宋体" w:cs="Times New Roman"/>
          <w:b/>
          <w:color w:val="auto"/>
          <w:szCs w:val="21"/>
          <w:highlight w:val="none"/>
        </w:rPr>
        <w:t>★</w:t>
      </w:r>
      <w:r>
        <w:rPr>
          <w:rFonts w:hint="eastAsia" w:ascii="宋体" w:hAnsi="宋体" w:eastAsia="宋体" w:cs="Times New Roman"/>
          <w:bCs/>
          <w:color w:val="auto"/>
          <w:szCs w:val="21"/>
          <w:highlight w:val="none"/>
        </w:rPr>
        <w:t>(2)</w:t>
      </w:r>
      <w:bookmarkStart w:id="114" w:name="_Hlk92265738"/>
      <w:r>
        <w:rPr>
          <w:rFonts w:hint="eastAsia" w:ascii="宋体" w:hAnsi="宋体" w:eastAsia="宋体" w:cs="Times New Roman"/>
          <w:bCs/>
          <w:color w:val="auto"/>
          <w:szCs w:val="21"/>
          <w:highlight w:val="none"/>
        </w:rPr>
        <w:t>报价明细表</w:t>
      </w:r>
      <w:bookmarkEnd w:id="114"/>
      <w:r>
        <w:rPr>
          <w:rFonts w:hint="eastAsia" w:ascii="宋体" w:hAnsi="宋体" w:eastAsia="宋体" w:cs="Times New Roman"/>
          <w:bCs/>
          <w:color w:val="auto"/>
          <w:szCs w:val="21"/>
          <w:highlight w:val="none"/>
        </w:rPr>
        <w:t>(格式见第六章)</w:t>
      </w:r>
    </w:p>
    <w:bookmarkEnd w:id="110"/>
    <w:p>
      <w:pPr>
        <w:snapToGrid w:val="0"/>
        <w:spacing w:line="400" w:lineRule="exact"/>
        <w:ind w:firstLine="420" w:firstLineChars="2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注：</w:t>
      </w:r>
      <w:bookmarkStart w:id="115" w:name="_Hlk154044832"/>
      <w:r>
        <w:rPr>
          <w:rFonts w:hint="eastAsia" w:ascii="宋体" w:hAnsi="宋体" w:eastAsia="宋体" w:cs="Times New Roman"/>
          <w:color w:val="auto"/>
          <w:szCs w:val="21"/>
          <w:highlight w:val="none"/>
        </w:rPr>
        <w:t>标注★号的材料均为必须提供的材料须由投标人并加盖公章，授权委托书必须由法定代表人签名，开标一览表必须由法定代表人或授权代表签名，否则视为无效投标文件。</w:t>
      </w:r>
      <w:bookmarkEnd w:id="115"/>
    </w:p>
    <w:bookmarkEnd w:id="105"/>
    <w:bookmarkEnd w:id="106"/>
    <w:bookmarkEnd w:id="107"/>
    <w:bookmarkEnd w:id="108"/>
    <w:bookmarkEnd w:id="109"/>
    <w:p>
      <w:pPr>
        <w:spacing w:line="400" w:lineRule="exact"/>
        <w:ind w:firstLine="211" w:firstLineChars="100"/>
        <w:rPr>
          <w:rFonts w:hint="eastAsia" w:ascii="宋体" w:hAnsi="宋体" w:eastAsia="宋体" w:cs="Times New Roman"/>
          <w:b/>
          <w:bCs/>
          <w:color w:val="auto"/>
          <w:szCs w:val="21"/>
          <w:highlight w:val="none"/>
        </w:rPr>
      </w:pPr>
      <w:bookmarkStart w:id="116" w:name="_Hlk90906323"/>
      <w:bookmarkStart w:id="117" w:name="_Hlk92447223"/>
      <w:r>
        <w:rPr>
          <w:rFonts w:hint="eastAsia" w:ascii="宋体" w:hAnsi="宋体" w:eastAsia="宋体" w:cs="Times New Roman"/>
          <w:b/>
          <w:color w:val="auto"/>
          <w:szCs w:val="21"/>
          <w:highlight w:val="none"/>
        </w:rPr>
        <w:t>（三）</w:t>
      </w:r>
      <w:bookmarkStart w:id="118" w:name="_Toc353785292"/>
      <w:bookmarkStart w:id="119" w:name="_Toc254970678"/>
      <w:bookmarkStart w:id="120" w:name="_Toc254970537"/>
      <w:bookmarkStart w:id="121" w:name="_Toc352700422"/>
      <w:r>
        <w:rPr>
          <w:rFonts w:hint="eastAsia" w:ascii="宋体" w:hAnsi="宋体" w:eastAsia="宋体" w:cs="Times New Roman"/>
          <w:b/>
          <w:bCs/>
          <w:color w:val="auto"/>
          <w:szCs w:val="21"/>
          <w:highlight w:val="none"/>
        </w:rPr>
        <w:t>投标文件的编制、签署及加密</w:t>
      </w:r>
    </w:p>
    <w:p>
      <w:pPr>
        <w:spacing w:line="400" w:lineRule="exact"/>
        <w:ind w:firstLine="420" w:firstLineChars="2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1.投标人应认真阅读、并充分理解招标文件的全部内容(包括所有的补充、修改内容)，承诺履行其各项条款的规定并按要求编制，</w:t>
      </w:r>
      <w:bookmarkStart w:id="122" w:name="_Hlk154044894"/>
      <w:r>
        <w:rPr>
          <w:rFonts w:hint="eastAsia" w:ascii="宋体" w:hAnsi="宋体" w:eastAsia="宋体" w:cs="Times New Roman"/>
          <w:color w:val="auto"/>
          <w:szCs w:val="21"/>
          <w:highlight w:val="none"/>
        </w:rPr>
        <w:t>投标文件应为电子文件或扫描件(样品除外)。</w:t>
      </w:r>
      <w:bookmarkEnd w:id="122"/>
    </w:p>
    <w:p>
      <w:pPr>
        <w:spacing w:line="400" w:lineRule="exact"/>
        <w:ind w:firstLine="420" w:firstLineChars="2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2.投标人应通过</w:t>
      </w:r>
      <w:r>
        <w:rPr>
          <w:rFonts w:hint="eastAsia" w:ascii="Times New Roman" w:hAnsi="Times New Roman" w:eastAsia="宋体" w:cs="Times New Roman"/>
          <w:color w:val="auto"/>
          <w:szCs w:val="24"/>
          <w:highlight w:val="none"/>
        </w:rPr>
        <w:t>广西政府采购云平台客户端</w:t>
      </w:r>
      <w:r>
        <w:rPr>
          <w:rFonts w:hint="eastAsia" w:ascii="宋体" w:hAnsi="宋体" w:eastAsia="宋体" w:cs="Times New Roman"/>
          <w:color w:val="auto"/>
          <w:szCs w:val="21"/>
          <w:highlight w:val="none"/>
        </w:rPr>
        <w:t>编制加密投标文件。</w:t>
      </w:r>
    </w:p>
    <w:p>
      <w:pPr>
        <w:spacing w:line="400" w:lineRule="exact"/>
        <w:ind w:firstLine="420" w:firstLineChars="2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3.投标文件由资格文件、商务技术文件和报价文件组成，投标人应按规定的顺序编制并标注页码、准确设置评审关联点，未设置或未正确设置关联点而导致投标文件被误读、漏读或者查找不到相关响应内容的责任和后果由投标人承担。</w:t>
      </w:r>
    </w:p>
    <w:p>
      <w:pPr>
        <w:spacing w:line="400" w:lineRule="exact"/>
        <w:rPr>
          <w:rFonts w:hint="eastAsia" w:ascii="宋体" w:hAnsi="宋体" w:eastAsia="宋体" w:cs="Times New Roman"/>
          <w:b/>
          <w:bCs/>
          <w:color w:val="auto"/>
          <w:szCs w:val="21"/>
          <w:highlight w:val="none"/>
        </w:rPr>
      </w:pPr>
      <w:r>
        <w:rPr>
          <w:rFonts w:hint="eastAsia" w:ascii="宋体" w:hAnsi="宋体" w:eastAsia="宋体" w:cs="Times New Roman"/>
          <w:color w:val="auto"/>
          <w:szCs w:val="21"/>
          <w:highlight w:val="none"/>
        </w:rPr>
        <w:tab/>
      </w:r>
      <w:r>
        <w:rPr>
          <w:rFonts w:hint="eastAsia" w:ascii="宋体" w:hAnsi="宋体" w:eastAsia="宋体" w:cs="Times New Roman"/>
          <w:b/>
          <w:bCs/>
          <w:color w:val="auto"/>
          <w:szCs w:val="21"/>
          <w:highlight w:val="none"/>
        </w:rPr>
        <w:t>4.投标文件由投标人在规定位置由法定代表人或授权委托人签名（可为电子签名）、填写投标人名称，并加盖公章(简称“盖章”，可为电子公章)，投标人名称应写全称。</w:t>
      </w:r>
    </w:p>
    <w:p>
      <w:pPr>
        <w:snapToGrid w:val="0"/>
        <w:spacing w:line="400" w:lineRule="exact"/>
        <w:ind w:firstLine="210" w:firstLineChars="100"/>
        <w:rPr>
          <w:rFonts w:hint="eastAsia" w:ascii="宋体" w:hAnsi="宋体" w:eastAsia="宋体" w:cs="Times New Roman"/>
          <w:b/>
          <w:bCs/>
          <w:color w:val="auto"/>
          <w:szCs w:val="21"/>
          <w:highlight w:val="none"/>
        </w:rPr>
      </w:pPr>
      <w:r>
        <w:rPr>
          <w:rFonts w:hint="eastAsia" w:ascii="宋体" w:hAnsi="宋体" w:eastAsia="宋体" w:cs="Times New Roman"/>
          <w:color w:val="auto"/>
          <w:szCs w:val="21"/>
          <w:highlight w:val="none"/>
        </w:rPr>
        <w:tab/>
      </w:r>
      <w:r>
        <w:rPr>
          <w:rFonts w:hint="eastAsia" w:ascii="宋体" w:hAnsi="宋体" w:eastAsia="宋体" w:cs="Times New Roman"/>
          <w:color w:val="auto"/>
          <w:szCs w:val="21"/>
          <w:highlight w:val="none"/>
        </w:rPr>
        <w:t>5.投标文件内容不完整、编排混乱、不清晰等原因导致被误读或漏读的责任和后果由投标人承担。</w:t>
      </w:r>
    </w:p>
    <w:bookmarkEnd w:id="116"/>
    <w:p>
      <w:pPr>
        <w:spacing w:line="400" w:lineRule="exact"/>
        <w:ind w:firstLine="211" w:firstLineChars="100"/>
        <w:rPr>
          <w:rFonts w:ascii="Times New Roman" w:hAnsi="Times New Roman" w:eastAsia="宋体" w:cs="Times New Roman"/>
          <w:color w:val="auto"/>
          <w:szCs w:val="24"/>
          <w:highlight w:val="none"/>
        </w:rPr>
      </w:pPr>
      <w:r>
        <w:rPr>
          <w:rFonts w:hint="eastAsia" w:ascii="Times New Roman" w:hAnsi="Times New Roman" w:eastAsia="宋体" w:cs="Times New Roman"/>
          <w:b/>
          <w:bCs/>
          <w:color w:val="auto"/>
          <w:szCs w:val="24"/>
          <w:highlight w:val="none"/>
        </w:rPr>
        <w:t>（四）投标文件的语言及计量</w:t>
      </w:r>
      <w:bookmarkEnd w:id="118"/>
      <w:bookmarkEnd w:id="119"/>
      <w:bookmarkEnd w:id="120"/>
      <w:bookmarkEnd w:id="121"/>
    </w:p>
    <w:p>
      <w:pPr>
        <w:snapToGrid w:val="0"/>
        <w:spacing w:line="400" w:lineRule="exact"/>
        <w:ind w:firstLine="420" w:firstLineChars="2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1.投标文件以及投标人与采购人、本中心就有关投标事宜的所有来往函电，均应以中文汉语书写。除签名、盖章、专用名称等特殊情形外，以中文汉语以外的文字表述的视为无效文件。</w:t>
      </w:r>
    </w:p>
    <w:p>
      <w:pPr>
        <w:snapToGrid w:val="0"/>
        <w:spacing w:line="400" w:lineRule="exact"/>
        <w:ind w:firstLine="420" w:firstLineChars="2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2.投标计量单位，招标文件已有明确规定的，使用招标文件规定的计量单位；招标文件没有规定的，应采用中华人民共和国法定计量单位（货币单位：人民币元），否则视为无效投标文件。</w:t>
      </w:r>
    </w:p>
    <w:bookmarkEnd w:id="117"/>
    <w:p>
      <w:pPr>
        <w:keepNext/>
        <w:keepLines/>
        <w:spacing w:line="400" w:lineRule="exact"/>
        <w:ind w:firstLine="211" w:firstLineChars="100"/>
        <w:outlineLvl w:val="1"/>
        <w:rPr>
          <w:rFonts w:hint="eastAsia" w:ascii="宋体" w:hAnsi="宋体" w:eastAsia="宋体" w:cs="Times New Roman"/>
          <w:b/>
          <w:bCs/>
          <w:color w:val="auto"/>
          <w:szCs w:val="21"/>
          <w:highlight w:val="none"/>
        </w:rPr>
      </w:pPr>
      <w:bookmarkStart w:id="123" w:name="_（五）投标报价"/>
      <w:bookmarkEnd w:id="123"/>
      <w:bookmarkStart w:id="124" w:name="_Toc254970679"/>
      <w:bookmarkStart w:id="125" w:name="_Toc353785293"/>
      <w:bookmarkStart w:id="126" w:name="_Toc352700423"/>
      <w:bookmarkStart w:id="127" w:name="_Toc254970538"/>
      <w:bookmarkStart w:id="128" w:name="_Hlk92447977"/>
      <w:r>
        <w:rPr>
          <w:rFonts w:hint="eastAsia" w:ascii="宋体" w:hAnsi="宋体" w:eastAsia="宋体" w:cs="Times New Roman"/>
          <w:b/>
          <w:bCs/>
          <w:color w:val="auto"/>
          <w:szCs w:val="21"/>
          <w:highlight w:val="none"/>
        </w:rPr>
        <w:t>（五）投标报价</w:t>
      </w:r>
      <w:bookmarkEnd w:id="124"/>
      <w:bookmarkEnd w:id="125"/>
      <w:bookmarkEnd w:id="126"/>
      <w:bookmarkEnd w:id="127"/>
    </w:p>
    <w:p>
      <w:pPr>
        <w:snapToGrid w:val="0"/>
        <w:spacing w:line="400" w:lineRule="exact"/>
        <w:ind w:firstLine="420" w:firstLineChars="200"/>
        <w:rPr>
          <w:rFonts w:hint="eastAsia" w:ascii="宋体" w:hAnsi="宋体" w:eastAsia="宋体" w:cs="Courier New"/>
          <w:color w:val="auto"/>
          <w:szCs w:val="21"/>
          <w:highlight w:val="none"/>
        </w:rPr>
      </w:pPr>
      <w:r>
        <w:rPr>
          <w:rFonts w:hint="eastAsia" w:ascii="宋体" w:hAnsi="宋体" w:eastAsia="宋体" w:cs="Courier New"/>
          <w:color w:val="auto"/>
          <w:szCs w:val="21"/>
          <w:highlight w:val="none"/>
        </w:rPr>
        <w:t>1.招标文件中未列明，而供应商认为必需的费用也须列入总报价。在合同实施时，采购人将不予支付中标人没有列入总报价的费用，并认为此项费用已包含在总报价中。</w:t>
      </w:r>
    </w:p>
    <w:p>
      <w:pPr>
        <w:snapToGrid w:val="0"/>
        <w:spacing w:line="400" w:lineRule="exact"/>
        <w:ind w:firstLine="420" w:firstLineChars="200"/>
        <w:rPr>
          <w:rFonts w:ascii="宋体" w:hAnsi="Courier New" w:eastAsia="宋体" w:cs="Courier New"/>
          <w:color w:val="auto"/>
          <w:szCs w:val="21"/>
          <w:highlight w:val="none"/>
        </w:rPr>
      </w:pPr>
      <w:r>
        <w:rPr>
          <w:rFonts w:hint="eastAsia" w:ascii="宋体" w:hAnsi="宋体" w:eastAsia="宋体" w:cs="Courier New"/>
          <w:color w:val="auto"/>
          <w:szCs w:val="21"/>
          <w:highlight w:val="none"/>
        </w:rPr>
        <w:t>2.投标报价应按招标文件中相关附表格式填写。投标人</w:t>
      </w:r>
      <w:r>
        <w:rPr>
          <w:rFonts w:hint="eastAsia" w:ascii="宋体" w:hAnsi="Courier New" w:eastAsia="宋体" w:cs="Courier New"/>
          <w:color w:val="auto"/>
          <w:szCs w:val="21"/>
          <w:highlight w:val="none"/>
        </w:rPr>
        <w:t>必须就《项目需求》的内容作完整唯一报价。</w:t>
      </w:r>
    </w:p>
    <w:p>
      <w:pPr>
        <w:tabs>
          <w:tab w:val="left" w:pos="525"/>
        </w:tabs>
        <w:snapToGrid w:val="0"/>
        <w:spacing w:line="400" w:lineRule="exact"/>
        <w:ind w:firstLine="420" w:firstLineChars="2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3.投标文件每标项只允许有一个总报价，有选择的或有条件的报价视为无效投标文件。</w:t>
      </w:r>
    </w:p>
    <w:p>
      <w:pPr>
        <w:keepNext/>
        <w:keepLines/>
        <w:spacing w:line="400" w:lineRule="exact"/>
        <w:ind w:firstLine="211" w:firstLineChars="100"/>
        <w:outlineLvl w:val="1"/>
        <w:rPr>
          <w:rFonts w:hint="eastAsia" w:ascii="宋体" w:hAnsi="宋体" w:eastAsia="宋体" w:cs="Times New Roman"/>
          <w:b/>
          <w:bCs/>
          <w:color w:val="auto"/>
          <w:szCs w:val="21"/>
          <w:highlight w:val="none"/>
        </w:rPr>
      </w:pPr>
      <w:bookmarkStart w:id="129" w:name="_（六）投标文件有效期"/>
      <w:bookmarkEnd w:id="129"/>
      <w:bookmarkStart w:id="130" w:name="_Toc353785294"/>
      <w:bookmarkStart w:id="131" w:name="_Toc352700424"/>
      <w:r>
        <w:rPr>
          <w:rFonts w:hint="eastAsia" w:ascii="宋体" w:hAnsi="宋体" w:eastAsia="宋体" w:cs="Times New Roman"/>
          <w:b/>
          <w:bCs/>
          <w:color w:val="auto"/>
          <w:szCs w:val="21"/>
          <w:highlight w:val="none"/>
        </w:rPr>
        <w:t>（六）投标有效期</w:t>
      </w:r>
      <w:bookmarkEnd w:id="128"/>
      <w:bookmarkEnd w:id="130"/>
      <w:bookmarkEnd w:id="131"/>
      <w:bookmarkStart w:id="132" w:name="_（七）投标保证金"/>
      <w:bookmarkEnd w:id="132"/>
      <w:bookmarkStart w:id="133" w:name="_Toc254970682"/>
      <w:bookmarkStart w:id="134" w:name="_Toc352700425"/>
      <w:bookmarkStart w:id="135" w:name="_Toc353785295"/>
      <w:bookmarkStart w:id="136" w:name="_Hlk92448848"/>
      <w:bookmarkStart w:id="137" w:name="_Toc254970541"/>
    </w:p>
    <w:p>
      <w:pPr>
        <w:spacing w:line="400" w:lineRule="exact"/>
        <w:ind w:firstLine="420" w:firstLineChars="20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投标有效期从提交投标文件的截止之日起算。投标文件中承诺的投标有效期应当不少于</w:t>
      </w:r>
      <w:r>
        <w:rPr>
          <w:rFonts w:ascii="Times New Roman" w:hAnsi="Times New Roman" w:eastAsia="宋体" w:cs="Times New Roman"/>
          <w:color w:val="auto"/>
          <w:szCs w:val="24"/>
          <w:highlight w:val="none"/>
        </w:rPr>
        <w:t>90</w:t>
      </w:r>
      <w:r>
        <w:rPr>
          <w:rFonts w:hint="eastAsia" w:ascii="Times New Roman" w:hAnsi="Times New Roman" w:eastAsia="宋体" w:cs="Times New Roman"/>
          <w:color w:val="auto"/>
          <w:szCs w:val="24"/>
          <w:highlight w:val="none"/>
        </w:rPr>
        <w:t>天。</w:t>
      </w:r>
    </w:p>
    <w:p>
      <w:pPr>
        <w:spacing w:line="410" w:lineRule="exact"/>
        <w:ind w:firstLine="211" w:firstLineChars="100"/>
        <w:rPr>
          <w:rFonts w:ascii="Times New Roman" w:hAnsi="Times New Roman" w:eastAsia="宋体" w:cs="Times New Roman"/>
          <w:b/>
          <w:bCs/>
          <w:color w:val="auto"/>
          <w:szCs w:val="24"/>
          <w:highlight w:val="none"/>
        </w:rPr>
      </w:pPr>
      <w:r>
        <w:rPr>
          <w:rFonts w:hint="eastAsia" w:ascii="宋体" w:hAnsi="宋体" w:eastAsia="宋体" w:cs="Times New Roman"/>
          <w:b/>
          <w:bCs/>
          <w:color w:val="auto"/>
          <w:szCs w:val="21"/>
          <w:highlight w:val="none"/>
        </w:rPr>
        <w:t>（七）</w:t>
      </w:r>
      <w:bookmarkEnd w:id="133"/>
      <w:bookmarkEnd w:id="134"/>
      <w:bookmarkEnd w:id="135"/>
      <w:bookmarkEnd w:id="136"/>
      <w:bookmarkEnd w:id="137"/>
      <w:r>
        <w:rPr>
          <w:rFonts w:hint="eastAsia" w:ascii="Times New Roman" w:hAnsi="Times New Roman" w:eastAsia="宋体" w:cs="Times New Roman"/>
          <w:b/>
          <w:bCs/>
          <w:color w:val="auto"/>
          <w:szCs w:val="24"/>
          <w:highlight w:val="none"/>
        </w:rPr>
        <w:t>投标文件的上传、提交、修改、撤回</w:t>
      </w:r>
    </w:p>
    <w:p>
      <w:pPr>
        <w:snapToGrid w:val="0"/>
        <w:spacing w:line="410" w:lineRule="exact"/>
        <w:ind w:firstLine="420" w:firstLineChars="200"/>
        <w:rPr>
          <w:rFonts w:hint="eastAsia" w:ascii="宋体" w:hAnsi="宋体" w:eastAsia="宋体" w:cs="Times New Roman"/>
          <w:color w:val="auto"/>
          <w:szCs w:val="21"/>
          <w:highlight w:val="none"/>
        </w:rPr>
      </w:pPr>
      <w:bookmarkStart w:id="138" w:name="_Toc353785297"/>
      <w:bookmarkStart w:id="139" w:name="_Toc352700427"/>
      <w:r>
        <w:rPr>
          <w:rFonts w:hint="eastAsia" w:ascii="宋体" w:hAnsi="宋体" w:eastAsia="宋体" w:cs="Times New Roman"/>
          <w:color w:val="auto"/>
          <w:szCs w:val="21"/>
          <w:highlight w:val="none"/>
        </w:rPr>
        <w:t>1.投标文件的上传和提交:投标人须将编制好的加密投标文件上传至政府采购云平台，并在投标文件提交截止时间前提交，否则</w:t>
      </w:r>
      <w:bookmarkStart w:id="140" w:name="_Hlk91772691"/>
      <w:r>
        <w:rPr>
          <w:rFonts w:hint="eastAsia" w:ascii="宋体" w:hAnsi="宋体" w:eastAsia="宋体" w:cs="Times New Roman"/>
          <w:color w:val="auto"/>
          <w:szCs w:val="21"/>
          <w:highlight w:val="none"/>
        </w:rPr>
        <w:t>政府采购云平台</w:t>
      </w:r>
      <w:bookmarkEnd w:id="140"/>
      <w:r>
        <w:rPr>
          <w:rFonts w:hint="eastAsia" w:ascii="宋体" w:hAnsi="宋体" w:eastAsia="宋体" w:cs="Times New Roman"/>
          <w:color w:val="auto"/>
          <w:szCs w:val="21"/>
          <w:highlight w:val="none"/>
        </w:rPr>
        <w:t>将予以拒收。投标文件提交成功后，投标人可自行打印投标文件接收回执。</w:t>
      </w:r>
    </w:p>
    <w:p>
      <w:pPr>
        <w:snapToGrid w:val="0"/>
        <w:spacing w:line="410" w:lineRule="exact"/>
        <w:ind w:firstLine="420" w:firstLineChars="2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2.投标文件的修改和撤回：投标人在投标文件提交截止时间前可对投标文件进行补充、修改或者撤回。补充或者修改投标文件的，应当先行撤回原投标文件，补充、修改后重新上传、提交。投标文件提交截止时间前未完成重新提交的，视为撤回投标文件，投标文件提交截止时间后提交投标文件的，政府采购云平台将予以拒收。投标文件提交截止时间后，供应商不得撤回、修改投标文件。补充、修改的内容应当按照招标文件要求签署、盖章，作为投标文件的组成部分。</w:t>
      </w:r>
    </w:p>
    <w:p>
      <w:pPr>
        <w:snapToGrid w:val="0"/>
        <w:spacing w:line="410" w:lineRule="exact"/>
        <w:ind w:firstLine="420" w:firstLineChars="200"/>
        <w:rPr>
          <w:rFonts w:hint="eastAsia" w:ascii="宋体" w:hAnsi="宋体" w:eastAsia="宋体" w:cs="Times New Roman"/>
          <w:color w:val="auto"/>
          <w:szCs w:val="21"/>
          <w:highlight w:val="none"/>
        </w:rPr>
      </w:pPr>
    </w:p>
    <w:p>
      <w:pPr>
        <w:keepNext/>
        <w:keepLines/>
        <w:spacing w:line="410" w:lineRule="exact"/>
        <w:outlineLvl w:val="1"/>
        <w:rPr>
          <w:rFonts w:ascii="方正小标宋_GBK" w:hAnsi="Arial" w:eastAsia="方正小标宋_GBK" w:cs="Times New Roman"/>
          <w:color w:val="auto"/>
          <w:sz w:val="24"/>
          <w:szCs w:val="24"/>
          <w:highlight w:val="none"/>
        </w:rPr>
      </w:pPr>
      <w:bookmarkStart w:id="141" w:name="_四、开标"/>
      <w:bookmarkEnd w:id="141"/>
      <w:r>
        <w:rPr>
          <w:rFonts w:hint="eastAsia" w:ascii="方正小标宋_GBK" w:hAnsi="Arial" w:eastAsia="方正小标宋_GBK" w:cs="Times New Roman"/>
          <w:color w:val="auto"/>
          <w:sz w:val="24"/>
          <w:szCs w:val="24"/>
          <w:highlight w:val="none"/>
        </w:rPr>
        <w:t>四、开标</w:t>
      </w:r>
      <w:bookmarkStart w:id="142" w:name="_Toc353785300"/>
      <w:bookmarkStart w:id="143" w:name="_Toc352700430"/>
    </w:p>
    <w:bookmarkEnd w:id="142"/>
    <w:bookmarkEnd w:id="143"/>
    <w:p>
      <w:pPr>
        <w:spacing w:line="410" w:lineRule="exact"/>
        <w:ind w:firstLine="210" w:firstLineChars="100"/>
        <w:rPr>
          <w:rFonts w:ascii="方正小标宋_GBK" w:hAnsi="Arial" w:eastAsia="方正小标宋_GBK" w:cs="Times New Roman"/>
          <w:bCs/>
          <w:color w:val="auto"/>
          <w:sz w:val="24"/>
          <w:szCs w:val="24"/>
          <w:highlight w:val="none"/>
        </w:rPr>
      </w:pPr>
      <w:r>
        <w:rPr>
          <w:rFonts w:hint="eastAsia" w:ascii="Times New Roman" w:hAnsi="Times New Roman" w:eastAsia="宋体" w:cs="Times New Roman"/>
          <w:color w:val="auto"/>
          <w:szCs w:val="24"/>
          <w:highlight w:val="none"/>
        </w:rPr>
        <w:t>（一）本中心将在投标文件提交截止时间后在</w:t>
      </w:r>
      <w:bookmarkStart w:id="144" w:name="_Hlk90300735"/>
      <w:r>
        <w:rPr>
          <w:rFonts w:hint="eastAsia" w:ascii="Times New Roman" w:hAnsi="Times New Roman" w:eastAsia="宋体" w:cs="Times New Roman"/>
          <w:color w:val="auto"/>
          <w:szCs w:val="24"/>
          <w:highlight w:val="none"/>
        </w:rPr>
        <w:t>政采云远程开标大厅</w:t>
      </w:r>
      <w:bookmarkEnd w:id="144"/>
      <w:r>
        <w:rPr>
          <w:rFonts w:hint="eastAsia" w:ascii="Times New Roman" w:hAnsi="Times New Roman" w:eastAsia="宋体" w:cs="Times New Roman"/>
          <w:color w:val="auto"/>
          <w:szCs w:val="24"/>
          <w:highlight w:val="none"/>
        </w:rPr>
        <w:t>进行开标，投标人法定代表人或委托代理人须按时登录</w:t>
      </w:r>
      <w:bookmarkStart w:id="145" w:name="_Hlk90300780"/>
      <w:r>
        <w:rPr>
          <w:rFonts w:hint="eastAsia" w:ascii="Times New Roman" w:hAnsi="Times New Roman" w:eastAsia="宋体" w:cs="Times New Roman"/>
          <w:color w:val="auto"/>
          <w:szCs w:val="24"/>
          <w:highlight w:val="none"/>
        </w:rPr>
        <w:t>政采云远程开标大厅</w:t>
      </w:r>
      <w:bookmarkEnd w:id="145"/>
      <w:r>
        <w:rPr>
          <w:rFonts w:hint="eastAsia" w:ascii="Times New Roman" w:hAnsi="Times New Roman" w:eastAsia="宋体" w:cs="Times New Roman"/>
          <w:color w:val="auto"/>
          <w:szCs w:val="24"/>
          <w:highlight w:val="none"/>
        </w:rPr>
        <w:t>（政府采购云平台</w:t>
      </w:r>
      <w:r>
        <w:rPr>
          <w:rFonts w:ascii="Times New Roman" w:hAnsi="Times New Roman" w:eastAsia="宋体" w:cs="Times New Roman"/>
          <w:color w:val="auto"/>
          <w:szCs w:val="24"/>
          <w:highlight w:val="none"/>
        </w:rPr>
        <w:t>-</w:t>
      </w:r>
      <w:r>
        <w:rPr>
          <w:rFonts w:hint="eastAsia" w:ascii="Times New Roman" w:hAnsi="Times New Roman" w:eastAsia="宋体" w:cs="Times New Roman"/>
          <w:color w:val="auto"/>
          <w:szCs w:val="24"/>
          <w:highlight w:val="none"/>
        </w:rPr>
        <w:t>应用中心</w:t>
      </w:r>
      <w:r>
        <w:rPr>
          <w:rFonts w:ascii="Times New Roman" w:hAnsi="Times New Roman" w:eastAsia="宋体" w:cs="Times New Roman"/>
          <w:color w:val="auto"/>
          <w:szCs w:val="24"/>
          <w:highlight w:val="none"/>
        </w:rPr>
        <w:t>-</w:t>
      </w:r>
      <w:r>
        <w:rPr>
          <w:rFonts w:hint="eastAsia" w:ascii="Times New Roman" w:hAnsi="Times New Roman" w:eastAsia="宋体" w:cs="Times New Roman"/>
          <w:color w:val="auto"/>
          <w:szCs w:val="24"/>
          <w:highlight w:val="none"/>
        </w:rPr>
        <w:t>项目采购</w:t>
      </w:r>
      <w:r>
        <w:rPr>
          <w:rFonts w:ascii="Times New Roman" w:hAnsi="Times New Roman" w:eastAsia="宋体" w:cs="Times New Roman"/>
          <w:color w:val="auto"/>
          <w:szCs w:val="24"/>
          <w:highlight w:val="none"/>
        </w:rPr>
        <w:t>-</w:t>
      </w:r>
      <w:r>
        <w:rPr>
          <w:rFonts w:hint="eastAsia" w:ascii="Times New Roman" w:hAnsi="Times New Roman" w:eastAsia="宋体" w:cs="Times New Roman"/>
          <w:color w:val="auto"/>
          <w:szCs w:val="24"/>
          <w:highlight w:val="none"/>
        </w:rPr>
        <w:t>开标评标），保持全程在线并关注开标评标进度，评标期间评标委员会提出澄清等要求时，投标人须在规定时间内进行应答，否则按招标文件或政采云平台的相关规定执行。</w:t>
      </w:r>
      <w:bookmarkStart w:id="146" w:name="_Toc352700431"/>
      <w:bookmarkStart w:id="147" w:name="_Toc353785301"/>
    </w:p>
    <w:p>
      <w:pPr>
        <w:spacing w:line="410" w:lineRule="exact"/>
        <w:ind w:firstLine="210" w:firstLineChars="100"/>
        <w:rPr>
          <w:rFonts w:ascii="方正小标宋_GBK" w:hAnsi="Arial" w:eastAsia="方正小标宋_GBK" w:cs="Times New Roman"/>
          <w:bCs/>
          <w:color w:val="auto"/>
          <w:sz w:val="24"/>
          <w:szCs w:val="24"/>
          <w:highlight w:val="none"/>
        </w:rPr>
      </w:pPr>
      <w:r>
        <w:rPr>
          <w:rFonts w:hint="eastAsia" w:ascii="Times New Roman" w:hAnsi="Times New Roman" w:eastAsia="宋体" w:cs="Times New Roman"/>
          <w:color w:val="auto"/>
          <w:szCs w:val="24"/>
          <w:highlight w:val="none"/>
        </w:rPr>
        <w:t>（二）开标程序</w:t>
      </w:r>
      <w:bookmarkEnd w:id="146"/>
      <w:bookmarkEnd w:id="147"/>
    </w:p>
    <w:p>
      <w:pPr>
        <w:spacing w:line="410" w:lineRule="exact"/>
        <w:ind w:left="420"/>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t>1.</w:t>
      </w:r>
      <w:r>
        <w:rPr>
          <w:rFonts w:hint="eastAsia" w:ascii="Times New Roman" w:hAnsi="Times New Roman" w:eastAsia="宋体" w:cs="Times New Roman"/>
          <w:color w:val="auto"/>
          <w:szCs w:val="24"/>
          <w:highlight w:val="none"/>
        </w:rPr>
        <w:t>开标会由本中心主持；</w:t>
      </w:r>
    </w:p>
    <w:p>
      <w:pPr>
        <w:spacing w:line="410" w:lineRule="exact"/>
        <w:ind w:firstLine="420" w:firstLineChars="200"/>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t>2.</w:t>
      </w:r>
      <w:r>
        <w:rPr>
          <w:rFonts w:hint="eastAsia" w:ascii="Times New Roman" w:hAnsi="Times New Roman" w:eastAsia="宋体" w:cs="Times New Roman"/>
          <w:b/>
          <w:bCs/>
          <w:color w:val="auto"/>
          <w:szCs w:val="24"/>
          <w:highlight w:val="none"/>
        </w:rPr>
        <w:t>解密：</w:t>
      </w:r>
      <w:r>
        <w:rPr>
          <w:rFonts w:hint="eastAsia" w:ascii="Times New Roman" w:hAnsi="Times New Roman" w:eastAsia="宋体" w:cs="Times New Roman"/>
          <w:color w:val="auto"/>
          <w:szCs w:val="24"/>
          <w:highlight w:val="none"/>
        </w:rPr>
        <w:t>投标文件提交时间截止后，我中心将向各提交投标文件的投标人发出电子加密投标文件解密通知，投标人代表应当在接到解密通知后</w:t>
      </w:r>
      <w:r>
        <w:rPr>
          <w:rFonts w:ascii="Times New Roman" w:hAnsi="Times New Roman" w:eastAsia="宋体" w:cs="Times New Roman"/>
          <w:color w:val="auto"/>
          <w:szCs w:val="24"/>
          <w:highlight w:val="none"/>
        </w:rPr>
        <w:t>30</w:t>
      </w:r>
      <w:r>
        <w:rPr>
          <w:rFonts w:hint="eastAsia" w:ascii="Times New Roman" w:hAnsi="Times New Roman" w:eastAsia="宋体" w:cs="Times New Roman"/>
          <w:color w:val="auto"/>
          <w:szCs w:val="24"/>
          <w:highlight w:val="none"/>
        </w:rPr>
        <w:t>分钟内对已加密的电子投标文件进行在线解密。投标人未在规定时间内完成解密的，政府采购云平台视为投标人自主放弃投标。</w:t>
      </w:r>
    </w:p>
    <w:p>
      <w:pPr>
        <w:spacing w:line="410" w:lineRule="exact"/>
        <w:ind w:firstLine="420" w:firstLineChars="20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注：当招标项目</w:t>
      </w:r>
      <w:r>
        <w:rPr>
          <w:rFonts w:ascii="Times New Roman" w:hAnsi="Times New Roman" w:eastAsia="宋体" w:cs="Times New Roman"/>
          <w:color w:val="auto"/>
          <w:szCs w:val="24"/>
          <w:highlight w:val="none"/>
        </w:rPr>
        <w:t>(</w:t>
      </w:r>
      <w:r>
        <w:rPr>
          <w:rFonts w:hint="eastAsia" w:ascii="Times New Roman" w:hAnsi="Times New Roman" w:eastAsia="宋体" w:cs="Times New Roman"/>
          <w:color w:val="auto"/>
          <w:szCs w:val="24"/>
          <w:highlight w:val="none"/>
        </w:rPr>
        <w:t>或分标</w:t>
      </w:r>
      <w:r>
        <w:rPr>
          <w:rFonts w:ascii="Times New Roman" w:hAnsi="Times New Roman" w:eastAsia="宋体" w:cs="Times New Roman"/>
          <w:color w:val="auto"/>
          <w:szCs w:val="24"/>
          <w:highlight w:val="none"/>
        </w:rPr>
        <w:t>)</w:t>
      </w:r>
      <w:r>
        <w:rPr>
          <w:rFonts w:hint="eastAsia" w:ascii="Times New Roman" w:hAnsi="Times New Roman" w:eastAsia="宋体" w:cs="Times New Roman"/>
          <w:color w:val="auto"/>
          <w:szCs w:val="24"/>
          <w:highlight w:val="none"/>
        </w:rPr>
        <w:t>的投标人不足</w:t>
      </w:r>
      <w:r>
        <w:rPr>
          <w:rFonts w:ascii="Times New Roman" w:hAnsi="Times New Roman" w:eastAsia="宋体" w:cs="Times New Roman"/>
          <w:color w:val="auto"/>
          <w:szCs w:val="24"/>
          <w:highlight w:val="none"/>
        </w:rPr>
        <w:t>3</w:t>
      </w:r>
      <w:r>
        <w:rPr>
          <w:rFonts w:hint="eastAsia" w:ascii="Times New Roman" w:hAnsi="Times New Roman" w:eastAsia="宋体" w:cs="Times New Roman"/>
          <w:color w:val="auto"/>
          <w:szCs w:val="24"/>
          <w:highlight w:val="none"/>
        </w:rPr>
        <w:t>家的，不开标。</w:t>
      </w:r>
    </w:p>
    <w:p>
      <w:pPr>
        <w:spacing w:line="410" w:lineRule="exact"/>
        <w:ind w:firstLine="211" w:firstLineChars="100"/>
        <w:rPr>
          <w:rFonts w:ascii="Times New Roman" w:hAnsi="Times New Roman" w:eastAsia="宋体" w:cs="Times New Roman"/>
          <w:b/>
          <w:bCs/>
          <w:color w:val="auto"/>
          <w:szCs w:val="24"/>
          <w:highlight w:val="none"/>
        </w:rPr>
      </w:pPr>
      <w:r>
        <w:rPr>
          <w:rFonts w:hint="eastAsia" w:ascii="Times New Roman" w:hAnsi="Times New Roman" w:eastAsia="宋体" w:cs="Times New Roman"/>
          <w:b/>
          <w:bCs/>
          <w:color w:val="auto"/>
          <w:szCs w:val="24"/>
          <w:highlight w:val="none"/>
        </w:rPr>
        <w:t>（三）资格审查</w:t>
      </w:r>
    </w:p>
    <w:p>
      <w:pPr>
        <w:spacing w:line="410" w:lineRule="exact"/>
        <w:ind w:firstLine="420" w:firstLineChars="2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1.采购人依法对投标人的资格进行审查，招标项目(或分标)</w:t>
      </w:r>
      <w:r>
        <w:rPr>
          <w:rFonts w:hint="eastAsia" w:ascii="Arial" w:hAnsi="Arial" w:eastAsia="宋体" w:cs="Arial"/>
          <w:color w:val="auto"/>
          <w:szCs w:val="24"/>
          <w:highlight w:val="none"/>
        </w:rPr>
        <w:t>合格投标人不足</w:t>
      </w:r>
      <w:r>
        <w:rPr>
          <w:rFonts w:ascii="Arial" w:hAnsi="Arial" w:eastAsia="宋体" w:cs="Arial"/>
          <w:color w:val="auto"/>
          <w:szCs w:val="24"/>
          <w:highlight w:val="none"/>
        </w:rPr>
        <w:t>3</w:t>
      </w:r>
      <w:r>
        <w:rPr>
          <w:rFonts w:hint="eastAsia" w:ascii="Arial" w:hAnsi="Arial" w:eastAsia="宋体" w:cs="Arial"/>
          <w:color w:val="auto"/>
          <w:szCs w:val="24"/>
          <w:highlight w:val="none"/>
        </w:rPr>
        <w:t>家的，不评标</w:t>
      </w:r>
      <w:r>
        <w:rPr>
          <w:rFonts w:hint="eastAsia" w:ascii="宋体" w:hAnsi="宋体" w:eastAsia="宋体" w:cs="Times New Roman"/>
          <w:color w:val="auto"/>
          <w:szCs w:val="21"/>
          <w:highlight w:val="none"/>
        </w:rPr>
        <w:t>。</w:t>
      </w:r>
    </w:p>
    <w:p>
      <w:pPr>
        <w:spacing w:line="410" w:lineRule="exact"/>
        <w:ind w:firstLine="420" w:firstLineChars="2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2.资格性审查时，如发现下列情形之一的，投标文件将被视为无效：</w:t>
      </w:r>
    </w:p>
    <w:p>
      <w:pPr>
        <w:spacing w:line="410" w:lineRule="exact"/>
        <w:ind w:firstLine="420" w:firstLineChars="2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(1)超越了按照法律法规规定必须获得行政许可或者行政审批的经营范围的；</w:t>
      </w:r>
    </w:p>
    <w:p>
      <w:pPr>
        <w:spacing w:line="410" w:lineRule="exact"/>
        <w:ind w:firstLine="420" w:firstLineChars="2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(2)资格证明文件不全的，或者不符合招标文件标明的资格要求的；</w:t>
      </w:r>
    </w:p>
    <w:p>
      <w:pPr>
        <w:snapToGrid w:val="0"/>
        <w:spacing w:line="410" w:lineRule="exact"/>
        <w:ind w:firstLine="420" w:firstLineChars="200"/>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3.采购人或本中心将通过信用中国网站（www.creditchina.gov.cn）、中国政府采购网（www.ccgp.gov.cn）等渠道查询供应商的信用信息记录。供应商被列入失信被执行人、重大税收违法案件当事人名单、政府采购严重违法失信行为记录名单且有效期在投标文件递交截止时间的，将被拒绝参与本项目政府采购活动。</w:t>
      </w:r>
    </w:p>
    <w:p>
      <w:pPr>
        <w:keepNext/>
        <w:keepLines/>
        <w:spacing w:line="410" w:lineRule="exact"/>
        <w:outlineLvl w:val="1"/>
        <w:rPr>
          <w:rFonts w:ascii="方正小标宋_GBK" w:hAnsi="Arial" w:eastAsia="方正小标宋_GBK" w:cs="Times New Roman"/>
          <w:color w:val="auto"/>
          <w:sz w:val="24"/>
          <w:szCs w:val="24"/>
          <w:highlight w:val="none"/>
        </w:rPr>
      </w:pPr>
      <w:bookmarkStart w:id="148" w:name="_五、评标"/>
      <w:bookmarkEnd w:id="148"/>
      <w:bookmarkStart w:id="149" w:name="_Toc254970686"/>
      <w:bookmarkStart w:id="150" w:name="_Toc352700432"/>
      <w:bookmarkStart w:id="151" w:name="_Toc254970545"/>
      <w:bookmarkStart w:id="152" w:name="_Toc353785302"/>
      <w:r>
        <w:rPr>
          <w:rFonts w:hint="eastAsia" w:ascii="方正小标宋_GBK" w:hAnsi="Arial" w:eastAsia="方正小标宋_GBK" w:cs="Times New Roman"/>
          <w:color w:val="auto"/>
          <w:sz w:val="24"/>
          <w:szCs w:val="24"/>
          <w:highlight w:val="none"/>
        </w:rPr>
        <w:t>五、评标</w:t>
      </w:r>
      <w:bookmarkEnd w:id="149"/>
      <w:bookmarkEnd w:id="150"/>
      <w:bookmarkEnd w:id="151"/>
      <w:bookmarkEnd w:id="152"/>
    </w:p>
    <w:p>
      <w:pPr>
        <w:snapToGrid w:val="0"/>
        <w:spacing w:line="410" w:lineRule="exact"/>
        <w:ind w:firstLine="211" w:firstLineChars="100"/>
        <w:rPr>
          <w:rFonts w:hint="eastAsia" w:ascii="宋体" w:hAnsi="宋体" w:eastAsia="宋体" w:cs="Times New Roman"/>
          <w:b/>
          <w:bCs/>
          <w:color w:val="auto"/>
          <w:szCs w:val="21"/>
          <w:highlight w:val="none"/>
        </w:rPr>
      </w:pPr>
      <w:bookmarkStart w:id="153" w:name="_Toc352700433"/>
      <w:bookmarkStart w:id="154" w:name="_Toc353785303"/>
      <w:r>
        <w:rPr>
          <w:rFonts w:hint="eastAsia" w:ascii="宋体" w:hAnsi="宋体" w:eastAsia="宋体" w:cs="Times New Roman"/>
          <w:b/>
          <w:bCs/>
          <w:color w:val="auto"/>
          <w:szCs w:val="21"/>
          <w:highlight w:val="none"/>
        </w:rPr>
        <w:t>（一）评标原则：</w:t>
      </w:r>
    </w:p>
    <w:p>
      <w:pPr>
        <w:snapToGrid w:val="0"/>
        <w:spacing w:line="410" w:lineRule="exact"/>
        <w:ind w:firstLine="420" w:firstLineChars="2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1.评标委员会必须公平、公正、客观，不带任何倾向性和启发性；不得向外界透露任何与评标有关的内容；任何单位和个人不得干扰、影响评标的正常进行；评标委员会及有关工作人员不得私下接触投标人。</w:t>
      </w:r>
    </w:p>
    <w:p>
      <w:pPr>
        <w:snapToGrid w:val="0"/>
        <w:spacing w:line="410" w:lineRule="exact"/>
        <w:ind w:firstLine="420" w:firstLineChars="200"/>
        <w:rPr>
          <w:rFonts w:hint="eastAsia" w:ascii="宋体" w:hAnsi="宋体" w:eastAsia="宋体" w:cs="Courier New"/>
          <w:color w:val="auto"/>
          <w:szCs w:val="21"/>
          <w:highlight w:val="none"/>
        </w:rPr>
      </w:pPr>
      <w:r>
        <w:rPr>
          <w:rFonts w:hint="eastAsia" w:ascii="宋体" w:hAnsi="宋体" w:eastAsia="宋体" w:cs="Times New Roman"/>
          <w:color w:val="auto"/>
          <w:szCs w:val="21"/>
          <w:highlight w:val="none"/>
        </w:rPr>
        <w:t>2.</w:t>
      </w:r>
      <w:r>
        <w:rPr>
          <w:rFonts w:hint="eastAsia" w:ascii="宋体" w:hAnsi="宋体" w:eastAsia="宋体" w:cs="Courier New"/>
          <w:color w:val="auto"/>
          <w:szCs w:val="21"/>
          <w:highlight w:val="none"/>
        </w:rPr>
        <w:t>本项目采用不公开方式评标，评标的依据为招标文件和投标文件。</w:t>
      </w:r>
    </w:p>
    <w:p>
      <w:pPr>
        <w:snapToGrid w:val="0"/>
        <w:spacing w:line="410" w:lineRule="exact"/>
        <w:ind w:firstLine="420" w:firstLineChars="200"/>
        <w:rPr>
          <w:rFonts w:hint="eastAsia" w:ascii="宋体" w:hAnsi="宋体" w:eastAsia="宋体" w:cs="Times New Roman"/>
          <w:color w:val="auto"/>
          <w:szCs w:val="21"/>
          <w:highlight w:val="none"/>
        </w:rPr>
      </w:pPr>
      <w:r>
        <w:rPr>
          <w:rFonts w:hint="eastAsia" w:ascii="宋体" w:hAnsi="宋体" w:eastAsia="宋体" w:cs="Courier New"/>
          <w:color w:val="auto"/>
          <w:szCs w:val="21"/>
          <w:highlight w:val="none"/>
        </w:rPr>
        <w:t>3.</w:t>
      </w:r>
      <w:r>
        <w:rPr>
          <w:rFonts w:hint="eastAsia" w:ascii="宋体" w:hAnsi="宋体" w:eastAsia="宋体" w:cs="宋体"/>
          <w:color w:val="auto"/>
          <w:szCs w:val="21"/>
          <w:highlight w:val="none"/>
        </w:rPr>
        <w:t>评标方法：综合评分法，即满足招标文件全部实质性要求且按照评审因素的量化指标评审得分最高的供应商为中标候选人。</w:t>
      </w:r>
    </w:p>
    <w:p>
      <w:pPr>
        <w:snapToGrid w:val="0"/>
        <w:spacing w:line="410" w:lineRule="exact"/>
        <w:ind w:firstLine="211" w:firstLineChars="100"/>
        <w:rPr>
          <w:rFonts w:hint="eastAsia" w:ascii="宋体" w:hAnsi="宋体" w:eastAsia="宋体" w:cs="Times New Roman"/>
          <w:b/>
          <w:bCs/>
          <w:color w:val="auto"/>
          <w:szCs w:val="21"/>
          <w:highlight w:val="none"/>
        </w:rPr>
      </w:pPr>
      <w:r>
        <w:rPr>
          <w:rFonts w:hint="eastAsia" w:ascii="Times New Roman" w:hAnsi="Times New Roman" w:eastAsia="宋体" w:cs="Times New Roman"/>
          <w:b/>
          <w:bCs/>
          <w:color w:val="auto"/>
          <w:szCs w:val="24"/>
          <w:highlight w:val="none"/>
        </w:rPr>
        <w:t>（二）组建评标委员会</w:t>
      </w:r>
    </w:p>
    <w:p>
      <w:pPr>
        <w:snapToGrid w:val="0"/>
        <w:spacing w:line="410" w:lineRule="exact"/>
        <w:ind w:firstLine="420" w:firstLineChars="200"/>
        <w:rPr>
          <w:rFonts w:hint="eastAsia" w:ascii="宋体" w:hAnsi="宋体" w:eastAsia="宋体" w:cs="Times New Roman"/>
          <w:color w:val="auto"/>
          <w:szCs w:val="21"/>
          <w:highlight w:val="none"/>
        </w:rPr>
      </w:pPr>
      <w:r>
        <w:rPr>
          <w:rFonts w:hint="eastAsia" w:ascii="宋体" w:hAnsi="宋体" w:eastAsia="宋体" w:cs="Courier New"/>
          <w:bCs/>
          <w:color w:val="auto"/>
          <w:szCs w:val="21"/>
          <w:highlight w:val="none"/>
        </w:rPr>
        <w:t>评标委员会由采购人代表和评审专家组成，成员人数应当为5人以上单数，其中评审专家不得少于成员总数的三分之二。</w:t>
      </w:r>
      <w:bookmarkEnd w:id="153"/>
      <w:bookmarkEnd w:id="154"/>
    </w:p>
    <w:p>
      <w:pPr>
        <w:spacing w:line="410" w:lineRule="exact"/>
        <w:ind w:firstLine="211" w:firstLineChars="100"/>
        <w:rPr>
          <w:rFonts w:hint="eastAsia" w:ascii="宋体" w:hAnsi="宋体" w:eastAsia="宋体" w:cs="Courier New"/>
          <w:color w:val="auto"/>
          <w:szCs w:val="21"/>
          <w:highlight w:val="none"/>
        </w:rPr>
      </w:pPr>
      <w:r>
        <w:rPr>
          <w:rFonts w:hint="eastAsia" w:ascii="宋体" w:hAnsi="宋体" w:eastAsia="宋体" w:cs="Times New Roman"/>
          <w:b/>
          <w:bCs/>
          <w:color w:val="auto"/>
          <w:szCs w:val="21"/>
          <w:highlight w:val="none"/>
        </w:rPr>
        <w:t>（三）符合性审查</w:t>
      </w:r>
    </w:p>
    <w:p>
      <w:pPr>
        <w:snapToGrid w:val="0"/>
        <w:spacing w:line="410" w:lineRule="exact"/>
        <w:ind w:firstLine="420" w:firstLineChars="2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评标委员会对符合资格的投标人投标文件进行符合性审查，以确定其是否满足招标文件的实质性要求。</w:t>
      </w:r>
    </w:p>
    <w:p>
      <w:pPr>
        <w:snapToGrid w:val="0"/>
        <w:spacing w:line="410" w:lineRule="exact"/>
        <w:ind w:firstLine="422" w:firstLineChars="200"/>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1.符合性审查时，如发现下列情形之一的，投标文件将被视为无效：</w:t>
      </w:r>
    </w:p>
    <w:p>
      <w:pPr>
        <w:snapToGrid w:val="0"/>
        <w:spacing w:line="410" w:lineRule="exact"/>
        <w:ind w:firstLine="422" w:firstLineChars="200"/>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(1)商务评审:</w:t>
      </w:r>
    </w:p>
    <w:p>
      <w:pPr>
        <w:snapToGrid w:val="0"/>
        <w:spacing w:line="410" w:lineRule="exact"/>
        <w:ind w:firstLine="525" w:firstLineChars="25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①投标文件未按投标文件编制要求提供或内容虚假的</w:t>
      </w:r>
    </w:p>
    <w:p>
      <w:pPr>
        <w:snapToGrid w:val="0"/>
        <w:spacing w:line="410" w:lineRule="exact"/>
        <w:ind w:firstLine="525" w:firstLineChars="25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②投标文件无法定代表人或其委托代理人签署、未提供授权委托书，或未按规定盖章的；</w:t>
      </w:r>
    </w:p>
    <w:p>
      <w:pPr>
        <w:snapToGrid w:val="0"/>
        <w:spacing w:line="410" w:lineRule="exact"/>
        <w:ind w:firstLine="525" w:firstLineChars="25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③投标人代表未能出具身份证明或与法定代表人委托代理人身份不符的；</w:t>
      </w:r>
    </w:p>
    <w:p>
      <w:pPr>
        <w:snapToGrid w:val="0"/>
        <w:spacing w:line="410" w:lineRule="exact"/>
        <w:ind w:firstLine="525" w:firstLineChars="25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④投</w:t>
      </w:r>
      <w:bookmarkStart w:id="155" w:name="_Hlk112423038"/>
      <w:r>
        <w:rPr>
          <w:rFonts w:hint="eastAsia" w:ascii="宋体" w:hAnsi="宋体" w:eastAsia="宋体" w:cs="Times New Roman"/>
          <w:color w:val="auto"/>
          <w:szCs w:val="21"/>
          <w:highlight w:val="none"/>
        </w:rPr>
        <w:t>标有效期、交货时间、质保期等不允许偏离的实质性要求和条件不能满足招标文件要求的；</w:t>
      </w:r>
      <w:bookmarkEnd w:id="155"/>
    </w:p>
    <w:p>
      <w:pPr>
        <w:snapToGrid w:val="0"/>
        <w:spacing w:line="410" w:lineRule="exact"/>
        <w:ind w:firstLine="525" w:firstLineChars="25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⑤投标文件的实质性内容未使用中文表述、意思表述不明确、前后矛盾或者使用计量单位不符合招标文件要求的；</w:t>
      </w:r>
    </w:p>
    <w:p>
      <w:pPr>
        <w:snapToGrid w:val="0"/>
        <w:spacing w:line="410" w:lineRule="exact"/>
        <w:ind w:firstLine="525" w:firstLineChars="25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⑥未实质性响应招标文件要求或者投标文件有采购人不能接受的附加条件的；</w:t>
      </w:r>
    </w:p>
    <w:p>
      <w:pPr>
        <w:snapToGrid w:val="0"/>
        <w:spacing w:line="410" w:lineRule="exact"/>
        <w:ind w:firstLine="422" w:firstLineChars="200"/>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(2)技术评审：</w:t>
      </w:r>
    </w:p>
    <w:p>
      <w:pPr>
        <w:snapToGrid w:val="0"/>
        <w:spacing w:line="410" w:lineRule="exact"/>
        <w:ind w:firstLine="505" w:firstLineChars="250"/>
        <w:rPr>
          <w:rFonts w:hint="eastAsia" w:ascii="宋体" w:hAnsi="宋体" w:eastAsia="宋体" w:cs="Times New Roman"/>
          <w:color w:val="auto"/>
          <w:spacing w:val="-4"/>
          <w:szCs w:val="21"/>
          <w:highlight w:val="none"/>
        </w:rPr>
      </w:pPr>
      <w:r>
        <w:rPr>
          <w:rFonts w:hint="eastAsia" w:ascii="宋体" w:hAnsi="宋体" w:eastAsia="宋体" w:cs="Times New Roman"/>
          <w:color w:val="auto"/>
          <w:spacing w:val="-4"/>
          <w:szCs w:val="21"/>
          <w:highlight w:val="none"/>
        </w:rPr>
        <w:t>①</w:t>
      </w:r>
      <w:r>
        <w:rPr>
          <w:rFonts w:hint="eastAsia" w:ascii="宋体" w:hAnsi="宋体" w:eastAsia="宋体" w:cs="Times New Roman"/>
          <w:color w:val="auto"/>
          <w:szCs w:val="21"/>
          <w:highlight w:val="none"/>
        </w:rPr>
        <w:t>未提供或未如实提供货物技术参数或服务响应，或投标文件标明的响应或偏离与事实不符的；</w:t>
      </w:r>
    </w:p>
    <w:p>
      <w:pPr>
        <w:snapToGrid w:val="0"/>
        <w:spacing w:line="410" w:lineRule="exact"/>
        <w:ind w:firstLine="505" w:firstLineChars="250"/>
        <w:rPr>
          <w:rFonts w:hint="eastAsia" w:ascii="宋体" w:hAnsi="宋体" w:eastAsia="宋体" w:cs="Times New Roman"/>
          <w:color w:val="auto"/>
          <w:spacing w:val="-4"/>
          <w:szCs w:val="21"/>
          <w:highlight w:val="none"/>
        </w:rPr>
      </w:pPr>
      <w:r>
        <w:rPr>
          <w:rFonts w:hint="eastAsia" w:ascii="宋体" w:hAnsi="宋体" w:eastAsia="宋体" w:cs="Times New Roman"/>
          <w:color w:val="auto"/>
          <w:spacing w:val="-4"/>
          <w:szCs w:val="21"/>
          <w:highlight w:val="none"/>
        </w:rPr>
        <w:t>②明显不符合招标文件要求的质量标准，或者与招标文件中的技术指标、功能、服务事项发生实质性较大偏离，已不符合采购人需求的；</w:t>
      </w:r>
    </w:p>
    <w:p>
      <w:pPr>
        <w:snapToGrid w:val="0"/>
        <w:spacing w:line="410" w:lineRule="exact"/>
        <w:ind w:firstLine="505" w:firstLineChars="250"/>
        <w:rPr>
          <w:rFonts w:hint="eastAsia" w:ascii="宋体" w:hAnsi="宋体" w:eastAsia="宋体" w:cs="Times New Roman"/>
          <w:color w:val="auto"/>
          <w:spacing w:val="-4"/>
          <w:szCs w:val="21"/>
          <w:highlight w:val="none"/>
        </w:rPr>
      </w:pPr>
      <w:r>
        <w:rPr>
          <w:rFonts w:hint="eastAsia" w:ascii="宋体" w:hAnsi="宋体" w:eastAsia="宋体" w:cs="Times New Roman"/>
          <w:color w:val="auto"/>
          <w:spacing w:val="-4"/>
          <w:szCs w:val="21"/>
          <w:highlight w:val="none"/>
        </w:rPr>
        <w:t>③投标文件技术方案不明确，存在一个或一个以上备选（替代）投标方案的。</w:t>
      </w:r>
    </w:p>
    <w:p>
      <w:pPr>
        <w:snapToGrid w:val="0"/>
        <w:spacing w:line="410" w:lineRule="exact"/>
        <w:ind w:firstLine="422" w:firstLineChars="200"/>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(3)报价评审：</w:t>
      </w:r>
    </w:p>
    <w:p>
      <w:pPr>
        <w:snapToGrid w:val="0"/>
        <w:spacing w:line="410" w:lineRule="exact"/>
        <w:ind w:firstLine="505" w:firstLineChars="250"/>
        <w:rPr>
          <w:rFonts w:hint="eastAsia" w:ascii="宋体" w:hAnsi="宋体" w:eastAsia="宋体" w:cs="Times New Roman"/>
          <w:color w:val="auto"/>
          <w:spacing w:val="-4"/>
          <w:szCs w:val="21"/>
          <w:highlight w:val="none"/>
        </w:rPr>
      </w:pPr>
      <w:r>
        <w:rPr>
          <w:rFonts w:hint="eastAsia" w:ascii="宋体" w:hAnsi="宋体" w:eastAsia="宋体" w:cs="Times New Roman"/>
          <w:color w:val="auto"/>
          <w:spacing w:val="-4"/>
          <w:szCs w:val="21"/>
          <w:highlight w:val="none"/>
        </w:rPr>
        <w:t>①报价超过招标文件中规定的预算金额或者最高限价的；</w:t>
      </w:r>
    </w:p>
    <w:p>
      <w:pPr>
        <w:snapToGrid w:val="0"/>
        <w:spacing w:line="410" w:lineRule="exact"/>
        <w:ind w:firstLine="505" w:firstLineChars="250"/>
        <w:rPr>
          <w:rFonts w:hint="eastAsia" w:ascii="宋体" w:hAnsi="宋体" w:eastAsia="宋体" w:cs="Times New Roman"/>
          <w:color w:val="auto"/>
          <w:spacing w:val="-4"/>
          <w:szCs w:val="21"/>
          <w:highlight w:val="none"/>
        </w:rPr>
      </w:pPr>
      <w:r>
        <w:rPr>
          <w:rFonts w:hint="eastAsia" w:ascii="宋体" w:hAnsi="宋体" w:eastAsia="宋体" w:cs="Times New Roman"/>
          <w:color w:val="auto"/>
          <w:spacing w:val="-4"/>
          <w:szCs w:val="21"/>
          <w:highlight w:val="none"/>
        </w:rPr>
        <w:t>②未采用人民币报价或者未按照招标文件标明的币种报价的；</w:t>
      </w:r>
    </w:p>
    <w:p>
      <w:pPr>
        <w:snapToGrid w:val="0"/>
        <w:spacing w:line="410" w:lineRule="exact"/>
        <w:ind w:firstLine="505" w:firstLineChars="250"/>
        <w:rPr>
          <w:rFonts w:hint="eastAsia" w:ascii="宋体" w:hAnsi="宋体" w:eastAsia="宋体" w:cs="Times New Roman"/>
          <w:color w:val="auto"/>
          <w:spacing w:val="-4"/>
          <w:szCs w:val="21"/>
          <w:highlight w:val="none"/>
        </w:rPr>
      </w:pPr>
      <w:r>
        <w:rPr>
          <w:rFonts w:hint="eastAsia" w:ascii="宋体" w:hAnsi="宋体" w:eastAsia="宋体" w:cs="Times New Roman"/>
          <w:color w:val="auto"/>
          <w:spacing w:val="-4"/>
          <w:szCs w:val="21"/>
          <w:highlight w:val="none"/>
        </w:rPr>
        <w:t>③投标报价具有选择性；</w:t>
      </w:r>
    </w:p>
    <w:p>
      <w:pPr>
        <w:snapToGrid w:val="0"/>
        <w:spacing w:line="410" w:lineRule="exact"/>
        <w:ind w:firstLine="505" w:firstLineChars="250"/>
        <w:rPr>
          <w:rFonts w:hint="eastAsia" w:ascii="宋体" w:hAnsi="宋体" w:eastAsia="宋体" w:cs="Times New Roman"/>
          <w:color w:val="auto"/>
          <w:spacing w:val="-4"/>
          <w:szCs w:val="21"/>
          <w:highlight w:val="none"/>
        </w:rPr>
      </w:pPr>
      <w:r>
        <w:rPr>
          <w:rFonts w:hint="eastAsia" w:ascii="宋体" w:hAnsi="宋体" w:eastAsia="宋体" w:cs="Times New Roman"/>
          <w:color w:val="auto"/>
          <w:spacing w:val="-4"/>
          <w:szCs w:val="21"/>
          <w:highlight w:val="none"/>
        </w:rPr>
        <w:t>④</w:t>
      </w:r>
      <w:r>
        <w:rPr>
          <w:rFonts w:hint="eastAsia" w:ascii="宋体" w:hAnsi="宋体" w:eastAsia="宋体" w:cs="Courier New"/>
          <w:color w:val="auto"/>
          <w:szCs w:val="21"/>
          <w:highlight w:val="none"/>
        </w:rPr>
        <w:t>投标人在政采云平台制作投标文件时填写的报价金额与解密后“电子加密投标文件”中报价金额不一致的，以解密后“电子加密投标文件”中报价金额为准，投标人拒绝接受此调整的，视为无效投标文件。</w:t>
      </w:r>
    </w:p>
    <w:p>
      <w:pPr>
        <w:snapToGrid w:val="0"/>
        <w:spacing w:line="410" w:lineRule="exact"/>
        <w:ind w:firstLine="505" w:firstLineChars="250"/>
        <w:rPr>
          <w:rFonts w:hint="eastAsia" w:ascii="宋体" w:hAnsi="宋体" w:eastAsia="宋体" w:cs="Times New Roman"/>
          <w:color w:val="auto"/>
          <w:spacing w:val="-4"/>
          <w:szCs w:val="21"/>
          <w:highlight w:val="none"/>
        </w:rPr>
      </w:pPr>
      <w:r>
        <w:rPr>
          <w:rFonts w:hint="eastAsia" w:ascii="宋体" w:hAnsi="宋体" w:eastAsia="宋体" w:cs="Times New Roman"/>
          <w:color w:val="auto"/>
          <w:spacing w:val="-4"/>
          <w:szCs w:val="21"/>
          <w:highlight w:val="none"/>
        </w:rPr>
        <w:t>⑤评审中出现下列情形之一的，评审小组应当启动异常低价响应审查程序:</w:t>
      </w:r>
    </w:p>
    <w:p>
      <w:pPr>
        <w:snapToGrid w:val="0"/>
        <w:spacing w:line="410" w:lineRule="exact"/>
        <w:ind w:firstLine="505" w:firstLineChars="250"/>
        <w:rPr>
          <w:rFonts w:hint="eastAsia" w:ascii="宋体" w:hAnsi="宋体" w:eastAsia="宋体" w:cs="Times New Roman"/>
          <w:color w:val="auto"/>
          <w:spacing w:val="-4"/>
          <w:szCs w:val="21"/>
          <w:highlight w:val="none"/>
        </w:rPr>
      </w:pPr>
      <w:r>
        <w:rPr>
          <w:rFonts w:hint="eastAsia" w:ascii="宋体" w:hAnsi="宋体" w:eastAsia="宋体" w:cs="Times New Roman"/>
          <w:color w:val="auto"/>
          <w:spacing w:val="-4"/>
          <w:szCs w:val="21"/>
          <w:highlight w:val="none"/>
        </w:rPr>
        <w:t>A.响应报价低于全部通过符合性审查供应商响应报价平均值50%的，即响应报价＜全部通过符合性审查供应商响应报价平均值×50%；</w:t>
      </w:r>
    </w:p>
    <w:p>
      <w:pPr>
        <w:snapToGrid w:val="0"/>
        <w:spacing w:line="410" w:lineRule="exact"/>
        <w:ind w:firstLine="505" w:firstLineChars="250"/>
        <w:rPr>
          <w:rFonts w:hint="eastAsia" w:ascii="宋体" w:hAnsi="宋体" w:eastAsia="宋体" w:cs="Times New Roman"/>
          <w:color w:val="auto"/>
          <w:spacing w:val="-4"/>
          <w:szCs w:val="21"/>
          <w:highlight w:val="none"/>
        </w:rPr>
      </w:pPr>
      <w:r>
        <w:rPr>
          <w:rFonts w:hint="eastAsia" w:ascii="宋体" w:hAnsi="宋体" w:eastAsia="宋体" w:cs="Times New Roman"/>
          <w:color w:val="auto"/>
          <w:spacing w:val="-4"/>
          <w:szCs w:val="21"/>
          <w:highlight w:val="none"/>
        </w:rPr>
        <w:t>B.响应报价低于通过符合性审查的次低报价供应商响应报价50%的，即响应报价＜通过符合性审查的次低报价供应商响应报价×50%；</w:t>
      </w:r>
    </w:p>
    <w:p>
      <w:pPr>
        <w:snapToGrid w:val="0"/>
        <w:spacing w:line="410" w:lineRule="exact"/>
        <w:ind w:firstLine="505" w:firstLineChars="250"/>
        <w:rPr>
          <w:rFonts w:hint="eastAsia" w:ascii="宋体" w:hAnsi="宋体" w:eastAsia="宋体" w:cs="Times New Roman"/>
          <w:color w:val="auto"/>
          <w:spacing w:val="-4"/>
          <w:szCs w:val="21"/>
          <w:highlight w:val="none"/>
        </w:rPr>
      </w:pPr>
      <w:r>
        <w:rPr>
          <w:rFonts w:hint="eastAsia" w:ascii="宋体" w:hAnsi="宋体" w:eastAsia="宋体" w:cs="Times New Roman"/>
          <w:color w:val="auto"/>
          <w:spacing w:val="-4"/>
          <w:szCs w:val="21"/>
          <w:highlight w:val="none"/>
        </w:rPr>
        <w:t>C.响应报价低于采购项目最高限价45%的，即响应报价＜采购项目最高限价×45%。（未设定最高限价的采购项目，以采购项目预算金额作为最高限价）</w:t>
      </w:r>
    </w:p>
    <w:p>
      <w:pPr>
        <w:snapToGrid w:val="0"/>
        <w:spacing w:line="410" w:lineRule="exact"/>
        <w:ind w:firstLine="505" w:firstLineChars="250"/>
        <w:rPr>
          <w:rFonts w:hint="eastAsia" w:ascii="宋体" w:hAnsi="宋体" w:eastAsia="宋体" w:cs="Times New Roman"/>
          <w:color w:val="auto"/>
          <w:spacing w:val="-4"/>
          <w:szCs w:val="21"/>
          <w:highlight w:val="none"/>
        </w:rPr>
      </w:pPr>
      <w:r>
        <w:rPr>
          <w:rFonts w:hint="eastAsia" w:ascii="宋体" w:hAnsi="宋体" w:eastAsia="宋体" w:cs="Times New Roman"/>
          <w:color w:val="auto"/>
          <w:spacing w:val="-4"/>
          <w:szCs w:val="21"/>
          <w:highlight w:val="none"/>
        </w:rPr>
        <w:t>D.评审小组基于专业判断，认为供应商报价过低，有可能影响产品质量或者不能诚信履约的其他情形。</w:t>
      </w:r>
    </w:p>
    <w:p>
      <w:pPr>
        <w:snapToGrid w:val="0"/>
        <w:spacing w:line="410" w:lineRule="exact"/>
        <w:ind w:firstLine="505" w:firstLineChars="250"/>
        <w:rPr>
          <w:rFonts w:hint="eastAsia" w:ascii="宋体" w:hAnsi="宋体" w:eastAsia="宋体" w:cs="Times New Roman"/>
          <w:color w:val="auto"/>
          <w:spacing w:val="-4"/>
          <w:szCs w:val="21"/>
          <w:highlight w:val="none"/>
        </w:rPr>
      </w:pPr>
      <w:r>
        <w:rPr>
          <w:rFonts w:hint="eastAsia" w:ascii="宋体" w:hAnsi="宋体" w:eastAsia="宋体" w:cs="Times New Roman"/>
          <w:color w:val="auto"/>
          <w:spacing w:val="-4"/>
          <w:szCs w:val="21"/>
          <w:highlight w:val="none"/>
        </w:rPr>
        <w:t>E.相关法律法规对供应商报价有规定的，从其规定。</w:t>
      </w:r>
    </w:p>
    <w:p>
      <w:pPr>
        <w:snapToGrid w:val="0"/>
        <w:spacing w:line="410" w:lineRule="exact"/>
        <w:ind w:firstLine="505" w:firstLineChars="250"/>
        <w:rPr>
          <w:rFonts w:hint="eastAsia" w:ascii="宋体" w:hAnsi="宋体" w:eastAsia="宋体" w:cs="Times New Roman"/>
          <w:color w:val="auto"/>
          <w:spacing w:val="-4"/>
          <w:szCs w:val="21"/>
          <w:highlight w:val="none"/>
        </w:rPr>
      </w:pPr>
      <w:r>
        <w:rPr>
          <w:rFonts w:hint="eastAsia" w:ascii="宋体" w:hAnsi="宋体" w:eastAsia="宋体" w:cs="Times New Roman"/>
          <w:color w:val="auto"/>
          <w:spacing w:val="-4"/>
          <w:szCs w:val="21"/>
          <w:highlight w:val="none"/>
        </w:rPr>
        <w:t>F.评审小组启动异常低价响应审查后，属于前述第</w:t>
      </w:r>
      <w:r>
        <w:rPr>
          <w:rFonts w:hint="eastAsia" w:ascii="宋体" w:hAnsi="宋体" w:eastAsia="宋体" w:cs="Times New Roman"/>
          <w:color w:val="auto"/>
          <w:spacing w:val="-4"/>
          <w:szCs w:val="21"/>
          <w:highlight w:val="none"/>
          <w:lang w:val="en-US" w:eastAsia="zh-CN"/>
        </w:rPr>
        <w:t>A</w:t>
      </w:r>
      <w:r>
        <w:rPr>
          <w:rFonts w:hint="eastAsia" w:ascii="宋体" w:hAnsi="宋体" w:eastAsia="宋体" w:cs="Times New Roman"/>
          <w:color w:val="auto"/>
          <w:spacing w:val="-4"/>
          <w:szCs w:val="21"/>
          <w:highlight w:val="none"/>
        </w:rPr>
        <w:t>项至第</w:t>
      </w:r>
      <w:r>
        <w:rPr>
          <w:rFonts w:hint="eastAsia" w:ascii="宋体" w:hAnsi="宋体" w:eastAsia="宋体" w:cs="Times New Roman"/>
          <w:color w:val="auto"/>
          <w:spacing w:val="-4"/>
          <w:szCs w:val="21"/>
          <w:highlight w:val="none"/>
          <w:lang w:val="en-US" w:eastAsia="zh-CN"/>
        </w:rPr>
        <w:t>D</w:t>
      </w:r>
      <w:r>
        <w:rPr>
          <w:rFonts w:hint="eastAsia" w:ascii="宋体" w:hAnsi="宋体" w:eastAsia="宋体" w:cs="Times New Roman"/>
          <w:color w:val="auto"/>
          <w:spacing w:val="-4"/>
          <w:szCs w:val="21"/>
          <w:highlight w:val="none"/>
        </w:rPr>
        <w:t>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eastAsia="宋体" w:cs="Times New Roman"/>
          <w:color w:val="auto"/>
          <w:spacing w:val="-4"/>
          <w:szCs w:val="21"/>
          <w:highlight w:val="none"/>
          <w:lang w:val="en-US" w:eastAsia="zh-CN"/>
        </w:rPr>
        <w:t>C</w:t>
      </w:r>
      <w:r>
        <w:rPr>
          <w:rFonts w:hint="eastAsia" w:ascii="宋体" w:hAnsi="宋体" w:eastAsia="宋体" w:cs="Times New Roman"/>
          <w:color w:val="auto"/>
          <w:spacing w:val="-4"/>
          <w:szCs w:val="21"/>
          <w:highlight w:val="none"/>
        </w:rPr>
        <w:t>项情形，供应商已随响应文件一并提交相关书面说明及必要的证明材料的，在评审现场可不再重复提交。</w:t>
      </w:r>
    </w:p>
    <w:p>
      <w:pPr>
        <w:snapToGrid w:val="0"/>
        <w:spacing w:line="410" w:lineRule="exact"/>
        <w:ind w:firstLine="505" w:firstLineChars="250"/>
        <w:rPr>
          <w:rFonts w:hint="eastAsia" w:ascii="宋体" w:hAnsi="宋体" w:eastAsia="宋体" w:cs="Times New Roman"/>
          <w:color w:val="auto"/>
          <w:spacing w:val="-4"/>
          <w:szCs w:val="21"/>
          <w:highlight w:val="none"/>
        </w:rPr>
      </w:pPr>
      <w:r>
        <w:rPr>
          <w:rFonts w:hint="eastAsia" w:ascii="宋体" w:hAnsi="宋体" w:eastAsia="宋体" w:cs="Times New Roman"/>
          <w:color w:val="auto"/>
          <w:spacing w:val="-4"/>
          <w:szCs w:val="21"/>
          <w:highlight w:val="none"/>
        </w:rPr>
        <w:t>G.评审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小组应当将其作为无效响应处理。</w:t>
      </w:r>
    </w:p>
    <w:p>
      <w:pPr>
        <w:snapToGrid w:val="0"/>
        <w:spacing w:line="410" w:lineRule="exact"/>
        <w:ind w:firstLine="211" w:firstLineChars="100"/>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（四）比较与评价</w:t>
      </w:r>
    </w:p>
    <w:p>
      <w:pPr>
        <w:snapToGrid w:val="0"/>
        <w:spacing w:line="410" w:lineRule="exact"/>
        <w:ind w:firstLine="420" w:firstLineChars="2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hint="eastAsia" w:ascii="宋体" w:hAnsi="Courier New" w:eastAsia="宋体" w:cs="Courier New"/>
          <w:color w:val="auto"/>
          <w:szCs w:val="21"/>
          <w:highlight w:val="none"/>
        </w:rPr>
        <w:t>评分细则：</w:t>
      </w:r>
      <w:bookmarkStart w:id="156" w:name="_Hlk92463857"/>
      <w:r>
        <w:rPr>
          <w:rFonts w:hint="eastAsia" w:ascii="宋体" w:hAnsi="Courier New" w:eastAsia="宋体" w:cs="Courier New"/>
          <w:color w:val="auto"/>
          <w:szCs w:val="21"/>
          <w:highlight w:val="none"/>
        </w:rPr>
        <w:t>详见第四章《评定标准及推荐原则》</w:t>
      </w:r>
      <w:bookmarkEnd w:id="156"/>
      <w:r>
        <w:rPr>
          <w:rFonts w:hint="eastAsia" w:ascii="宋体" w:hAnsi="Courier New" w:eastAsia="宋体" w:cs="Courier New"/>
          <w:color w:val="auto"/>
          <w:szCs w:val="21"/>
          <w:highlight w:val="none"/>
        </w:rPr>
        <w:t>。</w:t>
      </w:r>
    </w:p>
    <w:p>
      <w:pPr>
        <w:snapToGrid w:val="0"/>
        <w:spacing w:line="410" w:lineRule="exact"/>
        <w:ind w:firstLine="420" w:firstLineChars="2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2.评标委员会按评分细则对各投标人的投标文件进行评价打分，由政府采购云平台进行计算。</w:t>
      </w:r>
    </w:p>
    <w:p>
      <w:pPr>
        <w:snapToGrid w:val="0"/>
        <w:spacing w:line="410" w:lineRule="exact"/>
        <w:ind w:firstLine="420" w:firstLineChars="200"/>
        <w:rPr>
          <w:rFonts w:hint="eastAsia" w:ascii="宋体" w:hAnsi="宋体" w:eastAsia="宋体" w:cs="Times New Roman"/>
          <w:color w:val="auto"/>
          <w:szCs w:val="21"/>
          <w:highlight w:val="none"/>
        </w:rPr>
      </w:pPr>
      <w:bookmarkStart w:id="157" w:name="_Hlk90303998"/>
      <w:r>
        <w:rPr>
          <w:rFonts w:hint="eastAsia" w:ascii="宋体" w:hAnsi="宋体" w:eastAsia="宋体" w:cs="Times New Roman"/>
          <w:color w:val="auto"/>
          <w:szCs w:val="21"/>
          <w:highlight w:val="none"/>
        </w:rPr>
        <w:t>2.评标委员会</w:t>
      </w:r>
      <w:bookmarkEnd w:id="157"/>
      <w:r>
        <w:rPr>
          <w:rFonts w:hint="eastAsia" w:ascii="宋体" w:hAnsi="宋体" w:eastAsia="宋体" w:cs="Times New Roman"/>
          <w:color w:val="auto"/>
          <w:szCs w:val="21"/>
          <w:highlight w:val="none"/>
        </w:rPr>
        <w:t>完成评标后,由政府采购云平台对各投标人各项得分进行汇总，计算各投标人最终得分。评标委员会按推荐原则推荐中标候选人同时形成评标报告。</w:t>
      </w:r>
      <w:bookmarkStart w:id="158" w:name="_Toc352700436"/>
      <w:bookmarkStart w:id="159" w:name="_Toc353785306"/>
    </w:p>
    <w:p>
      <w:pPr>
        <w:snapToGrid w:val="0"/>
        <w:spacing w:line="410" w:lineRule="exact"/>
        <w:ind w:firstLine="211" w:firstLineChars="100"/>
        <w:rPr>
          <w:rFonts w:hint="eastAsia" w:ascii="宋体" w:hAnsi="宋体" w:eastAsia="宋体" w:cs="Times New Roman"/>
          <w:b/>
          <w:bCs/>
          <w:color w:val="auto"/>
          <w:szCs w:val="32"/>
          <w:highlight w:val="none"/>
        </w:rPr>
      </w:pPr>
      <w:r>
        <w:rPr>
          <w:rFonts w:hint="eastAsia" w:ascii="宋体" w:hAnsi="宋体" w:eastAsia="宋体" w:cs="Times New Roman"/>
          <w:b/>
          <w:bCs/>
          <w:color w:val="auto"/>
          <w:szCs w:val="32"/>
          <w:highlight w:val="none"/>
        </w:rPr>
        <w:t>（五）澄清问题的形式</w:t>
      </w:r>
      <w:bookmarkEnd w:id="158"/>
      <w:bookmarkEnd w:id="159"/>
    </w:p>
    <w:p>
      <w:pPr>
        <w:spacing w:line="410" w:lineRule="exact"/>
        <w:ind w:firstLine="420" w:firstLineChars="200"/>
        <w:rPr>
          <w:rFonts w:ascii="Times New Roman" w:hAnsi="Times New Roman" w:eastAsia="宋体" w:cs="Times New Roman"/>
          <w:color w:val="auto"/>
          <w:szCs w:val="24"/>
          <w:highlight w:val="none"/>
        </w:rPr>
      </w:pPr>
      <w:bookmarkStart w:id="160" w:name="_Toc352700437"/>
      <w:bookmarkStart w:id="161" w:name="_Toc353785307"/>
      <w:r>
        <w:rPr>
          <w:rFonts w:hint="eastAsia" w:ascii="Times New Roman" w:hAnsi="Times New Roman" w:eastAsia="宋体" w:cs="Times New Roman"/>
          <w:color w:val="auto"/>
          <w:szCs w:val="24"/>
          <w:highlight w:val="none"/>
        </w:rPr>
        <w:t>对于投标文件中含义不明确、同类问题表述不一致或者有明显文字和计算错误的内容，评标委员会应当以书面形式要求投标人作出必要的</w:t>
      </w:r>
      <w:bookmarkStart w:id="162" w:name="_Hlk92457660"/>
      <w:r>
        <w:rPr>
          <w:rFonts w:hint="eastAsia" w:ascii="Times New Roman" w:hAnsi="Times New Roman" w:eastAsia="宋体" w:cs="Times New Roman"/>
          <w:color w:val="auto"/>
          <w:szCs w:val="24"/>
          <w:highlight w:val="none"/>
        </w:rPr>
        <w:t>澄清、说明或者补正</w:t>
      </w:r>
      <w:bookmarkEnd w:id="162"/>
      <w:r>
        <w:rPr>
          <w:rFonts w:hint="eastAsia" w:ascii="Times New Roman" w:hAnsi="Times New Roman" w:eastAsia="宋体" w:cs="Times New Roman"/>
          <w:color w:val="auto"/>
          <w:szCs w:val="24"/>
          <w:highlight w:val="none"/>
        </w:rPr>
        <w:t>。投标人的澄清、说明或者补正应当采用书面形式，并加盖公章，或者由法定代表人或其授权的代表签名。投标人的澄清、说明或者补正不得超出投标文件的范围或者改变投标文件的实质性内容。</w:t>
      </w:r>
    </w:p>
    <w:p>
      <w:pPr>
        <w:spacing w:line="410" w:lineRule="exact"/>
        <w:ind w:firstLine="211" w:firstLineChars="100"/>
        <w:rPr>
          <w:rFonts w:ascii="Times New Roman" w:hAnsi="Times New Roman" w:eastAsia="宋体" w:cs="Times New Roman"/>
          <w:b/>
          <w:bCs/>
          <w:color w:val="auto"/>
          <w:szCs w:val="24"/>
          <w:highlight w:val="none"/>
        </w:rPr>
      </w:pPr>
      <w:r>
        <w:rPr>
          <w:rFonts w:hint="eastAsia" w:ascii="Times New Roman" w:hAnsi="Times New Roman" w:eastAsia="宋体" w:cs="Times New Roman"/>
          <w:b/>
          <w:bCs/>
          <w:color w:val="auto"/>
          <w:szCs w:val="24"/>
          <w:highlight w:val="none"/>
        </w:rPr>
        <w:t>（六）错误修正</w:t>
      </w:r>
      <w:bookmarkEnd w:id="160"/>
      <w:bookmarkEnd w:id="161"/>
    </w:p>
    <w:p>
      <w:pPr>
        <w:snapToGrid w:val="0"/>
        <w:spacing w:line="410" w:lineRule="exact"/>
        <w:ind w:firstLine="420" w:firstLineChars="200"/>
        <w:rPr>
          <w:rFonts w:hint="eastAsia" w:ascii="宋体" w:hAnsi="宋体" w:eastAsia="宋体" w:cs="Courier New"/>
          <w:color w:val="auto"/>
          <w:szCs w:val="21"/>
          <w:highlight w:val="none"/>
        </w:rPr>
      </w:pPr>
      <w:r>
        <w:rPr>
          <w:rFonts w:hint="eastAsia" w:ascii="宋体" w:hAnsi="宋体" w:eastAsia="宋体" w:cs="Courier New"/>
          <w:color w:val="auto"/>
          <w:szCs w:val="21"/>
          <w:highlight w:val="none"/>
        </w:rPr>
        <w:t>投标文件报价出现前后不一致的，除招标文件另有规定外，按照下列规定修正：</w:t>
      </w:r>
    </w:p>
    <w:p>
      <w:pPr>
        <w:snapToGrid w:val="0"/>
        <w:spacing w:line="410" w:lineRule="exact"/>
        <w:ind w:firstLine="420" w:firstLineChars="200"/>
        <w:rPr>
          <w:rFonts w:hint="eastAsia" w:ascii="宋体" w:hAnsi="宋体" w:eastAsia="宋体" w:cs="Courier New"/>
          <w:color w:val="auto"/>
          <w:szCs w:val="21"/>
          <w:highlight w:val="none"/>
        </w:rPr>
      </w:pPr>
      <w:r>
        <w:rPr>
          <w:rFonts w:hint="eastAsia" w:ascii="宋体" w:hAnsi="宋体" w:eastAsia="宋体" w:cs="Courier New"/>
          <w:color w:val="auto"/>
          <w:szCs w:val="21"/>
          <w:highlight w:val="none"/>
        </w:rPr>
        <w:t>1.投标文件中开标一览表内容</w:t>
      </w:r>
      <w:bookmarkStart w:id="163" w:name="_Hlk92464203"/>
      <w:r>
        <w:rPr>
          <w:rFonts w:hint="eastAsia" w:ascii="宋体" w:hAnsi="宋体" w:eastAsia="宋体" w:cs="Courier New"/>
          <w:color w:val="auto"/>
          <w:szCs w:val="21"/>
          <w:highlight w:val="none"/>
        </w:rPr>
        <w:t>与投标文件中相应内容不一致的</w:t>
      </w:r>
      <w:bookmarkEnd w:id="163"/>
      <w:r>
        <w:rPr>
          <w:rFonts w:hint="eastAsia" w:ascii="宋体" w:hAnsi="宋体" w:eastAsia="宋体" w:cs="Courier New"/>
          <w:color w:val="auto"/>
          <w:szCs w:val="21"/>
          <w:highlight w:val="none"/>
        </w:rPr>
        <w:t>，以开标一览表为准；</w:t>
      </w:r>
    </w:p>
    <w:p>
      <w:pPr>
        <w:snapToGrid w:val="0"/>
        <w:spacing w:line="410" w:lineRule="exact"/>
        <w:ind w:firstLine="420" w:firstLineChars="200"/>
        <w:rPr>
          <w:rFonts w:hint="eastAsia" w:ascii="宋体" w:hAnsi="宋体" w:eastAsia="宋体" w:cs="Courier New"/>
          <w:color w:val="auto"/>
          <w:szCs w:val="21"/>
          <w:highlight w:val="none"/>
        </w:rPr>
      </w:pPr>
      <w:r>
        <w:rPr>
          <w:rFonts w:hint="eastAsia" w:ascii="宋体" w:hAnsi="宋体" w:eastAsia="宋体" w:cs="Courier New"/>
          <w:color w:val="auto"/>
          <w:szCs w:val="21"/>
          <w:highlight w:val="none"/>
        </w:rPr>
        <w:t>2.大写金额和小写金额不一致的，以大写金额为准；</w:t>
      </w:r>
    </w:p>
    <w:p>
      <w:pPr>
        <w:snapToGrid w:val="0"/>
        <w:spacing w:line="410" w:lineRule="exact"/>
        <w:ind w:firstLine="420" w:firstLineChars="200"/>
        <w:rPr>
          <w:rFonts w:hint="eastAsia" w:ascii="宋体" w:hAnsi="宋体" w:eastAsia="宋体" w:cs="Courier New"/>
          <w:color w:val="auto"/>
          <w:szCs w:val="21"/>
          <w:highlight w:val="none"/>
        </w:rPr>
      </w:pPr>
      <w:r>
        <w:rPr>
          <w:rFonts w:hint="eastAsia" w:ascii="宋体" w:hAnsi="宋体" w:eastAsia="宋体" w:cs="Courier New"/>
          <w:color w:val="auto"/>
          <w:szCs w:val="21"/>
          <w:highlight w:val="none"/>
        </w:rPr>
        <w:t>3.单价金额小数点或者百分比有明显错位的，以开标一览表的总价为准，并修改单价；</w:t>
      </w:r>
    </w:p>
    <w:p>
      <w:pPr>
        <w:snapToGrid w:val="0"/>
        <w:spacing w:line="410" w:lineRule="exact"/>
        <w:ind w:firstLine="420" w:firstLineChars="200"/>
        <w:rPr>
          <w:rFonts w:hint="eastAsia" w:ascii="宋体" w:hAnsi="宋体" w:eastAsia="宋体" w:cs="Courier New"/>
          <w:color w:val="auto"/>
          <w:szCs w:val="21"/>
          <w:highlight w:val="none"/>
        </w:rPr>
      </w:pPr>
      <w:r>
        <w:rPr>
          <w:rFonts w:hint="eastAsia" w:ascii="宋体" w:hAnsi="宋体" w:eastAsia="宋体" w:cs="Courier New"/>
          <w:color w:val="auto"/>
          <w:szCs w:val="21"/>
          <w:highlight w:val="none"/>
        </w:rPr>
        <w:t>4.总价金额与按单价汇总金额不一致的，以单价金额计算结果为准。</w:t>
      </w:r>
    </w:p>
    <w:p>
      <w:pPr>
        <w:snapToGrid w:val="0"/>
        <w:spacing w:line="410" w:lineRule="exact"/>
        <w:ind w:firstLine="420" w:firstLineChars="200"/>
        <w:rPr>
          <w:rFonts w:hint="eastAsia" w:ascii="宋体" w:hAnsi="宋体" w:eastAsia="宋体" w:cs="Courier New"/>
          <w:color w:val="auto"/>
          <w:szCs w:val="21"/>
          <w:highlight w:val="none"/>
        </w:rPr>
      </w:pPr>
      <w:r>
        <w:rPr>
          <w:rFonts w:hint="eastAsia" w:ascii="宋体" w:hAnsi="宋体" w:eastAsia="宋体" w:cs="Courier New"/>
          <w:color w:val="auto"/>
          <w:szCs w:val="21"/>
          <w:highlight w:val="none"/>
        </w:rPr>
        <w:t>同时出现两种以上不一致的，按照前款规定的顺序修正。修正后的报价按照澄清、说明或者补正的规定经投标人确认后产生约束力，投标人不确认的，其投标无效。</w:t>
      </w:r>
    </w:p>
    <w:bookmarkEnd w:id="138"/>
    <w:bookmarkEnd w:id="139"/>
    <w:p>
      <w:pPr>
        <w:spacing w:line="410" w:lineRule="exact"/>
        <w:ind w:firstLine="211" w:firstLineChars="100"/>
        <w:rPr>
          <w:rFonts w:hint="eastAsia" w:ascii="宋体" w:hAnsi="宋体" w:eastAsia="宋体" w:cs="Courier New"/>
          <w:b/>
          <w:color w:val="auto"/>
          <w:szCs w:val="21"/>
          <w:highlight w:val="none"/>
        </w:rPr>
      </w:pPr>
      <w:bookmarkStart w:id="164" w:name="_Toc353785299"/>
      <w:bookmarkStart w:id="165" w:name="_Toc254970685"/>
      <w:bookmarkStart w:id="166" w:name="_Toc254970544"/>
      <w:bookmarkStart w:id="167" w:name="_Toc352700429"/>
      <w:r>
        <w:rPr>
          <w:rFonts w:hint="eastAsia" w:ascii="宋体" w:hAnsi="宋体" w:eastAsia="宋体" w:cs="Courier New"/>
          <w:b/>
          <w:color w:val="auto"/>
          <w:szCs w:val="21"/>
          <w:highlight w:val="none"/>
        </w:rPr>
        <w:t>（七）核心产品相同品牌产品投标、串通投标、恶意串通行为的说明：</w:t>
      </w:r>
    </w:p>
    <w:p>
      <w:pPr>
        <w:spacing w:line="410" w:lineRule="exact"/>
        <w:ind w:firstLine="420" w:firstLineChars="200"/>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rPr>
        <w:t>1.本项目不同投标人提供相同品牌的核心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pPr>
        <w:spacing w:line="410" w:lineRule="exact"/>
        <w:ind w:firstLine="420" w:firstLineChars="200"/>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rPr>
        <w:t>2.有下列情形之一的视为供应商相互串通投标，投标文件将被视为无效：</w:t>
      </w:r>
    </w:p>
    <w:p>
      <w:pPr>
        <w:spacing w:line="410" w:lineRule="exact"/>
        <w:ind w:firstLine="420" w:firstLineChars="200"/>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rPr>
        <w:t>(1)不同投标人的投标文件由同一单位或者个人编制；</w:t>
      </w:r>
    </w:p>
    <w:p>
      <w:pPr>
        <w:spacing w:line="410" w:lineRule="exact"/>
        <w:ind w:firstLine="420" w:firstLineChars="200"/>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rPr>
        <w:t>(2)不同投标人委托同一单位或者个人办理投标事宜；</w:t>
      </w:r>
    </w:p>
    <w:p>
      <w:pPr>
        <w:spacing w:line="410" w:lineRule="exact"/>
        <w:ind w:firstLine="420" w:firstLineChars="200"/>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rPr>
        <w:t>(3)不同投标人的投标文件载明的项目管理成员或者联系人员为同一人；</w:t>
      </w:r>
    </w:p>
    <w:p>
      <w:pPr>
        <w:spacing w:line="410" w:lineRule="exact"/>
        <w:ind w:firstLine="420" w:firstLineChars="200"/>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rPr>
        <w:t>(4)不同投标人的投标文件异常一致或者投标报价呈规律性差异；</w:t>
      </w:r>
    </w:p>
    <w:p>
      <w:pPr>
        <w:spacing w:line="410" w:lineRule="exact"/>
        <w:ind w:firstLine="420" w:firstLineChars="200"/>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rPr>
        <w:t>(5)不同投标人的投标文件相互混装；</w:t>
      </w:r>
    </w:p>
    <w:p>
      <w:pPr>
        <w:spacing w:line="410" w:lineRule="exact"/>
        <w:ind w:firstLine="420" w:firstLineChars="200"/>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rPr>
        <w:t>(6)不同投标人的投标保证金从同一单位或者个人的账户转出。</w:t>
      </w:r>
    </w:p>
    <w:p>
      <w:pPr>
        <w:spacing w:line="410" w:lineRule="exact"/>
        <w:ind w:firstLine="420" w:firstLineChars="200"/>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rPr>
        <w:t>3.供应商有下列情形之一的，属于</w:t>
      </w:r>
      <w:bookmarkStart w:id="168" w:name="_Hlk90304995"/>
      <w:r>
        <w:rPr>
          <w:rFonts w:hint="eastAsia" w:ascii="宋体" w:hAnsi="宋体" w:eastAsia="宋体" w:cs="Times New Roman"/>
          <w:color w:val="auto"/>
          <w:szCs w:val="24"/>
          <w:highlight w:val="none"/>
        </w:rPr>
        <w:t>恶意串通</w:t>
      </w:r>
      <w:bookmarkEnd w:id="168"/>
      <w:r>
        <w:rPr>
          <w:rFonts w:hint="eastAsia" w:ascii="宋体" w:hAnsi="宋体" w:eastAsia="宋体" w:cs="Times New Roman"/>
          <w:color w:val="auto"/>
          <w:szCs w:val="24"/>
          <w:highlight w:val="none"/>
        </w:rPr>
        <w:t>：</w:t>
      </w:r>
    </w:p>
    <w:p>
      <w:pPr>
        <w:spacing w:line="410" w:lineRule="exact"/>
        <w:ind w:firstLine="420" w:firstLineChars="200"/>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rPr>
        <w:t>(1)供应商直接或者间接从采购人或者采购代理机构处获得其他供应商的相关信息并修改其投标文件：</w:t>
      </w:r>
    </w:p>
    <w:p>
      <w:pPr>
        <w:spacing w:line="410" w:lineRule="exact"/>
        <w:ind w:firstLine="420" w:firstLineChars="200"/>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rPr>
        <w:t>(2)供应商按照采购人或者采购代理机构的授意撤换、修改投标文件；</w:t>
      </w:r>
    </w:p>
    <w:p>
      <w:pPr>
        <w:spacing w:line="410" w:lineRule="exact"/>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rPr>
        <w:tab/>
      </w:r>
      <w:r>
        <w:rPr>
          <w:rFonts w:hint="eastAsia" w:ascii="宋体" w:hAnsi="宋体" w:eastAsia="宋体" w:cs="Times New Roman"/>
          <w:color w:val="auto"/>
          <w:szCs w:val="24"/>
          <w:highlight w:val="none"/>
        </w:rPr>
        <w:t>(3)供应商之间协商报价、技术方案等投标文件的实质性内容；</w:t>
      </w:r>
    </w:p>
    <w:p>
      <w:pPr>
        <w:spacing w:line="410" w:lineRule="exact"/>
        <w:ind w:firstLine="420" w:firstLineChars="200"/>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rPr>
        <w:t>(4)属于同一集团、协会、商会等组织成员的供应商按照该组织要求协同参加政府采购活动；</w:t>
      </w:r>
    </w:p>
    <w:p>
      <w:pPr>
        <w:spacing w:line="410" w:lineRule="exact"/>
        <w:ind w:firstLine="420" w:firstLineChars="200"/>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rPr>
        <w:t>(5)供应商之间事先约定一致抬高或者压低报价，或者在采购项目中事先约定轮流以高价位或者低价位成交，或者事先约定由某一特定供应商成交，然后再参加投标；</w:t>
      </w:r>
    </w:p>
    <w:p>
      <w:pPr>
        <w:spacing w:line="410" w:lineRule="exact"/>
        <w:ind w:firstLine="420" w:firstLineChars="200"/>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rPr>
        <w:t>(6)供应商之间商定部分供应商放弃参加政府采购活动或者放弃成交；</w:t>
      </w:r>
    </w:p>
    <w:p>
      <w:pPr>
        <w:spacing w:line="410" w:lineRule="exact"/>
        <w:ind w:firstLine="420" w:firstLineChars="200"/>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rPr>
        <w:t>(7)供应商与采购人或者采购代理机构之间、供应商相互之间，为谋求特定供应商成交或者排斥其他供应商的其他串通行为。</w:t>
      </w:r>
    </w:p>
    <w:p>
      <w:pPr>
        <w:spacing w:line="410" w:lineRule="exact"/>
        <w:ind w:firstLine="211" w:firstLineChars="100"/>
        <w:rPr>
          <w:rFonts w:hint="eastAsia" w:ascii="宋体" w:hAnsi="宋体" w:eastAsia="宋体" w:cs="Courier New"/>
          <w:b/>
          <w:color w:val="auto"/>
          <w:szCs w:val="21"/>
          <w:highlight w:val="none"/>
        </w:rPr>
      </w:pPr>
      <w:r>
        <w:rPr>
          <w:rFonts w:hint="eastAsia" w:ascii="宋体" w:hAnsi="宋体" w:eastAsia="宋体" w:cs="Courier New"/>
          <w:b/>
          <w:color w:val="auto"/>
          <w:szCs w:val="21"/>
          <w:highlight w:val="none"/>
        </w:rPr>
        <w:t>（八）废标</w:t>
      </w:r>
    </w:p>
    <w:p>
      <w:pPr>
        <w:spacing w:line="410" w:lineRule="exact"/>
        <w:ind w:firstLine="420" w:firstLineChars="200"/>
        <w:rPr>
          <w:rFonts w:hint="eastAsia" w:ascii="宋体" w:hAnsi="宋体" w:eastAsia="宋体" w:cs="Courier New"/>
          <w:color w:val="auto"/>
          <w:szCs w:val="21"/>
          <w:highlight w:val="none"/>
        </w:rPr>
      </w:pPr>
      <w:r>
        <w:rPr>
          <w:rFonts w:hint="eastAsia" w:ascii="宋体" w:hAnsi="宋体" w:eastAsia="宋体" w:cs="Courier New"/>
          <w:color w:val="auto"/>
          <w:szCs w:val="21"/>
          <w:highlight w:val="none"/>
        </w:rPr>
        <w:t>出现下列情形之一的，应予废标：</w:t>
      </w:r>
    </w:p>
    <w:p>
      <w:pPr>
        <w:spacing w:line="410" w:lineRule="exact"/>
        <w:ind w:firstLine="420" w:firstLineChars="200"/>
        <w:rPr>
          <w:rFonts w:hint="eastAsia" w:ascii="宋体" w:hAnsi="宋体" w:eastAsia="宋体" w:cs="Courier New"/>
          <w:color w:val="auto"/>
          <w:szCs w:val="21"/>
          <w:highlight w:val="none"/>
        </w:rPr>
      </w:pPr>
      <w:r>
        <w:rPr>
          <w:rFonts w:hint="eastAsia" w:ascii="宋体" w:hAnsi="宋体" w:eastAsia="宋体" w:cs="Courier New"/>
          <w:color w:val="auto"/>
          <w:szCs w:val="21"/>
          <w:highlight w:val="none"/>
        </w:rPr>
        <w:t>1.符合专业条件的供应商或者对招标文件作实质响应的供应商不足三家的；</w:t>
      </w:r>
    </w:p>
    <w:p>
      <w:pPr>
        <w:spacing w:line="410" w:lineRule="exact"/>
        <w:ind w:firstLine="420" w:firstLineChars="200"/>
        <w:rPr>
          <w:rFonts w:hint="eastAsia" w:ascii="宋体" w:hAnsi="宋体" w:eastAsia="宋体" w:cs="Courier New"/>
          <w:color w:val="auto"/>
          <w:szCs w:val="21"/>
          <w:highlight w:val="none"/>
        </w:rPr>
      </w:pPr>
      <w:r>
        <w:rPr>
          <w:rFonts w:hint="eastAsia" w:ascii="宋体" w:hAnsi="宋体" w:eastAsia="宋体" w:cs="Courier New"/>
          <w:color w:val="auto"/>
          <w:szCs w:val="21"/>
          <w:highlight w:val="none"/>
        </w:rPr>
        <w:t>2.出现影响采购公正的违法、违规行为的；</w:t>
      </w:r>
    </w:p>
    <w:p>
      <w:pPr>
        <w:spacing w:line="410" w:lineRule="exact"/>
        <w:ind w:firstLine="420" w:firstLineChars="200"/>
        <w:rPr>
          <w:rFonts w:hint="eastAsia" w:ascii="宋体" w:hAnsi="宋体" w:eastAsia="宋体" w:cs="Courier New"/>
          <w:color w:val="auto"/>
          <w:szCs w:val="21"/>
          <w:highlight w:val="none"/>
        </w:rPr>
      </w:pPr>
      <w:r>
        <w:rPr>
          <w:rFonts w:hint="eastAsia" w:ascii="宋体" w:hAnsi="宋体" w:eastAsia="宋体" w:cs="Courier New"/>
          <w:color w:val="auto"/>
          <w:szCs w:val="21"/>
          <w:highlight w:val="none"/>
        </w:rPr>
        <w:t>3.投标人的报价均超过了采购预算，采购人不能支付的；</w:t>
      </w:r>
    </w:p>
    <w:p>
      <w:pPr>
        <w:spacing w:line="410" w:lineRule="exact"/>
        <w:ind w:firstLine="420" w:firstLineChars="200"/>
        <w:rPr>
          <w:rFonts w:hint="eastAsia" w:ascii="宋体" w:hAnsi="宋体" w:eastAsia="宋体" w:cs="Courier New"/>
          <w:color w:val="auto"/>
          <w:szCs w:val="21"/>
          <w:highlight w:val="none"/>
        </w:rPr>
      </w:pPr>
      <w:r>
        <w:rPr>
          <w:rFonts w:hint="eastAsia" w:ascii="宋体" w:hAnsi="宋体" w:eastAsia="宋体" w:cs="Courier New"/>
          <w:color w:val="auto"/>
          <w:szCs w:val="21"/>
          <w:highlight w:val="none"/>
        </w:rPr>
        <w:t>4.因重大变故，采购任务取消的。</w:t>
      </w:r>
      <w:bookmarkEnd w:id="164"/>
      <w:bookmarkEnd w:id="165"/>
      <w:bookmarkEnd w:id="166"/>
      <w:bookmarkEnd w:id="167"/>
    </w:p>
    <w:p>
      <w:pPr>
        <w:spacing w:line="410" w:lineRule="exact"/>
        <w:ind w:firstLine="211" w:firstLineChars="100"/>
        <w:rPr>
          <w:rFonts w:ascii="Times New Roman" w:hAnsi="Times New Roman" w:eastAsia="宋体" w:cs="Times New Roman"/>
          <w:b/>
          <w:bCs/>
          <w:color w:val="auto"/>
          <w:szCs w:val="24"/>
          <w:highlight w:val="none"/>
        </w:rPr>
      </w:pPr>
      <w:bookmarkStart w:id="169" w:name="_Toc353785309"/>
      <w:bookmarkStart w:id="170" w:name="_Toc352700439"/>
      <w:r>
        <w:rPr>
          <w:rFonts w:hint="eastAsia" w:ascii="Times New Roman" w:hAnsi="Times New Roman" w:eastAsia="宋体" w:cs="Times New Roman"/>
          <w:b/>
          <w:bCs/>
          <w:color w:val="auto"/>
          <w:szCs w:val="24"/>
          <w:highlight w:val="none"/>
        </w:rPr>
        <w:t>（</w:t>
      </w:r>
      <w:r>
        <w:rPr>
          <w:rFonts w:hint="eastAsia" w:ascii="Times New Roman" w:hAnsi="宋体" w:eastAsia="宋体" w:cs="Times New Roman"/>
          <w:b/>
          <w:color w:val="auto"/>
          <w:szCs w:val="24"/>
          <w:highlight w:val="none"/>
        </w:rPr>
        <w:t>九</w:t>
      </w:r>
      <w:r>
        <w:rPr>
          <w:rFonts w:hint="eastAsia" w:ascii="Times New Roman" w:hAnsi="Times New Roman" w:eastAsia="宋体" w:cs="Times New Roman"/>
          <w:b/>
          <w:bCs/>
          <w:color w:val="auto"/>
          <w:szCs w:val="24"/>
          <w:highlight w:val="none"/>
        </w:rPr>
        <w:t>）评标过程的监控</w:t>
      </w:r>
      <w:bookmarkEnd w:id="169"/>
      <w:bookmarkEnd w:id="170"/>
    </w:p>
    <w:p>
      <w:pPr>
        <w:snapToGrid w:val="0"/>
        <w:spacing w:line="410" w:lineRule="exact"/>
        <w:ind w:firstLine="420" w:firstLineChars="200"/>
        <w:rPr>
          <w:rFonts w:hint="eastAsia" w:ascii="Times New Roman" w:hAnsi="宋体" w:eastAsia="宋体" w:cs="Times New Roman"/>
          <w:color w:val="auto"/>
          <w:szCs w:val="24"/>
          <w:highlight w:val="none"/>
        </w:rPr>
      </w:pPr>
      <w:r>
        <w:rPr>
          <w:rFonts w:hint="eastAsia" w:ascii="Times New Roman" w:hAnsi="宋体" w:eastAsia="宋体" w:cs="Times New Roman"/>
          <w:color w:val="auto"/>
          <w:szCs w:val="24"/>
          <w:highlight w:val="none"/>
        </w:rPr>
        <w:t>本项目评标过程实行全程录音、录像监控，投标人在评标过程中所进行的试图影响评标结果的不公正活动，可能导致其投标无效。</w:t>
      </w:r>
    </w:p>
    <w:p>
      <w:pPr>
        <w:snapToGrid w:val="0"/>
        <w:spacing w:line="410" w:lineRule="exact"/>
        <w:ind w:firstLine="420" w:firstLineChars="200"/>
        <w:rPr>
          <w:rFonts w:hint="eastAsia" w:ascii="宋体" w:hAnsi="宋体" w:eastAsia="宋体" w:cs="Times New Roman"/>
          <w:color w:val="auto"/>
          <w:szCs w:val="21"/>
          <w:highlight w:val="none"/>
        </w:rPr>
      </w:pPr>
    </w:p>
    <w:p>
      <w:pPr>
        <w:keepNext/>
        <w:keepLines/>
        <w:spacing w:line="410" w:lineRule="exact"/>
        <w:outlineLvl w:val="1"/>
        <w:rPr>
          <w:rFonts w:ascii="方正小标宋_GBK" w:hAnsi="Arial" w:eastAsia="方正小标宋_GBK" w:cs="Times New Roman"/>
          <w:bCs/>
          <w:color w:val="auto"/>
          <w:sz w:val="24"/>
          <w:szCs w:val="24"/>
          <w:highlight w:val="none"/>
        </w:rPr>
      </w:pPr>
      <w:bookmarkStart w:id="171" w:name="_Toc254970546"/>
      <w:bookmarkStart w:id="172" w:name="_Toc353785310"/>
      <w:bookmarkStart w:id="173" w:name="_Toc352700440"/>
      <w:bookmarkStart w:id="174" w:name="_Toc254970687"/>
      <w:r>
        <w:rPr>
          <w:rFonts w:hint="eastAsia" w:ascii="方正小标宋_GBK" w:hAnsi="Arial" w:eastAsia="方正小标宋_GBK" w:cs="Times New Roman"/>
          <w:bCs/>
          <w:color w:val="auto"/>
          <w:sz w:val="24"/>
          <w:szCs w:val="24"/>
          <w:highlight w:val="none"/>
        </w:rPr>
        <w:t>六、评标结果</w:t>
      </w:r>
      <w:bookmarkEnd w:id="171"/>
      <w:bookmarkEnd w:id="172"/>
      <w:bookmarkEnd w:id="173"/>
      <w:bookmarkEnd w:id="174"/>
    </w:p>
    <w:p>
      <w:pPr>
        <w:spacing w:line="410" w:lineRule="exact"/>
        <w:ind w:firstLine="210" w:firstLineChars="100"/>
        <w:rPr>
          <w:rFonts w:hint="eastAsia" w:ascii="宋体" w:hAnsi="宋体" w:eastAsia="宋体" w:cs="Courier New"/>
          <w:color w:val="auto"/>
          <w:szCs w:val="21"/>
          <w:highlight w:val="none"/>
        </w:rPr>
      </w:pPr>
      <w:r>
        <w:rPr>
          <w:rFonts w:hint="eastAsia" w:ascii="宋体" w:hAnsi="宋体" w:eastAsia="宋体" w:cs="Courier New"/>
          <w:bCs/>
          <w:color w:val="auto"/>
          <w:szCs w:val="21"/>
          <w:highlight w:val="none"/>
        </w:rPr>
        <w:t>（一）</w:t>
      </w:r>
      <w:r>
        <w:rPr>
          <w:rFonts w:hint="eastAsia" w:ascii="宋体" w:hAnsi="宋体" w:eastAsia="宋体" w:cs="Courier New"/>
          <w:color w:val="auto"/>
          <w:szCs w:val="21"/>
          <w:highlight w:val="none"/>
        </w:rPr>
        <w:t>本中心将在评标结束后2个工作日内将评标报告送采购人，采购人在5个工作日内按照评标报告中推荐的中标候选供应商顺序确定中标人。中标候选人并列的，由采购人或者采购人委托评标委员会按照招标文件规定的方式确定中标人；招标文件未规定的，采取随机抽取的方式确定。采购人也可以授权评标委员会直接确定中标人。</w:t>
      </w:r>
    </w:p>
    <w:p>
      <w:pPr>
        <w:snapToGrid w:val="0"/>
        <w:spacing w:line="410" w:lineRule="exact"/>
        <w:ind w:firstLine="210" w:firstLineChars="100"/>
        <w:rPr>
          <w:rFonts w:hint="eastAsia" w:ascii="宋体" w:hAnsi="宋体" w:eastAsia="宋体" w:cs="Times New Roman"/>
          <w:color w:val="auto"/>
          <w:szCs w:val="24"/>
          <w:highlight w:val="none"/>
        </w:rPr>
      </w:pPr>
      <w:r>
        <w:rPr>
          <w:rFonts w:hint="eastAsia" w:ascii="Times New Roman" w:hAnsi="Times New Roman" w:eastAsia="宋体" w:cs="Times New Roman"/>
          <w:color w:val="auto"/>
          <w:szCs w:val="24"/>
          <w:highlight w:val="none"/>
        </w:rPr>
        <w:t>（二）中标人确定后，本中心</w:t>
      </w:r>
      <w:r>
        <w:rPr>
          <w:rFonts w:hint="eastAsia" w:ascii="宋体" w:hAnsi="宋体" w:eastAsia="宋体" w:cs="Times New Roman"/>
          <w:color w:val="auto"/>
          <w:szCs w:val="24"/>
          <w:highlight w:val="none"/>
        </w:rPr>
        <w:t>在省级以上财政部门指定的媒体上公告中标结果，</w:t>
      </w:r>
      <w:r>
        <w:rPr>
          <w:rFonts w:hint="eastAsia" w:ascii="Times New Roman" w:hAnsi="宋体" w:eastAsia="宋体" w:cs="Times New Roman"/>
          <w:color w:val="auto"/>
          <w:szCs w:val="24"/>
          <w:highlight w:val="none"/>
        </w:rPr>
        <w:t>同时向中标人发出中标通知书</w:t>
      </w:r>
      <w:r>
        <w:rPr>
          <w:rFonts w:hint="eastAsia" w:ascii="宋体" w:hAnsi="宋体" w:eastAsia="宋体" w:cs="Times New Roman"/>
          <w:color w:val="auto"/>
          <w:szCs w:val="24"/>
          <w:highlight w:val="none"/>
        </w:rPr>
        <w:t>。</w:t>
      </w:r>
    </w:p>
    <w:p>
      <w:pPr>
        <w:spacing w:line="410" w:lineRule="exact"/>
        <w:ind w:firstLine="210" w:firstLineChars="100"/>
        <w:rPr>
          <w:rFonts w:hint="eastAsia" w:ascii="宋体" w:hAnsi="宋体" w:eastAsia="宋体" w:cs="Courier New"/>
          <w:color w:val="auto"/>
          <w:szCs w:val="21"/>
          <w:highlight w:val="none"/>
        </w:rPr>
      </w:pPr>
      <w:r>
        <w:rPr>
          <w:rFonts w:hint="eastAsia" w:ascii="宋体" w:hAnsi="宋体" w:eastAsia="宋体" w:cs="Courier New"/>
          <w:color w:val="auto"/>
          <w:szCs w:val="21"/>
          <w:highlight w:val="none"/>
        </w:rPr>
        <w:t>（三）</w:t>
      </w:r>
      <w:bookmarkStart w:id="175" w:name="_Toc352700441"/>
      <w:bookmarkStart w:id="176" w:name="_Toc353785311"/>
      <w:r>
        <w:rPr>
          <w:rFonts w:hint="eastAsia" w:ascii="宋体" w:hAnsi="宋体" w:eastAsia="宋体" w:cs="Courier New"/>
          <w:color w:val="auto"/>
          <w:szCs w:val="21"/>
          <w:highlight w:val="none"/>
        </w:rPr>
        <w:t>中标通知书发出后，采购人不得违法改变中标结果，中标人无正当理由不得放弃中标。</w:t>
      </w:r>
    </w:p>
    <w:p>
      <w:pPr>
        <w:spacing w:line="410" w:lineRule="exact"/>
        <w:ind w:firstLine="210" w:firstLineChars="100"/>
        <w:rPr>
          <w:rFonts w:hint="eastAsia" w:ascii="宋体" w:hAnsi="宋体" w:eastAsia="宋体" w:cs="Courier New"/>
          <w:color w:val="auto"/>
          <w:szCs w:val="21"/>
          <w:highlight w:val="none"/>
        </w:rPr>
      </w:pPr>
    </w:p>
    <w:p>
      <w:pPr>
        <w:keepNext/>
        <w:keepLines/>
        <w:spacing w:line="410" w:lineRule="exact"/>
        <w:outlineLvl w:val="1"/>
        <w:rPr>
          <w:rFonts w:ascii="方正小标宋_GBK" w:hAnsi="Arial" w:eastAsia="方正小标宋_GBK" w:cs="Times New Roman"/>
          <w:bCs/>
          <w:color w:val="auto"/>
          <w:sz w:val="24"/>
          <w:szCs w:val="24"/>
          <w:highlight w:val="none"/>
        </w:rPr>
      </w:pPr>
      <w:r>
        <w:rPr>
          <w:rFonts w:hint="eastAsia" w:ascii="方正小标宋_GBK" w:hAnsi="Arial" w:eastAsia="方正小标宋_GBK" w:cs="Times New Roman"/>
          <w:bCs/>
          <w:color w:val="auto"/>
          <w:sz w:val="24"/>
          <w:szCs w:val="24"/>
          <w:highlight w:val="none"/>
        </w:rPr>
        <w:t>七、签订合同</w:t>
      </w:r>
      <w:bookmarkEnd w:id="175"/>
      <w:bookmarkEnd w:id="176"/>
    </w:p>
    <w:p>
      <w:pPr>
        <w:spacing w:line="410" w:lineRule="exact"/>
        <w:ind w:firstLine="210" w:firstLineChars="100"/>
        <w:rPr>
          <w:rFonts w:hint="eastAsia" w:ascii="宋体" w:hAnsi="宋体" w:eastAsia="宋体" w:cs="Courier New"/>
          <w:color w:val="auto"/>
          <w:szCs w:val="21"/>
          <w:highlight w:val="none"/>
        </w:rPr>
      </w:pPr>
      <w:r>
        <w:rPr>
          <w:rFonts w:hint="eastAsia" w:ascii="宋体" w:hAnsi="宋体" w:eastAsia="宋体" w:cs="Times New Roman"/>
          <w:color w:val="auto"/>
          <w:szCs w:val="32"/>
          <w:highlight w:val="none"/>
        </w:rPr>
        <w:t>（一）</w:t>
      </w:r>
      <w:bookmarkStart w:id="177" w:name="_Hlk154045215"/>
      <w:r>
        <w:rPr>
          <w:rFonts w:hint="eastAsia" w:ascii="宋体" w:hAnsi="宋体" w:eastAsia="宋体" w:cs="Courier New"/>
          <w:color w:val="auto"/>
          <w:szCs w:val="21"/>
          <w:highlight w:val="none"/>
        </w:rPr>
        <w:t>采购人应当自中标通知书发出之日起</w:t>
      </w:r>
      <w:r>
        <w:rPr>
          <w:rFonts w:hint="eastAsia" w:ascii="宋体" w:hAnsi="宋体" w:eastAsia="宋体" w:cs="Courier New"/>
          <w:color w:val="auto"/>
          <w:szCs w:val="21"/>
          <w:highlight w:val="none"/>
          <w:lang w:val="en-US" w:eastAsia="zh-CN"/>
        </w:rPr>
        <w:t>2</w:t>
      </w:r>
      <w:r>
        <w:rPr>
          <w:rFonts w:hint="eastAsia" w:ascii="宋体" w:hAnsi="宋体" w:eastAsia="宋体" w:cs="Courier New"/>
          <w:color w:val="auto"/>
          <w:szCs w:val="21"/>
          <w:highlight w:val="none"/>
        </w:rPr>
        <w:t>5日内，按照招标文件和中标人投标文件的规定，与中标人签订书面合同。</w:t>
      </w:r>
      <w:bookmarkEnd w:id="177"/>
      <w:r>
        <w:rPr>
          <w:rFonts w:hint="eastAsia" w:ascii="宋体" w:hAnsi="宋体" w:eastAsia="宋体" w:cs="Courier New"/>
          <w:color w:val="auto"/>
          <w:szCs w:val="21"/>
          <w:highlight w:val="none"/>
        </w:rPr>
        <w:t>所签订的合同不得对招标文件确定的事项和中标人投标文件作实质性修改。</w:t>
      </w:r>
    </w:p>
    <w:p>
      <w:pPr>
        <w:spacing w:line="410" w:lineRule="exact"/>
        <w:ind w:firstLine="210" w:firstLineChars="100"/>
        <w:rPr>
          <w:rFonts w:hint="eastAsia" w:ascii="宋体" w:hAnsi="宋体" w:eastAsia="宋体" w:cs="Courier New"/>
          <w:color w:val="auto"/>
          <w:szCs w:val="21"/>
          <w:highlight w:val="none"/>
        </w:rPr>
      </w:pPr>
      <w:r>
        <w:rPr>
          <w:rFonts w:hint="eastAsia" w:ascii="宋体" w:hAnsi="宋体" w:eastAsia="宋体" w:cs="Courier New"/>
          <w:color w:val="auto"/>
          <w:szCs w:val="21"/>
          <w:highlight w:val="none"/>
        </w:rPr>
        <w:t>（二）中标通知书对采购人和中标人均具有法律效力。中标通知书发出后，采购人改变中标结果的，或者中标人放弃中标项目的，应当依法承担法律责任。</w:t>
      </w:r>
    </w:p>
    <w:p>
      <w:pPr>
        <w:spacing w:line="410" w:lineRule="exact"/>
        <w:ind w:firstLine="210" w:firstLineChars="100"/>
        <w:rPr>
          <w:rFonts w:hint="eastAsia" w:ascii="宋体" w:hAnsi="宋体" w:eastAsia="宋体" w:cs="Courier New"/>
          <w:color w:val="auto"/>
          <w:szCs w:val="21"/>
          <w:highlight w:val="none"/>
        </w:rPr>
      </w:pPr>
      <w:r>
        <w:rPr>
          <w:rFonts w:hint="eastAsia" w:ascii="宋体" w:hAnsi="宋体" w:eastAsia="宋体" w:cs="Courier New"/>
          <w:color w:val="auto"/>
          <w:szCs w:val="21"/>
          <w:highlight w:val="none"/>
        </w:rPr>
        <w:t>（三）</w:t>
      </w:r>
      <w:r>
        <w:rPr>
          <w:rFonts w:hint="eastAsia" w:ascii="宋体" w:hAnsi="宋体" w:eastAsia="宋体" w:cs="宋体"/>
          <w:color w:val="auto"/>
          <w:kern w:val="0"/>
          <w:szCs w:val="21"/>
          <w:highlight w:val="none"/>
        </w:rPr>
        <w:t>中标人可凭中标通知书或政府采购合同等在内的相关材料、信息，通过中征应收账款融资服务平台向银行业金融机构在线申请“政采贷”融资。</w:t>
      </w:r>
    </w:p>
    <w:p>
      <w:pPr>
        <w:spacing w:line="410" w:lineRule="exact"/>
        <w:ind w:firstLine="210" w:firstLineChars="100"/>
        <w:rPr>
          <w:rFonts w:hint="eastAsia" w:ascii="宋体" w:hAnsi="宋体" w:eastAsia="宋体" w:cs="Courier New"/>
          <w:color w:val="auto"/>
          <w:szCs w:val="21"/>
          <w:highlight w:val="none"/>
        </w:rPr>
      </w:pPr>
      <w:r>
        <w:rPr>
          <w:rFonts w:hint="eastAsia" w:ascii="宋体" w:hAnsi="宋体" w:eastAsia="宋体" w:cs="Courier New"/>
          <w:color w:val="auto"/>
          <w:szCs w:val="21"/>
          <w:highlight w:val="none"/>
        </w:rPr>
        <w:t>（四）中标人拒绝与采购人签订合同的，采购人可以按照评标报告推荐的中标候选人名单排序，确定下一候选人为中标人，也可以重新开展政府采购活动。</w:t>
      </w:r>
    </w:p>
    <w:p>
      <w:pPr>
        <w:spacing w:line="410" w:lineRule="exact"/>
        <w:ind w:firstLine="210" w:firstLineChars="100"/>
        <w:rPr>
          <w:rFonts w:hint="eastAsia" w:ascii="宋体" w:hAnsi="宋体" w:eastAsia="宋体" w:cs="Courier New"/>
          <w:color w:val="auto"/>
          <w:szCs w:val="21"/>
          <w:highlight w:val="none"/>
        </w:rPr>
      </w:pPr>
      <w:r>
        <w:rPr>
          <w:rFonts w:hint="eastAsia" w:ascii="宋体" w:hAnsi="宋体" w:eastAsia="宋体" w:cs="Courier New"/>
          <w:color w:val="auto"/>
          <w:szCs w:val="21"/>
          <w:highlight w:val="none"/>
        </w:rPr>
        <w:t>（五）采购人与中标人应当根据合同的约定依法履行合同义务。政府采购合同的履行、违约责任和解决争议的方法等适用《中华人民共和国民法典》。</w:t>
      </w:r>
    </w:p>
    <w:p>
      <w:pPr>
        <w:spacing w:line="410" w:lineRule="exact"/>
        <w:rPr>
          <w:rFonts w:hint="eastAsia" w:ascii="宋体" w:hAnsi="宋体" w:eastAsia="宋体" w:cs="Courier New"/>
          <w:color w:val="auto"/>
          <w:szCs w:val="21"/>
          <w:highlight w:val="none"/>
        </w:rPr>
      </w:pPr>
    </w:p>
    <w:p>
      <w:pPr>
        <w:spacing w:line="410" w:lineRule="exact"/>
        <w:rPr>
          <w:rFonts w:ascii="方正小标宋_GBK" w:hAnsi="Times New Roman" w:eastAsia="方正小标宋_GBK" w:cs="Times New Roman"/>
          <w:b/>
          <w:color w:val="auto"/>
          <w:sz w:val="24"/>
          <w:szCs w:val="24"/>
          <w:highlight w:val="none"/>
        </w:rPr>
      </w:pPr>
      <w:bookmarkStart w:id="178" w:name="_Toc353785315"/>
      <w:bookmarkStart w:id="179" w:name="_Toc352700445"/>
      <w:bookmarkStart w:id="180" w:name="_Toc352315998"/>
      <w:r>
        <w:rPr>
          <w:rFonts w:hint="eastAsia" w:ascii="方正小标宋_GBK" w:hAnsi="Times New Roman" w:eastAsia="方正小标宋_GBK" w:cs="Times New Roman"/>
          <w:b/>
          <w:color w:val="auto"/>
          <w:sz w:val="24"/>
          <w:szCs w:val="24"/>
          <w:highlight w:val="none"/>
        </w:rPr>
        <w:t>八、适用法律</w:t>
      </w:r>
    </w:p>
    <w:p>
      <w:pPr>
        <w:spacing w:line="410" w:lineRule="exact"/>
        <w:ind w:firstLine="210" w:firstLineChars="1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本项目采购活动适用于《中华人民共和国政府采购法》及其实施条例、《政府采购货物和服务招标投标管理办法》等规定。</w:t>
      </w:r>
    </w:p>
    <w:p>
      <w:pPr>
        <w:spacing w:line="410" w:lineRule="exact"/>
        <w:rPr>
          <w:rFonts w:hint="eastAsia" w:ascii="宋体" w:hAnsi="宋体" w:eastAsia="宋体" w:cs="Times New Roman"/>
          <w:color w:val="auto"/>
          <w:szCs w:val="21"/>
          <w:highlight w:val="none"/>
        </w:rPr>
      </w:pPr>
    </w:p>
    <w:p>
      <w:pPr>
        <w:keepNext/>
        <w:keepLines/>
        <w:spacing w:line="410" w:lineRule="exact"/>
        <w:outlineLvl w:val="1"/>
        <w:rPr>
          <w:rFonts w:ascii="方正小标宋_GBK" w:hAnsi="Arial" w:eastAsia="方正小标宋_GBK" w:cs="Times New Roman"/>
          <w:bCs/>
          <w:color w:val="auto"/>
          <w:sz w:val="24"/>
          <w:szCs w:val="24"/>
          <w:highlight w:val="none"/>
        </w:rPr>
      </w:pPr>
      <w:bookmarkStart w:id="181" w:name="_九、其他事项"/>
      <w:bookmarkEnd w:id="181"/>
      <w:r>
        <w:rPr>
          <w:rFonts w:hint="eastAsia" w:ascii="方正小标宋_GBK" w:hAnsi="Arial" w:eastAsia="方正小标宋_GBK" w:cs="Times New Roman"/>
          <w:bCs/>
          <w:color w:val="auto"/>
          <w:sz w:val="24"/>
          <w:szCs w:val="24"/>
          <w:highlight w:val="none"/>
        </w:rPr>
        <w:t>九、其他事项</w:t>
      </w:r>
      <w:bookmarkEnd w:id="178"/>
      <w:bookmarkEnd w:id="179"/>
      <w:bookmarkEnd w:id="180"/>
    </w:p>
    <w:p>
      <w:pPr>
        <w:spacing w:line="410" w:lineRule="exact"/>
        <w:ind w:firstLine="210" w:firstLineChars="100"/>
        <w:rPr>
          <w:rFonts w:hint="eastAsia" w:ascii="宋体" w:hAnsi="宋体" w:eastAsia="宋体" w:cs="Courier New"/>
          <w:bCs/>
          <w:color w:val="auto"/>
          <w:szCs w:val="21"/>
          <w:highlight w:val="none"/>
        </w:rPr>
      </w:pPr>
      <w:r>
        <w:rPr>
          <w:rFonts w:hint="eastAsia" w:ascii="宋体" w:hAnsi="宋体" w:eastAsia="宋体" w:cs="Courier New"/>
          <w:bCs/>
          <w:color w:val="auto"/>
          <w:szCs w:val="21"/>
          <w:highlight w:val="none"/>
        </w:rPr>
        <w:t>（一）代理服务费</w:t>
      </w:r>
    </w:p>
    <w:p>
      <w:pPr>
        <w:spacing w:line="410" w:lineRule="exact"/>
        <w:ind w:firstLine="420" w:firstLineChars="200"/>
        <w:rPr>
          <w:rFonts w:hint="eastAsia" w:ascii="宋体" w:hAnsi="宋体" w:eastAsia="宋体" w:cs="Courier New"/>
          <w:color w:val="auto"/>
          <w:szCs w:val="21"/>
          <w:highlight w:val="none"/>
        </w:rPr>
      </w:pPr>
      <w:r>
        <w:rPr>
          <w:rFonts w:hint="eastAsia" w:ascii="宋体" w:hAnsi="宋体" w:eastAsia="宋体" w:cs="Courier New"/>
          <w:color w:val="auto"/>
          <w:szCs w:val="21"/>
          <w:highlight w:val="none"/>
        </w:rPr>
        <w:t>1.</w:t>
      </w:r>
      <w:bookmarkStart w:id="182" w:name="_Hlk92466646"/>
      <w:r>
        <w:rPr>
          <w:rFonts w:hint="eastAsia" w:ascii="宋体" w:hAnsi="宋体" w:eastAsia="宋体" w:cs="Courier New"/>
          <w:color w:val="auto"/>
          <w:szCs w:val="21"/>
          <w:highlight w:val="none"/>
        </w:rPr>
        <w:t>本中心按钦州市物价局“钦市价费﹝2013﹞4号”文件规定向中标人收取代理服务费，中标人须向本中心一次付清代理服务费。</w:t>
      </w:r>
      <w:bookmarkEnd w:id="182"/>
    </w:p>
    <w:p>
      <w:pPr>
        <w:spacing w:line="410" w:lineRule="exact"/>
        <w:ind w:firstLine="420" w:firstLineChars="200"/>
        <w:rPr>
          <w:rFonts w:hint="eastAsia" w:ascii="宋体" w:hAnsi="宋体" w:eastAsia="宋体" w:cs="Courier New"/>
          <w:bCs/>
          <w:color w:val="auto"/>
          <w:szCs w:val="21"/>
          <w:highlight w:val="none"/>
        </w:rPr>
      </w:pPr>
      <w:r>
        <w:rPr>
          <w:rFonts w:hint="eastAsia" w:ascii="宋体" w:hAnsi="宋体" w:eastAsia="宋体" w:cs="Courier New"/>
          <w:bCs/>
          <w:color w:val="auto"/>
          <w:szCs w:val="21"/>
          <w:highlight w:val="none"/>
        </w:rPr>
        <w:t>2.</w:t>
      </w:r>
      <w:bookmarkStart w:id="183" w:name="_Hlk92466736"/>
      <w:r>
        <w:rPr>
          <w:rFonts w:hint="eastAsia" w:ascii="宋体" w:hAnsi="宋体" w:eastAsia="宋体" w:cs="Courier New"/>
          <w:bCs/>
          <w:color w:val="auto"/>
          <w:szCs w:val="21"/>
          <w:highlight w:val="none"/>
        </w:rPr>
        <w:t>代理服务收费标准：</w:t>
      </w:r>
      <w:bookmarkEnd w:id="183"/>
    </w:p>
    <w:tbl>
      <w:tblPr>
        <w:tblStyle w:val="49"/>
        <w:tblW w:w="0" w:type="auto"/>
        <w:tblInd w:w="534" w:type="dxa"/>
        <w:tblLayout w:type="fixed"/>
        <w:tblCellMar>
          <w:top w:w="0" w:type="dxa"/>
          <w:left w:w="108" w:type="dxa"/>
          <w:bottom w:w="0" w:type="dxa"/>
          <w:right w:w="108" w:type="dxa"/>
        </w:tblCellMar>
      </w:tblPr>
      <w:tblGrid>
        <w:gridCol w:w="3255"/>
        <w:gridCol w:w="1899"/>
        <w:gridCol w:w="1980"/>
        <w:gridCol w:w="1980"/>
      </w:tblGrid>
      <w:tr>
        <w:tblPrEx>
          <w:tblCellMar>
            <w:top w:w="0" w:type="dxa"/>
            <w:left w:w="108" w:type="dxa"/>
            <w:bottom w:w="0" w:type="dxa"/>
            <w:right w:w="108" w:type="dxa"/>
          </w:tblCellMar>
        </w:tblPrEx>
        <w:trPr>
          <w:trHeight w:val="1870" w:hRule="atLeast"/>
        </w:trPr>
        <w:tc>
          <w:tcPr>
            <w:tcW w:w="3255" w:type="dxa"/>
            <w:tcBorders>
              <w:top w:val="single" w:color="auto" w:sz="4" w:space="0"/>
              <w:left w:val="single" w:color="000000" w:sz="4" w:space="0"/>
              <w:bottom w:val="single" w:color="000000" w:sz="4" w:space="0"/>
              <w:right w:val="single" w:color="000000" w:sz="4" w:space="0"/>
              <w:tl2br w:val="single" w:color="auto" w:sz="4" w:space="0"/>
            </w:tcBorders>
          </w:tcPr>
          <w:p>
            <w:pPr>
              <w:widowControl/>
              <w:spacing w:line="400" w:lineRule="exact"/>
              <w:ind w:firstLine="420" w:firstLineChars="200"/>
              <w:rPr>
                <w:rFonts w:hint="eastAsia" w:ascii="宋体" w:hAnsi="宋体" w:eastAsia="宋体" w:cs="Times New Roman"/>
                <w:color w:val="auto"/>
                <w:kern w:val="0"/>
                <w:szCs w:val="21"/>
                <w:highlight w:val="none"/>
              </w:rPr>
            </w:pPr>
            <w:r>
              <w:rPr>
                <w:rFonts w:hint="eastAsia" w:ascii="Times New Roman" w:hAnsi="Times New Roman" w:eastAsia="宋体" w:cs="Times New Roman"/>
                <w:color w:val="auto"/>
                <w:szCs w:val="24"/>
                <w:highlight w:val="none"/>
              </w:rPr>
              <mc:AlternateContent>
                <mc:Choice Requires="wps">
                  <w:drawing>
                    <wp:anchor distT="0" distB="0" distL="114300" distR="114300" simplePos="0" relativeHeight="251659264" behindDoc="0" locked="0" layoutInCell="1" allowOverlap="1">
                      <wp:simplePos x="0" y="0"/>
                      <wp:positionH relativeFrom="column">
                        <wp:posOffset>1051560</wp:posOffset>
                      </wp:positionH>
                      <wp:positionV relativeFrom="paragraph">
                        <wp:posOffset>8255</wp:posOffset>
                      </wp:positionV>
                      <wp:extent cx="914400" cy="1273810"/>
                      <wp:effectExtent l="13335" t="8255" r="5715" b="13335"/>
                      <wp:wrapNone/>
                      <wp:docPr id="1917037762" name="Line 2"/>
                      <wp:cNvGraphicFramePr/>
                      <a:graphic xmlns:a="http://schemas.openxmlformats.org/drawingml/2006/main">
                        <a:graphicData uri="http://schemas.microsoft.com/office/word/2010/wordprocessingShape">
                          <wps:wsp>
                            <wps:cNvCnPr>
                              <a:cxnSpLocks noChangeShapeType="1"/>
                            </wps:cNvCnPr>
                            <wps:spPr bwMode="auto">
                              <a:xfrm>
                                <a:off x="0" y="0"/>
                                <a:ext cx="914400" cy="1273810"/>
                              </a:xfrm>
                              <a:prstGeom prst="line">
                                <a:avLst/>
                              </a:prstGeom>
                              <a:noFill/>
                              <a:ln w="9525">
                                <a:solidFill>
                                  <a:srgbClr val="000000"/>
                                </a:solidFill>
                                <a:round/>
                              </a:ln>
                            </wps:spPr>
                            <wps:bodyPr/>
                          </wps:wsp>
                        </a:graphicData>
                      </a:graphic>
                    </wp:anchor>
                  </w:drawing>
                </mc:Choice>
                <mc:Fallback>
                  <w:pict>
                    <v:line id="Line 2" o:spid="_x0000_s1026" o:spt="20" style="position:absolute;left:0pt;margin-left:82.8pt;margin-top:0.65pt;height:100.3pt;width:72pt;z-index:251659264;mso-width-relative:page;mso-height-relative:page;" filled="f" stroked="t" coordsize="21600,21600" o:gfxdata="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ExngzWAAAACQEAAA8AAAAAAAAAAQAg&#10;AAAAIgAAAGRycy9kb3ducmV2LnhtbFBLAQIUABQAAAAIAIdO4kCIAdSf1wEAAK0DAAAOAAAAAAAA&#10;AAEAIAAAACUBAABkcnMvZTJvRG9jLnhtbFBLBQYAAAAABgAGAFkBAABuBQAAAAA=&#10;">
                      <v:fill on="f" focussize="0,0"/>
                      <v:stroke color="#000000" joinstyle="round"/>
                      <v:imagedata o:title=""/>
                      <o:lock v:ext="edit" aspectratio="f"/>
                    </v:line>
                  </w:pict>
                </mc:Fallback>
              </mc:AlternateContent>
            </w:r>
            <w:r>
              <w:rPr>
                <w:rFonts w:hint="eastAsia" w:ascii="宋体" w:hAnsi="宋体" w:eastAsia="宋体" w:cs="Times New Roman"/>
                <w:color w:val="auto"/>
                <w:kern w:val="0"/>
                <w:szCs w:val="21"/>
                <w:highlight w:val="none"/>
              </w:rPr>
              <w:t xml:space="preserve">               服务类型</w:t>
            </w:r>
          </w:p>
          <w:p>
            <w:pPr>
              <w:widowControl/>
              <w:spacing w:line="400" w:lineRule="exact"/>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费率</w:t>
            </w:r>
          </w:p>
          <w:p>
            <w:pPr>
              <w:widowControl/>
              <w:spacing w:line="400" w:lineRule="exact"/>
              <w:ind w:left="2" w:firstLine="420" w:firstLineChars="200"/>
              <w:jc w:val="left"/>
              <w:rPr>
                <w:rFonts w:hint="eastAsia" w:ascii="宋体" w:hAnsi="宋体" w:eastAsia="宋体" w:cs="Times New Roman"/>
                <w:color w:val="auto"/>
                <w:kern w:val="0"/>
                <w:szCs w:val="21"/>
                <w:highlight w:val="none"/>
              </w:rPr>
            </w:pPr>
          </w:p>
          <w:p>
            <w:pPr>
              <w:widowControl/>
              <w:spacing w:line="400" w:lineRule="exact"/>
              <w:jc w:val="left"/>
              <w:rPr>
                <w:rFonts w:hint="eastAsia" w:ascii="宋体" w:hAnsi="宋体" w:eastAsia="宋体" w:cs="Times New Roman"/>
                <w:color w:val="auto"/>
                <w:kern w:val="0"/>
                <w:szCs w:val="21"/>
                <w:highlight w:val="none"/>
              </w:rPr>
            </w:pPr>
          </w:p>
          <w:p>
            <w:pPr>
              <w:widowControl/>
              <w:spacing w:line="400" w:lineRule="exact"/>
              <w:jc w:val="left"/>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中标金额（万元）</w:t>
            </w:r>
          </w:p>
        </w:tc>
        <w:tc>
          <w:tcPr>
            <w:tcW w:w="1899" w:type="dxa"/>
            <w:tcBorders>
              <w:top w:val="single" w:color="000000" w:sz="4" w:space="0"/>
              <w:left w:val="nil"/>
              <w:bottom w:val="nil"/>
              <w:right w:val="single" w:color="auto" w:sz="4" w:space="0"/>
            </w:tcBorders>
            <w:vAlign w:val="center"/>
          </w:tcPr>
          <w:p>
            <w:pPr>
              <w:spacing w:line="400" w:lineRule="exact"/>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货物招标</w:t>
            </w:r>
          </w:p>
        </w:tc>
        <w:tc>
          <w:tcPr>
            <w:tcW w:w="1980" w:type="dxa"/>
            <w:tcBorders>
              <w:top w:val="single" w:color="000000" w:sz="4" w:space="0"/>
              <w:left w:val="single" w:color="auto" w:sz="4" w:space="0"/>
              <w:bottom w:val="nil"/>
              <w:right w:val="single" w:color="auto" w:sz="4" w:space="0"/>
            </w:tcBorders>
            <w:vAlign w:val="center"/>
          </w:tcPr>
          <w:p>
            <w:pPr>
              <w:spacing w:line="400" w:lineRule="exact"/>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服务招标</w:t>
            </w:r>
          </w:p>
        </w:tc>
        <w:tc>
          <w:tcPr>
            <w:tcW w:w="1980" w:type="dxa"/>
            <w:tcBorders>
              <w:top w:val="single" w:color="000000" w:sz="4" w:space="0"/>
              <w:left w:val="single" w:color="auto" w:sz="4" w:space="0"/>
              <w:bottom w:val="nil"/>
              <w:right w:val="single" w:color="000000" w:sz="4" w:space="0"/>
            </w:tcBorders>
            <w:vAlign w:val="center"/>
          </w:tcPr>
          <w:p>
            <w:pPr>
              <w:spacing w:line="400" w:lineRule="exact"/>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工程招标</w:t>
            </w:r>
          </w:p>
        </w:tc>
      </w:tr>
      <w:tr>
        <w:tblPrEx>
          <w:tblCellMar>
            <w:top w:w="0" w:type="dxa"/>
            <w:left w:w="108" w:type="dxa"/>
            <w:bottom w:w="0" w:type="dxa"/>
            <w:right w:w="108" w:type="dxa"/>
          </w:tblCellMar>
        </w:tblPrEx>
        <w:trPr>
          <w:trHeight w:val="397" w:hRule="atLeast"/>
        </w:trPr>
        <w:tc>
          <w:tcPr>
            <w:tcW w:w="3255" w:type="dxa"/>
            <w:tcBorders>
              <w:top w:val="single" w:color="000000" w:sz="4" w:space="0"/>
              <w:left w:val="single" w:color="000000" w:sz="4" w:space="0"/>
              <w:bottom w:val="single" w:color="000000" w:sz="4" w:space="0"/>
              <w:right w:val="single" w:color="000000" w:sz="4" w:space="0"/>
            </w:tcBorders>
            <w:vAlign w:val="center"/>
          </w:tcPr>
          <w:p>
            <w:pPr>
              <w:widowControl/>
              <w:spacing w:line="400" w:lineRule="exact"/>
              <w:ind w:firstLine="420" w:firstLineChars="200"/>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100以下</w:t>
            </w:r>
          </w:p>
        </w:tc>
        <w:tc>
          <w:tcPr>
            <w:tcW w:w="1899" w:type="dxa"/>
            <w:tcBorders>
              <w:top w:val="single" w:color="000000" w:sz="4" w:space="0"/>
              <w:left w:val="nil"/>
              <w:bottom w:val="single" w:color="000000" w:sz="4" w:space="0"/>
              <w:right w:val="single" w:color="000000" w:sz="4" w:space="0"/>
            </w:tcBorders>
            <w:vAlign w:val="center"/>
          </w:tcPr>
          <w:p>
            <w:pPr>
              <w:widowControl/>
              <w:spacing w:line="400" w:lineRule="exact"/>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1.2%</w:t>
            </w:r>
          </w:p>
        </w:tc>
        <w:tc>
          <w:tcPr>
            <w:tcW w:w="1980" w:type="dxa"/>
            <w:tcBorders>
              <w:top w:val="single" w:color="000000" w:sz="4" w:space="0"/>
              <w:left w:val="nil"/>
              <w:bottom w:val="single" w:color="000000" w:sz="4" w:space="0"/>
              <w:right w:val="single" w:color="000000" w:sz="4" w:space="0"/>
            </w:tcBorders>
            <w:vAlign w:val="center"/>
          </w:tcPr>
          <w:p>
            <w:pPr>
              <w:widowControl/>
              <w:spacing w:line="400" w:lineRule="exact"/>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1.2%</w:t>
            </w:r>
          </w:p>
        </w:tc>
        <w:tc>
          <w:tcPr>
            <w:tcW w:w="1980" w:type="dxa"/>
            <w:tcBorders>
              <w:top w:val="single" w:color="000000" w:sz="4" w:space="0"/>
              <w:left w:val="nil"/>
              <w:bottom w:val="single" w:color="000000" w:sz="4" w:space="0"/>
              <w:right w:val="single" w:color="000000" w:sz="4" w:space="0"/>
            </w:tcBorders>
            <w:vAlign w:val="center"/>
          </w:tcPr>
          <w:p>
            <w:pPr>
              <w:widowControl/>
              <w:spacing w:line="400" w:lineRule="exact"/>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0.8%</w:t>
            </w:r>
          </w:p>
        </w:tc>
      </w:tr>
      <w:tr>
        <w:tblPrEx>
          <w:tblCellMar>
            <w:top w:w="0" w:type="dxa"/>
            <w:left w:w="108" w:type="dxa"/>
            <w:bottom w:w="0" w:type="dxa"/>
            <w:right w:w="108" w:type="dxa"/>
          </w:tblCellMar>
        </w:tblPrEx>
        <w:trPr>
          <w:trHeight w:val="458" w:hRule="atLeast"/>
        </w:trPr>
        <w:tc>
          <w:tcPr>
            <w:tcW w:w="3255" w:type="dxa"/>
            <w:tcBorders>
              <w:top w:val="single" w:color="000000" w:sz="4" w:space="0"/>
              <w:left w:val="single" w:color="000000" w:sz="4" w:space="0"/>
              <w:bottom w:val="single" w:color="000000" w:sz="4" w:space="0"/>
              <w:right w:val="single" w:color="000000" w:sz="4" w:space="0"/>
            </w:tcBorders>
            <w:vAlign w:val="center"/>
          </w:tcPr>
          <w:p>
            <w:pPr>
              <w:widowControl/>
              <w:spacing w:line="400" w:lineRule="exact"/>
              <w:ind w:firstLine="420" w:firstLineChars="200"/>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100-500</w:t>
            </w:r>
          </w:p>
        </w:tc>
        <w:tc>
          <w:tcPr>
            <w:tcW w:w="1899" w:type="dxa"/>
            <w:tcBorders>
              <w:top w:val="single" w:color="000000" w:sz="4" w:space="0"/>
              <w:left w:val="nil"/>
              <w:bottom w:val="single" w:color="000000" w:sz="4" w:space="0"/>
              <w:right w:val="single" w:color="000000" w:sz="4" w:space="0"/>
            </w:tcBorders>
            <w:vAlign w:val="center"/>
          </w:tcPr>
          <w:p>
            <w:pPr>
              <w:widowControl/>
              <w:spacing w:line="400" w:lineRule="exact"/>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0.88%</w:t>
            </w:r>
          </w:p>
        </w:tc>
        <w:tc>
          <w:tcPr>
            <w:tcW w:w="1980" w:type="dxa"/>
            <w:tcBorders>
              <w:top w:val="single" w:color="000000" w:sz="4" w:space="0"/>
              <w:left w:val="nil"/>
              <w:bottom w:val="single" w:color="000000" w:sz="4" w:space="0"/>
              <w:right w:val="single" w:color="000000" w:sz="4" w:space="0"/>
            </w:tcBorders>
            <w:vAlign w:val="center"/>
          </w:tcPr>
          <w:p>
            <w:pPr>
              <w:widowControl/>
              <w:spacing w:line="400" w:lineRule="exact"/>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0.64%</w:t>
            </w:r>
          </w:p>
        </w:tc>
        <w:tc>
          <w:tcPr>
            <w:tcW w:w="1980" w:type="dxa"/>
            <w:tcBorders>
              <w:top w:val="single" w:color="000000" w:sz="4" w:space="0"/>
              <w:left w:val="nil"/>
              <w:bottom w:val="single" w:color="000000" w:sz="4" w:space="0"/>
              <w:right w:val="single" w:color="000000" w:sz="4" w:space="0"/>
            </w:tcBorders>
            <w:vAlign w:val="center"/>
          </w:tcPr>
          <w:p>
            <w:pPr>
              <w:widowControl/>
              <w:spacing w:line="400" w:lineRule="exact"/>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0.56%</w:t>
            </w:r>
          </w:p>
        </w:tc>
      </w:tr>
      <w:tr>
        <w:tblPrEx>
          <w:tblCellMar>
            <w:top w:w="0" w:type="dxa"/>
            <w:left w:w="108" w:type="dxa"/>
            <w:bottom w:w="0" w:type="dxa"/>
            <w:right w:w="108" w:type="dxa"/>
          </w:tblCellMar>
        </w:tblPrEx>
        <w:trPr>
          <w:trHeight w:val="464" w:hRule="atLeast"/>
        </w:trPr>
        <w:tc>
          <w:tcPr>
            <w:tcW w:w="3255" w:type="dxa"/>
            <w:tcBorders>
              <w:top w:val="single" w:color="000000" w:sz="4" w:space="0"/>
              <w:left w:val="single" w:color="000000" w:sz="4" w:space="0"/>
              <w:bottom w:val="single" w:color="000000" w:sz="4" w:space="0"/>
              <w:right w:val="single" w:color="000000" w:sz="4" w:space="0"/>
            </w:tcBorders>
            <w:vAlign w:val="center"/>
          </w:tcPr>
          <w:p>
            <w:pPr>
              <w:widowControl/>
              <w:spacing w:line="400" w:lineRule="exact"/>
              <w:ind w:firstLine="451" w:firstLineChars="215"/>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500-1000</w:t>
            </w:r>
          </w:p>
        </w:tc>
        <w:tc>
          <w:tcPr>
            <w:tcW w:w="1899" w:type="dxa"/>
            <w:tcBorders>
              <w:top w:val="single" w:color="000000" w:sz="4" w:space="0"/>
              <w:left w:val="nil"/>
              <w:bottom w:val="single" w:color="000000" w:sz="4" w:space="0"/>
              <w:right w:val="single" w:color="000000" w:sz="4" w:space="0"/>
            </w:tcBorders>
            <w:vAlign w:val="center"/>
          </w:tcPr>
          <w:p>
            <w:pPr>
              <w:widowControl/>
              <w:spacing w:line="400" w:lineRule="exact"/>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0.64%</w:t>
            </w:r>
          </w:p>
        </w:tc>
        <w:tc>
          <w:tcPr>
            <w:tcW w:w="1980" w:type="dxa"/>
            <w:tcBorders>
              <w:top w:val="single" w:color="000000" w:sz="4" w:space="0"/>
              <w:left w:val="nil"/>
              <w:bottom w:val="single" w:color="000000" w:sz="4" w:space="0"/>
              <w:right w:val="single" w:color="000000" w:sz="4" w:space="0"/>
            </w:tcBorders>
            <w:vAlign w:val="center"/>
          </w:tcPr>
          <w:p>
            <w:pPr>
              <w:widowControl/>
              <w:spacing w:line="400" w:lineRule="exact"/>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0.36%</w:t>
            </w:r>
          </w:p>
        </w:tc>
        <w:tc>
          <w:tcPr>
            <w:tcW w:w="1980" w:type="dxa"/>
            <w:tcBorders>
              <w:top w:val="single" w:color="000000" w:sz="4" w:space="0"/>
              <w:left w:val="nil"/>
              <w:bottom w:val="single" w:color="000000" w:sz="4" w:space="0"/>
              <w:right w:val="single" w:color="000000" w:sz="4" w:space="0"/>
            </w:tcBorders>
            <w:vAlign w:val="center"/>
          </w:tcPr>
          <w:p>
            <w:pPr>
              <w:widowControl/>
              <w:spacing w:line="400" w:lineRule="exact"/>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0.44%</w:t>
            </w:r>
          </w:p>
        </w:tc>
      </w:tr>
      <w:tr>
        <w:tblPrEx>
          <w:tblCellMar>
            <w:top w:w="0" w:type="dxa"/>
            <w:left w:w="108" w:type="dxa"/>
            <w:bottom w:w="0" w:type="dxa"/>
            <w:right w:w="108" w:type="dxa"/>
          </w:tblCellMar>
        </w:tblPrEx>
        <w:trPr>
          <w:trHeight w:val="456" w:hRule="atLeast"/>
        </w:trPr>
        <w:tc>
          <w:tcPr>
            <w:tcW w:w="3255" w:type="dxa"/>
            <w:tcBorders>
              <w:top w:val="single" w:color="000000" w:sz="4" w:space="0"/>
              <w:left w:val="single" w:color="000000" w:sz="4" w:space="0"/>
              <w:bottom w:val="single" w:color="000000" w:sz="4" w:space="0"/>
              <w:right w:val="single" w:color="000000" w:sz="4" w:space="0"/>
            </w:tcBorders>
            <w:vAlign w:val="center"/>
          </w:tcPr>
          <w:p>
            <w:pPr>
              <w:widowControl/>
              <w:spacing w:line="400" w:lineRule="exact"/>
              <w:ind w:firstLine="420" w:firstLineChars="200"/>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1000-5000</w:t>
            </w:r>
          </w:p>
        </w:tc>
        <w:tc>
          <w:tcPr>
            <w:tcW w:w="1899" w:type="dxa"/>
            <w:tcBorders>
              <w:top w:val="single" w:color="000000" w:sz="4" w:space="0"/>
              <w:left w:val="nil"/>
              <w:bottom w:val="single" w:color="000000" w:sz="4" w:space="0"/>
              <w:right w:val="single" w:color="000000" w:sz="4" w:space="0"/>
            </w:tcBorders>
            <w:vAlign w:val="center"/>
          </w:tcPr>
          <w:p>
            <w:pPr>
              <w:widowControl/>
              <w:spacing w:line="400" w:lineRule="exact"/>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0.4%</w:t>
            </w:r>
          </w:p>
        </w:tc>
        <w:tc>
          <w:tcPr>
            <w:tcW w:w="1980" w:type="dxa"/>
            <w:tcBorders>
              <w:top w:val="single" w:color="000000" w:sz="4" w:space="0"/>
              <w:left w:val="nil"/>
              <w:bottom w:val="single" w:color="000000" w:sz="4" w:space="0"/>
              <w:right w:val="single" w:color="000000" w:sz="4" w:space="0"/>
            </w:tcBorders>
            <w:vAlign w:val="center"/>
          </w:tcPr>
          <w:p>
            <w:pPr>
              <w:widowControl/>
              <w:spacing w:line="400" w:lineRule="exact"/>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0.2%</w:t>
            </w:r>
          </w:p>
        </w:tc>
        <w:tc>
          <w:tcPr>
            <w:tcW w:w="1980" w:type="dxa"/>
            <w:tcBorders>
              <w:top w:val="single" w:color="000000" w:sz="4" w:space="0"/>
              <w:left w:val="nil"/>
              <w:bottom w:val="single" w:color="000000" w:sz="4" w:space="0"/>
              <w:right w:val="single" w:color="000000" w:sz="4" w:space="0"/>
            </w:tcBorders>
            <w:vAlign w:val="center"/>
          </w:tcPr>
          <w:p>
            <w:pPr>
              <w:widowControl/>
              <w:spacing w:line="400" w:lineRule="exact"/>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0.28%</w:t>
            </w:r>
          </w:p>
        </w:tc>
      </w:tr>
      <w:tr>
        <w:tblPrEx>
          <w:tblCellMar>
            <w:top w:w="0" w:type="dxa"/>
            <w:left w:w="108" w:type="dxa"/>
            <w:bottom w:w="0" w:type="dxa"/>
            <w:right w:w="108" w:type="dxa"/>
          </w:tblCellMar>
        </w:tblPrEx>
        <w:trPr>
          <w:trHeight w:val="448" w:hRule="atLeast"/>
        </w:trPr>
        <w:tc>
          <w:tcPr>
            <w:tcW w:w="3255" w:type="dxa"/>
            <w:tcBorders>
              <w:top w:val="single" w:color="000000" w:sz="4" w:space="0"/>
              <w:left w:val="single" w:color="000000" w:sz="4" w:space="0"/>
              <w:bottom w:val="single" w:color="auto" w:sz="4" w:space="0"/>
              <w:right w:val="single" w:color="000000" w:sz="4" w:space="0"/>
            </w:tcBorders>
            <w:vAlign w:val="center"/>
          </w:tcPr>
          <w:p>
            <w:pPr>
              <w:widowControl/>
              <w:spacing w:line="400" w:lineRule="exact"/>
              <w:ind w:firstLine="420" w:firstLineChars="200"/>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5000-10000</w:t>
            </w:r>
          </w:p>
        </w:tc>
        <w:tc>
          <w:tcPr>
            <w:tcW w:w="1899" w:type="dxa"/>
            <w:tcBorders>
              <w:top w:val="single" w:color="000000" w:sz="4" w:space="0"/>
              <w:left w:val="nil"/>
              <w:bottom w:val="single" w:color="auto" w:sz="4" w:space="0"/>
              <w:right w:val="single" w:color="000000" w:sz="4" w:space="0"/>
            </w:tcBorders>
            <w:vAlign w:val="center"/>
          </w:tcPr>
          <w:p>
            <w:pPr>
              <w:widowControl/>
              <w:spacing w:line="400" w:lineRule="exact"/>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0.2%</w:t>
            </w:r>
          </w:p>
        </w:tc>
        <w:tc>
          <w:tcPr>
            <w:tcW w:w="1980" w:type="dxa"/>
            <w:tcBorders>
              <w:top w:val="single" w:color="000000" w:sz="4" w:space="0"/>
              <w:left w:val="nil"/>
              <w:bottom w:val="single" w:color="auto" w:sz="4" w:space="0"/>
              <w:right w:val="single" w:color="000000" w:sz="4" w:space="0"/>
            </w:tcBorders>
            <w:vAlign w:val="center"/>
          </w:tcPr>
          <w:p>
            <w:pPr>
              <w:widowControl/>
              <w:spacing w:line="400" w:lineRule="exact"/>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0.08%</w:t>
            </w:r>
          </w:p>
        </w:tc>
        <w:tc>
          <w:tcPr>
            <w:tcW w:w="1980" w:type="dxa"/>
            <w:tcBorders>
              <w:top w:val="single" w:color="000000" w:sz="4" w:space="0"/>
              <w:left w:val="nil"/>
              <w:bottom w:val="single" w:color="auto" w:sz="4" w:space="0"/>
              <w:right w:val="single" w:color="000000" w:sz="4" w:space="0"/>
            </w:tcBorders>
            <w:vAlign w:val="center"/>
          </w:tcPr>
          <w:p>
            <w:pPr>
              <w:widowControl/>
              <w:spacing w:line="400" w:lineRule="exact"/>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0.16%</w:t>
            </w:r>
          </w:p>
        </w:tc>
      </w:tr>
      <w:tr>
        <w:tblPrEx>
          <w:tblCellMar>
            <w:top w:w="0" w:type="dxa"/>
            <w:left w:w="108" w:type="dxa"/>
            <w:bottom w:w="0" w:type="dxa"/>
            <w:right w:w="108" w:type="dxa"/>
          </w:tblCellMar>
        </w:tblPrEx>
        <w:trPr>
          <w:trHeight w:val="455" w:hRule="atLeast"/>
        </w:trPr>
        <w:tc>
          <w:tcPr>
            <w:tcW w:w="3255" w:type="dxa"/>
            <w:tcBorders>
              <w:top w:val="single" w:color="auto" w:sz="4" w:space="0"/>
              <w:left w:val="single" w:color="000000" w:sz="4" w:space="0"/>
              <w:bottom w:val="single" w:color="000000" w:sz="4" w:space="0"/>
              <w:right w:val="single" w:color="000000" w:sz="4" w:space="0"/>
            </w:tcBorders>
            <w:vAlign w:val="center"/>
          </w:tcPr>
          <w:p>
            <w:pPr>
              <w:spacing w:line="400" w:lineRule="exact"/>
              <w:ind w:firstLine="420" w:firstLineChars="200"/>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10000-50000</w:t>
            </w:r>
          </w:p>
        </w:tc>
        <w:tc>
          <w:tcPr>
            <w:tcW w:w="1899" w:type="dxa"/>
            <w:tcBorders>
              <w:top w:val="single" w:color="auto" w:sz="4" w:space="0"/>
              <w:left w:val="nil"/>
              <w:bottom w:val="single" w:color="000000" w:sz="4" w:space="0"/>
              <w:right w:val="single" w:color="000000" w:sz="4" w:space="0"/>
            </w:tcBorders>
            <w:vAlign w:val="center"/>
          </w:tcPr>
          <w:p>
            <w:pPr>
              <w:spacing w:line="400" w:lineRule="exact"/>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0.04%</w:t>
            </w:r>
          </w:p>
        </w:tc>
        <w:tc>
          <w:tcPr>
            <w:tcW w:w="1980" w:type="dxa"/>
            <w:tcBorders>
              <w:top w:val="single" w:color="auto" w:sz="4" w:space="0"/>
              <w:left w:val="nil"/>
              <w:bottom w:val="single" w:color="000000" w:sz="4" w:space="0"/>
              <w:right w:val="single" w:color="000000" w:sz="4" w:space="0"/>
            </w:tcBorders>
            <w:vAlign w:val="center"/>
          </w:tcPr>
          <w:p>
            <w:pPr>
              <w:spacing w:line="400" w:lineRule="exact"/>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0.04%</w:t>
            </w:r>
          </w:p>
        </w:tc>
        <w:tc>
          <w:tcPr>
            <w:tcW w:w="1980" w:type="dxa"/>
            <w:tcBorders>
              <w:top w:val="single" w:color="auto" w:sz="4" w:space="0"/>
              <w:left w:val="nil"/>
              <w:bottom w:val="single" w:color="000000" w:sz="4" w:space="0"/>
              <w:right w:val="single" w:color="000000" w:sz="4" w:space="0"/>
            </w:tcBorders>
            <w:vAlign w:val="center"/>
          </w:tcPr>
          <w:p>
            <w:pPr>
              <w:spacing w:line="400" w:lineRule="exact"/>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0.04%</w:t>
            </w:r>
          </w:p>
        </w:tc>
      </w:tr>
      <w:tr>
        <w:tblPrEx>
          <w:tblCellMar>
            <w:top w:w="0" w:type="dxa"/>
            <w:left w:w="108" w:type="dxa"/>
            <w:bottom w:w="0" w:type="dxa"/>
            <w:right w:w="108" w:type="dxa"/>
          </w:tblCellMar>
        </w:tblPrEx>
        <w:trPr>
          <w:trHeight w:val="460" w:hRule="atLeast"/>
        </w:trPr>
        <w:tc>
          <w:tcPr>
            <w:tcW w:w="3255" w:type="dxa"/>
            <w:tcBorders>
              <w:top w:val="single" w:color="000000" w:sz="4" w:space="0"/>
              <w:left w:val="single" w:color="000000" w:sz="4" w:space="0"/>
              <w:bottom w:val="single" w:color="auto" w:sz="4" w:space="0"/>
              <w:right w:val="single" w:color="000000" w:sz="4" w:space="0"/>
            </w:tcBorders>
            <w:vAlign w:val="center"/>
          </w:tcPr>
          <w:p>
            <w:pPr>
              <w:widowControl/>
              <w:spacing w:line="400" w:lineRule="exact"/>
              <w:ind w:firstLine="420" w:firstLineChars="200"/>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50000-100000</w:t>
            </w:r>
          </w:p>
        </w:tc>
        <w:tc>
          <w:tcPr>
            <w:tcW w:w="1899" w:type="dxa"/>
            <w:tcBorders>
              <w:top w:val="single" w:color="000000" w:sz="4" w:space="0"/>
              <w:left w:val="nil"/>
              <w:bottom w:val="single" w:color="auto" w:sz="4" w:space="0"/>
              <w:right w:val="single" w:color="000000" w:sz="4" w:space="0"/>
            </w:tcBorders>
            <w:vAlign w:val="center"/>
          </w:tcPr>
          <w:p>
            <w:pPr>
              <w:widowControl/>
              <w:spacing w:line="400" w:lineRule="exact"/>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0.028%</w:t>
            </w:r>
          </w:p>
        </w:tc>
        <w:tc>
          <w:tcPr>
            <w:tcW w:w="1980" w:type="dxa"/>
            <w:tcBorders>
              <w:top w:val="single" w:color="000000" w:sz="4" w:space="0"/>
              <w:left w:val="nil"/>
              <w:bottom w:val="single" w:color="auto" w:sz="4" w:space="0"/>
              <w:right w:val="single" w:color="000000" w:sz="4" w:space="0"/>
            </w:tcBorders>
            <w:vAlign w:val="center"/>
          </w:tcPr>
          <w:p>
            <w:pPr>
              <w:widowControl/>
              <w:spacing w:line="400" w:lineRule="exact"/>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0.028%</w:t>
            </w:r>
          </w:p>
        </w:tc>
        <w:tc>
          <w:tcPr>
            <w:tcW w:w="1980" w:type="dxa"/>
            <w:tcBorders>
              <w:top w:val="single" w:color="000000" w:sz="4" w:space="0"/>
              <w:left w:val="nil"/>
              <w:bottom w:val="single" w:color="auto" w:sz="4" w:space="0"/>
              <w:right w:val="single" w:color="000000" w:sz="4" w:space="0"/>
            </w:tcBorders>
            <w:vAlign w:val="center"/>
          </w:tcPr>
          <w:p>
            <w:pPr>
              <w:widowControl/>
              <w:spacing w:line="400" w:lineRule="exact"/>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0.028%</w:t>
            </w:r>
          </w:p>
        </w:tc>
      </w:tr>
      <w:tr>
        <w:tblPrEx>
          <w:tblCellMar>
            <w:top w:w="0" w:type="dxa"/>
            <w:left w:w="108" w:type="dxa"/>
            <w:bottom w:w="0" w:type="dxa"/>
            <w:right w:w="108" w:type="dxa"/>
          </w:tblCellMar>
        </w:tblPrEx>
        <w:trPr>
          <w:trHeight w:val="466" w:hRule="atLeast"/>
        </w:trPr>
        <w:tc>
          <w:tcPr>
            <w:tcW w:w="3255" w:type="dxa"/>
            <w:tcBorders>
              <w:top w:val="single" w:color="auto" w:sz="4" w:space="0"/>
              <w:left w:val="single" w:color="000000" w:sz="4" w:space="0"/>
              <w:bottom w:val="single" w:color="auto" w:sz="4" w:space="0"/>
              <w:right w:val="single" w:color="000000" w:sz="4" w:space="0"/>
            </w:tcBorders>
            <w:vAlign w:val="center"/>
          </w:tcPr>
          <w:p>
            <w:pPr>
              <w:spacing w:line="400" w:lineRule="exact"/>
              <w:ind w:firstLine="420" w:firstLineChars="200"/>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100000-500000</w:t>
            </w:r>
          </w:p>
        </w:tc>
        <w:tc>
          <w:tcPr>
            <w:tcW w:w="1899" w:type="dxa"/>
            <w:tcBorders>
              <w:top w:val="single" w:color="auto" w:sz="4" w:space="0"/>
              <w:left w:val="nil"/>
              <w:bottom w:val="single" w:color="auto" w:sz="4" w:space="0"/>
              <w:right w:val="single" w:color="000000" w:sz="4" w:space="0"/>
            </w:tcBorders>
            <w:vAlign w:val="center"/>
          </w:tcPr>
          <w:p>
            <w:pPr>
              <w:spacing w:line="400" w:lineRule="exact"/>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0.0064%</w:t>
            </w:r>
          </w:p>
        </w:tc>
        <w:tc>
          <w:tcPr>
            <w:tcW w:w="1980" w:type="dxa"/>
            <w:tcBorders>
              <w:top w:val="single" w:color="auto" w:sz="4" w:space="0"/>
              <w:left w:val="nil"/>
              <w:bottom w:val="single" w:color="auto" w:sz="4" w:space="0"/>
              <w:right w:val="single" w:color="000000" w:sz="4" w:space="0"/>
            </w:tcBorders>
            <w:vAlign w:val="center"/>
          </w:tcPr>
          <w:p>
            <w:pPr>
              <w:spacing w:line="400" w:lineRule="exact"/>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0.0064%</w:t>
            </w:r>
          </w:p>
        </w:tc>
        <w:tc>
          <w:tcPr>
            <w:tcW w:w="1980" w:type="dxa"/>
            <w:tcBorders>
              <w:top w:val="single" w:color="auto" w:sz="4" w:space="0"/>
              <w:left w:val="nil"/>
              <w:bottom w:val="single" w:color="auto" w:sz="4" w:space="0"/>
              <w:right w:val="single" w:color="000000" w:sz="4" w:space="0"/>
            </w:tcBorders>
            <w:vAlign w:val="center"/>
          </w:tcPr>
          <w:p>
            <w:pPr>
              <w:spacing w:line="400" w:lineRule="exact"/>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0.0064%</w:t>
            </w:r>
          </w:p>
        </w:tc>
      </w:tr>
      <w:tr>
        <w:tblPrEx>
          <w:tblCellMar>
            <w:top w:w="0" w:type="dxa"/>
            <w:left w:w="108" w:type="dxa"/>
            <w:bottom w:w="0" w:type="dxa"/>
            <w:right w:w="108" w:type="dxa"/>
          </w:tblCellMar>
        </w:tblPrEx>
        <w:trPr>
          <w:trHeight w:val="444" w:hRule="atLeast"/>
        </w:trPr>
        <w:tc>
          <w:tcPr>
            <w:tcW w:w="3255" w:type="dxa"/>
            <w:tcBorders>
              <w:top w:val="single" w:color="auto" w:sz="4" w:space="0"/>
              <w:left w:val="single" w:color="000000" w:sz="4" w:space="0"/>
              <w:bottom w:val="single" w:color="000000" w:sz="4" w:space="0"/>
              <w:right w:val="single" w:color="000000" w:sz="4" w:space="0"/>
            </w:tcBorders>
            <w:vAlign w:val="center"/>
          </w:tcPr>
          <w:p>
            <w:pPr>
              <w:spacing w:line="400" w:lineRule="exact"/>
              <w:ind w:firstLine="420" w:firstLineChars="200"/>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500000-1000000</w:t>
            </w:r>
          </w:p>
        </w:tc>
        <w:tc>
          <w:tcPr>
            <w:tcW w:w="1899" w:type="dxa"/>
            <w:tcBorders>
              <w:top w:val="single" w:color="auto" w:sz="4" w:space="0"/>
              <w:left w:val="nil"/>
              <w:bottom w:val="single" w:color="000000" w:sz="4" w:space="0"/>
              <w:right w:val="single" w:color="000000" w:sz="4" w:space="0"/>
            </w:tcBorders>
            <w:vAlign w:val="center"/>
          </w:tcPr>
          <w:p>
            <w:pPr>
              <w:spacing w:line="400" w:lineRule="exact"/>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0.0048%</w:t>
            </w:r>
          </w:p>
        </w:tc>
        <w:tc>
          <w:tcPr>
            <w:tcW w:w="1980" w:type="dxa"/>
            <w:tcBorders>
              <w:top w:val="single" w:color="auto" w:sz="4" w:space="0"/>
              <w:left w:val="nil"/>
              <w:bottom w:val="single" w:color="000000" w:sz="4" w:space="0"/>
              <w:right w:val="single" w:color="000000" w:sz="4" w:space="0"/>
            </w:tcBorders>
            <w:vAlign w:val="center"/>
          </w:tcPr>
          <w:p>
            <w:pPr>
              <w:spacing w:line="400" w:lineRule="exact"/>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0.0048%</w:t>
            </w:r>
          </w:p>
        </w:tc>
        <w:tc>
          <w:tcPr>
            <w:tcW w:w="1980" w:type="dxa"/>
            <w:tcBorders>
              <w:top w:val="single" w:color="auto" w:sz="4" w:space="0"/>
              <w:left w:val="nil"/>
              <w:bottom w:val="single" w:color="000000" w:sz="4" w:space="0"/>
              <w:right w:val="single" w:color="000000" w:sz="4" w:space="0"/>
            </w:tcBorders>
            <w:vAlign w:val="center"/>
          </w:tcPr>
          <w:p>
            <w:pPr>
              <w:spacing w:line="400" w:lineRule="exact"/>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0.0048%</w:t>
            </w:r>
          </w:p>
        </w:tc>
      </w:tr>
      <w:tr>
        <w:tblPrEx>
          <w:tblCellMar>
            <w:top w:w="0" w:type="dxa"/>
            <w:left w:w="108" w:type="dxa"/>
            <w:bottom w:w="0" w:type="dxa"/>
            <w:right w:w="108" w:type="dxa"/>
          </w:tblCellMar>
        </w:tblPrEx>
        <w:trPr>
          <w:trHeight w:val="464" w:hRule="atLeast"/>
        </w:trPr>
        <w:tc>
          <w:tcPr>
            <w:tcW w:w="3255" w:type="dxa"/>
            <w:tcBorders>
              <w:top w:val="single" w:color="000000" w:sz="4" w:space="0"/>
              <w:left w:val="single" w:color="000000" w:sz="4" w:space="0"/>
              <w:bottom w:val="single" w:color="000000" w:sz="4" w:space="0"/>
              <w:right w:val="single" w:color="000000" w:sz="4" w:space="0"/>
            </w:tcBorders>
            <w:vAlign w:val="center"/>
          </w:tcPr>
          <w:p>
            <w:pPr>
              <w:widowControl/>
              <w:spacing w:line="400" w:lineRule="exact"/>
              <w:ind w:firstLine="420" w:firstLineChars="200"/>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1000000以上</w:t>
            </w:r>
          </w:p>
        </w:tc>
        <w:tc>
          <w:tcPr>
            <w:tcW w:w="1899" w:type="dxa"/>
            <w:tcBorders>
              <w:top w:val="single" w:color="000000" w:sz="4" w:space="0"/>
              <w:left w:val="nil"/>
              <w:bottom w:val="single" w:color="000000" w:sz="4" w:space="0"/>
              <w:right w:val="single" w:color="000000" w:sz="4" w:space="0"/>
            </w:tcBorders>
            <w:vAlign w:val="center"/>
          </w:tcPr>
          <w:p>
            <w:pPr>
              <w:widowControl/>
              <w:spacing w:line="400" w:lineRule="exact"/>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0.0032%</w:t>
            </w:r>
          </w:p>
        </w:tc>
        <w:tc>
          <w:tcPr>
            <w:tcW w:w="1980" w:type="dxa"/>
            <w:tcBorders>
              <w:top w:val="single" w:color="000000" w:sz="4" w:space="0"/>
              <w:left w:val="nil"/>
              <w:bottom w:val="single" w:color="000000" w:sz="4" w:space="0"/>
              <w:right w:val="single" w:color="000000" w:sz="4" w:space="0"/>
            </w:tcBorders>
            <w:vAlign w:val="center"/>
          </w:tcPr>
          <w:p>
            <w:pPr>
              <w:widowControl/>
              <w:spacing w:line="400" w:lineRule="exact"/>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0.0032%</w:t>
            </w:r>
          </w:p>
        </w:tc>
        <w:tc>
          <w:tcPr>
            <w:tcW w:w="1980" w:type="dxa"/>
            <w:tcBorders>
              <w:top w:val="single" w:color="000000" w:sz="4" w:space="0"/>
              <w:left w:val="nil"/>
              <w:bottom w:val="single" w:color="000000" w:sz="4" w:space="0"/>
              <w:right w:val="single" w:color="000000" w:sz="4" w:space="0"/>
            </w:tcBorders>
            <w:vAlign w:val="center"/>
          </w:tcPr>
          <w:p>
            <w:pPr>
              <w:widowControl/>
              <w:spacing w:line="400" w:lineRule="exact"/>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0.0032%</w:t>
            </w:r>
          </w:p>
        </w:tc>
      </w:tr>
    </w:tbl>
    <w:p>
      <w:pPr>
        <w:spacing w:line="410" w:lineRule="exact"/>
        <w:ind w:firstLine="315" w:firstLineChars="150"/>
        <w:rPr>
          <w:rFonts w:hint="eastAsia" w:ascii="宋体" w:hAnsi="宋体" w:eastAsia="宋体" w:cs="Courier New"/>
          <w:color w:val="auto"/>
          <w:szCs w:val="21"/>
          <w:highlight w:val="none"/>
        </w:rPr>
      </w:pPr>
      <w:r>
        <w:rPr>
          <w:rFonts w:hint="eastAsia" w:ascii="宋体" w:hAnsi="宋体" w:eastAsia="宋体" w:cs="Courier New"/>
          <w:color w:val="auto"/>
          <w:szCs w:val="21"/>
          <w:highlight w:val="none"/>
        </w:rPr>
        <w:tab/>
      </w:r>
      <w:bookmarkStart w:id="184" w:name="_Hlk92466755"/>
      <w:r>
        <w:rPr>
          <w:rFonts w:hint="eastAsia" w:ascii="宋体" w:hAnsi="宋体" w:eastAsia="宋体" w:cs="Courier New"/>
          <w:color w:val="auto"/>
          <w:szCs w:val="21"/>
          <w:highlight w:val="none"/>
        </w:rPr>
        <w:t>注：代理服务收费按差额定率累进法计算</w:t>
      </w:r>
      <w:bookmarkEnd w:id="184"/>
      <w:r>
        <w:rPr>
          <w:rFonts w:hint="eastAsia" w:ascii="宋体" w:hAnsi="宋体" w:eastAsia="宋体" w:cs="Courier New"/>
          <w:color w:val="auto"/>
          <w:szCs w:val="21"/>
          <w:highlight w:val="none"/>
        </w:rPr>
        <w:t>。</w:t>
      </w:r>
    </w:p>
    <w:p>
      <w:pPr>
        <w:spacing w:line="410" w:lineRule="exact"/>
        <w:ind w:firstLine="420" w:firstLineChars="200"/>
        <w:rPr>
          <w:rFonts w:hint="eastAsia" w:ascii="宋体" w:hAnsi="宋体" w:eastAsia="宋体" w:cs="Courier New"/>
          <w:color w:val="auto"/>
          <w:szCs w:val="21"/>
          <w:highlight w:val="none"/>
        </w:rPr>
      </w:pPr>
      <w:r>
        <w:rPr>
          <w:rFonts w:hint="eastAsia" w:ascii="宋体" w:hAnsi="宋体" w:eastAsia="宋体" w:cs="Courier New"/>
          <w:color w:val="auto"/>
          <w:szCs w:val="21"/>
          <w:highlight w:val="none"/>
        </w:rPr>
        <w:t>3.缴纳代理服务费银行账户：</w:t>
      </w:r>
    </w:p>
    <w:p>
      <w:pPr>
        <w:spacing w:line="410" w:lineRule="exact"/>
        <w:ind w:left="420" w:firstLine="210" w:firstLineChars="100"/>
        <w:rPr>
          <w:rFonts w:hint="eastAsia" w:ascii="宋体" w:hAnsi="宋体" w:eastAsia="宋体" w:cs="Courier New"/>
          <w:color w:val="auto"/>
          <w:szCs w:val="21"/>
          <w:highlight w:val="none"/>
        </w:rPr>
      </w:pPr>
      <w:r>
        <w:rPr>
          <w:rFonts w:hint="eastAsia" w:ascii="宋体" w:hAnsi="宋体" w:eastAsia="宋体" w:cs="Courier New"/>
          <w:color w:val="auto"/>
          <w:szCs w:val="21"/>
          <w:highlight w:val="none"/>
        </w:rPr>
        <w:t>开户名称:钦州市政府采购中心</w:t>
      </w:r>
    </w:p>
    <w:p>
      <w:pPr>
        <w:spacing w:line="410" w:lineRule="exact"/>
        <w:ind w:firstLine="630" w:firstLineChars="300"/>
        <w:rPr>
          <w:rFonts w:hint="eastAsia" w:ascii="宋体" w:hAnsi="宋体" w:eastAsia="宋体" w:cs="Courier New"/>
          <w:color w:val="auto"/>
          <w:szCs w:val="21"/>
          <w:highlight w:val="none"/>
        </w:rPr>
      </w:pPr>
      <w:r>
        <w:rPr>
          <w:rFonts w:hint="eastAsia" w:ascii="宋体" w:hAnsi="宋体" w:eastAsia="宋体" w:cs="Courier New"/>
          <w:color w:val="auto"/>
          <w:szCs w:val="21"/>
          <w:highlight w:val="none"/>
        </w:rPr>
        <w:t>开户银行:兴业银行钦州支行</w:t>
      </w:r>
    </w:p>
    <w:p>
      <w:pPr>
        <w:spacing w:line="410" w:lineRule="exact"/>
        <w:ind w:firstLine="630" w:firstLineChars="300"/>
        <w:rPr>
          <w:rFonts w:hint="eastAsia" w:ascii="仿宋_GB2312" w:hAnsi="宋体" w:eastAsia="仿宋_GB2312" w:cs="Courier New"/>
          <w:b/>
          <w:color w:val="auto"/>
          <w:sz w:val="28"/>
          <w:szCs w:val="28"/>
          <w:highlight w:val="none"/>
        </w:rPr>
      </w:pPr>
      <w:r>
        <w:rPr>
          <w:rFonts w:hint="eastAsia" w:ascii="宋体" w:hAnsi="宋体" w:eastAsia="宋体" w:cs="Courier New"/>
          <w:color w:val="auto"/>
          <w:szCs w:val="21"/>
          <w:highlight w:val="none"/>
        </w:rPr>
        <w:t>银行账号:554010100100129709</w:t>
      </w:r>
    </w:p>
    <w:p>
      <w:pPr>
        <w:spacing w:line="410" w:lineRule="exact"/>
        <w:ind w:firstLine="210" w:firstLineChars="100"/>
        <w:rPr>
          <w:rFonts w:hint="eastAsia" w:ascii="宋体" w:hAnsi="宋体" w:eastAsia="宋体" w:cs="Courier New"/>
          <w:bCs/>
          <w:color w:val="auto"/>
          <w:szCs w:val="21"/>
          <w:highlight w:val="none"/>
        </w:rPr>
      </w:pPr>
      <w:r>
        <w:rPr>
          <w:rFonts w:hint="eastAsia" w:ascii="宋体" w:hAnsi="宋体" w:eastAsia="宋体" w:cs="Courier New"/>
          <w:bCs/>
          <w:color w:val="auto"/>
          <w:szCs w:val="21"/>
          <w:highlight w:val="none"/>
        </w:rPr>
        <w:t>（二）解释权：</w:t>
      </w:r>
      <w:bookmarkStart w:id="185" w:name="_Hlk92466777"/>
      <w:r>
        <w:rPr>
          <w:rFonts w:hint="eastAsia" w:ascii="宋体" w:hAnsi="宋体" w:eastAsia="宋体" w:cs="Courier New"/>
          <w:bCs/>
          <w:color w:val="auto"/>
          <w:spacing w:val="-4"/>
          <w:szCs w:val="21"/>
          <w:highlight w:val="none"/>
        </w:rPr>
        <w:t>本招标文件解释权属本中心</w:t>
      </w:r>
      <w:bookmarkEnd w:id="185"/>
      <w:r>
        <w:rPr>
          <w:rFonts w:hint="eastAsia" w:ascii="宋体" w:hAnsi="宋体" w:eastAsia="宋体" w:cs="Courier New"/>
          <w:bCs/>
          <w:color w:val="auto"/>
          <w:spacing w:val="-4"/>
          <w:szCs w:val="21"/>
          <w:highlight w:val="none"/>
        </w:rPr>
        <w:t>。</w:t>
      </w:r>
    </w:p>
    <w:p>
      <w:pPr>
        <w:spacing w:line="410" w:lineRule="exact"/>
        <w:ind w:firstLine="210" w:firstLineChars="100"/>
        <w:rPr>
          <w:rFonts w:hint="eastAsia" w:ascii="宋体" w:hAnsi="宋体" w:eastAsia="宋体" w:cs="Courier New"/>
          <w:bCs/>
          <w:color w:val="auto"/>
          <w:szCs w:val="21"/>
          <w:highlight w:val="none"/>
        </w:rPr>
      </w:pPr>
      <w:r>
        <w:rPr>
          <w:rFonts w:hint="eastAsia" w:ascii="宋体" w:hAnsi="宋体" w:eastAsia="宋体" w:cs="Courier New"/>
          <w:bCs/>
          <w:color w:val="auto"/>
          <w:szCs w:val="21"/>
          <w:highlight w:val="none"/>
        </w:rPr>
        <w:t>（三）有关事宜</w:t>
      </w:r>
    </w:p>
    <w:p>
      <w:pPr>
        <w:spacing w:line="410" w:lineRule="exact"/>
        <w:rPr>
          <w:rFonts w:hint="eastAsia" w:ascii="宋体" w:hAnsi="宋体" w:eastAsia="宋体" w:cs="Courier New"/>
          <w:color w:val="auto"/>
          <w:szCs w:val="21"/>
          <w:highlight w:val="none"/>
        </w:rPr>
      </w:pPr>
      <w:r>
        <w:rPr>
          <w:rFonts w:hint="eastAsia" w:ascii="宋体" w:hAnsi="宋体" w:eastAsia="宋体" w:cs="Courier New"/>
          <w:color w:val="auto"/>
          <w:szCs w:val="21"/>
          <w:highlight w:val="none"/>
        </w:rPr>
        <w:tab/>
      </w:r>
      <w:r>
        <w:rPr>
          <w:rFonts w:hint="eastAsia" w:ascii="宋体" w:hAnsi="宋体" w:eastAsia="宋体" w:cs="Courier New"/>
          <w:color w:val="auto"/>
          <w:szCs w:val="21"/>
          <w:highlight w:val="none"/>
        </w:rPr>
        <w:t>所有与本招标文件有关的函件请按下列通讯地址联系：</w:t>
      </w:r>
    </w:p>
    <w:p>
      <w:pPr>
        <w:spacing w:line="410" w:lineRule="exact"/>
        <w:ind w:firstLine="420" w:firstLineChars="200"/>
        <w:rPr>
          <w:rFonts w:hint="eastAsia" w:ascii="宋体" w:hAnsi="宋体" w:eastAsia="宋体" w:cs="Courier New"/>
          <w:color w:val="auto"/>
          <w:szCs w:val="21"/>
          <w:highlight w:val="none"/>
        </w:rPr>
      </w:pPr>
      <w:bookmarkStart w:id="186" w:name="_Hlk92466867"/>
      <w:r>
        <w:rPr>
          <w:rFonts w:hint="eastAsia" w:ascii="宋体" w:hAnsi="宋体" w:eastAsia="宋体" w:cs="Courier New"/>
          <w:color w:val="auto"/>
          <w:szCs w:val="21"/>
          <w:highlight w:val="none"/>
        </w:rPr>
        <w:t>钦州市政府采购中心</w:t>
      </w:r>
    </w:p>
    <w:p>
      <w:pPr>
        <w:tabs>
          <w:tab w:val="left" w:pos="1990"/>
        </w:tabs>
        <w:spacing w:line="410" w:lineRule="exact"/>
        <w:ind w:firstLine="420" w:firstLineChars="200"/>
        <w:rPr>
          <w:rFonts w:hint="eastAsia" w:ascii="宋体" w:hAnsi="宋体" w:eastAsia="宋体" w:cs="Courier New"/>
          <w:color w:val="auto"/>
          <w:szCs w:val="21"/>
          <w:highlight w:val="none"/>
          <w:u w:val="single"/>
        </w:rPr>
      </w:pPr>
      <w:r>
        <w:rPr>
          <w:rFonts w:hint="eastAsia" w:ascii="宋体" w:hAnsi="宋体" w:eastAsia="宋体" w:cs="Courier New"/>
          <w:color w:val="auto"/>
          <w:szCs w:val="21"/>
          <w:highlight w:val="none"/>
        </w:rPr>
        <w:t>邮政编码：535000</w:t>
      </w:r>
    </w:p>
    <w:p>
      <w:pPr>
        <w:tabs>
          <w:tab w:val="left" w:pos="1990"/>
        </w:tabs>
        <w:spacing w:line="410" w:lineRule="exact"/>
        <w:ind w:firstLine="420" w:firstLineChars="200"/>
        <w:rPr>
          <w:rFonts w:hint="eastAsia" w:ascii="宋体" w:hAnsi="宋体" w:eastAsia="宋体" w:cs="Courier New"/>
          <w:color w:val="auto"/>
          <w:spacing w:val="-4"/>
          <w:szCs w:val="21"/>
          <w:highlight w:val="none"/>
        </w:rPr>
      </w:pPr>
      <w:r>
        <w:rPr>
          <w:rFonts w:hint="eastAsia" w:ascii="宋体" w:hAnsi="宋体" w:eastAsia="宋体" w:cs="Courier New"/>
          <w:color w:val="auto"/>
          <w:szCs w:val="21"/>
          <w:highlight w:val="none"/>
        </w:rPr>
        <w:t>通讯地址：</w:t>
      </w:r>
      <w:r>
        <w:rPr>
          <w:rFonts w:hint="eastAsia" w:ascii="Times New Roman" w:hAnsi="Times New Roman" w:eastAsia="宋体" w:cs="Times New Roman"/>
          <w:color w:val="auto"/>
          <w:szCs w:val="24"/>
          <w:highlight w:val="none"/>
        </w:rPr>
        <w:t>钦州市金海湾东大街</w:t>
      </w:r>
      <w:r>
        <w:rPr>
          <w:rFonts w:ascii="Times New Roman" w:hAnsi="Times New Roman" w:eastAsia="宋体" w:cs="Times New Roman"/>
          <w:color w:val="auto"/>
          <w:szCs w:val="24"/>
          <w:highlight w:val="none"/>
        </w:rPr>
        <w:t>8</w:t>
      </w:r>
      <w:r>
        <w:rPr>
          <w:rFonts w:hint="eastAsia" w:ascii="Times New Roman" w:hAnsi="Times New Roman" w:eastAsia="宋体" w:cs="Times New Roman"/>
          <w:color w:val="auto"/>
          <w:szCs w:val="24"/>
          <w:highlight w:val="none"/>
        </w:rPr>
        <w:t>号</w:t>
      </w:r>
    </w:p>
    <w:bookmarkEnd w:id="56"/>
    <w:bookmarkEnd w:id="186"/>
    <w:p>
      <w:pPr>
        <w:widowControl/>
        <w:spacing w:line="430" w:lineRule="exact"/>
        <w:ind w:firstLine="420" w:firstLineChars="200"/>
        <w:jc w:val="left"/>
        <w:rPr>
          <w:rFonts w:ascii="Times New Roman" w:hAnsi="Times New Roman" w:eastAsia="宋体" w:cs="Times New Roman"/>
          <w:color w:val="auto"/>
          <w:szCs w:val="24"/>
          <w:highlight w:val="none"/>
        </w:rPr>
      </w:pPr>
      <w:bookmarkStart w:id="187" w:name="_Hlk108515537"/>
      <w:r>
        <w:rPr>
          <w:rFonts w:hint="eastAsia" w:ascii="Times New Roman" w:hAnsi="宋体" w:eastAsia="宋体" w:cs="Times New Roman"/>
          <w:color w:val="auto"/>
          <w:szCs w:val="24"/>
          <w:highlight w:val="none"/>
        </w:rPr>
        <w:t>钦州市政府采购中心联系方式</w:t>
      </w:r>
      <w:r>
        <w:rPr>
          <w:rFonts w:hint="eastAsia" w:ascii="Times New Roman" w:hAnsi="Times New Roman" w:eastAsia="宋体" w:cs="Times New Roman"/>
          <w:color w:val="auto"/>
          <w:szCs w:val="24"/>
          <w:highlight w:val="none"/>
        </w:rPr>
        <w:t>：</w:t>
      </w:r>
    </w:p>
    <w:p>
      <w:pPr>
        <w:widowControl/>
        <w:spacing w:line="430" w:lineRule="exact"/>
        <w:ind w:firstLine="420" w:firstLineChars="200"/>
        <w:jc w:val="left"/>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t>(1)</w:t>
      </w:r>
      <w:r>
        <w:rPr>
          <w:rFonts w:hint="eastAsia" w:ascii="Times New Roman" w:hAnsi="Times New Roman" w:eastAsia="宋体" w:cs="Times New Roman"/>
          <w:color w:val="auto"/>
          <w:szCs w:val="24"/>
          <w:highlight w:val="none"/>
        </w:rPr>
        <w:t>采购部</w:t>
      </w:r>
      <w:r>
        <w:rPr>
          <w:rFonts w:ascii="Times New Roman" w:hAnsi="Times New Roman" w:eastAsia="宋体" w:cs="Times New Roman"/>
          <w:color w:val="auto"/>
          <w:szCs w:val="24"/>
          <w:highlight w:val="none"/>
        </w:rPr>
        <w:t>(</w:t>
      </w:r>
      <w:r>
        <w:rPr>
          <w:rFonts w:hint="eastAsia" w:ascii="Times New Roman" w:hAnsi="Times New Roman" w:eastAsia="宋体" w:cs="Times New Roman"/>
          <w:color w:val="auto"/>
          <w:szCs w:val="24"/>
          <w:highlight w:val="none"/>
        </w:rPr>
        <w:t>采购文件</w:t>
      </w:r>
      <w:r>
        <w:rPr>
          <w:rFonts w:ascii="Times New Roman" w:hAnsi="Times New Roman" w:eastAsia="宋体" w:cs="Times New Roman"/>
          <w:color w:val="auto"/>
          <w:szCs w:val="24"/>
          <w:highlight w:val="none"/>
        </w:rPr>
        <w:t>)</w:t>
      </w:r>
    </w:p>
    <w:p>
      <w:pPr>
        <w:widowControl/>
        <w:spacing w:line="430" w:lineRule="exact"/>
        <w:ind w:firstLine="420" w:firstLineChars="200"/>
        <w:jc w:val="left"/>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联系人：</w:t>
      </w:r>
      <w:r>
        <w:rPr>
          <w:rFonts w:hint="eastAsia" w:ascii="Times New Roman" w:hAnsi="Times New Roman" w:eastAsia="宋体" w:cs="Times New Roman"/>
          <w:color w:val="auto"/>
          <w:szCs w:val="24"/>
          <w:highlight w:val="none"/>
          <w:lang w:val="en-US" w:eastAsia="zh-CN"/>
        </w:rPr>
        <w:t>黄忠秀</w:t>
      </w:r>
      <w:r>
        <w:rPr>
          <w:rFonts w:ascii="Times New Roman" w:hAnsi="Times New Roman" w:eastAsia="宋体" w:cs="Times New Roman"/>
          <w:color w:val="auto"/>
          <w:szCs w:val="24"/>
          <w:highlight w:val="none"/>
        </w:rPr>
        <w:t xml:space="preserve">   </w:t>
      </w:r>
      <w:r>
        <w:rPr>
          <w:rFonts w:hint="eastAsia" w:ascii="Times New Roman" w:hAnsi="Times New Roman" w:eastAsia="宋体" w:cs="Times New Roman"/>
          <w:color w:val="auto"/>
          <w:szCs w:val="24"/>
          <w:highlight w:val="none"/>
        </w:rPr>
        <w:t>联系方式：</w:t>
      </w:r>
      <w:r>
        <w:rPr>
          <w:rFonts w:ascii="Times New Roman" w:hAnsi="Times New Roman" w:eastAsia="宋体" w:cs="Times New Roman"/>
          <w:color w:val="auto"/>
          <w:szCs w:val="24"/>
          <w:highlight w:val="none"/>
        </w:rPr>
        <w:t>0777-2886022</w:t>
      </w:r>
    </w:p>
    <w:p>
      <w:pPr>
        <w:widowControl/>
        <w:spacing w:line="430" w:lineRule="exact"/>
        <w:ind w:firstLine="420" w:firstLineChars="200"/>
        <w:jc w:val="left"/>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t>(2)</w:t>
      </w:r>
      <w:r>
        <w:rPr>
          <w:rFonts w:hint="eastAsia" w:ascii="Times New Roman" w:hAnsi="Times New Roman" w:eastAsia="宋体" w:cs="Times New Roman"/>
          <w:color w:val="auto"/>
          <w:szCs w:val="24"/>
          <w:highlight w:val="none"/>
        </w:rPr>
        <w:t>综合二部</w:t>
      </w:r>
      <w:r>
        <w:rPr>
          <w:rFonts w:ascii="Times New Roman" w:hAnsi="Times New Roman" w:eastAsia="宋体" w:cs="Times New Roman"/>
          <w:color w:val="auto"/>
          <w:szCs w:val="24"/>
          <w:highlight w:val="none"/>
        </w:rPr>
        <w:t>(</w:t>
      </w:r>
      <w:r>
        <w:rPr>
          <w:rFonts w:hint="eastAsia" w:ascii="Times New Roman" w:hAnsi="Times New Roman" w:eastAsia="宋体" w:cs="Times New Roman"/>
          <w:color w:val="auto"/>
          <w:szCs w:val="24"/>
          <w:highlight w:val="none"/>
        </w:rPr>
        <w:t>保证金、开标、评标、中标及合同管理</w:t>
      </w:r>
      <w:r>
        <w:rPr>
          <w:rFonts w:ascii="Times New Roman" w:hAnsi="Times New Roman" w:eastAsia="宋体" w:cs="Times New Roman"/>
          <w:color w:val="auto"/>
          <w:szCs w:val="24"/>
          <w:highlight w:val="none"/>
        </w:rPr>
        <w:t>)</w:t>
      </w:r>
    </w:p>
    <w:p>
      <w:pPr>
        <w:widowControl/>
        <w:spacing w:line="430" w:lineRule="exact"/>
        <w:ind w:firstLine="420" w:firstLineChars="200"/>
        <w:jc w:val="left"/>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联系人：陈侃</w:t>
      </w:r>
      <w:r>
        <w:rPr>
          <w:rFonts w:hint="eastAsia" w:ascii="Times New Roman" w:hAnsi="Times New Roman" w:eastAsia="宋体" w:cs="Times New Roman"/>
          <w:color w:val="auto"/>
          <w:szCs w:val="24"/>
          <w:highlight w:val="none"/>
          <w:lang w:eastAsia="zh-CN"/>
        </w:rPr>
        <w:t>、</w:t>
      </w:r>
      <w:r>
        <w:rPr>
          <w:rFonts w:ascii="Times New Roman" w:hAnsi="Times New Roman" w:eastAsia="宋体" w:cs="Times New Roman"/>
          <w:color w:val="auto"/>
          <w:szCs w:val="24"/>
          <w:highlight w:val="none"/>
        </w:rPr>
        <w:t xml:space="preserve"> </w:t>
      </w:r>
      <w:r>
        <w:rPr>
          <w:rFonts w:hint="eastAsia" w:ascii="Times New Roman" w:hAnsi="Times New Roman" w:eastAsia="宋体" w:cs="Times New Roman"/>
          <w:color w:val="auto"/>
          <w:szCs w:val="24"/>
          <w:highlight w:val="none"/>
        </w:rPr>
        <w:t>陈启梅</w:t>
      </w:r>
      <w:r>
        <w:rPr>
          <w:rFonts w:ascii="Times New Roman" w:hAnsi="Times New Roman" w:eastAsia="宋体" w:cs="Times New Roman"/>
          <w:color w:val="auto"/>
          <w:szCs w:val="24"/>
          <w:highlight w:val="none"/>
        </w:rPr>
        <w:t xml:space="preserve"> </w:t>
      </w:r>
      <w:r>
        <w:rPr>
          <w:rFonts w:hint="eastAsia" w:ascii="Times New Roman" w:hAnsi="Times New Roman" w:eastAsia="宋体" w:cs="Times New Roman"/>
          <w:color w:val="auto"/>
          <w:szCs w:val="24"/>
          <w:highlight w:val="none"/>
        </w:rPr>
        <w:t>联系方式：</w:t>
      </w:r>
      <w:r>
        <w:rPr>
          <w:rFonts w:ascii="Times New Roman" w:hAnsi="Times New Roman" w:eastAsia="宋体" w:cs="Times New Roman"/>
          <w:color w:val="auto"/>
          <w:szCs w:val="24"/>
          <w:highlight w:val="none"/>
        </w:rPr>
        <w:t>0777-2886006</w:t>
      </w:r>
    </w:p>
    <w:p>
      <w:pPr>
        <w:widowControl/>
        <w:spacing w:line="430" w:lineRule="exact"/>
        <w:ind w:firstLine="420" w:firstLineChars="200"/>
        <w:jc w:val="left"/>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t>(3)</w:t>
      </w:r>
      <w:r>
        <w:rPr>
          <w:rFonts w:hint="eastAsia" w:ascii="Times New Roman" w:hAnsi="Times New Roman" w:eastAsia="宋体" w:cs="Times New Roman"/>
          <w:color w:val="auto"/>
          <w:szCs w:val="24"/>
          <w:highlight w:val="none"/>
        </w:rPr>
        <w:t>政采云技术支持热线：</w:t>
      </w:r>
      <w:r>
        <w:rPr>
          <w:rFonts w:ascii="Times New Roman" w:hAnsi="宋体" w:eastAsia="宋体" w:cs="Times New Roman"/>
          <w:color w:val="auto"/>
          <w:szCs w:val="24"/>
          <w:highlight w:val="none"/>
        </w:rPr>
        <w:t>95763</w:t>
      </w:r>
    </w:p>
    <w:bookmarkEnd w:id="187"/>
    <w:p>
      <w:pPr>
        <w:spacing w:line="400" w:lineRule="exact"/>
        <w:ind w:firstLine="420" w:firstLineChars="200"/>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br w:type="page"/>
      </w:r>
    </w:p>
    <w:p>
      <w:pPr>
        <w:spacing w:line="400" w:lineRule="exact"/>
        <w:ind w:firstLine="420" w:firstLineChars="200"/>
        <w:rPr>
          <w:rFonts w:ascii="Times New Roman" w:hAnsi="Times New Roman" w:eastAsia="宋体" w:cs="Times New Roman"/>
          <w:color w:val="auto"/>
          <w:szCs w:val="24"/>
          <w:highlight w:val="none"/>
        </w:rPr>
      </w:pPr>
    </w:p>
    <w:p>
      <w:pPr>
        <w:spacing w:line="400" w:lineRule="exact"/>
        <w:ind w:firstLine="420" w:firstLineChars="200"/>
        <w:rPr>
          <w:rFonts w:ascii="Times New Roman" w:hAnsi="Times New Roman" w:eastAsia="宋体" w:cs="Times New Roman"/>
          <w:color w:val="auto"/>
          <w:szCs w:val="24"/>
          <w:highlight w:val="none"/>
        </w:rPr>
      </w:pPr>
    </w:p>
    <w:p>
      <w:pPr>
        <w:spacing w:line="400" w:lineRule="exact"/>
        <w:ind w:firstLine="420" w:firstLineChars="200"/>
        <w:rPr>
          <w:rFonts w:ascii="Times New Roman" w:hAnsi="Times New Roman" w:eastAsia="宋体" w:cs="Times New Roman"/>
          <w:color w:val="auto"/>
          <w:szCs w:val="24"/>
          <w:highlight w:val="none"/>
        </w:rPr>
      </w:pPr>
    </w:p>
    <w:p>
      <w:pPr>
        <w:spacing w:line="400" w:lineRule="exact"/>
        <w:ind w:firstLine="420" w:firstLineChars="200"/>
        <w:rPr>
          <w:rFonts w:ascii="Times New Roman" w:hAnsi="Times New Roman" w:eastAsia="宋体" w:cs="Times New Roman"/>
          <w:color w:val="auto"/>
          <w:szCs w:val="24"/>
          <w:highlight w:val="none"/>
        </w:rPr>
      </w:pPr>
    </w:p>
    <w:p>
      <w:pPr>
        <w:spacing w:line="400" w:lineRule="exact"/>
        <w:ind w:firstLine="420" w:firstLineChars="200"/>
        <w:rPr>
          <w:rFonts w:ascii="Times New Roman" w:hAnsi="Times New Roman" w:eastAsia="宋体" w:cs="Times New Roman"/>
          <w:color w:val="auto"/>
          <w:szCs w:val="24"/>
          <w:highlight w:val="none"/>
        </w:rPr>
      </w:pPr>
    </w:p>
    <w:p>
      <w:pPr>
        <w:spacing w:line="400" w:lineRule="exact"/>
        <w:ind w:firstLine="420" w:firstLineChars="200"/>
        <w:rPr>
          <w:rFonts w:ascii="Times New Roman" w:hAnsi="Times New Roman" w:eastAsia="宋体" w:cs="Times New Roman"/>
          <w:color w:val="auto"/>
          <w:szCs w:val="24"/>
          <w:highlight w:val="none"/>
        </w:rPr>
      </w:pPr>
    </w:p>
    <w:p>
      <w:pPr>
        <w:spacing w:line="400" w:lineRule="exact"/>
        <w:ind w:firstLine="420" w:firstLineChars="200"/>
        <w:rPr>
          <w:rFonts w:ascii="Times New Roman" w:hAnsi="Times New Roman" w:eastAsia="宋体" w:cs="Times New Roman"/>
          <w:color w:val="auto"/>
          <w:szCs w:val="24"/>
          <w:highlight w:val="none"/>
        </w:rPr>
      </w:pPr>
    </w:p>
    <w:p>
      <w:pPr>
        <w:spacing w:line="400" w:lineRule="exact"/>
        <w:ind w:firstLine="420" w:firstLineChars="200"/>
        <w:rPr>
          <w:rFonts w:ascii="Times New Roman" w:hAnsi="Times New Roman" w:eastAsia="宋体" w:cs="Times New Roman"/>
          <w:color w:val="auto"/>
          <w:szCs w:val="24"/>
          <w:highlight w:val="none"/>
        </w:rPr>
      </w:pPr>
    </w:p>
    <w:p>
      <w:pPr>
        <w:spacing w:line="400" w:lineRule="exact"/>
        <w:ind w:firstLine="420" w:firstLineChars="200"/>
        <w:rPr>
          <w:rFonts w:ascii="Times New Roman" w:hAnsi="Times New Roman" w:eastAsia="宋体" w:cs="Times New Roman"/>
          <w:color w:val="auto"/>
          <w:szCs w:val="24"/>
          <w:highlight w:val="none"/>
        </w:rPr>
      </w:pPr>
    </w:p>
    <w:p>
      <w:pPr>
        <w:spacing w:line="400" w:lineRule="exact"/>
        <w:ind w:firstLine="420" w:firstLineChars="200"/>
        <w:rPr>
          <w:rFonts w:ascii="Times New Roman" w:hAnsi="Times New Roman" w:eastAsia="宋体" w:cs="Times New Roman"/>
          <w:color w:val="auto"/>
          <w:szCs w:val="24"/>
          <w:highlight w:val="none"/>
        </w:rPr>
      </w:pPr>
    </w:p>
    <w:p>
      <w:pPr>
        <w:spacing w:line="400" w:lineRule="exact"/>
        <w:ind w:firstLine="420" w:firstLineChars="200"/>
        <w:rPr>
          <w:rFonts w:ascii="Times New Roman" w:hAnsi="Times New Roman" w:eastAsia="宋体" w:cs="Times New Roman"/>
          <w:color w:val="auto"/>
          <w:szCs w:val="24"/>
          <w:highlight w:val="none"/>
        </w:rPr>
      </w:pPr>
    </w:p>
    <w:p>
      <w:pPr>
        <w:spacing w:line="300" w:lineRule="auto"/>
        <w:jc w:val="center"/>
        <w:outlineLvl w:val="0"/>
        <w:rPr>
          <w:rFonts w:ascii="Cambria" w:hAnsi="Cambria" w:eastAsia="方正小标宋_GBK" w:cs="Times New Roman"/>
          <w:b/>
          <w:bCs/>
          <w:color w:val="auto"/>
          <w:kern w:val="0"/>
          <w:sz w:val="44"/>
          <w:szCs w:val="32"/>
          <w:highlight w:val="none"/>
        </w:rPr>
      </w:pPr>
      <w:bookmarkStart w:id="188" w:name="_Toc173764941"/>
      <w:r>
        <w:rPr>
          <w:rFonts w:hint="eastAsia" w:ascii="Cambria" w:hAnsi="Cambria" w:eastAsia="方正小标宋_GBK" w:cs="Times New Roman"/>
          <w:b/>
          <w:bCs/>
          <w:color w:val="auto"/>
          <w:kern w:val="0"/>
          <w:sz w:val="44"/>
          <w:szCs w:val="32"/>
          <w:highlight w:val="none"/>
        </w:rPr>
        <w:t>第四章</w:t>
      </w:r>
      <w:r>
        <w:rPr>
          <w:rFonts w:ascii="Cambria" w:hAnsi="Cambria" w:eastAsia="方正小标宋_GBK" w:cs="Times New Roman"/>
          <w:b/>
          <w:bCs/>
          <w:color w:val="auto"/>
          <w:kern w:val="0"/>
          <w:sz w:val="44"/>
          <w:szCs w:val="32"/>
          <w:highlight w:val="none"/>
        </w:rPr>
        <w:t xml:space="preserve">  </w:t>
      </w:r>
      <w:r>
        <w:rPr>
          <w:rFonts w:hint="eastAsia" w:ascii="Cambria" w:hAnsi="Cambria" w:eastAsia="方正小标宋_GBK" w:cs="Times New Roman"/>
          <w:b/>
          <w:bCs/>
          <w:color w:val="auto"/>
          <w:kern w:val="0"/>
          <w:sz w:val="44"/>
          <w:szCs w:val="32"/>
          <w:highlight w:val="none"/>
        </w:rPr>
        <w:t>评定标准及推荐原则</w:t>
      </w:r>
      <w:bookmarkEnd w:id="188"/>
    </w:p>
    <w:p>
      <w:pPr>
        <w:spacing w:line="400" w:lineRule="exact"/>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br w:type="page"/>
      </w:r>
      <w:bookmarkStart w:id="189" w:name="_Hlk92268453"/>
    </w:p>
    <w:p>
      <w:pPr>
        <w:spacing w:line="380" w:lineRule="exact"/>
        <w:ind w:firstLine="643" w:firstLineChars="200"/>
        <w:jc w:val="center"/>
        <w:rPr>
          <w:rFonts w:hint="eastAsia" w:ascii="宋体" w:hAnsi="宋体" w:eastAsia="宋体" w:cs="Times New Roman"/>
          <w:b/>
          <w:color w:val="auto"/>
          <w:sz w:val="32"/>
          <w:szCs w:val="32"/>
          <w:highlight w:val="none"/>
        </w:rPr>
      </w:pPr>
      <w:r>
        <w:rPr>
          <w:rFonts w:hint="eastAsia" w:ascii="宋体" w:hAnsi="宋体" w:eastAsia="宋体" w:cs="Times New Roman"/>
          <w:b/>
          <w:color w:val="auto"/>
          <w:sz w:val="32"/>
          <w:szCs w:val="24"/>
          <w:highlight w:val="none"/>
        </w:rPr>
        <w:t>评定标准和推荐原则</w:t>
      </w:r>
      <w:bookmarkEnd w:id="189"/>
    </w:p>
    <w:p>
      <w:pPr>
        <w:spacing w:line="460" w:lineRule="exact"/>
        <w:rPr>
          <w:rFonts w:ascii="Times New Roman" w:hAnsi="Times New Roman" w:eastAsia="宋体" w:cs="Times New Roman"/>
          <w:color w:val="auto"/>
          <w:szCs w:val="24"/>
          <w:highlight w:val="none"/>
        </w:rPr>
      </w:pPr>
    </w:p>
    <w:p>
      <w:pPr>
        <w:spacing w:line="460" w:lineRule="exact"/>
        <w:jc w:val="left"/>
        <w:rPr>
          <w:rFonts w:hint="eastAsia" w:ascii="宋体" w:hAnsi="宋体" w:eastAsia="宋体" w:cs="Courier New"/>
          <w:b/>
          <w:bCs/>
          <w:color w:val="auto"/>
          <w:szCs w:val="21"/>
          <w:highlight w:val="none"/>
        </w:rPr>
      </w:pPr>
      <w:r>
        <w:rPr>
          <w:rFonts w:hint="eastAsia" w:ascii="宋体" w:hAnsi="宋体" w:eastAsia="宋体" w:cs="Courier New"/>
          <w:b/>
          <w:bCs/>
          <w:color w:val="auto"/>
          <w:szCs w:val="21"/>
          <w:highlight w:val="none"/>
        </w:rPr>
        <w:t>一、评标原则</w:t>
      </w:r>
    </w:p>
    <w:p>
      <w:pPr>
        <w:spacing w:line="460" w:lineRule="exact"/>
        <w:ind w:firstLine="210" w:firstLineChars="100"/>
        <w:jc w:val="left"/>
        <w:rPr>
          <w:rFonts w:hint="eastAsia" w:ascii="宋体" w:hAnsi="宋体" w:eastAsia="宋体" w:cs="Courier New"/>
          <w:color w:val="auto"/>
          <w:szCs w:val="21"/>
          <w:highlight w:val="none"/>
        </w:rPr>
      </w:pPr>
      <w:r>
        <w:rPr>
          <w:rFonts w:hint="eastAsia" w:ascii="宋体" w:hAnsi="宋体" w:eastAsia="宋体" w:cs="Courier New"/>
          <w:color w:val="auto"/>
          <w:szCs w:val="21"/>
          <w:highlight w:val="none"/>
        </w:rPr>
        <w:t>（一）评标依据：评标委员会将以招投标文件为评标依据，对投标人的投标报价、</w:t>
      </w:r>
      <w:r>
        <w:rPr>
          <w:rFonts w:hint="eastAsia" w:ascii="宋体" w:hAnsi="宋体" w:eastAsia="宋体" w:cs="Courier New"/>
          <w:bCs/>
          <w:color w:val="auto"/>
          <w:szCs w:val="21"/>
          <w:highlight w:val="none"/>
        </w:rPr>
        <w:t>技术商务资信</w:t>
      </w:r>
      <w:r>
        <w:rPr>
          <w:rFonts w:hint="eastAsia" w:ascii="宋体" w:hAnsi="宋体" w:eastAsia="宋体" w:cs="Courier New"/>
          <w:color w:val="auto"/>
          <w:szCs w:val="21"/>
          <w:highlight w:val="none"/>
        </w:rPr>
        <w:t>等方面内容进行评价。</w:t>
      </w:r>
    </w:p>
    <w:p>
      <w:pPr>
        <w:spacing w:line="460" w:lineRule="exact"/>
        <w:ind w:firstLine="210" w:firstLineChars="100"/>
        <w:jc w:val="left"/>
        <w:rPr>
          <w:rFonts w:hint="eastAsia" w:ascii="宋体" w:hAnsi="宋体" w:eastAsia="宋体" w:cs="Courier New"/>
          <w:color w:val="auto"/>
          <w:szCs w:val="21"/>
          <w:highlight w:val="none"/>
        </w:rPr>
      </w:pPr>
      <w:r>
        <w:rPr>
          <w:rFonts w:hint="eastAsia" w:ascii="宋体" w:hAnsi="宋体" w:eastAsia="宋体" w:cs="Courier New"/>
          <w:color w:val="auto"/>
          <w:szCs w:val="21"/>
          <w:highlight w:val="none"/>
        </w:rPr>
        <w:t>（二）评标委员会组成：由采购人代表和评审专家组成，成员人数应当为5人以上单数，其中评审专家的人数不得少于成员总数的三分之二。</w:t>
      </w:r>
    </w:p>
    <w:p>
      <w:pPr>
        <w:spacing w:line="460" w:lineRule="exact"/>
        <w:ind w:firstLine="210" w:firstLineChars="100"/>
        <w:jc w:val="left"/>
        <w:rPr>
          <w:rFonts w:hint="eastAsia" w:ascii="宋体" w:hAnsi="宋体" w:eastAsia="宋体" w:cs="Courier New"/>
          <w:color w:val="auto"/>
          <w:szCs w:val="21"/>
          <w:highlight w:val="none"/>
        </w:rPr>
      </w:pPr>
      <w:r>
        <w:rPr>
          <w:rFonts w:hint="eastAsia" w:ascii="宋体" w:hAnsi="宋体" w:eastAsia="宋体" w:cs="Courier New"/>
          <w:color w:val="auto"/>
          <w:szCs w:val="21"/>
          <w:highlight w:val="none"/>
        </w:rPr>
        <w:t>（三）评分方式：评标委员会各成员独立对每个投标人的投标文件进行评价。</w:t>
      </w:r>
    </w:p>
    <w:p>
      <w:pPr>
        <w:pStyle w:val="27"/>
        <w:spacing w:line="460" w:lineRule="exact"/>
        <w:rPr>
          <w:rFonts w:hAnsi="宋体"/>
          <w:b/>
          <w:bCs/>
          <w:color w:val="auto"/>
          <w:highlight w:val="none"/>
        </w:rPr>
      </w:pPr>
      <w:r>
        <w:rPr>
          <w:rFonts w:hint="eastAsia" w:hAnsi="宋体"/>
          <w:b/>
          <w:bCs/>
          <w:color w:val="auto"/>
          <w:highlight w:val="none"/>
        </w:rPr>
        <w:t>二、评分细则</w:t>
      </w:r>
    </w:p>
    <w:p>
      <w:pPr>
        <w:pStyle w:val="27"/>
        <w:spacing w:line="460" w:lineRule="exact"/>
        <w:ind w:firstLine="420" w:firstLineChars="200"/>
        <w:jc w:val="left"/>
        <w:rPr>
          <w:rFonts w:hAnsi="宋体"/>
          <w:b/>
          <w:bCs/>
          <w:color w:val="auto"/>
          <w:highlight w:val="none"/>
        </w:rPr>
      </w:pPr>
      <w:r>
        <w:rPr>
          <w:rFonts w:hint="eastAsia" w:hAnsi="宋体"/>
          <w:color w:val="auto"/>
          <w:highlight w:val="none"/>
        </w:rPr>
        <w:t>综合评分法：对满足招标文件全部实质性要求的投标人投标文件</w:t>
      </w:r>
      <w:r>
        <w:rPr>
          <w:rFonts w:hAnsi="宋体" w:cs="Arial"/>
          <w:color w:val="auto"/>
          <w:highlight w:val="none"/>
        </w:rPr>
        <w:t>按照评审因素的量化指标评审</w:t>
      </w:r>
      <w:r>
        <w:rPr>
          <w:rFonts w:hint="eastAsia" w:hAnsi="宋体" w:cs="Arial"/>
          <w:color w:val="auto"/>
          <w:highlight w:val="none"/>
        </w:rPr>
        <w:t>并汇总(</w:t>
      </w:r>
      <w:r>
        <w:rPr>
          <w:rFonts w:hint="eastAsia" w:hAnsi="宋体"/>
          <w:color w:val="auto"/>
          <w:highlight w:val="none"/>
        </w:rPr>
        <w:t>四舍五入取至百分位)。</w:t>
      </w:r>
    </w:p>
    <w:p>
      <w:pPr>
        <w:spacing w:line="360" w:lineRule="auto"/>
        <w:ind w:firstLine="426" w:firstLineChars="20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（一）价格分</w:t>
      </w: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sz w:val="21"/>
          <w:szCs w:val="21"/>
          <w:highlight w:val="none"/>
          <w:lang w:val="en-US" w:eastAsia="zh-CN"/>
        </w:rPr>
        <w:t>15</w:t>
      </w:r>
      <w:r>
        <w:rPr>
          <w:rFonts w:hint="eastAsia" w:ascii="宋体" w:hAnsi="宋体" w:eastAsia="宋体" w:cs="宋体"/>
          <w:b/>
          <w:color w:val="auto"/>
          <w:sz w:val="21"/>
          <w:szCs w:val="21"/>
          <w:highlight w:val="none"/>
        </w:rPr>
        <w:t>分</w:t>
      </w:r>
      <w:r>
        <w:rPr>
          <w:rFonts w:hint="eastAsia" w:ascii="宋体" w:hAnsi="宋体" w:eastAsia="宋体" w:cs="宋体"/>
          <w:b/>
          <w:color w:val="auto"/>
          <w:sz w:val="21"/>
          <w:szCs w:val="21"/>
          <w:highlight w:val="none"/>
          <w:lang w:eastAsia="zh-CN"/>
        </w:rPr>
        <w:t>）</w:t>
      </w:r>
    </w:p>
    <w:p>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1.投标人的价格分统一按照下列公式计算：</w:t>
      </w:r>
    </w:p>
    <w:p>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b/>
      </w:r>
      <w:r>
        <w:rPr>
          <w:rFonts w:hint="eastAsia" w:ascii="宋体" w:hAnsi="宋体" w:eastAsia="宋体" w:cs="宋体"/>
          <w:b/>
          <w:bCs/>
          <w:color w:val="auto"/>
          <w:sz w:val="21"/>
          <w:szCs w:val="21"/>
          <w:highlight w:val="none"/>
        </w:rPr>
        <w:t>某投标人价格分=（评标基准价/某投标人投标报价）×</w:t>
      </w:r>
      <w:r>
        <w:rPr>
          <w:rFonts w:hint="eastAsia" w:ascii="宋体" w:hAnsi="宋体" w:eastAsia="宋体" w:cs="宋体"/>
          <w:b/>
          <w:bCs/>
          <w:color w:val="auto"/>
          <w:sz w:val="21"/>
          <w:szCs w:val="21"/>
          <w:highlight w:val="none"/>
          <w:lang w:val="en-US" w:eastAsia="zh-CN"/>
        </w:rPr>
        <w:t xml:space="preserve"> 15</w:t>
      </w:r>
      <w:r>
        <w:rPr>
          <w:rFonts w:hint="eastAsia" w:ascii="宋体" w:hAnsi="宋体" w:eastAsia="宋体" w:cs="宋体"/>
          <w:b/>
          <w:bCs/>
          <w:color w:val="auto"/>
          <w:sz w:val="21"/>
          <w:szCs w:val="21"/>
          <w:highlight w:val="none"/>
        </w:rPr>
        <w:t>分</w:t>
      </w:r>
    </w:p>
    <w:p>
      <w:pPr>
        <w:spacing w:line="460" w:lineRule="exact"/>
        <w:ind w:firstLine="420"/>
        <w:jc w:val="left"/>
        <w:rPr>
          <w:rFonts w:hint="eastAsia" w:ascii="宋体" w:hAnsi="宋体" w:eastAsia="宋体" w:cs="Courier New"/>
          <w:color w:val="auto"/>
          <w:szCs w:val="21"/>
          <w:highlight w:val="none"/>
        </w:rPr>
      </w:pPr>
      <w:r>
        <w:rPr>
          <w:rFonts w:hint="eastAsia" w:ascii="宋体" w:hAnsi="宋体" w:eastAsia="宋体" w:cs="Courier New"/>
          <w:color w:val="auto"/>
          <w:szCs w:val="21"/>
          <w:highlight w:val="none"/>
        </w:rPr>
        <w:t>注：满足招标文件全部实质性要求的投标人最低报价为评标基准价。</w:t>
      </w:r>
    </w:p>
    <w:p>
      <w:pPr>
        <w:pStyle w:val="2"/>
        <w:rPr>
          <w:rFonts w:hint="eastAsia"/>
          <w:color w:val="auto"/>
          <w:highlight w:val="none"/>
        </w:rPr>
      </w:pPr>
    </w:p>
    <w:p>
      <w:pPr>
        <w:pStyle w:val="316"/>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22" w:firstLineChars="200"/>
        <w:jc w:val="both"/>
        <w:textAlignment w:val="auto"/>
        <w:rPr>
          <w:rFonts w:hint="eastAsia" w:ascii="宋体" w:hAnsi="宋体" w:eastAsia="宋体" w:cs="宋体"/>
          <w:b/>
          <w:bCs w:val="0"/>
          <w:color w:val="auto"/>
          <w:sz w:val="21"/>
          <w:szCs w:val="21"/>
          <w:highlight w:val="none"/>
          <w:u w:val="none"/>
          <w:lang w:val="en-US" w:eastAsia="zh-CN"/>
        </w:rPr>
      </w:pPr>
      <w:r>
        <w:rPr>
          <w:rFonts w:hint="eastAsia" w:ascii="宋体" w:hAnsi="宋体" w:eastAsia="宋体" w:cs="宋体"/>
          <w:b/>
          <w:color w:val="auto"/>
          <w:sz w:val="21"/>
          <w:szCs w:val="21"/>
          <w:highlight w:val="none"/>
        </w:rPr>
        <w:t>（二）</w:t>
      </w:r>
      <w:r>
        <w:rPr>
          <w:rFonts w:hint="eastAsia" w:ascii="宋体" w:hAnsi="宋体" w:eastAsia="宋体" w:cs="宋体"/>
          <w:b/>
          <w:bCs w:val="0"/>
          <w:color w:val="auto"/>
          <w:sz w:val="21"/>
          <w:szCs w:val="21"/>
          <w:highlight w:val="none"/>
          <w:u w:val="none"/>
          <w:lang w:val="en-US" w:eastAsia="zh-CN"/>
        </w:rPr>
        <w:t>技术商务分（85分）</w:t>
      </w:r>
    </w:p>
    <w:p>
      <w:pPr>
        <w:pStyle w:val="27"/>
        <w:keepNext w:val="0"/>
        <w:keepLines w:val="0"/>
        <w:pageBreakBefore w:val="0"/>
        <w:widowControl w:val="0"/>
        <w:kinsoku/>
        <w:wordWrap/>
        <w:overflowPunct/>
        <w:topLinePunct w:val="0"/>
        <w:autoSpaceDE/>
        <w:autoSpaceDN/>
        <w:bidi w:val="0"/>
        <w:adjustRightInd/>
        <w:snapToGrid/>
        <w:spacing w:line="480" w:lineRule="exact"/>
        <w:ind w:firstLine="442" w:firstLineChars="200"/>
        <w:jc w:val="both"/>
        <w:textAlignment w:val="auto"/>
        <w:rPr>
          <w:rFonts w:hint="eastAsia" w:ascii="宋体" w:hAnsi="宋体" w:eastAsia="宋体" w:cs="宋体"/>
          <w:b/>
          <w:bCs w:val="0"/>
          <w:color w:val="auto"/>
          <w:sz w:val="22"/>
          <w:szCs w:val="22"/>
          <w:highlight w:val="none"/>
          <w:u w:val="none"/>
          <w:lang w:val="en-US" w:eastAsia="zh-CN"/>
        </w:rPr>
      </w:pPr>
      <w:r>
        <w:rPr>
          <w:rFonts w:hint="eastAsia" w:ascii="宋体" w:hAnsi="宋体" w:eastAsia="宋体" w:cs="宋体"/>
          <w:b/>
          <w:bCs w:val="0"/>
          <w:color w:val="auto"/>
          <w:sz w:val="22"/>
          <w:szCs w:val="22"/>
          <w:highlight w:val="none"/>
          <w:u w:val="none"/>
          <w:lang w:val="en-US" w:eastAsia="zh-CN"/>
        </w:rPr>
        <w:t>1.项目管理方案（满分</w:t>
      </w:r>
      <w:r>
        <w:rPr>
          <w:rFonts w:hint="eastAsia" w:hAnsi="宋体" w:cs="宋体"/>
          <w:b/>
          <w:bCs w:val="0"/>
          <w:color w:val="auto"/>
          <w:sz w:val="22"/>
          <w:szCs w:val="22"/>
          <w:highlight w:val="none"/>
          <w:u w:val="none"/>
          <w:lang w:val="en-US" w:eastAsia="zh-CN"/>
        </w:rPr>
        <w:t>60</w:t>
      </w:r>
      <w:r>
        <w:rPr>
          <w:rFonts w:hint="eastAsia" w:ascii="宋体" w:hAnsi="宋体" w:eastAsia="宋体" w:cs="宋体"/>
          <w:b/>
          <w:bCs w:val="0"/>
          <w:color w:val="auto"/>
          <w:sz w:val="22"/>
          <w:szCs w:val="22"/>
          <w:highlight w:val="none"/>
          <w:u w:val="none"/>
          <w:lang w:val="en-US" w:eastAsia="zh-CN"/>
        </w:rPr>
        <w:t>分）</w:t>
      </w:r>
    </w:p>
    <w:p>
      <w:pPr>
        <w:pStyle w:val="27"/>
        <w:keepNext w:val="0"/>
        <w:keepLines w:val="0"/>
        <w:pageBreakBefore w:val="0"/>
        <w:widowControl w:val="0"/>
        <w:kinsoku/>
        <w:wordWrap/>
        <w:overflowPunct/>
        <w:topLinePunct w:val="0"/>
        <w:autoSpaceDE/>
        <w:autoSpaceDN/>
        <w:bidi w:val="0"/>
        <w:adjustRightInd/>
        <w:snapToGrid/>
        <w:spacing w:line="480" w:lineRule="exact"/>
        <w:ind w:firstLine="442" w:firstLineChars="200"/>
        <w:jc w:val="both"/>
        <w:textAlignment w:val="auto"/>
        <w:rPr>
          <w:rFonts w:hint="eastAsia" w:ascii="宋体" w:hAnsi="宋体" w:eastAsia="宋体" w:cs="宋体"/>
          <w:b/>
          <w:color w:val="auto"/>
          <w:sz w:val="22"/>
          <w:szCs w:val="22"/>
          <w:highlight w:val="none"/>
        </w:rPr>
      </w:pPr>
      <w:r>
        <w:rPr>
          <w:rFonts w:hint="eastAsia" w:ascii="宋体" w:hAnsi="宋体" w:eastAsia="宋体" w:cs="宋体"/>
          <w:b/>
          <w:bCs w:val="0"/>
          <w:color w:val="auto"/>
          <w:sz w:val="22"/>
          <w:szCs w:val="22"/>
          <w:highlight w:val="none"/>
          <w:u w:val="none"/>
          <w:lang w:val="en-US" w:eastAsia="zh-CN"/>
        </w:rPr>
        <w:t>1.1保洁服务方案（</w:t>
      </w:r>
      <w:r>
        <w:rPr>
          <w:rFonts w:hint="eastAsia" w:hAnsi="宋体" w:cs="宋体"/>
          <w:b/>
          <w:bCs w:val="0"/>
          <w:color w:val="auto"/>
          <w:sz w:val="22"/>
          <w:szCs w:val="22"/>
          <w:highlight w:val="none"/>
          <w:u w:val="none"/>
          <w:lang w:val="en-US" w:eastAsia="zh-CN"/>
        </w:rPr>
        <w:t>12</w:t>
      </w:r>
      <w:r>
        <w:rPr>
          <w:rFonts w:hint="eastAsia" w:ascii="宋体" w:hAnsi="宋体" w:eastAsia="宋体" w:cs="宋体"/>
          <w:b/>
          <w:bCs w:val="0"/>
          <w:color w:val="auto"/>
          <w:sz w:val="22"/>
          <w:szCs w:val="22"/>
          <w:highlight w:val="none"/>
          <w:u w:val="none"/>
          <w:lang w:val="en-US" w:eastAsia="zh-CN"/>
        </w:rPr>
        <w:t>分）</w:t>
      </w:r>
    </w:p>
    <w:p>
      <w:pPr>
        <w:pStyle w:val="27"/>
        <w:keepNext w:val="0"/>
        <w:keepLines w:val="0"/>
        <w:pageBreakBefore w:val="0"/>
        <w:widowControl w:val="0"/>
        <w:kinsoku/>
        <w:wordWrap/>
        <w:overflowPunct/>
        <w:topLinePunct w:val="0"/>
        <w:autoSpaceDE/>
        <w:autoSpaceDN/>
        <w:bidi w:val="0"/>
        <w:adjustRightInd/>
        <w:snapToGrid/>
        <w:spacing w:line="480" w:lineRule="exact"/>
        <w:ind w:firstLine="420" w:firstLineChars="200"/>
        <w:jc w:val="both"/>
        <w:textAlignment w:val="auto"/>
        <w:rPr>
          <w:rFonts w:hint="eastAsia" w:hAnsi="宋体" w:cs="宋体"/>
          <w:color w:val="auto"/>
          <w:sz w:val="21"/>
          <w:szCs w:val="21"/>
          <w:highlight w:val="none"/>
          <w:lang w:val="en-US" w:eastAsia="zh-CN"/>
        </w:rPr>
      </w:pPr>
      <w:r>
        <w:rPr>
          <w:rFonts w:hint="eastAsia" w:hAnsi="宋体" w:cs="宋体"/>
          <w:color w:val="auto"/>
          <w:sz w:val="21"/>
          <w:szCs w:val="21"/>
          <w:highlight w:val="none"/>
          <w:lang w:val="en-US" w:eastAsia="zh-CN"/>
        </w:rPr>
        <w:t>1.1.1</w:t>
      </w:r>
      <w:r>
        <w:rPr>
          <w:rFonts w:hint="eastAsia" w:ascii="宋体" w:hAnsi="宋体" w:eastAsia="宋体" w:cs="宋体"/>
          <w:color w:val="auto"/>
          <w:sz w:val="21"/>
          <w:szCs w:val="21"/>
          <w:highlight w:val="none"/>
          <w:lang w:val="en-US" w:eastAsia="zh-CN"/>
        </w:rPr>
        <w:t>针对本项目实际情况及特点制定</w:t>
      </w:r>
      <w:r>
        <w:rPr>
          <w:rFonts w:hint="eastAsia" w:hAnsi="宋体" w:cs="宋体"/>
          <w:color w:val="auto"/>
          <w:sz w:val="21"/>
          <w:szCs w:val="21"/>
          <w:highlight w:val="none"/>
          <w:lang w:val="en-US" w:eastAsia="zh-CN"/>
        </w:rPr>
        <w:t>符合项目需求的保洁</w:t>
      </w:r>
      <w:r>
        <w:rPr>
          <w:rFonts w:hint="eastAsia" w:ascii="宋体" w:hAnsi="宋体" w:eastAsia="宋体" w:cs="宋体"/>
          <w:color w:val="auto"/>
          <w:sz w:val="21"/>
          <w:szCs w:val="21"/>
          <w:highlight w:val="none"/>
          <w:lang w:val="en-US" w:eastAsia="zh-CN"/>
        </w:rPr>
        <w:t>服务方案</w:t>
      </w:r>
      <w:r>
        <w:rPr>
          <w:rFonts w:hint="eastAsia" w:hAnsi="宋体" w:cs="宋体"/>
          <w:color w:val="auto"/>
          <w:sz w:val="21"/>
          <w:szCs w:val="21"/>
          <w:highlight w:val="none"/>
          <w:lang w:val="en-US" w:eastAsia="zh-CN"/>
        </w:rPr>
        <w:t>，包括但不限于</w:t>
      </w:r>
      <w:r>
        <w:rPr>
          <w:rFonts w:hint="eastAsia" w:ascii="宋体" w:hAnsi="宋体" w:eastAsia="宋体" w:cs="宋体"/>
          <w:color w:val="auto"/>
          <w:sz w:val="21"/>
          <w:szCs w:val="21"/>
          <w:highlight w:val="none"/>
          <w:lang w:val="en-US" w:eastAsia="zh-CN"/>
        </w:rPr>
        <w:t>以下内容：①服务内容及标准；②人员安排及工作时间；③保洁服务质量考核标准；④保洁工具、机具、药剂使用和管理规范；⑤门诊、病房、手术室等不同区域保洁频次；⑥保洁注意事项及应急措施等内容；⑦保洁方案服务计划、落实措施及服务质量考核办法</w:t>
      </w:r>
      <w:r>
        <w:rPr>
          <w:rFonts w:hint="eastAsia" w:hAnsi="宋体" w:cs="宋体"/>
          <w:color w:val="auto"/>
          <w:sz w:val="21"/>
          <w:szCs w:val="21"/>
          <w:highlight w:val="none"/>
          <w:lang w:val="en-US" w:eastAsia="zh-CN"/>
        </w:rPr>
        <w:t>。每有一项得1分，满分7分。</w:t>
      </w:r>
    </w:p>
    <w:p>
      <w:pPr>
        <w:pStyle w:val="27"/>
        <w:keepNext w:val="0"/>
        <w:keepLines w:val="0"/>
        <w:pageBreakBefore w:val="0"/>
        <w:widowControl w:val="0"/>
        <w:kinsoku/>
        <w:wordWrap/>
        <w:overflowPunct/>
        <w:topLinePunct w:val="0"/>
        <w:autoSpaceDE/>
        <w:autoSpaceDN/>
        <w:bidi w:val="0"/>
        <w:adjustRightInd/>
        <w:snapToGrid/>
        <w:spacing w:line="480" w:lineRule="exact"/>
        <w:ind w:firstLine="420" w:firstLineChars="200"/>
        <w:jc w:val="both"/>
        <w:textAlignment w:val="auto"/>
        <w:rPr>
          <w:rFonts w:hint="default"/>
          <w:color w:val="auto"/>
          <w:highlight w:val="none"/>
          <w:lang w:val="en-US" w:eastAsia="zh-CN"/>
        </w:rPr>
      </w:pPr>
      <w:r>
        <w:rPr>
          <w:rFonts w:hint="eastAsia" w:hAnsi="宋体" w:cs="宋体"/>
          <w:color w:val="auto"/>
          <w:sz w:val="21"/>
          <w:szCs w:val="21"/>
          <w:highlight w:val="none"/>
          <w:lang w:val="en-US" w:eastAsia="zh-CN"/>
        </w:rPr>
        <w:t>1.1.2</w:t>
      </w:r>
      <w:r>
        <w:rPr>
          <w:rFonts w:hint="default" w:ascii="宋体" w:hAnsi="宋体" w:eastAsia="宋体" w:cs="宋体"/>
          <w:b w:val="0"/>
          <w:bCs w:val="0"/>
          <w:color w:val="auto"/>
          <w:kern w:val="2"/>
          <w:sz w:val="21"/>
          <w:szCs w:val="21"/>
          <w:highlight w:val="none"/>
          <w:lang w:val="en-US" w:eastAsia="zh-CN" w:bidi="ar-SA"/>
        </w:rPr>
        <w:t>保洁服务方案</w:t>
      </w:r>
      <w:r>
        <w:rPr>
          <w:rFonts w:hint="eastAsia" w:hAnsi="宋体" w:cs="宋体"/>
          <w:b w:val="0"/>
          <w:bCs w:val="0"/>
          <w:color w:val="auto"/>
          <w:kern w:val="2"/>
          <w:sz w:val="21"/>
          <w:szCs w:val="21"/>
          <w:highlight w:val="none"/>
          <w:lang w:val="en-US" w:eastAsia="zh-CN" w:bidi="ar-SA"/>
        </w:rPr>
        <w:t>能结合项目实际情况及特点提供明确的</w:t>
      </w:r>
      <w:r>
        <w:rPr>
          <w:rFonts w:hint="default" w:ascii="宋体" w:hAnsi="宋体" w:eastAsia="宋体" w:cs="宋体"/>
          <w:b w:val="0"/>
          <w:bCs w:val="0"/>
          <w:color w:val="auto"/>
          <w:kern w:val="2"/>
          <w:sz w:val="21"/>
          <w:szCs w:val="21"/>
          <w:highlight w:val="none"/>
          <w:lang w:val="en-US" w:eastAsia="zh-CN" w:bidi="ar-SA"/>
        </w:rPr>
        <w:t>①玻璃清洁服务、②电梯清洁服务、③特殊地板清洁与保养、④不锈钢保养、⑤窗帘和床帘清洁、⑥空调和风扇、排气扇清洁方案等专项清洁保洁方案的，每项加0.5分，满分3分。</w:t>
      </w:r>
      <w:r>
        <w:rPr>
          <w:rFonts w:hint="eastAsia" w:hAnsi="宋体" w:cs="宋体"/>
          <w:b w:val="0"/>
          <w:bCs w:val="0"/>
          <w:color w:val="auto"/>
          <w:kern w:val="2"/>
          <w:sz w:val="21"/>
          <w:szCs w:val="21"/>
          <w:highlight w:val="none"/>
          <w:lang w:val="en-US" w:eastAsia="zh-CN" w:bidi="ar-SA"/>
        </w:rPr>
        <w:t xml:space="preserve"> </w:t>
      </w:r>
    </w:p>
    <w:p>
      <w:pPr>
        <w:pStyle w:val="27"/>
        <w:keepNext w:val="0"/>
        <w:keepLines w:val="0"/>
        <w:pageBreakBefore w:val="0"/>
        <w:widowControl w:val="0"/>
        <w:kinsoku/>
        <w:wordWrap/>
        <w:overflowPunct/>
        <w:topLinePunct w:val="0"/>
        <w:autoSpaceDE/>
        <w:autoSpaceDN/>
        <w:bidi w:val="0"/>
        <w:adjustRightInd/>
        <w:snapToGrid/>
        <w:spacing w:line="480" w:lineRule="exact"/>
        <w:ind w:firstLine="420" w:firstLineChars="200"/>
        <w:jc w:val="both"/>
        <w:textAlignment w:val="auto"/>
        <w:rPr>
          <w:rFonts w:hint="eastAsia"/>
          <w:color w:val="auto"/>
          <w:highlight w:val="none"/>
          <w:lang w:val="en-US" w:eastAsia="zh-CN"/>
        </w:rPr>
      </w:pPr>
      <w:r>
        <w:rPr>
          <w:rFonts w:hint="eastAsia" w:ascii="宋体" w:hAnsi="宋体" w:eastAsia="宋体" w:cs="宋体"/>
          <w:b w:val="0"/>
          <w:bCs/>
          <w:color w:val="auto"/>
          <w:sz w:val="21"/>
          <w:szCs w:val="21"/>
          <w:highlight w:val="none"/>
          <w:lang w:val="en-US" w:eastAsia="zh-CN"/>
        </w:rPr>
        <w:t>1.1.</w:t>
      </w:r>
      <w:r>
        <w:rPr>
          <w:rFonts w:hint="eastAsia" w:hAnsi="宋体" w:cs="宋体"/>
          <w:b w:val="0"/>
          <w:bCs/>
          <w:color w:val="auto"/>
          <w:sz w:val="21"/>
          <w:szCs w:val="21"/>
          <w:highlight w:val="none"/>
          <w:lang w:val="en-US" w:eastAsia="zh-CN"/>
        </w:rPr>
        <w:t>3</w:t>
      </w:r>
      <w:r>
        <w:rPr>
          <w:rFonts w:hint="eastAsia" w:ascii="宋体" w:hAnsi="宋体" w:eastAsia="宋体" w:cs="宋体"/>
          <w:b w:val="0"/>
          <w:bCs/>
          <w:color w:val="auto"/>
          <w:sz w:val="21"/>
          <w:szCs w:val="21"/>
          <w:highlight w:val="none"/>
          <w:lang w:val="en-US" w:eastAsia="zh-CN"/>
        </w:rPr>
        <w:t>保洁服务方案同时配套提供专项作业指导书，对各服务环节、操作流程进行完整文字说明，辅以清晰规范的现场作业图片展示的</w:t>
      </w:r>
      <w:r>
        <w:rPr>
          <w:rFonts w:hint="eastAsia" w:hAnsi="宋体" w:cs="宋体"/>
          <w:b w:val="0"/>
          <w:bCs/>
          <w:color w:val="auto"/>
          <w:sz w:val="21"/>
          <w:szCs w:val="21"/>
          <w:highlight w:val="none"/>
          <w:lang w:val="en-US" w:eastAsia="zh-CN"/>
        </w:rPr>
        <w:t>得2</w:t>
      </w:r>
      <w:r>
        <w:rPr>
          <w:rFonts w:hint="eastAsia" w:ascii="宋体" w:hAnsi="宋体" w:eastAsia="宋体" w:cs="宋体"/>
          <w:b w:val="0"/>
          <w:bCs/>
          <w:color w:val="auto"/>
          <w:sz w:val="21"/>
          <w:szCs w:val="21"/>
          <w:highlight w:val="none"/>
          <w:lang w:val="en-US" w:eastAsia="zh-CN"/>
        </w:rPr>
        <w:t>分。</w:t>
      </w:r>
    </w:p>
    <w:p>
      <w:pPr>
        <w:pStyle w:val="27"/>
        <w:keepNext w:val="0"/>
        <w:keepLines w:val="0"/>
        <w:pageBreakBefore w:val="0"/>
        <w:widowControl w:val="0"/>
        <w:kinsoku/>
        <w:wordWrap/>
        <w:overflowPunct/>
        <w:topLinePunct w:val="0"/>
        <w:autoSpaceDE/>
        <w:autoSpaceDN/>
        <w:bidi w:val="0"/>
        <w:adjustRightInd/>
        <w:snapToGrid/>
        <w:spacing w:line="480" w:lineRule="exact"/>
        <w:ind w:firstLine="422" w:firstLineChars="200"/>
        <w:jc w:val="both"/>
        <w:textAlignment w:val="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1.2安全保卫服务方案分（</w:t>
      </w:r>
      <w:r>
        <w:rPr>
          <w:rFonts w:hint="eastAsia" w:hAnsi="宋体" w:cs="宋体"/>
          <w:b/>
          <w:color w:val="auto"/>
          <w:sz w:val="21"/>
          <w:szCs w:val="21"/>
          <w:highlight w:val="none"/>
          <w:lang w:val="en-US" w:eastAsia="zh-CN"/>
        </w:rPr>
        <w:t>7</w:t>
      </w:r>
      <w:r>
        <w:rPr>
          <w:rFonts w:hint="eastAsia" w:ascii="宋体" w:hAnsi="宋体" w:eastAsia="宋体" w:cs="宋体"/>
          <w:b/>
          <w:color w:val="auto"/>
          <w:sz w:val="21"/>
          <w:szCs w:val="21"/>
          <w:highlight w:val="none"/>
          <w:lang w:val="en-US" w:eastAsia="zh-CN"/>
        </w:rPr>
        <w:t>分）</w:t>
      </w:r>
    </w:p>
    <w:p>
      <w:pPr>
        <w:pStyle w:val="27"/>
        <w:keepNext w:val="0"/>
        <w:keepLines w:val="0"/>
        <w:pageBreakBefore w:val="0"/>
        <w:widowControl w:val="0"/>
        <w:kinsoku/>
        <w:wordWrap/>
        <w:overflowPunct/>
        <w:topLinePunct w:val="0"/>
        <w:autoSpaceDE/>
        <w:autoSpaceDN/>
        <w:bidi w:val="0"/>
        <w:adjustRightInd/>
        <w:snapToGrid/>
        <w:spacing w:line="480" w:lineRule="exact"/>
        <w:ind w:firstLine="420" w:firstLineChars="200"/>
        <w:jc w:val="both"/>
        <w:textAlignment w:val="auto"/>
        <w:rPr>
          <w:rFonts w:hint="eastAsia" w:hAnsi="宋体" w:cs="宋体"/>
          <w:color w:val="auto"/>
          <w:sz w:val="21"/>
          <w:szCs w:val="21"/>
          <w:highlight w:val="none"/>
          <w:lang w:val="en-US" w:eastAsia="zh-CN"/>
        </w:rPr>
      </w:pPr>
      <w:r>
        <w:rPr>
          <w:rFonts w:hint="eastAsia" w:hAnsi="宋体" w:cs="宋体"/>
          <w:color w:val="auto"/>
          <w:sz w:val="21"/>
          <w:szCs w:val="21"/>
          <w:highlight w:val="none"/>
          <w:lang w:val="en-US" w:eastAsia="zh-CN"/>
        </w:rPr>
        <w:t>投标人提供符合项目需求且有明确描述的物业项目安全保卫服务方案，包含但不限于以下：①服务要求内容、标准及落实措施；②人员安排及工作时间；③服务质量考核标准；④公共秩序维护；⑤安全防范措施；⑥巡检计划；⑦安保应急。每有一项得1分，满分7分：</w:t>
      </w:r>
    </w:p>
    <w:p>
      <w:pPr>
        <w:keepNext w:val="0"/>
        <w:keepLines w:val="0"/>
        <w:pageBreakBefore w:val="0"/>
        <w:widowControl w:val="0"/>
        <w:kinsoku/>
        <w:wordWrap/>
        <w:overflowPunct/>
        <w:topLinePunct w:val="0"/>
        <w:autoSpaceDE/>
        <w:autoSpaceDN/>
        <w:bidi w:val="0"/>
        <w:adjustRightInd/>
        <w:snapToGrid/>
        <w:spacing w:line="480" w:lineRule="exact"/>
        <w:ind w:firstLine="422" w:firstLineChars="200"/>
        <w:jc w:val="both"/>
        <w:textAlignment w:val="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1.3消防服务管理方案分（7分）</w:t>
      </w:r>
    </w:p>
    <w:p>
      <w:pPr>
        <w:keepNext w:val="0"/>
        <w:keepLines w:val="0"/>
        <w:pageBreakBefore w:val="0"/>
        <w:widowControl w:val="0"/>
        <w:kinsoku/>
        <w:wordWrap/>
        <w:overflowPunct/>
        <w:topLinePunct w:val="0"/>
        <w:autoSpaceDE/>
        <w:autoSpaceDN/>
        <w:bidi w:val="0"/>
        <w:adjustRightInd/>
        <w:snapToGrid/>
        <w:spacing w:line="480" w:lineRule="exact"/>
        <w:ind w:firstLine="420" w:firstLineChars="200"/>
        <w:jc w:val="both"/>
        <w:textAlignment w:val="auto"/>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kern w:val="2"/>
          <w:sz w:val="21"/>
          <w:szCs w:val="21"/>
          <w:highlight w:val="none"/>
          <w:lang w:val="en-US" w:eastAsia="zh-CN" w:bidi="ar-SA"/>
        </w:rPr>
        <w:t>投标人提供符合项目需求且有明确描述的消防服务管理方案，包含但不限于以下：①消防控制室24小时专人值班及设备操作、应急处置流程；②人员安排及工作时间；③消防控制室管理制度；④消防设备巡查、测试与维护计划；⑤火灾报警信号、故障信号响应及处理流程；⑥配合消防部门及医院开展消防安全检查、演练的具体措施；⑦消防服务落实措施及质量考核标准。每有一项得1分，满分7分：</w:t>
      </w:r>
    </w:p>
    <w:p>
      <w:pPr>
        <w:keepNext w:val="0"/>
        <w:keepLines w:val="0"/>
        <w:pageBreakBefore w:val="0"/>
        <w:widowControl w:val="0"/>
        <w:kinsoku/>
        <w:wordWrap/>
        <w:overflowPunct/>
        <w:topLinePunct w:val="0"/>
        <w:autoSpaceDE/>
        <w:autoSpaceDN/>
        <w:bidi w:val="0"/>
        <w:adjustRightInd/>
        <w:snapToGrid/>
        <w:spacing w:line="480" w:lineRule="exact"/>
        <w:ind w:firstLine="422" w:firstLineChars="200"/>
        <w:jc w:val="both"/>
        <w:textAlignment w:val="auto"/>
        <w:rPr>
          <w:rFonts w:hint="eastAsia" w:ascii="宋体" w:hAnsi="宋体" w:eastAsia="宋体" w:cs="宋体"/>
          <w:b/>
          <w:color w:val="auto"/>
          <w:kern w:val="2"/>
          <w:sz w:val="21"/>
          <w:szCs w:val="21"/>
          <w:highlight w:val="none"/>
          <w:lang w:val="en-US" w:eastAsia="zh-CN" w:bidi="ar-SA"/>
        </w:rPr>
      </w:pPr>
      <w:r>
        <w:rPr>
          <w:rFonts w:hint="eastAsia" w:ascii="宋体" w:hAnsi="宋体" w:eastAsia="宋体" w:cs="宋体"/>
          <w:b/>
          <w:color w:val="auto"/>
          <w:kern w:val="2"/>
          <w:sz w:val="21"/>
          <w:szCs w:val="21"/>
          <w:highlight w:val="none"/>
          <w:lang w:val="en-US" w:eastAsia="zh-CN" w:bidi="ar-SA"/>
        </w:rPr>
        <w:t>1.4停车场管理方案分（7分）</w:t>
      </w:r>
    </w:p>
    <w:p>
      <w:pPr>
        <w:keepNext w:val="0"/>
        <w:keepLines w:val="0"/>
        <w:pageBreakBefore w:val="0"/>
        <w:widowControl w:val="0"/>
        <w:kinsoku/>
        <w:wordWrap/>
        <w:overflowPunct/>
        <w:topLinePunct w:val="0"/>
        <w:autoSpaceDE/>
        <w:autoSpaceDN/>
        <w:bidi w:val="0"/>
        <w:adjustRightInd/>
        <w:snapToGrid/>
        <w:spacing w:line="480" w:lineRule="exact"/>
        <w:ind w:firstLine="420" w:firstLineChars="200"/>
        <w:jc w:val="both"/>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投标人提供符合项目需求且有明确描述的停车场管理方案，包含但不限于以下：①人员安排及工作时间；②停车场日常服务要求及标准；③高峰期车辆管理措施；④病人家属车辆临停管理方案；⑤救护车通道保障措施；⑥巡检及应急处置；⑦服务质量考核标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每有一项得1分，满分7分。</w:t>
      </w:r>
    </w:p>
    <w:p>
      <w:pPr>
        <w:keepNext w:val="0"/>
        <w:keepLines w:val="0"/>
        <w:pageBreakBefore w:val="0"/>
        <w:widowControl/>
        <w:kinsoku/>
        <w:wordWrap/>
        <w:overflowPunct/>
        <w:topLinePunct w:val="0"/>
        <w:autoSpaceDE/>
        <w:autoSpaceDN/>
        <w:bidi w:val="0"/>
        <w:adjustRightInd/>
        <w:snapToGrid/>
        <w:spacing w:before="157" w:beforeLines="50" w:line="460" w:lineRule="exact"/>
        <w:ind w:firstLine="422" w:firstLineChars="200"/>
        <w:jc w:val="both"/>
        <w:textAlignment w:val="auto"/>
        <w:outlineLvl w:val="9"/>
        <w:rPr>
          <w:rFonts w:hint="eastAsia" w:ascii="宋体" w:hAnsi="宋体" w:eastAsia="宋体" w:cs="宋体"/>
          <w:b/>
          <w:bCs/>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val="en-US" w:eastAsia="zh-CN" w:bidi="ar"/>
        </w:rPr>
        <w:t>1.5洗衣房服务方案分（4分）</w:t>
      </w:r>
    </w:p>
    <w:p>
      <w:pPr>
        <w:keepNext w:val="0"/>
        <w:keepLines w:val="0"/>
        <w:pageBreakBefore w:val="0"/>
        <w:kinsoku/>
        <w:wordWrap/>
        <w:overflowPunct/>
        <w:topLinePunct w:val="0"/>
        <w:autoSpaceDE/>
        <w:autoSpaceDN/>
        <w:bidi w:val="0"/>
        <w:adjustRightInd/>
        <w:snapToGrid/>
        <w:spacing w:line="460" w:lineRule="exact"/>
        <w:ind w:firstLine="420" w:firstLineChars="200"/>
        <w:jc w:val="both"/>
        <w:textAlignment w:val="auto"/>
        <w:outlineLvl w:val="9"/>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投标人提供符合项目需求且有明确描述的洗衣房服务方案，包含但不限于以下：①服务要求及标准；②人员安排及工作时间；③清洗消毒流程；④折叠、分类存放及及时送回科室/病房的具体措施；⑤清洗记录管理制度；⑥防止交叉感染的其它补充措施；⑦服务质量考核标准。⑧服务计划、落实措施。每有一项得0.5分，满分4分。</w:t>
      </w:r>
    </w:p>
    <w:p>
      <w:pPr>
        <w:keepNext w:val="0"/>
        <w:keepLines w:val="0"/>
        <w:pageBreakBefore w:val="0"/>
        <w:widowControl/>
        <w:kinsoku/>
        <w:wordWrap/>
        <w:overflowPunct/>
        <w:topLinePunct w:val="0"/>
        <w:autoSpaceDE/>
        <w:autoSpaceDN/>
        <w:bidi w:val="0"/>
        <w:adjustRightInd/>
        <w:snapToGrid/>
        <w:spacing w:before="157" w:beforeLines="50" w:line="460" w:lineRule="exact"/>
        <w:ind w:firstLine="422" w:firstLineChars="200"/>
        <w:jc w:val="both"/>
        <w:textAlignment w:val="auto"/>
        <w:outlineLvl w:val="9"/>
        <w:rPr>
          <w:rFonts w:hint="eastAsia" w:ascii="宋体" w:hAnsi="宋体" w:eastAsia="宋体" w:cs="宋体"/>
          <w:b/>
          <w:bCs/>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val="en-US" w:eastAsia="zh-CN" w:bidi="ar"/>
        </w:rPr>
        <w:t>1.6医疗废物/生活垃圾清运服务方案分（7分）</w:t>
      </w:r>
    </w:p>
    <w:p>
      <w:pPr>
        <w:keepNext w:val="0"/>
        <w:keepLines w:val="0"/>
        <w:pageBreakBefore w:val="0"/>
        <w:widowControl/>
        <w:kinsoku/>
        <w:wordWrap/>
        <w:overflowPunct/>
        <w:topLinePunct w:val="0"/>
        <w:autoSpaceDE/>
        <w:autoSpaceDN/>
        <w:bidi w:val="0"/>
        <w:adjustRightInd/>
        <w:snapToGrid/>
        <w:spacing w:before="157" w:beforeLines="50" w:line="460" w:lineRule="exact"/>
        <w:ind w:firstLine="420" w:firstLineChars="200"/>
        <w:jc w:val="both"/>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投标人提供符合项目需求且有明确描述的医疗废物/生活垃圾清运服务方案，包含但不限于以下：①人员安排及工作时间；②分类收集与运送流程、转运站管理标准；③垃圾登记与交接制度；④清运工具维护与二次污染防治；⑤化粪池、污水池清理及输液瓶运送管理；⑥服务质量考核标准；⑦服务计划、落实措施。每有一项得1分，满分7分。</w:t>
      </w:r>
    </w:p>
    <w:p>
      <w:pPr>
        <w:keepNext w:val="0"/>
        <w:keepLines w:val="0"/>
        <w:pageBreakBefore w:val="0"/>
        <w:widowControl/>
        <w:kinsoku/>
        <w:wordWrap/>
        <w:overflowPunct/>
        <w:topLinePunct w:val="0"/>
        <w:autoSpaceDE/>
        <w:autoSpaceDN/>
        <w:bidi w:val="0"/>
        <w:adjustRightInd/>
        <w:snapToGrid/>
        <w:spacing w:before="157" w:beforeLines="50" w:line="460" w:lineRule="exact"/>
        <w:ind w:firstLine="422" w:firstLineChars="200"/>
        <w:jc w:val="both"/>
        <w:textAlignment w:val="auto"/>
        <w:outlineLvl w:val="9"/>
        <w:rPr>
          <w:rFonts w:hint="eastAsia" w:ascii="宋体" w:hAnsi="宋体" w:eastAsia="宋体" w:cs="宋体"/>
          <w:b/>
          <w:bCs/>
          <w:color w:val="auto"/>
          <w:kern w:val="0"/>
          <w:sz w:val="21"/>
          <w:szCs w:val="21"/>
          <w:highlight w:val="none"/>
          <w:lang w:bidi="ar"/>
        </w:rPr>
      </w:pPr>
      <w:r>
        <w:rPr>
          <w:rFonts w:hint="eastAsia" w:ascii="宋体" w:hAnsi="宋体" w:eastAsia="宋体" w:cs="宋体"/>
          <w:b/>
          <w:bCs/>
          <w:color w:val="auto"/>
          <w:kern w:val="0"/>
          <w:sz w:val="21"/>
          <w:szCs w:val="21"/>
          <w:highlight w:val="none"/>
          <w:lang w:bidi="ar"/>
        </w:rPr>
        <w:t>1.7防止院内交叉感染管理方案分（3分）</w:t>
      </w:r>
    </w:p>
    <w:p>
      <w:pPr>
        <w:keepNext w:val="0"/>
        <w:keepLines w:val="0"/>
        <w:pageBreakBefore w:val="0"/>
        <w:widowControl/>
        <w:kinsoku/>
        <w:wordWrap/>
        <w:overflowPunct/>
        <w:topLinePunct w:val="0"/>
        <w:autoSpaceDE/>
        <w:autoSpaceDN/>
        <w:bidi w:val="0"/>
        <w:adjustRightInd/>
        <w:snapToGrid/>
        <w:spacing w:line="460" w:lineRule="exact"/>
        <w:ind w:firstLine="420" w:firstLineChars="200"/>
        <w:jc w:val="both"/>
        <w:textAlignment w:val="auto"/>
        <w:outlineLvl w:val="9"/>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eastAsia="zh-CN" w:bidi="ar"/>
        </w:rPr>
        <w:t>投标人</w:t>
      </w:r>
      <w:r>
        <w:rPr>
          <w:rFonts w:hint="eastAsia" w:ascii="宋体" w:hAnsi="宋体" w:eastAsia="宋体" w:cs="宋体"/>
          <w:b w:val="0"/>
          <w:bCs w:val="0"/>
          <w:color w:val="auto"/>
          <w:kern w:val="0"/>
          <w:sz w:val="21"/>
          <w:szCs w:val="21"/>
          <w:highlight w:val="none"/>
          <w:lang w:bidi="ar"/>
        </w:rPr>
        <w:t>提供本次物业项目防止院内交叉感染管理方案，应包含以下</w:t>
      </w:r>
      <w:r>
        <w:rPr>
          <w:rFonts w:hint="eastAsia" w:ascii="宋体" w:hAnsi="宋体" w:eastAsia="宋体" w:cs="宋体"/>
          <w:b w:val="0"/>
          <w:bCs w:val="0"/>
          <w:color w:val="auto"/>
          <w:kern w:val="0"/>
          <w:sz w:val="21"/>
          <w:szCs w:val="21"/>
          <w:highlight w:val="none"/>
          <w:lang w:val="en-US" w:eastAsia="zh-CN" w:bidi="ar"/>
        </w:rPr>
        <w:t>三项内容</w:t>
      </w:r>
      <w:r>
        <w:rPr>
          <w:rFonts w:hint="eastAsia" w:ascii="宋体" w:hAnsi="宋体" w:eastAsia="宋体" w:cs="宋体"/>
          <w:b w:val="0"/>
          <w:bCs w:val="0"/>
          <w:color w:val="auto"/>
          <w:kern w:val="0"/>
          <w:sz w:val="21"/>
          <w:szCs w:val="21"/>
          <w:highlight w:val="none"/>
          <w:lang w:bidi="ar"/>
        </w:rPr>
        <w:t>。内容符合项目需求，且在方案中有明确描述的，</w:t>
      </w:r>
      <w:r>
        <w:rPr>
          <w:rFonts w:hint="eastAsia" w:ascii="宋体" w:hAnsi="宋体" w:eastAsia="宋体" w:cs="宋体"/>
          <w:b/>
          <w:bCs/>
          <w:color w:val="auto"/>
          <w:kern w:val="2"/>
          <w:sz w:val="21"/>
          <w:szCs w:val="21"/>
          <w:highlight w:val="none"/>
          <w:lang w:val="en-US" w:eastAsia="zh-CN" w:bidi="ar-SA"/>
        </w:rPr>
        <w:t>每项得1分，满分3分</w:t>
      </w:r>
      <w:r>
        <w:rPr>
          <w:rFonts w:hint="eastAsia" w:ascii="宋体" w:hAnsi="宋体" w:eastAsia="宋体" w:cs="宋体"/>
          <w:b w:val="0"/>
          <w:bCs w:val="0"/>
          <w:color w:val="auto"/>
          <w:kern w:val="0"/>
          <w:sz w:val="21"/>
          <w:szCs w:val="21"/>
          <w:highlight w:val="none"/>
          <w:lang w:bidi="ar"/>
        </w:rPr>
        <w:t>：</w:t>
      </w:r>
    </w:p>
    <w:p>
      <w:pPr>
        <w:keepNext w:val="0"/>
        <w:keepLines w:val="0"/>
        <w:pageBreakBefore w:val="0"/>
        <w:widowControl/>
        <w:kinsoku/>
        <w:wordWrap/>
        <w:overflowPunct/>
        <w:topLinePunct w:val="0"/>
        <w:autoSpaceDE/>
        <w:autoSpaceDN/>
        <w:bidi w:val="0"/>
        <w:adjustRightInd/>
        <w:snapToGrid/>
        <w:spacing w:line="460" w:lineRule="exact"/>
        <w:ind w:firstLine="420" w:firstLineChars="200"/>
        <w:jc w:val="both"/>
        <w:textAlignment w:val="auto"/>
        <w:outlineLvl w:val="9"/>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①对医院内交叉感染因素的理解（含对医院不同区域如门诊、病房、</w:t>
      </w:r>
      <w:r>
        <w:rPr>
          <w:rFonts w:hint="eastAsia" w:ascii="宋体" w:hAnsi="宋体" w:eastAsia="宋体" w:cs="宋体"/>
          <w:b w:val="0"/>
          <w:bCs w:val="0"/>
          <w:color w:val="auto"/>
          <w:kern w:val="0"/>
          <w:sz w:val="21"/>
          <w:szCs w:val="21"/>
          <w:highlight w:val="none"/>
          <w:lang w:eastAsia="zh-CN" w:bidi="ar"/>
        </w:rPr>
        <w:t>手术室</w:t>
      </w:r>
      <w:r>
        <w:rPr>
          <w:rFonts w:hint="eastAsia" w:ascii="宋体" w:hAnsi="宋体" w:eastAsia="宋体" w:cs="宋体"/>
          <w:b w:val="0"/>
          <w:bCs w:val="0"/>
          <w:color w:val="auto"/>
          <w:kern w:val="0"/>
          <w:sz w:val="21"/>
          <w:szCs w:val="21"/>
          <w:highlight w:val="none"/>
          <w:lang w:bidi="ar"/>
        </w:rPr>
        <w:t>等的感染风险分析，识别保洁、织物收送、垃圾清运等物业操作中的交叉感染关键环节）；</w:t>
      </w:r>
    </w:p>
    <w:p>
      <w:pPr>
        <w:keepNext w:val="0"/>
        <w:keepLines w:val="0"/>
        <w:pageBreakBefore w:val="0"/>
        <w:widowControl/>
        <w:kinsoku/>
        <w:wordWrap/>
        <w:overflowPunct/>
        <w:topLinePunct w:val="0"/>
        <w:autoSpaceDE/>
        <w:autoSpaceDN/>
        <w:bidi w:val="0"/>
        <w:adjustRightInd/>
        <w:snapToGrid/>
        <w:spacing w:line="460" w:lineRule="exact"/>
        <w:ind w:firstLine="420" w:firstLineChars="200"/>
        <w:jc w:val="both"/>
        <w:textAlignment w:val="auto"/>
        <w:outlineLvl w:val="9"/>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②服务框架及工作流程（含防止交叉感染的组织架构、人员分工、分区作业流程、一床一巾/一用一消毒等具体操作规范，以及清洁区与污染区的划分与隔离措施）；</w:t>
      </w:r>
    </w:p>
    <w:p>
      <w:pPr>
        <w:keepNext w:val="0"/>
        <w:keepLines w:val="0"/>
        <w:pageBreakBefore w:val="0"/>
        <w:widowControl/>
        <w:kinsoku/>
        <w:wordWrap/>
        <w:overflowPunct/>
        <w:topLinePunct w:val="0"/>
        <w:autoSpaceDE/>
        <w:autoSpaceDN/>
        <w:bidi w:val="0"/>
        <w:adjustRightInd/>
        <w:snapToGrid/>
        <w:spacing w:line="460" w:lineRule="exact"/>
        <w:ind w:firstLine="420" w:firstLineChars="200"/>
        <w:jc w:val="both"/>
        <w:textAlignment w:val="auto"/>
        <w:outlineLvl w:val="9"/>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③结合交叉感染情况提出的针对性应对措施（含针对高风险区域或环节的强化消毒方案、个人防护装备使用规范、员工感染防控培训计划、环境监测与消毒效果评估方法、应急处置流程等）。</w:t>
      </w:r>
    </w:p>
    <w:p>
      <w:pPr>
        <w:keepNext w:val="0"/>
        <w:keepLines w:val="0"/>
        <w:pageBreakBefore w:val="0"/>
        <w:widowControl/>
        <w:kinsoku/>
        <w:wordWrap/>
        <w:overflowPunct/>
        <w:topLinePunct w:val="0"/>
        <w:autoSpaceDE/>
        <w:autoSpaceDN/>
        <w:bidi w:val="0"/>
        <w:adjustRightInd/>
        <w:snapToGrid/>
        <w:spacing w:line="460" w:lineRule="exact"/>
        <w:ind w:firstLine="420" w:firstLineChars="200"/>
        <w:jc w:val="both"/>
        <w:textAlignment w:val="auto"/>
        <w:outlineLvl w:val="9"/>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说明：评委根据投标方案中对以上三项内容的明确描述情况逐项给分，每项1分。未描述或描述不清、未结合医院交叉感染特点的不给分。</w:t>
      </w:r>
    </w:p>
    <w:p>
      <w:pPr>
        <w:keepNext w:val="0"/>
        <w:keepLines w:val="0"/>
        <w:pageBreakBefore w:val="0"/>
        <w:widowControl/>
        <w:kinsoku/>
        <w:wordWrap/>
        <w:overflowPunct/>
        <w:topLinePunct w:val="0"/>
        <w:autoSpaceDE/>
        <w:autoSpaceDN/>
        <w:bidi w:val="0"/>
        <w:adjustRightInd/>
        <w:snapToGrid/>
        <w:spacing w:line="460" w:lineRule="exact"/>
        <w:ind w:firstLine="422" w:firstLineChars="200"/>
        <w:jc w:val="both"/>
        <w:textAlignment w:val="auto"/>
        <w:outlineLvl w:val="9"/>
        <w:rPr>
          <w:rFonts w:hint="eastAsia" w:ascii="宋体" w:hAnsi="宋体" w:eastAsia="宋体" w:cs="宋体"/>
          <w:b/>
          <w:bCs/>
          <w:color w:val="auto"/>
          <w:kern w:val="0"/>
          <w:sz w:val="21"/>
          <w:szCs w:val="21"/>
          <w:highlight w:val="none"/>
          <w:lang w:bidi="ar"/>
        </w:rPr>
      </w:pPr>
      <w:r>
        <w:rPr>
          <w:rFonts w:hint="eastAsia" w:ascii="宋体" w:hAnsi="宋体" w:eastAsia="宋体" w:cs="宋体"/>
          <w:b/>
          <w:bCs/>
          <w:color w:val="auto"/>
          <w:kern w:val="0"/>
          <w:sz w:val="21"/>
          <w:szCs w:val="21"/>
          <w:highlight w:val="none"/>
          <w:lang w:bidi="ar"/>
        </w:rPr>
        <w:t>1.</w:t>
      </w:r>
      <w:r>
        <w:rPr>
          <w:rFonts w:hint="eastAsia" w:ascii="宋体" w:hAnsi="宋体" w:eastAsia="宋体" w:cs="宋体"/>
          <w:b/>
          <w:bCs/>
          <w:color w:val="auto"/>
          <w:kern w:val="0"/>
          <w:sz w:val="21"/>
          <w:szCs w:val="21"/>
          <w:highlight w:val="none"/>
          <w:lang w:val="en-US" w:eastAsia="zh-CN" w:bidi="ar"/>
        </w:rPr>
        <w:t>8</w:t>
      </w:r>
      <w:r>
        <w:rPr>
          <w:rFonts w:hint="eastAsia" w:ascii="宋体" w:hAnsi="宋体" w:eastAsia="宋体" w:cs="宋体"/>
          <w:b/>
          <w:bCs/>
          <w:color w:val="auto"/>
          <w:kern w:val="0"/>
          <w:sz w:val="21"/>
          <w:szCs w:val="21"/>
          <w:highlight w:val="none"/>
          <w:lang w:bidi="ar"/>
        </w:rPr>
        <w:t>管理规章制度分（</w:t>
      </w:r>
      <w:r>
        <w:rPr>
          <w:rFonts w:hint="eastAsia" w:ascii="宋体" w:hAnsi="宋体" w:eastAsia="宋体" w:cs="宋体"/>
          <w:b/>
          <w:bCs/>
          <w:color w:val="auto"/>
          <w:kern w:val="0"/>
          <w:sz w:val="21"/>
          <w:szCs w:val="21"/>
          <w:highlight w:val="none"/>
          <w:lang w:val="en-US" w:eastAsia="zh-CN" w:bidi="ar"/>
        </w:rPr>
        <w:t>3</w:t>
      </w:r>
      <w:r>
        <w:rPr>
          <w:rFonts w:hint="eastAsia" w:ascii="宋体" w:hAnsi="宋体" w:eastAsia="宋体" w:cs="宋体"/>
          <w:b/>
          <w:bCs/>
          <w:color w:val="auto"/>
          <w:kern w:val="0"/>
          <w:sz w:val="21"/>
          <w:szCs w:val="21"/>
          <w:highlight w:val="none"/>
          <w:lang w:bidi="ar"/>
        </w:rPr>
        <w:t>分）</w:t>
      </w:r>
    </w:p>
    <w:p>
      <w:pPr>
        <w:pStyle w:val="27"/>
        <w:keepNext w:val="0"/>
        <w:keepLines w:val="0"/>
        <w:pageBreakBefore w:val="0"/>
        <w:widowControl w:val="0"/>
        <w:kinsoku/>
        <w:wordWrap/>
        <w:overflowPunct/>
        <w:topLinePunct w:val="0"/>
        <w:autoSpaceDE/>
        <w:autoSpaceDN/>
        <w:bidi w:val="0"/>
        <w:adjustRightInd/>
        <w:snapToGrid/>
        <w:spacing w:line="460" w:lineRule="exact"/>
        <w:ind w:firstLine="420" w:firstLineChars="200"/>
        <w:jc w:val="both"/>
        <w:textAlignment w:val="auto"/>
        <w:outlineLvl w:val="9"/>
        <w:rPr>
          <w:rFonts w:hint="eastAsia" w:ascii="宋体" w:hAnsi="宋体" w:eastAsia="宋体" w:cs="宋体"/>
          <w:color w:val="auto"/>
          <w:sz w:val="21"/>
          <w:szCs w:val="21"/>
          <w:highlight w:val="none"/>
          <w:lang w:eastAsia="zh-CN"/>
        </w:rPr>
      </w:pPr>
      <w:bookmarkStart w:id="190" w:name="_Hlk207377866"/>
      <w:r>
        <w:rPr>
          <w:rFonts w:hint="eastAsia" w:ascii="宋体" w:hAnsi="宋体" w:eastAsia="宋体" w:cs="宋体"/>
          <w:color w:val="auto"/>
          <w:sz w:val="21"/>
          <w:szCs w:val="21"/>
          <w:highlight w:val="none"/>
          <w:lang w:eastAsia="zh-CN"/>
        </w:rPr>
        <w:t>投标人提供本次物业项目以下</w:t>
      </w:r>
      <w:r>
        <w:rPr>
          <w:rFonts w:hint="eastAsia" w:ascii="宋体" w:hAnsi="宋体" w:eastAsia="宋体" w:cs="宋体"/>
          <w:color w:val="auto"/>
          <w:sz w:val="21"/>
          <w:szCs w:val="21"/>
          <w:highlight w:val="none"/>
          <w:lang w:val="en-US" w:eastAsia="zh-CN"/>
        </w:rPr>
        <w:t>六项</w:t>
      </w:r>
      <w:r>
        <w:rPr>
          <w:rFonts w:hint="eastAsia" w:ascii="宋体" w:hAnsi="宋体" w:eastAsia="宋体" w:cs="宋体"/>
          <w:color w:val="auto"/>
          <w:sz w:val="21"/>
          <w:szCs w:val="21"/>
          <w:highlight w:val="none"/>
          <w:lang w:eastAsia="zh-CN"/>
        </w:rPr>
        <w:t>管理制度内容，内容符合项目需求，且在方案中有明确描述的，</w:t>
      </w:r>
      <w:r>
        <w:rPr>
          <w:rFonts w:hint="eastAsia" w:ascii="宋体" w:hAnsi="宋体" w:eastAsia="宋体" w:cs="宋体"/>
          <w:b/>
          <w:bCs/>
          <w:color w:val="auto"/>
          <w:kern w:val="2"/>
          <w:sz w:val="21"/>
          <w:szCs w:val="21"/>
          <w:highlight w:val="none"/>
          <w:lang w:val="en-US" w:eastAsia="zh-CN" w:bidi="ar-SA"/>
        </w:rPr>
        <w:t>每项得0.5分，满分3分</w:t>
      </w:r>
      <w:r>
        <w:rPr>
          <w:rFonts w:hint="eastAsia" w:ascii="宋体" w:hAnsi="宋体" w:eastAsia="宋体" w:cs="宋体"/>
          <w:color w:val="auto"/>
          <w:sz w:val="21"/>
          <w:szCs w:val="21"/>
          <w:highlight w:val="none"/>
          <w:lang w:eastAsia="zh-CN"/>
        </w:rPr>
        <w:t>：</w:t>
      </w:r>
    </w:p>
    <w:p>
      <w:pPr>
        <w:pStyle w:val="27"/>
        <w:keepNext w:val="0"/>
        <w:keepLines w:val="0"/>
        <w:pageBreakBefore w:val="0"/>
        <w:widowControl w:val="0"/>
        <w:kinsoku/>
        <w:wordWrap/>
        <w:overflowPunct/>
        <w:topLinePunct w:val="0"/>
        <w:autoSpaceDE/>
        <w:autoSpaceDN/>
        <w:bidi w:val="0"/>
        <w:adjustRightInd/>
        <w:snapToGrid/>
        <w:spacing w:line="460" w:lineRule="exact"/>
        <w:ind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①规章制度总则（含各项管理制度的框架、制定依据、修订与执行要求）；</w:t>
      </w:r>
    </w:p>
    <w:p>
      <w:pPr>
        <w:pStyle w:val="27"/>
        <w:keepNext w:val="0"/>
        <w:keepLines w:val="0"/>
        <w:pageBreakBefore w:val="0"/>
        <w:widowControl w:val="0"/>
        <w:kinsoku/>
        <w:wordWrap/>
        <w:overflowPunct/>
        <w:topLinePunct w:val="0"/>
        <w:autoSpaceDE/>
        <w:autoSpaceDN/>
        <w:bidi w:val="0"/>
        <w:adjustRightInd/>
        <w:snapToGrid/>
        <w:spacing w:line="460" w:lineRule="exact"/>
        <w:ind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②管理架构与岗位职责（含组织架构图、各岗位职责说明、汇报关系及协作机制）；</w:t>
      </w:r>
    </w:p>
    <w:p>
      <w:pPr>
        <w:pStyle w:val="27"/>
        <w:keepNext w:val="0"/>
        <w:keepLines w:val="0"/>
        <w:pageBreakBefore w:val="0"/>
        <w:widowControl w:val="0"/>
        <w:kinsoku/>
        <w:wordWrap/>
        <w:overflowPunct/>
        <w:topLinePunct w:val="0"/>
        <w:autoSpaceDE/>
        <w:autoSpaceDN/>
        <w:bidi w:val="0"/>
        <w:adjustRightInd/>
        <w:snapToGrid/>
        <w:spacing w:line="460" w:lineRule="exact"/>
        <w:ind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③运作机制（含日常运行流程、跨部门协调机制、工作指令下达与执行流程）；</w:t>
      </w:r>
    </w:p>
    <w:p>
      <w:pPr>
        <w:pStyle w:val="27"/>
        <w:keepNext w:val="0"/>
        <w:keepLines w:val="0"/>
        <w:pageBreakBefore w:val="0"/>
        <w:widowControl w:val="0"/>
        <w:kinsoku/>
        <w:wordWrap/>
        <w:overflowPunct/>
        <w:topLinePunct w:val="0"/>
        <w:autoSpaceDE/>
        <w:autoSpaceDN/>
        <w:bidi w:val="0"/>
        <w:adjustRightInd/>
        <w:snapToGrid/>
        <w:spacing w:line="460" w:lineRule="exact"/>
        <w:ind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④激励机制与监督机制（含员工奖惩办法、绩效考核激励措施，以及服务质量监督方式、检查频率、问题整改流程）；</w:t>
      </w:r>
    </w:p>
    <w:p>
      <w:pPr>
        <w:pStyle w:val="27"/>
        <w:keepNext w:val="0"/>
        <w:keepLines w:val="0"/>
        <w:pageBreakBefore w:val="0"/>
        <w:widowControl w:val="0"/>
        <w:kinsoku/>
        <w:wordWrap/>
        <w:overflowPunct/>
        <w:topLinePunct w:val="0"/>
        <w:autoSpaceDE/>
        <w:autoSpaceDN/>
        <w:bidi w:val="0"/>
        <w:adjustRightInd/>
        <w:snapToGrid/>
        <w:spacing w:line="460" w:lineRule="exact"/>
        <w:ind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⑤自我约束机制（含员工行为规范、职业道德要求、内部自查自纠办法、违规处理程序）；</w:t>
      </w:r>
    </w:p>
    <w:p>
      <w:pPr>
        <w:pStyle w:val="27"/>
        <w:keepNext w:val="0"/>
        <w:keepLines w:val="0"/>
        <w:pageBreakBefore w:val="0"/>
        <w:widowControl w:val="0"/>
        <w:kinsoku/>
        <w:wordWrap/>
        <w:overflowPunct/>
        <w:topLinePunct w:val="0"/>
        <w:autoSpaceDE/>
        <w:autoSpaceDN/>
        <w:bidi w:val="0"/>
        <w:adjustRightInd/>
        <w:snapToGrid/>
        <w:spacing w:line="460" w:lineRule="exact"/>
        <w:ind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⑥信息反馈处理机制（含信息收集渠道、处理时限、反馈闭环、异常情况上报及改进追踪）。</w:t>
      </w:r>
    </w:p>
    <w:bookmarkEnd w:id="190"/>
    <w:p>
      <w:pPr>
        <w:keepNext w:val="0"/>
        <w:keepLines w:val="0"/>
        <w:pageBreakBefore w:val="0"/>
        <w:widowControl/>
        <w:kinsoku/>
        <w:wordWrap/>
        <w:overflowPunct/>
        <w:topLinePunct w:val="0"/>
        <w:autoSpaceDE/>
        <w:autoSpaceDN/>
        <w:bidi w:val="0"/>
        <w:adjustRightInd/>
        <w:snapToGrid/>
        <w:spacing w:line="460" w:lineRule="exact"/>
        <w:ind w:firstLine="420" w:firstLineChars="200"/>
        <w:jc w:val="both"/>
        <w:textAlignment w:val="auto"/>
        <w:outlineLvl w:val="9"/>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说明：评委根据投标方案中对</w:t>
      </w:r>
      <w:r>
        <w:rPr>
          <w:rFonts w:hint="eastAsia" w:ascii="宋体" w:hAnsi="宋体" w:eastAsia="宋体" w:cs="宋体"/>
          <w:b w:val="0"/>
          <w:bCs w:val="0"/>
          <w:color w:val="auto"/>
          <w:kern w:val="0"/>
          <w:sz w:val="21"/>
          <w:szCs w:val="21"/>
          <w:highlight w:val="none"/>
          <w:lang w:val="en-US" w:eastAsia="zh-CN" w:bidi="ar"/>
        </w:rPr>
        <w:t>以上六项</w:t>
      </w:r>
      <w:r>
        <w:rPr>
          <w:rFonts w:hint="eastAsia" w:ascii="宋体" w:hAnsi="宋体" w:eastAsia="宋体" w:cs="宋体"/>
          <w:b w:val="0"/>
          <w:bCs w:val="0"/>
          <w:color w:val="auto"/>
          <w:kern w:val="0"/>
          <w:sz w:val="21"/>
          <w:szCs w:val="21"/>
          <w:highlight w:val="none"/>
          <w:lang w:bidi="ar"/>
        </w:rPr>
        <w:t>内容的明确描述情况逐项给分，每项</w:t>
      </w:r>
      <w:r>
        <w:rPr>
          <w:rFonts w:hint="eastAsia" w:ascii="宋体" w:hAnsi="宋体" w:eastAsia="宋体" w:cs="宋体"/>
          <w:b w:val="0"/>
          <w:bCs w:val="0"/>
          <w:color w:val="auto"/>
          <w:kern w:val="0"/>
          <w:sz w:val="21"/>
          <w:szCs w:val="21"/>
          <w:highlight w:val="none"/>
          <w:lang w:val="en-US" w:eastAsia="zh-CN" w:bidi="ar"/>
        </w:rPr>
        <w:t>0.5</w:t>
      </w:r>
      <w:r>
        <w:rPr>
          <w:rFonts w:hint="eastAsia" w:ascii="宋体" w:hAnsi="宋体" w:eastAsia="宋体" w:cs="宋体"/>
          <w:b w:val="0"/>
          <w:bCs w:val="0"/>
          <w:color w:val="auto"/>
          <w:kern w:val="0"/>
          <w:sz w:val="21"/>
          <w:szCs w:val="21"/>
          <w:highlight w:val="none"/>
          <w:lang w:bidi="ar"/>
        </w:rPr>
        <w:t>分。未描述或描述不清的不给分。若某项中部分子项缺失，该项不得分。</w:t>
      </w:r>
    </w:p>
    <w:p>
      <w:pPr>
        <w:keepNext w:val="0"/>
        <w:keepLines w:val="0"/>
        <w:pageBreakBefore w:val="0"/>
        <w:widowControl/>
        <w:kinsoku/>
        <w:wordWrap/>
        <w:overflowPunct/>
        <w:topLinePunct w:val="0"/>
        <w:autoSpaceDE/>
        <w:autoSpaceDN/>
        <w:bidi w:val="0"/>
        <w:adjustRightInd/>
        <w:snapToGrid/>
        <w:spacing w:before="157" w:beforeLines="50" w:line="460" w:lineRule="exact"/>
        <w:ind w:firstLine="422" w:firstLineChars="200"/>
        <w:jc w:val="both"/>
        <w:textAlignment w:val="auto"/>
        <w:outlineLvl w:val="9"/>
        <w:rPr>
          <w:rFonts w:hint="eastAsia" w:ascii="宋体" w:hAnsi="宋体" w:eastAsia="宋体" w:cs="宋体"/>
          <w:b/>
          <w:bCs/>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val="en-US" w:eastAsia="zh-CN" w:bidi="ar"/>
        </w:rPr>
        <w:t>1.9档案的建立和管理分（2分）</w:t>
      </w:r>
    </w:p>
    <w:p>
      <w:pPr>
        <w:pStyle w:val="27"/>
        <w:keepNext w:val="0"/>
        <w:keepLines w:val="0"/>
        <w:pageBreakBefore w:val="0"/>
        <w:widowControl w:val="0"/>
        <w:kinsoku/>
        <w:wordWrap/>
        <w:overflowPunct/>
        <w:topLinePunct w:val="0"/>
        <w:autoSpaceDE/>
        <w:autoSpaceDN/>
        <w:bidi w:val="0"/>
        <w:adjustRightInd/>
        <w:snapToGrid/>
        <w:spacing w:line="460" w:lineRule="exact"/>
        <w:ind w:firstLine="420" w:firstLineChars="200"/>
        <w:jc w:val="both"/>
        <w:textAlignment w:val="auto"/>
        <w:outlineLvl w:val="9"/>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eastAsia="zh-CN" w:bidi="ar"/>
        </w:rPr>
        <w:t>投标人提供本次物业项目以下</w:t>
      </w:r>
      <w:r>
        <w:rPr>
          <w:rFonts w:hint="eastAsia" w:ascii="宋体" w:hAnsi="宋体" w:eastAsia="宋体" w:cs="宋体"/>
          <w:color w:val="auto"/>
          <w:kern w:val="0"/>
          <w:sz w:val="21"/>
          <w:szCs w:val="21"/>
          <w:highlight w:val="none"/>
          <w:lang w:val="en-US" w:eastAsia="zh-CN" w:bidi="ar"/>
        </w:rPr>
        <w:t>五项</w:t>
      </w:r>
      <w:r>
        <w:rPr>
          <w:rFonts w:hint="eastAsia" w:ascii="宋体" w:hAnsi="宋体" w:eastAsia="宋体" w:cs="宋体"/>
          <w:color w:val="auto"/>
          <w:kern w:val="0"/>
          <w:sz w:val="21"/>
          <w:szCs w:val="21"/>
          <w:highlight w:val="none"/>
          <w:lang w:eastAsia="zh-CN" w:bidi="ar"/>
        </w:rPr>
        <w:t>档案管理相关内容，内容符合项目需求，且在方案中有明确描述的，</w:t>
      </w:r>
      <w:r>
        <w:rPr>
          <w:rFonts w:hint="eastAsia" w:ascii="宋体" w:hAnsi="宋体" w:eastAsia="宋体" w:cs="宋体"/>
          <w:b/>
          <w:bCs/>
          <w:color w:val="auto"/>
          <w:kern w:val="2"/>
          <w:sz w:val="21"/>
          <w:szCs w:val="21"/>
          <w:highlight w:val="none"/>
          <w:lang w:val="en-US" w:eastAsia="zh-CN" w:bidi="ar-SA"/>
        </w:rPr>
        <w:t>每项得0.4分，满分2分</w:t>
      </w:r>
      <w:r>
        <w:rPr>
          <w:rFonts w:hint="eastAsia" w:ascii="宋体" w:hAnsi="宋体" w:eastAsia="宋体" w:cs="宋体"/>
          <w:color w:val="auto"/>
          <w:kern w:val="0"/>
          <w:sz w:val="21"/>
          <w:szCs w:val="21"/>
          <w:highlight w:val="none"/>
          <w:lang w:eastAsia="zh-CN" w:bidi="ar"/>
        </w:rPr>
        <w:t>：</w:t>
      </w:r>
    </w:p>
    <w:p>
      <w:pPr>
        <w:pStyle w:val="27"/>
        <w:keepNext w:val="0"/>
        <w:keepLines w:val="0"/>
        <w:pageBreakBefore w:val="0"/>
        <w:widowControl w:val="0"/>
        <w:kinsoku/>
        <w:wordWrap/>
        <w:overflowPunct/>
        <w:topLinePunct w:val="0"/>
        <w:autoSpaceDE/>
        <w:autoSpaceDN/>
        <w:bidi w:val="0"/>
        <w:adjustRightInd/>
        <w:snapToGrid/>
        <w:spacing w:line="460" w:lineRule="exact"/>
        <w:ind w:firstLine="420" w:firstLineChars="200"/>
        <w:jc w:val="both"/>
        <w:textAlignment w:val="auto"/>
        <w:outlineLvl w:val="9"/>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eastAsia="zh-CN" w:bidi="ar"/>
        </w:rPr>
        <w:t>①档案的建立和管理制度（含分类、编号、归档、保存期限、借阅权限等）；</w:t>
      </w:r>
    </w:p>
    <w:p>
      <w:pPr>
        <w:pStyle w:val="27"/>
        <w:keepNext w:val="0"/>
        <w:keepLines w:val="0"/>
        <w:pageBreakBefore w:val="0"/>
        <w:widowControl w:val="0"/>
        <w:kinsoku/>
        <w:wordWrap/>
        <w:overflowPunct/>
        <w:topLinePunct w:val="0"/>
        <w:autoSpaceDE/>
        <w:autoSpaceDN/>
        <w:bidi w:val="0"/>
        <w:adjustRightInd/>
        <w:snapToGrid/>
        <w:spacing w:line="460" w:lineRule="exact"/>
        <w:ind w:firstLine="420" w:firstLineChars="200"/>
        <w:jc w:val="both"/>
        <w:textAlignment w:val="auto"/>
        <w:outlineLvl w:val="9"/>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eastAsia="zh-CN" w:bidi="ar"/>
        </w:rPr>
        <w:t>②投诉与回访记录（含投诉受理、处理过程、结果反馈、回访记录及改进措施）；</w:t>
      </w:r>
    </w:p>
    <w:p>
      <w:pPr>
        <w:pStyle w:val="27"/>
        <w:keepNext w:val="0"/>
        <w:keepLines w:val="0"/>
        <w:pageBreakBefore w:val="0"/>
        <w:widowControl w:val="0"/>
        <w:kinsoku/>
        <w:wordWrap/>
        <w:overflowPunct/>
        <w:topLinePunct w:val="0"/>
        <w:autoSpaceDE/>
        <w:autoSpaceDN/>
        <w:bidi w:val="0"/>
        <w:adjustRightInd/>
        <w:snapToGrid/>
        <w:spacing w:line="460" w:lineRule="exact"/>
        <w:ind w:firstLine="420" w:firstLineChars="200"/>
        <w:jc w:val="both"/>
        <w:textAlignment w:val="auto"/>
        <w:outlineLvl w:val="9"/>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eastAsia="zh-CN" w:bidi="ar"/>
        </w:rPr>
        <w:t>③巡查及汇总记录（含各服务区域日常巡查记录、问题发现与整改、月度/季度汇总分析）；</w:t>
      </w:r>
    </w:p>
    <w:p>
      <w:pPr>
        <w:pStyle w:val="27"/>
        <w:keepNext w:val="0"/>
        <w:keepLines w:val="0"/>
        <w:pageBreakBefore w:val="0"/>
        <w:widowControl w:val="0"/>
        <w:kinsoku/>
        <w:wordWrap/>
        <w:overflowPunct/>
        <w:topLinePunct w:val="0"/>
        <w:autoSpaceDE/>
        <w:autoSpaceDN/>
        <w:bidi w:val="0"/>
        <w:adjustRightInd/>
        <w:snapToGrid/>
        <w:spacing w:line="460" w:lineRule="exact"/>
        <w:ind w:firstLine="420" w:firstLineChars="200"/>
        <w:jc w:val="both"/>
        <w:textAlignment w:val="auto"/>
        <w:outlineLvl w:val="9"/>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eastAsia="zh-CN" w:bidi="ar"/>
        </w:rPr>
        <w:t>④员工档案及培训考核记录（含员工基本信息、岗位资质、培训记录、考核结果等）；</w:t>
      </w:r>
    </w:p>
    <w:p>
      <w:pPr>
        <w:pStyle w:val="27"/>
        <w:keepNext w:val="0"/>
        <w:keepLines w:val="0"/>
        <w:pageBreakBefore w:val="0"/>
        <w:widowControl w:val="0"/>
        <w:kinsoku/>
        <w:wordWrap/>
        <w:overflowPunct/>
        <w:topLinePunct w:val="0"/>
        <w:autoSpaceDE/>
        <w:autoSpaceDN/>
        <w:bidi w:val="0"/>
        <w:adjustRightInd/>
        <w:snapToGrid/>
        <w:spacing w:line="460" w:lineRule="exact"/>
        <w:ind w:firstLine="420" w:firstLineChars="200"/>
        <w:jc w:val="both"/>
        <w:textAlignment w:val="auto"/>
        <w:outlineLvl w:val="9"/>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eastAsia="zh-CN" w:bidi="ar"/>
        </w:rPr>
        <w:t>⑤设备设施运行与维保记录（含</w:t>
      </w:r>
      <w:r>
        <w:rPr>
          <w:rFonts w:hint="eastAsia" w:ascii="宋体" w:hAnsi="宋体" w:eastAsia="宋体" w:cs="宋体"/>
          <w:color w:val="auto"/>
          <w:kern w:val="0"/>
          <w:sz w:val="21"/>
          <w:szCs w:val="21"/>
          <w:highlight w:val="none"/>
          <w:lang w:val="en-US" w:eastAsia="zh-CN" w:bidi="ar"/>
        </w:rPr>
        <w:t>监控、道闸、消防</w:t>
      </w:r>
      <w:r>
        <w:rPr>
          <w:rFonts w:hint="eastAsia" w:ascii="宋体" w:hAnsi="宋体" w:eastAsia="宋体" w:cs="宋体"/>
          <w:color w:val="auto"/>
          <w:kern w:val="0"/>
          <w:sz w:val="21"/>
          <w:szCs w:val="21"/>
          <w:highlight w:val="none"/>
          <w:lang w:eastAsia="zh-CN" w:bidi="ar"/>
        </w:rPr>
        <w:t>相关设备的运行台账、维保计划、维修记录、故障处理情况等）。</w:t>
      </w:r>
    </w:p>
    <w:p>
      <w:pPr>
        <w:pStyle w:val="27"/>
        <w:keepNext w:val="0"/>
        <w:keepLines w:val="0"/>
        <w:pageBreakBefore w:val="0"/>
        <w:widowControl w:val="0"/>
        <w:kinsoku/>
        <w:wordWrap/>
        <w:overflowPunct/>
        <w:topLinePunct w:val="0"/>
        <w:autoSpaceDE/>
        <w:autoSpaceDN/>
        <w:bidi w:val="0"/>
        <w:adjustRightInd/>
        <w:snapToGrid/>
        <w:spacing w:line="460" w:lineRule="exact"/>
        <w:ind w:firstLine="420" w:firstLineChars="200"/>
        <w:jc w:val="both"/>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说明：评委根据投标方案中对以上五项内容的明确描述情况逐项给分</w:t>
      </w:r>
      <w:r>
        <w:rPr>
          <w:rFonts w:hint="eastAsia" w:ascii="宋体" w:hAnsi="宋体" w:eastAsia="宋体" w:cs="宋体"/>
          <w:b w:val="0"/>
          <w:bCs w:val="0"/>
          <w:color w:val="auto"/>
          <w:kern w:val="0"/>
          <w:sz w:val="21"/>
          <w:szCs w:val="21"/>
          <w:highlight w:val="none"/>
          <w:lang w:bidi="ar"/>
        </w:rPr>
        <w:t>，每项</w:t>
      </w:r>
      <w:r>
        <w:rPr>
          <w:rFonts w:hint="eastAsia" w:ascii="宋体" w:hAnsi="宋体" w:eastAsia="宋体" w:cs="宋体"/>
          <w:b w:val="0"/>
          <w:bCs w:val="0"/>
          <w:color w:val="auto"/>
          <w:kern w:val="0"/>
          <w:sz w:val="21"/>
          <w:szCs w:val="21"/>
          <w:highlight w:val="none"/>
          <w:lang w:val="en-US" w:eastAsia="zh-CN" w:bidi="ar"/>
        </w:rPr>
        <w:t>0.4</w:t>
      </w:r>
      <w:r>
        <w:rPr>
          <w:rFonts w:hint="eastAsia" w:ascii="宋体" w:hAnsi="宋体" w:eastAsia="宋体" w:cs="宋体"/>
          <w:b w:val="0"/>
          <w:bCs w:val="0"/>
          <w:color w:val="auto"/>
          <w:kern w:val="0"/>
          <w:sz w:val="21"/>
          <w:szCs w:val="21"/>
          <w:highlight w:val="none"/>
          <w:lang w:bidi="ar"/>
        </w:rPr>
        <w:t>分。</w:t>
      </w:r>
      <w:r>
        <w:rPr>
          <w:rFonts w:hint="eastAsia" w:ascii="宋体" w:hAnsi="宋体" w:eastAsia="宋体" w:cs="宋体"/>
          <w:b w:val="0"/>
          <w:bCs/>
          <w:color w:val="auto"/>
          <w:sz w:val="21"/>
          <w:szCs w:val="21"/>
          <w:highlight w:val="none"/>
          <w:lang w:val="en-US" w:eastAsia="zh-CN"/>
        </w:rPr>
        <w:t>未描述或描述不清的不给分。</w:t>
      </w:r>
    </w:p>
    <w:p>
      <w:pPr>
        <w:keepNext w:val="0"/>
        <w:keepLines w:val="0"/>
        <w:pageBreakBefore w:val="0"/>
        <w:widowControl/>
        <w:kinsoku/>
        <w:wordWrap/>
        <w:overflowPunct/>
        <w:topLinePunct w:val="0"/>
        <w:autoSpaceDE/>
        <w:autoSpaceDN/>
        <w:bidi w:val="0"/>
        <w:adjustRightInd/>
        <w:snapToGrid/>
        <w:spacing w:before="157" w:beforeLines="50" w:line="460" w:lineRule="exact"/>
        <w:ind w:firstLine="422" w:firstLineChars="200"/>
        <w:jc w:val="both"/>
        <w:textAlignment w:val="auto"/>
        <w:outlineLvl w:val="9"/>
        <w:rPr>
          <w:rFonts w:hint="eastAsia" w:ascii="宋体" w:hAnsi="宋体" w:eastAsia="宋体" w:cs="宋体"/>
          <w:b/>
          <w:bCs/>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val="en-US" w:eastAsia="zh-CN" w:bidi="ar"/>
        </w:rPr>
        <w:t>1.10物资（应含设备、材料、耗材等）配置方案分（2分）</w:t>
      </w:r>
    </w:p>
    <w:p>
      <w:pPr>
        <w:pStyle w:val="27"/>
        <w:keepNext w:val="0"/>
        <w:keepLines w:val="0"/>
        <w:pageBreakBefore w:val="0"/>
        <w:widowControl w:val="0"/>
        <w:kinsoku/>
        <w:wordWrap/>
        <w:overflowPunct/>
        <w:topLinePunct w:val="0"/>
        <w:autoSpaceDE/>
        <w:autoSpaceDN/>
        <w:bidi w:val="0"/>
        <w:adjustRightInd/>
        <w:snapToGrid/>
        <w:spacing w:line="460" w:lineRule="exact"/>
        <w:ind w:firstLine="420" w:firstLineChars="200"/>
        <w:jc w:val="both"/>
        <w:textAlignment w:val="auto"/>
        <w:outlineLvl w:val="9"/>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eastAsia="zh-CN" w:bidi="ar"/>
        </w:rPr>
        <w:t>投标人提供本次物业项目以下</w:t>
      </w:r>
      <w:r>
        <w:rPr>
          <w:rFonts w:hint="eastAsia" w:ascii="宋体" w:hAnsi="宋体" w:eastAsia="宋体" w:cs="宋体"/>
          <w:color w:val="auto"/>
          <w:kern w:val="0"/>
          <w:sz w:val="21"/>
          <w:szCs w:val="21"/>
          <w:highlight w:val="none"/>
          <w:lang w:val="en-US" w:eastAsia="zh-CN" w:bidi="ar"/>
        </w:rPr>
        <w:t>四项</w:t>
      </w:r>
      <w:r>
        <w:rPr>
          <w:rFonts w:hint="eastAsia" w:ascii="宋体" w:hAnsi="宋体" w:eastAsia="宋体" w:cs="宋体"/>
          <w:color w:val="auto"/>
          <w:kern w:val="0"/>
          <w:sz w:val="21"/>
          <w:szCs w:val="21"/>
          <w:highlight w:val="none"/>
          <w:lang w:eastAsia="zh-CN" w:bidi="ar"/>
        </w:rPr>
        <w:t>物资配置</w:t>
      </w:r>
      <w:r>
        <w:rPr>
          <w:rFonts w:hint="eastAsia" w:ascii="宋体" w:hAnsi="宋体" w:eastAsia="宋体" w:cs="宋体"/>
          <w:color w:val="auto"/>
          <w:kern w:val="0"/>
          <w:sz w:val="21"/>
          <w:szCs w:val="21"/>
          <w:highlight w:val="none"/>
          <w:lang w:val="en-US" w:eastAsia="zh-CN" w:bidi="ar"/>
        </w:rPr>
        <w:t>与管理</w:t>
      </w:r>
      <w:r>
        <w:rPr>
          <w:rFonts w:hint="eastAsia" w:ascii="宋体" w:hAnsi="宋体" w:eastAsia="宋体" w:cs="宋体"/>
          <w:color w:val="auto"/>
          <w:kern w:val="0"/>
          <w:sz w:val="21"/>
          <w:szCs w:val="21"/>
          <w:highlight w:val="none"/>
          <w:lang w:eastAsia="zh-CN" w:bidi="ar"/>
        </w:rPr>
        <w:t>相关内容，内容符合项目需求，且在方案中有明确描述的，</w:t>
      </w:r>
      <w:r>
        <w:rPr>
          <w:rFonts w:hint="eastAsia" w:ascii="宋体" w:hAnsi="宋体" w:eastAsia="宋体" w:cs="宋体"/>
          <w:b/>
          <w:bCs/>
          <w:color w:val="auto"/>
          <w:kern w:val="2"/>
          <w:sz w:val="21"/>
          <w:szCs w:val="21"/>
          <w:highlight w:val="none"/>
          <w:lang w:val="en-US" w:eastAsia="zh-CN" w:bidi="ar-SA"/>
        </w:rPr>
        <w:t>每项得0.5分，满分2分</w:t>
      </w:r>
      <w:r>
        <w:rPr>
          <w:rFonts w:hint="eastAsia" w:ascii="宋体" w:hAnsi="宋体" w:eastAsia="宋体" w:cs="宋体"/>
          <w:color w:val="auto"/>
          <w:kern w:val="0"/>
          <w:sz w:val="21"/>
          <w:szCs w:val="21"/>
          <w:highlight w:val="none"/>
          <w:lang w:eastAsia="zh-CN" w:bidi="ar"/>
        </w:rPr>
        <w:t>：</w:t>
      </w:r>
    </w:p>
    <w:p>
      <w:pPr>
        <w:pStyle w:val="27"/>
        <w:keepNext w:val="0"/>
        <w:keepLines w:val="0"/>
        <w:pageBreakBefore w:val="0"/>
        <w:widowControl w:val="0"/>
        <w:kinsoku/>
        <w:wordWrap/>
        <w:overflowPunct/>
        <w:topLinePunct w:val="0"/>
        <w:autoSpaceDE/>
        <w:autoSpaceDN/>
        <w:bidi w:val="0"/>
        <w:adjustRightInd/>
        <w:snapToGrid/>
        <w:spacing w:line="460" w:lineRule="exact"/>
        <w:ind w:firstLine="420" w:firstLineChars="200"/>
        <w:jc w:val="both"/>
        <w:textAlignment w:val="auto"/>
        <w:outlineLvl w:val="9"/>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eastAsia="zh-CN" w:bidi="ar"/>
        </w:rPr>
        <w:t>①物资装备配置计划（含设备、材料、耗材等清单，需针对医院物业各服务板块如安保、保洁、洗衣房、垃圾清运等分别列明品类、数量及配置依据）；</w:t>
      </w:r>
    </w:p>
    <w:p>
      <w:pPr>
        <w:pStyle w:val="27"/>
        <w:keepNext w:val="0"/>
        <w:keepLines w:val="0"/>
        <w:pageBreakBefore w:val="0"/>
        <w:widowControl w:val="0"/>
        <w:kinsoku/>
        <w:wordWrap/>
        <w:overflowPunct/>
        <w:topLinePunct w:val="0"/>
        <w:autoSpaceDE/>
        <w:autoSpaceDN/>
        <w:bidi w:val="0"/>
        <w:adjustRightInd/>
        <w:snapToGrid/>
        <w:spacing w:line="460" w:lineRule="exact"/>
        <w:ind w:firstLine="420" w:firstLineChars="200"/>
        <w:jc w:val="both"/>
        <w:textAlignment w:val="auto"/>
        <w:outlineLvl w:val="9"/>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eastAsia="zh-CN" w:bidi="ar"/>
        </w:rPr>
        <w:t>②设备及工具材料管理（含日常维护、领用登记、消耗补充、报废更新等管理制度，确保物资处于良好状态并满足服务需求）；</w:t>
      </w:r>
    </w:p>
    <w:p>
      <w:pPr>
        <w:pStyle w:val="27"/>
        <w:keepNext w:val="0"/>
        <w:keepLines w:val="0"/>
        <w:pageBreakBefore w:val="0"/>
        <w:widowControl w:val="0"/>
        <w:kinsoku/>
        <w:wordWrap/>
        <w:overflowPunct/>
        <w:topLinePunct w:val="0"/>
        <w:autoSpaceDE/>
        <w:autoSpaceDN/>
        <w:bidi w:val="0"/>
        <w:adjustRightInd/>
        <w:snapToGrid/>
        <w:spacing w:line="460" w:lineRule="exact"/>
        <w:ind w:firstLine="420" w:firstLineChars="200"/>
        <w:jc w:val="both"/>
        <w:textAlignment w:val="auto"/>
        <w:outlineLvl w:val="9"/>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eastAsia="zh-CN" w:bidi="ar"/>
        </w:rPr>
        <w:t>③物资品质与来源证明（含设备、材料、耗材的型号规格，品质说明，以及拟投入本项目物资的购采发票或采购合同/租赁合同复印件等证明材料）；</w:t>
      </w:r>
    </w:p>
    <w:p>
      <w:pPr>
        <w:pStyle w:val="27"/>
        <w:keepNext w:val="0"/>
        <w:keepLines w:val="0"/>
        <w:pageBreakBefore w:val="0"/>
        <w:widowControl w:val="0"/>
        <w:kinsoku/>
        <w:wordWrap/>
        <w:overflowPunct/>
        <w:topLinePunct w:val="0"/>
        <w:autoSpaceDE/>
        <w:autoSpaceDN/>
        <w:bidi w:val="0"/>
        <w:adjustRightInd/>
        <w:snapToGrid/>
        <w:spacing w:line="460" w:lineRule="exact"/>
        <w:ind w:firstLine="420" w:firstLineChars="200"/>
        <w:jc w:val="both"/>
        <w:textAlignment w:val="auto"/>
        <w:outlineLvl w:val="9"/>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eastAsia="zh-CN" w:bidi="ar"/>
        </w:rPr>
        <w:t>④现代化管理手段（如智慧管理平台、设备物联网监测、物资库存管理系统等信息化工具，用于提升物资调配效率、保障服务响应速度和管理水平）。</w:t>
      </w:r>
    </w:p>
    <w:p>
      <w:pPr>
        <w:pStyle w:val="27"/>
        <w:keepNext w:val="0"/>
        <w:keepLines w:val="0"/>
        <w:pageBreakBefore w:val="0"/>
        <w:widowControl w:val="0"/>
        <w:kinsoku/>
        <w:wordWrap/>
        <w:overflowPunct/>
        <w:topLinePunct w:val="0"/>
        <w:autoSpaceDE/>
        <w:autoSpaceDN/>
        <w:bidi w:val="0"/>
        <w:adjustRightInd/>
        <w:snapToGrid/>
        <w:spacing w:line="460" w:lineRule="exact"/>
        <w:ind w:firstLine="420" w:firstLineChars="200"/>
        <w:jc w:val="both"/>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说明：评委根据投标方案中对以上四项内容的明确描述情况逐项给分，每项0.5分。某项未描述或描述不清晰、未提供必要证明材料的，该项不得分。</w:t>
      </w:r>
    </w:p>
    <w:p>
      <w:pPr>
        <w:keepNext w:val="0"/>
        <w:keepLines w:val="0"/>
        <w:pageBreakBefore w:val="0"/>
        <w:widowControl/>
        <w:kinsoku/>
        <w:wordWrap/>
        <w:overflowPunct/>
        <w:topLinePunct w:val="0"/>
        <w:autoSpaceDE/>
        <w:autoSpaceDN/>
        <w:bidi w:val="0"/>
        <w:adjustRightInd/>
        <w:snapToGrid/>
        <w:spacing w:before="157" w:beforeLines="50" w:line="460" w:lineRule="exact"/>
        <w:ind w:firstLine="422" w:firstLineChars="200"/>
        <w:jc w:val="both"/>
        <w:textAlignment w:val="auto"/>
        <w:outlineLvl w:val="9"/>
        <w:rPr>
          <w:rFonts w:hint="eastAsia" w:ascii="宋体" w:hAnsi="宋体" w:eastAsia="宋体" w:cs="宋体"/>
          <w:b/>
          <w:bCs/>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val="en-US" w:eastAsia="zh-CN" w:bidi="ar"/>
        </w:rPr>
        <w:t>1.11应急服务方案分（3分）</w:t>
      </w:r>
    </w:p>
    <w:p>
      <w:pPr>
        <w:pStyle w:val="27"/>
        <w:keepNext w:val="0"/>
        <w:keepLines w:val="0"/>
        <w:pageBreakBefore w:val="0"/>
        <w:widowControl w:val="0"/>
        <w:kinsoku/>
        <w:wordWrap/>
        <w:overflowPunct/>
        <w:topLinePunct w:val="0"/>
        <w:autoSpaceDE/>
        <w:autoSpaceDN/>
        <w:bidi w:val="0"/>
        <w:adjustRightInd/>
        <w:snapToGrid/>
        <w:spacing w:line="460" w:lineRule="exact"/>
        <w:ind w:firstLine="420" w:firstLineChars="200"/>
        <w:jc w:val="both"/>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投标人提供本次物业项目应急处置方案，应包含以下六项内容。内容符合项目需求，且在方案中有明确描述的，</w:t>
      </w:r>
      <w:r>
        <w:rPr>
          <w:rFonts w:hint="eastAsia" w:ascii="宋体" w:hAnsi="宋体" w:eastAsia="宋体" w:cs="宋体"/>
          <w:b/>
          <w:bCs/>
          <w:color w:val="auto"/>
          <w:kern w:val="2"/>
          <w:sz w:val="21"/>
          <w:szCs w:val="21"/>
          <w:highlight w:val="none"/>
          <w:lang w:val="en-US" w:eastAsia="zh-CN" w:bidi="ar-SA"/>
        </w:rPr>
        <w:t>每项得0.5分，满分3分</w:t>
      </w:r>
      <w:r>
        <w:rPr>
          <w:rFonts w:hint="eastAsia" w:ascii="宋体" w:hAnsi="宋体" w:eastAsia="宋体" w:cs="宋体"/>
          <w:b w:val="0"/>
          <w:bCs/>
          <w:color w:val="auto"/>
          <w:sz w:val="21"/>
          <w:szCs w:val="21"/>
          <w:highlight w:val="none"/>
          <w:lang w:val="en-US" w:eastAsia="zh-CN"/>
        </w:rPr>
        <w:t>：</w:t>
      </w:r>
    </w:p>
    <w:p>
      <w:pPr>
        <w:pStyle w:val="27"/>
        <w:keepNext w:val="0"/>
        <w:keepLines w:val="0"/>
        <w:pageBreakBefore w:val="0"/>
        <w:widowControl w:val="0"/>
        <w:kinsoku/>
        <w:wordWrap/>
        <w:overflowPunct/>
        <w:topLinePunct w:val="0"/>
        <w:autoSpaceDE/>
        <w:autoSpaceDN/>
        <w:bidi w:val="0"/>
        <w:adjustRightInd/>
        <w:snapToGrid/>
        <w:spacing w:line="460" w:lineRule="exact"/>
        <w:ind w:firstLine="420" w:firstLineChars="200"/>
        <w:jc w:val="both"/>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①突发事件应急预案（含火灾、治安、医疗辅助、电梯困人、停水停电、设施故障、公共卫生事件等医院常见突发事件的处置流程）；</w:t>
      </w:r>
    </w:p>
    <w:p>
      <w:pPr>
        <w:pStyle w:val="27"/>
        <w:keepNext w:val="0"/>
        <w:keepLines w:val="0"/>
        <w:pageBreakBefore w:val="0"/>
        <w:widowControl w:val="0"/>
        <w:kinsoku/>
        <w:wordWrap/>
        <w:overflowPunct/>
        <w:topLinePunct w:val="0"/>
        <w:autoSpaceDE/>
        <w:autoSpaceDN/>
        <w:bidi w:val="0"/>
        <w:adjustRightInd/>
        <w:snapToGrid/>
        <w:spacing w:line="460" w:lineRule="exact"/>
        <w:ind w:firstLine="420" w:firstLineChars="200"/>
        <w:jc w:val="both"/>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②台风、暴雨等自然灾害应急方案（含防汛防台措施、排水疏通、物资储备、人员值守及灾后恢复）；</w:t>
      </w:r>
    </w:p>
    <w:p>
      <w:pPr>
        <w:pStyle w:val="27"/>
        <w:keepNext w:val="0"/>
        <w:keepLines w:val="0"/>
        <w:pageBreakBefore w:val="0"/>
        <w:widowControl w:val="0"/>
        <w:kinsoku/>
        <w:wordWrap/>
        <w:overflowPunct/>
        <w:topLinePunct w:val="0"/>
        <w:autoSpaceDE/>
        <w:autoSpaceDN/>
        <w:bidi w:val="0"/>
        <w:adjustRightInd/>
        <w:snapToGrid/>
        <w:spacing w:line="460" w:lineRule="exact"/>
        <w:ind w:firstLine="420" w:firstLineChars="200"/>
        <w:jc w:val="both"/>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③各类报警应急响应方案（含消防报警、安防报警、医疗紧急报警等的接收、核实、处置及上报流程）；</w:t>
      </w:r>
    </w:p>
    <w:p>
      <w:pPr>
        <w:pStyle w:val="27"/>
        <w:keepNext w:val="0"/>
        <w:keepLines w:val="0"/>
        <w:pageBreakBefore w:val="0"/>
        <w:widowControl w:val="0"/>
        <w:kinsoku/>
        <w:wordWrap/>
        <w:overflowPunct/>
        <w:topLinePunct w:val="0"/>
        <w:autoSpaceDE/>
        <w:autoSpaceDN/>
        <w:bidi w:val="0"/>
        <w:adjustRightInd/>
        <w:snapToGrid/>
        <w:spacing w:line="460" w:lineRule="exact"/>
        <w:ind w:firstLine="420" w:firstLineChars="200"/>
        <w:jc w:val="both"/>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④暴力事件应急方案（含医闹、暴力伤医、群体性冲突等事件的预防、人员疏散、报警联动及善后处理）；</w:t>
      </w:r>
    </w:p>
    <w:p>
      <w:pPr>
        <w:pStyle w:val="27"/>
        <w:keepNext w:val="0"/>
        <w:keepLines w:val="0"/>
        <w:pageBreakBefore w:val="0"/>
        <w:widowControl w:val="0"/>
        <w:kinsoku/>
        <w:wordWrap/>
        <w:overflowPunct/>
        <w:topLinePunct w:val="0"/>
        <w:autoSpaceDE/>
        <w:autoSpaceDN/>
        <w:bidi w:val="0"/>
        <w:adjustRightInd/>
        <w:snapToGrid/>
        <w:spacing w:line="460" w:lineRule="exact"/>
        <w:ind w:firstLine="420" w:firstLineChars="200"/>
        <w:jc w:val="both"/>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⑤应急人员调配方案（含应急组织架构、各岗位职责、24小时联络机制、人员紧急召集与替补措施）；</w:t>
      </w:r>
    </w:p>
    <w:p>
      <w:pPr>
        <w:pStyle w:val="27"/>
        <w:keepNext w:val="0"/>
        <w:keepLines w:val="0"/>
        <w:pageBreakBefore w:val="0"/>
        <w:widowControl w:val="0"/>
        <w:kinsoku/>
        <w:wordWrap/>
        <w:overflowPunct/>
        <w:topLinePunct w:val="0"/>
        <w:autoSpaceDE/>
        <w:autoSpaceDN/>
        <w:bidi w:val="0"/>
        <w:adjustRightInd/>
        <w:snapToGrid/>
        <w:spacing w:line="460" w:lineRule="exact"/>
        <w:ind w:firstLine="420" w:firstLineChars="200"/>
        <w:jc w:val="both"/>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⑥应急设备配备方案（含应急照明、对讲机、沙袋、排水泵、灭火器、防暴器材等设备的清单、存放位置、日常检查及维护制度）。</w:t>
      </w:r>
    </w:p>
    <w:p>
      <w:pPr>
        <w:pStyle w:val="27"/>
        <w:keepNext w:val="0"/>
        <w:keepLines w:val="0"/>
        <w:pageBreakBefore w:val="0"/>
        <w:widowControl w:val="0"/>
        <w:kinsoku/>
        <w:wordWrap/>
        <w:overflowPunct/>
        <w:topLinePunct w:val="0"/>
        <w:autoSpaceDE/>
        <w:autoSpaceDN/>
        <w:bidi w:val="0"/>
        <w:adjustRightInd/>
        <w:snapToGrid/>
        <w:spacing w:line="460" w:lineRule="exact"/>
        <w:ind w:firstLine="420" w:firstLineChars="200"/>
        <w:jc w:val="both"/>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说明：评委根据投标方案中对以上六项内容的明确描述情况逐项给分，每项0.5分。某项未描述、描述不清晰或未结合医院特点的，该项不得分。</w:t>
      </w:r>
    </w:p>
    <w:p>
      <w:pPr>
        <w:keepNext w:val="0"/>
        <w:keepLines w:val="0"/>
        <w:pageBreakBefore w:val="0"/>
        <w:widowControl/>
        <w:kinsoku/>
        <w:wordWrap/>
        <w:overflowPunct/>
        <w:topLinePunct w:val="0"/>
        <w:autoSpaceDE/>
        <w:autoSpaceDN/>
        <w:bidi w:val="0"/>
        <w:adjustRightInd/>
        <w:snapToGrid/>
        <w:spacing w:before="157" w:beforeLines="50" w:line="460" w:lineRule="exact"/>
        <w:ind w:firstLine="422" w:firstLineChars="200"/>
        <w:jc w:val="both"/>
        <w:textAlignment w:val="auto"/>
        <w:outlineLvl w:val="9"/>
        <w:rPr>
          <w:rFonts w:hint="eastAsia" w:ascii="宋体" w:hAnsi="宋体" w:eastAsia="宋体" w:cs="宋体"/>
          <w:b/>
          <w:bCs/>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val="en-US" w:eastAsia="zh-CN" w:bidi="ar"/>
        </w:rPr>
        <w:t>1.12服务承诺分（3分）</w:t>
      </w:r>
    </w:p>
    <w:p>
      <w:pPr>
        <w:keepNext w:val="0"/>
        <w:keepLines w:val="0"/>
        <w:pageBreakBefore w:val="0"/>
        <w:widowControl w:val="0"/>
        <w:kinsoku/>
        <w:wordWrap/>
        <w:overflowPunct/>
        <w:topLinePunct w:val="0"/>
        <w:autoSpaceDE/>
        <w:autoSpaceDN/>
        <w:bidi w:val="0"/>
        <w:adjustRightInd/>
        <w:snapToGrid/>
        <w:spacing w:line="460" w:lineRule="exact"/>
        <w:ind w:firstLine="420" w:firstLineChars="200"/>
        <w:jc w:val="both"/>
        <w:textAlignment w:val="auto"/>
        <w:outlineLvl w:val="9"/>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kern w:val="2"/>
          <w:sz w:val="21"/>
          <w:szCs w:val="21"/>
          <w:highlight w:val="none"/>
          <w:lang w:val="en-US" w:eastAsia="zh-CN" w:bidi="ar-SA"/>
        </w:rPr>
        <w:t>投标人提供本次物业项目以下六项服务承诺内容。内容符合项目需求，且在方案中有明确描述的，</w:t>
      </w:r>
      <w:r>
        <w:rPr>
          <w:rFonts w:hint="eastAsia" w:ascii="宋体" w:hAnsi="宋体" w:eastAsia="宋体" w:cs="宋体"/>
          <w:b/>
          <w:bCs/>
          <w:color w:val="auto"/>
          <w:kern w:val="2"/>
          <w:sz w:val="21"/>
          <w:szCs w:val="21"/>
          <w:highlight w:val="none"/>
          <w:lang w:val="en-US" w:eastAsia="zh-CN" w:bidi="ar-SA"/>
        </w:rPr>
        <w:t>每项得0.5分，满分3分</w:t>
      </w:r>
      <w:r>
        <w:rPr>
          <w:rFonts w:hint="eastAsia" w:ascii="宋体" w:hAnsi="宋体" w:eastAsia="宋体" w:cs="宋体"/>
          <w:b w:val="0"/>
          <w:bCs/>
          <w:color w:val="auto"/>
          <w:kern w:val="2"/>
          <w:sz w:val="21"/>
          <w:szCs w:val="21"/>
          <w:highlight w:val="none"/>
          <w:lang w:val="en-US" w:eastAsia="zh-CN" w:bidi="ar-SA"/>
        </w:rPr>
        <w:t>：</w:t>
      </w:r>
    </w:p>
    <w:p>
      <w:pPr>
        <w:keepNext w:val="0"/>
        <w:keepLines w:val="0"/>
        <w:pageBreakBefore w:val="0"/>
        <w:widowControl w:val="0"/>
        <w:kinsoku/>
        <w:wordWrap/>
        <w:overflowPunct/>
        <w:topLinePunct w:val="0"/>
        <w:autoSpaceDE/>
        <w:autoSpaceDN/>
        <w:bidi w:val="0"/>
        <w:adjustRightInd/>
        <w:snapToGrid/>
        <w:spacing w:line="460" w:lineRule="exact"/>
        <w:ind w:firstLine="420" w:firstLineChars="200"/>
        <w:jc w:val="both"/>
        <w:textAlignment w:val="auto"/>
        <w:outlineLvl w:val="9"/>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kern w:val="2"/>
          <w:sz w:val="21"/>
          <w:szCs w:val="21"/>
          <w:highlight w:val="none"/>
          <w:lang w:val="en-US" w:eastAsia="zh-CN" w:bidi="ar-SA"/>
        </w:rPr>
        <w:t>①服务方案实施承诺（含严格按照投标文件及合同约定组织实施各项服务，不随意变更服务内容、标准及人员配置）；</w:t>
      </w:r>
    </w:p>
    <w:p>
      <w:pPr>
        <w:keepNext w:val="0"/>
        <w:keepLines w:val="0"/>
        <w:pageBreakBefore w:val="0"/>
        <w:widowControl w:val="0"/>
        <w:kinsoku/>
        <w:wordWrap/>
        <w:overflowPunct/>
        <w:topLinePunct w:val="0"/>
        <w:autoSpaceDE/>
        <w:autoSpaceDN/>
        <w:bidi w:val="0"/>
        <w:adjustRightInd/>
        <w:snapToGrid/>
        <w:spacing w:line="460" w:lineRule="exact"/>
        <w:ind w:firstLine="420" w:firstLineChars="200"/>
        <w:jc w:val="both"/>
        <w:textAlignment w:val="auto"/>
        <w:outlineLvl w:val="9"/>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kern w:val="2"/>
          <w:sz w:val="21"/>
          <w:szCs w:val="21"/>
          <w:highlight w:val="none"/>
          <w:lang w:val="en-US" w:eastAsia="zh-CN" w:bidi="ar-SA"/>
        </w:rPr>
        <w:t>②服务质量保证与监督承诺（含服务质量自检、院方满意度评价、问题整改闭环、质保期内免费修正等）；</w:t>
      </w:r>
    </w:p>
    <w:p>
      <w:pPr>
        <w:keepNext w:val="0"/>
        <w:keepLines w:val="0"/>
        <w:pageBreakBefore w:val="0"/>
        <w:widowControl w:val="0"/>
        <w:kinsoku/>
        <w:wordWrap/>
        <w:overflowPunct/>
        <w:topLinePunct w:val="0"/>
        <w:autoSpaceDE/>
        <w:autoSpaceDN/>
        <w:bidi w:val="0"/>
        <w:adjustRightInd/>
        <w:snapToGrid/>
        <w:spacing w:line="460" w:lineRule="exact"/>
        <w:ind w:firstLine="420" w:firstLineChars="200"/>
        <w:jc w:val="both"/>
        <w:textAlignment w:val="auto"/>
        <w:outlineLvl w:val="9"/>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kern w:val="2"/>
          <w:sz w:val="21"/>
          <w:szCs w:val="21"/>
          <w:highlight w:val="none"/>
          <w:lang w:val="en-US" w:eastAsia="zh-CN" w:bidi="ar-SA"/>
        </w:rPr>
        <w:t>③人员配备、物资配置承诺（含按招标要求足额配备各类岗位人员，关键岗位持证上岗，未经院方同意不随意更换；按投标承诺配齐设备、工具、耗材，保证物资充足、性能良好，不因物资短缺影响服务质量）；</w:t>
      </w:r>
    </w:p>
    <w:p>
      <w:pPr>
        <w:keepNext w:val="0"/>
        <w:keepLines w:val="0"/>
        <w:pageBreakBefore w:val="0"/>
        <w:widowControl w:val="0"/>
        <w:kinsoku/>
        <w:wordWrap/>
        <w:overflowPunct/>
        <w:topLinePunct w:val="0"/>
        <w:autoSpaceDE/>
        <w:autoSpaceDN/>
        <w:bidi w:val="0"/>
        <w:adjustRightInd/>
        <w:snapToGrid/>
        <w:spacing w:line="460" w:lineRule="exact"/>
        <w:ind w:firstLine="420" w:firstLineChars="200"/>
        <w:jc w:val="both"/>
        <w:textAlignment w:val="auto"/>
        <w:outlineLvl w:val="9"/>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kern w:val="2"/>
          <w:sz w:val="21"/>
          <w:szCs w:val="21"/>
          <w:highlight w:val="none"/>
          <w:lang w:val="en-US" w:eastAsia="zh-CN" w:bidi="ar-SA"/>
        </w:rPr>
        <w:t>④应急预案承诺（含各类应急预案演练频率、应急响应到场时限、应急物资储备及快速调配能力）；</w:t>
      </w:r>
    </w:p>
    <w:p>
      <w:pPr>
        <w:keepNext w:val="0"/>
        <w:keepLines w:val="0"/>
        <w:pageBreakBefore w:val="0"/>
        <w:widowControl w:val="0"/>
        <w:kinsoku/>
        <w:wordWrap/>
        <w:overflowPunct/>
        <w:topLinePunct w:val="0"/>
        <w:autoSpaceDE/>
        <w:autoSpaceDN/>
        <w:bidi w:val="0"/>
        <w:adjustRightInd/>
        <w:snapToGrid/>
        <w:spacing w:line="460" w:lineRule="exact"/>
        <w:ind w:firstLine="420" w:firstLineChars="200"/>
        <w:jc w:val="both"/>
        <w:textAlignment w:val="auto"/>
        <w:outlineLvl w:val="9"/>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kern w:val="2"/>
          <w:sz w:val="21"/>
          <w:szCs w:val="21"/>
          <w:highlight w:val="none"/>
          <w:lang w:val="en-US" w:eastAsia="zh-CN" w:bidi="ar-SA"/>
        </w:rPr>
        <w:t>⑤依法用工、按时足额发薪承诺（含严格遵守劳动法律法规，与员工签订劳动合同、缴纳社保、不拖欠、不克扣员工工资，建立工资发放台账，接受院方或监管部门监督检查，杜绝违法用工）；</w:t>
      </w:r>
    </w:p>
    <w:p>
      <w:pPr>
        <w:keepNext w:val="0"/>
        <w:keepLines w:val="0"/>
        <w:pageBreakBefore w:val="0"/>
        <w:widowControl w:val="0"/>
        <w:kinsoku/>
        <w:wordWrap/>
        <w:overflowPunct/>
        <w:topLinePunct w:val="0"/>
        <w:autoSpaceDE/>
        <w:autoSpaceDN/>
        <w:bidi w:val="0"/>
        <w:adjustRightInd/>
        <w:snapToGrid/>
        <w:spacing w:line="460" w:lineRule="exact"/>
        <w:ind w:firstLine="420" w:firstLineChars="200"/>
        <w:jc w:val="both"/>
        <w:textAlignment w:val="auto"/>
        <w:outlineLvl w:val="9"/>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kern w:val="2"/>
          <w:sz w:val="21"/>
          <w:szCs w:val="21"/>
          <w:highlight w:val="none"/>
          <w:lang w:val="en-US" w:eastAsia="zh-CN" w:bidi="ar-SA"/>
        </w:rPr>
        <w:t>⑥服务态度与响应时限承诺（含服务热线24小时畅通，一般问题响应时间≤10分钟，到场处理时间≤20分钟，重大问题即时上报并限时解决）。</w:t>
      </w:r>
    </w:p>
    <w:p>
      <w:pPr>
        <w:keepNext w:val="0"/>
        <w:keepLines w:val="0"/>
        <w:pageBreakBefore w:val="0"/>
        <w:widowControl w:val="0"/>
        <w:kinsoku/>
        <w:wordWrap/>
        <w:overflowPunct/>
        <w:topLinePunct w:val="0"/>
        <w:autoSpaceDE/>
        <w:autoSpaceDN/>
        <w:bidi w:val="0"/>
        <w:adjustRightInd/>
        <w:snapToGrid/>
        <w:spacing w:line="460" w:lineRule="exact"/>
        <w:ind w:firstLine="420" w:firstLineChars="200"/>
        <w:jc w:val="both"/>
        <w:textAlignment w:val="auto"/>
        <w:outlineLvl w:val="9"/>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kern w:val="2"/>
          <w:sz w:val="21"/>
          <w:szCs w:val="21"/>
          <w:highlight w:val="none"/>
          <w:lang w:val="en-US" w:eastAsia="zh-CN" w:bidi="ar-SA"/>
        </w:rPr>
        <w:t>说明：评委根据投标方案中对以上六项承诺内容的明确描述情况逐项给分，每项0.5分。某项未描述、承诺含糊或无具体量化指标（如第⑥项未明确响应时限）的，该项不得分。</w:t>
      </w:r>
    </w:p>
    <w:p>
      <w:pPr>
        <w:keepNext w:val="0"/>
        <w:keepLines w:val="0"/>
        <w:pageBreakBefore w:val="0"/>
        <w:widowControl/>
        <w:kinsoku/>
        <w:wordWrap/>
        <w:overflowPunct/>
        <w:topLinePunct w:val="0"/>
        <w:autoSpaceDE/>
        <w:autoSpaceDN/>
        <w:bidi w:val="0"/>
        <w:adjustRightInd/>
        <w:snapToGrid/>
        <w:spacing w:before="157" w:beforeLines="50" w:line="460" w:lineRule="exact"/>
        <w:ind w:firstLine="422" w:firstLineChars="200"/>
        <w:jc w:val="both"/>
        <w:textAlignment w:val="auto"/>
        <w:outlineLvl w:val="9"/>
        <w:rPr>
          <w:rFonts w:hint="eastAsia" w:ascii="宋体" w:hAnsi="宋体" w:eastAsia="宋体" w:cs="宋体"/>
          <w:b/>
          <w:bCs/>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val="en-US" w:eastAsia="zh-CN" w:bidi="ar"/>
        </w:rPr>
        <w:t>2.</w:t>
      </w:r>
      <w:bookmarkStart w:id="191" w:name="OLE_LINK6"/>
      <w:r>
        <w:rPr>
          <w:rFonts w:hint="eastAsia" w:ascii="宋体" w:hAnsi="宋体" w:eastAsia="宋体" w:cs="宋体"/>
          <w:b/>
          <w:bCs/>
          <w:color w:val="auto"/>
          <w:kern w:val="0"/>
          <w:sz w:val="21"/>
          <w:szCs w:val="21"/>
          <w:highlight w:val="none"/>
          <w:lang w:val="en-US" w:eastAsia="zh-CN" w:bidi="ar"/>
        </w:rPr>
        <w:t>服务人员投入及人员培训分（满分15分）</w:t>
      </w:r>
      <w:bookmarkEnd w:id="191"/>
    </w:p>
    <w:p>
      <w:pPr>
        <w:keepNext w:val="0"/>
        <w:keepLines w:val="0"/>
        <w:pageBreakBefore w:val="0"/>
        <w:widowControl/>
        <w:kinsoku/>
        <w:wordWrap/>
        <w:overflowPunct/>
        <w:topLinePunct w:val="0"/>
        <w:autoSpaceDE/>
        <w:autoSpaceDN/>
        <w:bidi w:val="0"/>
        <w:adjustRightInd/>
        <w:snapToGrid/>
        <w:spacing w:line="460" w:lineRule="exact"/>
        <w:ind w:firstLine="422" w:firstLineChars="200"/>
        <w:jc w:val="both"/>
        <w:textAlignment w:val="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2.1人员配置方案分（</w:t>
      </w:r>
      <w:r>
        <w:rPr>
          <w:rFonts w:hint="eastAsia" w:ascii="宋体" w:hAnsi="宋体" w:eastAsia="宋体" w:cs="宋体"/>
          <w:b/>
          <w:bCs/>
          <w:color w:val="auto"/>
          <w:sz w:val="21"/>
          <w:szCs w:val="21"/>
          <w:highlight w:val="none"/>
          <w:lang w:val="en-US" w:eastAsia="zh-CN"/>
        </w:rPr>
        <w:t>9</w:t>
      </w:r>
      <w:r>
        <w:rPr>
          <w:rFonts w:hint="eastAsia" w:ascii="宋体" w:hAnsi="宋体" w:eastAsia="宋体" w:cs="宋体"/>
          <w:b/>
          <w:bCs/>
          <w:color w:val="auto"/>
          <w:kern w:val="0"/>
          <w:sz w:val="21"/>
          <w:szCs w:val="21"/>
          <w:highlight w:val="none"/>
          <w:lang w:val="en-US" w:eastAsia="zh-CN" w:bidi="ar"/>
        </w:rPr>
        <w:t>分</w:t>
      </w:r>
      <w:r>
        <w:rPr>
          <w:rFonts w:hint="eastAsia" w:ascii="宋体" w:hAnsi="宋体" w:eastAsia="宋体" w:cs="宋体"/>
          <w:b/>
          <w:bCs/>
          <w:color w:val="auto"/>
          <w:sz w:val="21"/>
          <w:szCs w:val="21"/>
          <w:highlight w:val="none"/>
        </w:rPr>
        <w:t>）</w:t>
      </w:r>
    </w:p>
    <w:p>
      <w:pPr>
        <w:keepNext w:val="0"/>
        <w:keepLines w:val="0"/>
        <w:pageBreakBefore w:val="0"/>
        <w:widowControl/>
        <w:kinsoku/>
        <w:wordWrap/>
        <w:overflowPunct/>
        <w:topLinePunct w:val="0"/>
        <w:autoSpaceDE/>
        <w:autoSpaceDN/>
        <w:bidi w:val="0"/>
        <w:adjustRightInd/>
        <w:snapToGrid/>
        <w:spacing w:line="460" w:lineRule="exact"/>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2.1.1</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提供拟投入项目服务人员数量、年龄、性别、学历、工作经验等人员配置经</w:t>
      </w:r>
      <w:r>
        <w:rPr>
          <w:rFonts w:hint="eastAsia" w:ascii="宋体" w:hAnsi="宋体" w:eastAsia="宋体" w:cs="宋体"/>
          <w:color w:val="auto"/>
          <w:sz w:val="21"/>
          <w:szCs w:val="21"/>
          <w:highlight w:val="none"/>
          <w:lang w:val="en-US" w:eastAsia="zh-CN"/>
        </w:rPr>
        <w:t>评委</w:t>
      </w:r>
      <w:r>
        <w:rPr>
          <w:rFonts w:hint="eastAsia" w:ascii="宋体" w:hAnsi="宋体" w:eastAsia="宋体" w:cs="宋体"/>
          <w:color w:val="auto"/>
          <w:sz w:val="21"/>
          <w:szCs w:val="21"/>
          <w:highlight w:val="none"/>
        </w:rPr>
        <w:t>评定满足本项目采购需求的</w:t>
      </w:r>
      <w:r>
        <w:rPr>
          <w:rFonts w:hint="eastAsia" w:ascii="宋体" w:hAnsi="宋体" w:eastAsia="宋体" w:cs="宋体"/>
          <w:b/>
          <w:bCs/>
          <w:color w:val="auto"/>
          <w:kern w:val="2"/>
          <w:sz w:val="21"/>
          <w:szCs w:val="21"/>
          <w:highlight w:val="none"/>
          <w:lang w:val="en-US" w:eastAsia="zh-CN" w:bidi="ar-SA"/>
        </w:rPr>
        <w:t>得1分</w:t>
      </w:r>
      <w:r>
        <w:rPr>
          <w:rFonts w:hint="eastAsia" w:ascii="宋体" w:hAnsi="宋体" w:eastAsia="宋体" w:cs="宋体"/>
          <w:color w:val="auto"/>
          <w:sz w:val="21"/>
          <w:szCs w:val="21"/>
          <w:highlight w:val="none"/>
        </w:rPr>
        <w:t>。</w:t>
      </w:r>
    </w:p>
    <w:p>
      <w:pPr>
        <w:keepNext w:val="0"/>
        <w:keepLines w:val="0"/>
        <w:pageBreakBefore w:val="0"/>
        <w:widowControl w:val="0"/>
        <w:kinsoku/>
        <w:wordWrap/>
        <w:overflowPunct/>
        <w:topLinePunct w:val="0"/>
        <w:autoSpaceDE/>
        <w:autoSpaceDN/>
        <w:bidi w:val="0"/>
        <w:adjustRightInd/>
        <w:snapToGrid/>
        <w:spacing w:line="460" w:lineRule="exact"/>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2.1.2</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拟投入本项目</w:t>
      </w:r>
      <w:r>
        <w:rPr>
          <w:rFonts w:hint="eastAsia" w:ascii="宋体" w:hAnsi="宋体" w:eastAsia="宋体" w:cs="宋体"/>
          <w:color w:val="auto"/>
          <w:sz w:val="21"/>
          <w:szCs w:val="21"/>
          <w:highlight w:val="none"/>
          <w:lang w:val="en-US" w:eastAsia="zh-CN"/>
        </w:rPr>
        <w:t>物业主管</w:t>
      </w:r>
      <w:r>
        <w:rPr>
          <w:rFonts w:hint="eastAsia" w:ascii="宋体" w:hAnsi="宋体" w:eastAsia="宋体" w:cs="宋体"/>
          <w:color w:val="auto"/>
          <w:sz w:val="21"/>
          <w:szCs w:val="21"/>
          <w:highlight w:val="none"/>
        </w:rPr>
        <w:t>具备</w:t>
      </w:r>
      <w:r>
        <w:rPr>
          <w:rFonts w:hint="eastAsia" w:ascii="宋体" w:hAnsi="宋体" w:eastAsia="宋体" w:cs="宋体"/>
          <w:color w:val="auto"/>
          <w:sz w:val="21"/>
          <w:szCs w:val="21"/>
          <w:highlight w:val="none"/>
          <w:lang w:val="en-US" w:eastAsia="zh-CN"/>
        </w:rPr>
        <w:t>三年及以上物业经理管理经验</w:t>
      </w:r>
      <w:r>
        <w:rPr>
          <w:rFonts w:hint="eastAsia" w:ascii="宋体" w:hAnsi="宋体" w:eastAsia="宋体" w:cs="宋体"/>
          <w:color w:val="auto"/>
          <w:sz w:val="21"/>
          <w:szCs w:val="21"/>
          <w:highlight w:val="none"/>
        </w:rPr>
        <w:t>的得</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分，具有物业经理上岗证书的得</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分，</w:t>
      </w:r>
      <w:r>
        <w:rPr>
          <w:rFonts w:hint="eastAsia" w:ascii="宋体" w:hAnsi="宋体" w:eastAsia="宋体" w:cs="宋体"/>
          <w:b/>
          <w:bCs/>
          <w:color w:val="auto"/>
          <w:sz w:val="21"/>
          <w:szCs w:val="21"/>
          <w:highlight w:val="none"/>
        </w:rPr>
        <w:t>本项满分</w:t>
      </w:r>
      <w:r>
        <w:rPr>
          <w:rFonts w:hint="eastAsia" w:ascii="宋体" w:hAnsi="宋体" w:eastAsia="宋体" w:cs="宋体"/>
          <w:b/>
          <w:bCs/>
          <w:color w:val="auto"/>
          <w:sz w:val="21"/>
          <w:szCs w:val="21"/>
          <w:highlight w:val="none"/>
          <w:lang w:val="en-US" w:eastAsia="zh-CN"/>
        </w:rPr>
        <w:t>2</w:t>
      </w:r>
      <w:r>
        <w:rPr>
          <w:rFonts w:hint="eastAsia" w:ascii="宋体" w:hAnsi="宋体" w:eastAsia="宋体" w:cs="宋体"/>
          <w:b/>
          <w:bCs/>
          <w:color w:val="auto"/>
          <w:sz w:val="21"/>
          <w:szCs w:val="21"/>
          <w:highlight w:val="none"/>
        </w:rPr>
        <w:t>分</w:t>
      </w:r>
      <w:r>
        <w:rPr>
          <w:rFonts w:hint="eastAsia" w:ascii="宋体" w:hAnsi="宋体" w:eastAsia="宋体" w:cs="宋体"/>
          <w:color w:val="auto"/>
          <w:sz w:val="21"/>
          <w:szCs w:val="21"/>
          <w:highlight w:val="none"/>
        </w:rPr>
        <w:t>。</w:t>
      </w:r>
    </w:p>
    <w:p>
      <w:pPr>
        <w:keepNext w:val="0"/>
        <w:keepLines w:val="0"/>
        <w:pageBreakBefore w:val="0"/>
        <w:widowControl w:val="0"/>
        <w:kinsoku/>
        <w:wordWrap/>
        <w:overflowPunct/>
        <w:topLinePunct w:val="0"/>
        <w:autoSpaceDE/>
        <w:autoSpaceDN/>
        <w:bidi w:val="0"/>
        <w:adjustRightInd/>
        <w:snapToGrid/>
        <w:spacing w:line="460" w:lineRule="exact"/>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2.1.3</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拟投入本项目</w:t>
      </w:r>
      <w:r>
        <w:rPr>
          <w:rFonts w:hint="eastAsia" w:ascii="宋体" w:hAnsi="宋体" w:eastAsia="宋体" w:cs="宋体"/>
          <w:color w:val="auto"/>
          <w:sz w:val="21"/>
          <w:szCs w:val="21"/>
          <w:highlight w:val="none"/>
          <w:lang w:val="en-US" w:eastAsia="zh-CN"/>
        </w:rPr>
        <w:t>保安队长</w:t>
      </w:r>
      <w:r>
        <w:rPr>
          <w:rFonts w:hint="eastAsia" w:ascii="宋体" w:hAnsi="宋体" w:eastAsia="宋体" w:cs="宋体"/>
          <w:color w:val="auto"/>
          <w:sz w:val="21"/>
          <w:szCs w:val="21"/>
          <w:highlight w:val="none"/>
        </w:rPr>
        <w:t>具有</w:t>
      </w:r>
      <w:r>
        <w:rPr>
          <w:rFonts w:hint="eastAsia" w:ascii="宋体" w:hAnsi="宋体" w:eastAsia="宋体" w:cs="宋体"/>
          <w:color w:val="auto"/>
          <w:sz w:val="21"/>
          <w:szCs w:val="21"/>
          <w:highlight w:val="none"/>
          <w:lang w:val="en-US" w:eastAsia="zh-CN"/>
        </w:rPr>
        <w:t>大专</w:t>
      </w:r>
      <w:r>
        <w:rPr>
          <w:rFonts w:hint="eastAsia" w:ascii="宋体" w:hAnsi="宋体" w:eastAsia="宋体" w:cs="宋体"/>
          <w:color w:val="auto"/>
          <w:sz w:val="21"/>
          <w:szCs w:val="21"/>
          <w:highlight w:val="none"/>
        </w:rPr>
        <w:t>及以上学历的得</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分，具备</w:t>
      </w:r>
      <w:r>
        <w:rPr>
          <w:rFonts w:hint="eastAsia" w:ascii="宋体" w:hAnsi="宋体" w:eastAsia="宋体" w:cs="宋体"/>
          <w:color w:val="auto"/>
          <w:sz w:val="21"/>
          <w:szCs w:val="21"/>
          <w:highlight w:val="none"/>
          <w:lang w:eastAsia="zh-CN"/>
        </w:rPr>
        <w:t>二</w:t>
      </w:r>
      <w:r>
        <w:rPr>
          <w:rFonts w:hint="eastAsia" w:ascii="宋体" w:hAnsi="宋体" w:eastAsia="宋体" w:cs="宋体"/>
          <w:color w:val="auto"/>
          <w:sz w:val="21"/>
          <w:szCs w:val="21"/>
          <w:highlight w:val="none"/>
          <w:lang w:val="en-US" w:eastAsia="zh-CN"/>
        </w:rPr>
        <w:t>年及以上保安队长管理经验</w:t>
      </w:r>
      <w:r>
        <w:rPr>
          <w:rFonts w:hint="eastAsia" w:ascii="宋体" w:hAnsi="宋体" w:eastAsia="宋体" w:cs="宋体"/>
          <w:color w:val="auto"/>
          <w:sz w:val="21"/>
          <w:szCs w:val="21"/>
          <w:highlight w:val="none"/>
        </w:rPr>
        <w:t>的得</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分，具</w:t>
      </w:r>
      <w:r>
        <w:rPr>
          <w:rFonts w:hint="eastAsia" w:ascii="宋体" w:hAnsi="宋体" w:eastAsia="宋体" w:cs="宋体"/>
          <w:color w:val="auto"/>
          <w:sz w:val="21"/>
          <w:szCs w:val="21"/>
          <w:highlight w:val="none"/>
          <w:lang w:val="en-US" w:eastAsia="zh-CN"/>
        </w:rPr>
        <w:t>有退伍军人证</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lang w:val="en-US" w:eastAsia="zh-CN"/>
        </w:rPr>
        <w:t>得1分</w:t>
      </w:r>
      <w:r>
        <w:rPr>
          <w:rFonts w:hint="eastAsia" w:ascii="宋体" w:hAnsi="宋体" w:eastAsia="宋体" w:cs="宋体"/>
          <w:color w:val="auto"/>
          <w:sz w:val="21"/>
          <w:szCs w:val="21"/>
          <w:highlight w:val="none"/>
        </w:rPr>
        <w:t>，</w:t>
      </w:r>
      <w:r>
        <w:rPr>
          <w:rFonts w:hint="eastAsia" w:ascii="宋体" w:hAnsi="宋体" w:eastAsia="宋体" w:cs="宋体"/>
          <w:b/>
          <w:bCs/>
          <w:color w:val="auto"/>
          <w:sz w:val="21"/>
          <w:szCs w:val="21"/>
          <w:highlight w:val="none"/>
        </w:rPr>
        <w:t>本项满分</w:t>
      </w:r>
      <w:r>
        <w:rPr>
          <w:rFonts w:hint="eastAsia" w:ascii="宋体" w:hAnsi="宋体" w:eastAsia="宋体" w:cs="宋体"/>
          <w:b/>
          <w:bCs/>
          <w:color w:val="auto"/>
          <w:sz w:val="21"/>
          <w:szCs w:val="21"/>
          <w:highlight w:val="none"/>
          <w:lang w:val="en-US" w:eastAsia="zh-CN"/>
        </w:rPr>
        <w:t>3</w:t>
      </w:r>
      <w:r>
        <w:rPr>
          <w:rFonts w:hint="eastAsia" w:ascii="宋体" w:hAnsi="宋体" w:eastAsia="宋体" w:cs="宋体"/>
          <w:b/>
          <w:bCs/>
          <w:color w:val="auto"/>
          <w:sz w:val="21"/>
          <w:szCs w:val="21"/>
          <w:highlight w:val="none"/>
        </w:rPr>
        <w:t>分</w:t>
      </w:r>
      <w:r>
        <w:rPr>
          <w:rFonts w:hint="eastAsia" w:ascii="宋体" w:hAnsi="宋体" w:eastAsia="宋体" w:cs="宋体"/>
          <w:color w:val="auto"/>
          <w:sz w:val="21"/>
          <w:szCs w:val="21"/>
          <w:highlight w:val="none"/>
        </w:rPr>
        <w:t>。</w:t>
      </w:r>
    </w:p>
    <w:p>
      <w:pPr>
        <w:keepNext w:val="0"/>
        <w:keepLines w:val="0"/>
        <w:pageBreakBefore w:val="0"/>
        <w:widowControl/>
        <w:kinsoku/>
        <w:wordWrap/>
        <w:overflowPunct/>
        <w:topLinePunct w:val="0"/>
        <w:autoSpaceDE/>
        <w:autoSpaceDN/>
        <w:bidi w:val="0"/>
        <w:adjustRightInd/>
        <w:snapToGrid/>
        <w:spacing w:line="460" w:lineRule="exact"/>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2.1.4</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拟投入本项目保洁人员</w:t>
      </w:r>
      <w:r>
        <w:rPr>
          <w:rFonts w:hint="eastAsia" w:ascii="宋体" w:hAnsi="宋体" w:eastAsia="宋体" w:cs="宋体"/>
          <w:color w:val="auto"/>
          <w:sz w:val="21"/>
          <w:szCs w:val="21"/>
          <w:highlight w:val="none"/>
          <w:lang w:val="en-US" w:eastAsia="zh-CN"/>
        </w:rPr>
        <w:t>全部</w:t>
      </w:r>
      <w:r>
        <w:rPr>
          <w:rFonts w:hint="eastAsia" w:ascii="宋体" w:hAnsi="宋体" w:eastAsia="宋体" w:cs="宋体"/>
          <w:color w:val="auto"/>
          <w:sz w:val="21"/>
          <w:szCs w:val="21"/>
          <w:highlight w:val="none"/>
        </w:rPr>
        <w:t>持有</w:t>
      </w:r>
      <w:r>
        <w:rPr>
          <w:rFonts w:hint="eastAsia" w:ascii="宋体" w:hAnsi="宋体" w:eastAsia="宋体" w:cs="宋体"/>
          <w:color w:val="auto"/>
          <w:sz w:val="21"/>
          <w:szCs w:val="21"/>
          <w:highlight w:val="none"/>
          <w:lang w:eastAsia="zh-CN"/>
        </w:rPr>
        <w:t>清洁</w:t>
      </w:r>
      <w:r>
        <w:rPr>
          <w:rFonts w:hint="eastAsia" w:ascii="宋体" w:hAnsi="宋体" w:eastAsia="宋体" w:cs="宋体"/>
          <w:color w:val="auto"/>
          <w:sz w:val="21"/>
          <w:szCs w:val="21"/>
          <w:highlight w:val="none"/>
        </w:rPr>
        <w:t>保洁</w:t>
      </w:r>
      <w:r>
        <w:rPr>
          <w:rFonts w:hint="eastAsia" w:ascii="宋体" w:hAnsi="宋体" w:eastAsia="宋体" w:cs="宋体"/>
          <w:color w:val="auto"/>
          <w:sz w:val="21"/>
          <w:szCs w:val="21"/>
          <w:highlight w:val="none"/>
          <w:lang w:val="en-US" w:eastAsia="zh-CN"/>
        </w:rPr>
        <w:t>证书或</w:t>
      </w:r>
      <w:r>
        <w:rPr>
          <w:rFonts w:hint="eastAsia" w:ascii="宋体" w:hAnsi="宋体" w:eastAsia="宋体" w:cs="宋体"/>
          <w:color w:val="auto"/>
          <w:sz w:val="21"/>
          <w:szCs w:val="21"/>
          <w:highlight w:val="none"/>
        </w:rPr>
        <w:t>相关培训证书的得</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，全部持有健康证的得1分，</w:t>
      </w:r>
      <w:r>
        <w:rPr>
          <w:rFonts w:hint="eastAsia" w:ascii="宋体" w:hAnsi="宋体" w:eastAsia="宋体" w:cs="宋体"/>
          <w:b/>
          <w:bCs/>
          <w:color w:val="auto"/>
          <w:sz w:val="21"/>
          <w:szCs w:val="21"/>
          <w:highlight w:val="none"/>
        </w:rPr>
        <w:t>本项满分</w:t>
      </w:r>
      <w:r>
        <w:rPr>
          <w:rFonts w:hint="eastAsia" w:ascii="宋体" w:hAnsi="宋体" w:eastAsia="宋体" w:cs="宋体"/>
          <w:b/>
          <w:bCs/>
          <w:color w:val="auto"/>
          <w:sz w:val="21"/>
          <w:szCs w:val="21"/>
          <w:highlight w:val="none"/>
          <w:lang w:val="en-US" w:eastAsia="zh-CN"/>
        </w:rPr>
        <w:t>2</w:t>
      </w:r>
      <w:r>
        <w:rPr>
          <w:rFonts w:hint="eastAsia" w:ascii="宋体" w:hAnsi="宋体" w:eastAsia="宋体" w:cs="宋体"/>
          <w:b/>
          <w:bCs/>
          <w:color w:val="auto"/>
          <w:sz w:val="21"/>
          <w:szCs w:val="21"/>
          <w:highlight w:val="none"/>
        </w:rPr>
        <w:t>分</w:t>
      </w:r>
      <w:r>
        <w:rPr>
          <w:rFonts w:hint="eastAsia" w:ascii="宋体" w:hAnsi="宋体" w:eastAsia="宋体" w:cs="宋体"/>
          <w:color w:val="auto"/>
          <w:sz w:val="21"/>
          <w:szCs w:val="21"/>
          <w:highlight w:val="none"/>
        </w:rPr>
        <w:t>。</w:t>
      </w:r>
    </w:p>
    <w:p>
      <w:pPr>
        <w:keepNext w:val="0"/>
        <w:keepLines w:val="0"/>
        <w:pageBreakBefore w:val="0"/>
        <w:widowControl/>
        <w:kinsoku/>
        <w:wordWrap/>
        <w:overflowPunct/>
        <w:topLinePunct w:val="0"/>
        <w:autoSpaceDE/>
        <w:autoSpaceDN/>
        <w:bidi w:val="0"/>
        <w:adjustRightInd/>
        <w:snapToGrid/>
        <w:spacing w:line="460" w:lineRule="exact"/>
        <w:ind w:firstLine="420" w:firstLineChars="200"/>
        <w:jc w:val="both"/>
        <w:textAlignment w:val="auto"/>
        <w:outlineLvl w:val="9"/>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2.1.</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拟</w:t>
      </w:r>
      <w:r>
        <w:rPr>
          <w:rFonts w:hint="eastAsia" w:ascii="宋体" w:hAnsi="宋体" w:eastAsia="宋体" w:cs="宋体"/>
          <w:bCs/>
          <w:color w:val="auto"/>
          <w:sz w:val="21"/>
          <w:szCs w:val="21"/>
          <w:highlight w:val="none"/>
        </w:rPr>
        <w:t>投入本项目医疗废物/垃圾管理员具有医疗垃圾处理/医废处置等相关证书的，每人得1分，</w:t>
      </w:r>
      <w:r>
        <w:rPr>
          <w:rFonts w:hint="eastAsia" w:ascii="宋体" w:hAnsi="宋体" w:eastAsia="宋体" w:cs="宋体"/>
          <w:b/>
          <w:bCs/>
          <w:color w:val="auto"/>
          <w:sz w:val="21"/>
          <w:szCs w:val="21"/>
          <w:highlight w:val="none"/>
        </w:rPr>
        <w:t>本项满分</w:t>
      </w:r>
      <w:r>
        <w:rPr>
          <w:rFonts w:hint="eastAsia" w:ascii="宋体" w:hAnsi="宋体" w:eastAsia="宋体" w:cs="宋体"/>
          <w:b/>
          <w:bCs/>
          <w:color w:val="auto"/>
          <w:sz w:val="21"/>
          <w:szCs w:val="21"/>
          <w:highlight w:val="none"/>
          <w:lang w:val="en-US" w:eastAsia="zh-CN"/>
        </w:rPr>
        <w:t>1</w:t>
      </w:r>
      <w:r>
        <w:rPr>
          <w:rFonts w:hint="eastAsia" w:ascii="宋体" w:hAnsi="宋体" w:eastAsia="宋体" w:cs="宋体"/>
          <w:b/>
          <w:bCs/>
          <w:color w:val="auto"/>
          <w:sz w:val="21"/>
          <w:szCs w:val="21"/>
          <w:highlight w:val="none"/>
        </w:rPr>
        <w:t>分</w:t>
      </w:r>
      <w:r>
        <w:rPr>
          <w:rFonts w:hint="eastAsia" w:ascii="宋体" w:hAnsi="宋体" w:eastAsia="宋体" w:cs="宋体"/>
          <w:bCs/>
          <w:color w:val="auto"/>
          <w:sz w:val="21"/>
          <w:szCs w:val="21"/>
          <w:highlight w:val="none"/>
        </w:rPr>
        <w:t>。</w:t>
      </w:r>
    </w:p>
    <w:p>
      <w:pPr>
        <w:keepNext w:val="0"/>
        <w:keepLines w:val="0"/>
        <w:pageBreakBefore w:val="0"/>
        <w:widowControl/>
        <w:kinsoku/>
        <w:wordWrap/>
        <w:overflowPunct/>
        <w:topLinePunct w:val="0"/>
        <w:autoSpaceDE/>
        <w:autoSpaceDN/>
        <w:bidi w:val="0"/>
        <w:adjustRightInd/>
        <w:snapToGrid/>
        <w:spacing w:line="460" w:lineRule="exact"/>
        <w:ind w:firstLine="422" w:firstLineChars="200"/>
        <w:jc w:val="both"/>
        <w:textAlignment w:val="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注：须提供拟投入人员情况表、相关人员学历证书、</w:t>
      </w:r>
      <w:r>
        <w:rPr>
          <w:rFonts w:hint="eastAsia" w:ascii="宋体" w:hAnsi="宋体" w:eastAsia="宋体" w:cs="宋体"/>
          <w:b/>
          <w:bCs/>
          <w:color w:val="auto"/>
          <w:sz w:val="21"/>
          <w:szCs w:val="21"/>
          <w:highlight w:val="none"/>
          <w:lang w:val="en-US" w:eastAsia="zh-CN"/>
        </w:rPr>
        <w:t>资格证书/</w:t>
      </w:r>
      <w:r>
        <w:rPr>
          <w:rFonts w:hint="eastAsia" w:ascii="宋体" w:hAnsi="宋体" w:eastAsia="宋体" w:cs="宋体"/>
          <w:b/>
          <w:bCs/>
          <w:color w:val="auto"/>
          <w:sz w:val="21"/>
          <w:szCs w:val="21"/>
          <w:highlight w:val="none"/>
        </w:rPr>
        <w:t>培训证书</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相关工作经验证明材料。</w:t>
      </w:r>
    </w:p>
    <w:p>
      <w:pPr>
        <w:keepNext w:val="0"/>
        <w:keepLines w:val="0"/>
        <w:pageBreakBefore w:val="0"/>
        <w:widowControl/>
        <w:kinsoku/>
        <w:wordWrap/>
        <w:overflowPunct/>
        <w:topLinePunct w:val="0"/>
        <w:autoSpaceDE/>
        <w:autoSpaceDN/>
        <w:bidi w:val="0"/>
        <w:adjustRightInd/>
        <w:snapToGrid/>
        <w:spacing w:before="157" w:beforeLines="50" w:line="460" w:lineRule="exact"/>
        <w:ind w:firstLine="422" w:firstLineChars="200"/>
        <w:jc w:val="both"/>
        <w:textAlignment w:val="auto"/>
        <w:outlineLvl w:val="9"/>
        <w:rPr>
          <w:rFonts w:hint="eastAsia" w:ascii="宋体" w:hAnsi="宋体" w:eastAsia="宋体" w:cs="宋体"/>
          <w:b/>
          <w:bCs/>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val="en-US" w:eastAsia="zh-CN" w:bidi="ar"/>
        </w:rPr>
        <w:t>2.2</w:t>
      </w:r>
      <w:bookmarkStart w:id="192" w:name="_Hlk207379536"/>
      <w:r>
        <w:rPr>
          <w:rFonts w:hint="eastAsia" w:ascii="宋体" w:hAnsi="宋体" w:eastAsia="宋体" w:cs="宋体"/>
          <w:b/>
          <w:bCs/>
          <w:color w:val="auto"/>
          <w:kern w:val="0"/>
          <w:sz w:val="21"/>
          <w:szCs w:val="21"/>
          <w:highlight w:val="none"/>
          <w:lang w:val="en-US" w:eastAsia="zh-CN" w:bidi="ar"/>
        </w:rPr>
        <w:t>人员培训及管理方案</w:t>
      </w:r>
      <w:bookmarkEnd w:id="192"/>
      <w:r>
        <w:rPr>
          <w:rFonts w:hint="eastAsia" w:ascii="宋体" w:hAnsi="宋体" w:eastAsia="宋体" w:cs="宋体"/>
          <w:b/>
          <w:bCs/>
          <w:color w:val="auto"/>
          <w:kern w:val="0"/>
          <w:sz w:val="21"/>
          <w:szCs w:val="21"/>
          <w:highlight w:val="none"/>
          <w:lang w:val="en-US" w:eastAsia="zh-CN" w:bidi="ar"/>
        </w:rPr>
        <w:t>（6分）</w:t>
      </w:r>
    </w:p>
    <w:p>
      <w:pPr>
        <w:pStyle w:val="27"/>
        <w:keepNext w:val="0"/>
        <w:keepLines w:val="0"/>
        <w:pageBreakBefore w:val="0"/>
        <w:widowControl w:val="0"/>
        <w:kinsoku/>
        <w:wordWrap/>
        <w:overflowPunct/>
        <w:topLinePunct w:val="0"/>
        <w:autoSpaceDE/>
        <w:autoSpaceDN/>
        <w:bidi w:val="0"/>
        <w:adjustRightInd/>
        <w:snapToGrid/>
        <w:spacing w:line="460" w:lineRule="exact"/>
        <w:ind w:firstLine="420" w:firstLineChars="200"/>
        <w:jc w:val="both"/>
        <w:textAlignment w:val="auto"/>
        <w:outlineLvl w:val="9"/>
        <w:rPr>
          <w:rFonts w:hint="eastAsia" w:ascii="宋体" w:hAnsi="宋体" w:eastAsia="宋体" w:cs="宋体"/>
          <w:b/>
          <w:color w:val="auto"/>
          <w:sz w:val="21"/>
          <w:szCs w:val="21"/>
          <w:highlight w:val="none"/>
          <w:lang w:val="en-US" w:eastAsia="zh-CN"/>
        </w:rPr>
      </w:pP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提供的人员培训方案包括①对各类人员的培训</w:t>
      </w:r>
      <w:r>
        <w:rPr>
          <w:rFonts w:hint="eastAsia" w:ascii="宋体" w:hAnsi="宋体" w:eastAsia="宋体" w:cs="宋体"/>
          <w:color w:val="auto"/>
          <w:sz w:val="21"/>
          <w:szCs w:val="21"/>
          <w:highlight w:val="none"/>
          <w:lang w:val="en-US" w:eastAsia="zh-CN"/>
        </w:rPr>
        <w:t>目标、</w:t>
      </w:r>
      <w:r>
        <w:rPr>
          <w:rFonts w:hint="eastAsia" w:ascii="宋体" w:hAnsi="宋体" w:eastAsia="宋体" w:cs="宋体"/>
          <w:color w:val="auto"/>
          <w:sz w:val="21"/>
          <w:szCs w:val="21"/>
          <w:highlight w:val="none"/>
        </w:rPr>
        <w:t>计划</w:t>
      </w:r>
      <w:r>
        <w:rPr>
          <w:rFonts w:hint="eastAsia" w:hAnsi="宋体" w:cs="宋体"/>
          <w:color w:val="auto"/>
          <w:sz w:val="21"/>
          <w:szCs w:val="21"/>
          <w:highlight w:val="none"/>
          <w:lang w:eastAsia="zh-CN"/>
        </w:rPr>
        <w:t>（含内训、外训，外训需提供与培训学校、机构的培训协议或合同证明）</w:t>
      </w:r>
      <w:r>
        <w:rPr>
          <w:rFonts w:hint="eastAsia" w:ascii="宋体" w:hAnsi="宋体" w:eastAsia="宋体" w:cs="宋体"/>
          <w:color w:val="auto"/>
          <w:sz w:val="21"/>
          <w:szCs w:val="21"/>
          <w:highlight w:val="none"/>
        </w:rPr>
        <w:t>；②</w:t>
      </w:r>
      <w:r>
        <w:rPr>
          <w:rFonts w:hint="eastAsia" w:ascii="宋体" w:hAnsi="宋体" w:eastAsia="宋体" w:cs="宋体"/>
          <w:color w:val="auto"/>
          <w:sz w:val="21"/>
          <w:szCs w:val="21"/>
          <w:highlight w:val="none"/>
          <w:lang w:val="en-US" w:eastAsia="zh-CN"/>
        </w:rPr>
        <w:t>培训内容</w:t>
      </w:r>
      <w:r>
        <w:rPr>
          <w:rFonts w:hint="eastAsia" w:hAnsi="宋体" w:cs="宋体"/>
          <w:color w:val="auto"/>
          <w:sz w:val="21"/>
          <w:szCs w:val="21"/>
          <w:highlight w:val="none"/>
          <w:lang w:val="en-US" w:eastAsia="zh-CN"/>
        </w:rPr>
        <w:t>：</w:t>
      </w:r>
      <w:r>
        <w:rPr>
          <w:rFonts w:hint="eastAsia" w:ascii="宋体" w:hAnsi="宋体" w:eastAsia="宋体" w:cs="宋体"/>
          <w:color w:val="auto"/>
          <w:sz w:val="21"/>
          <w:szCs w:val="21"/>
          <w:highlight w:val="none"/>
        </w:rPr>
        <w:t>言行规范、仪表仪容、公众形象、基本技能、服务意识管理措施</w:t>
      </w:r>
      <w:r>
        <w:rPr>
          <w:rFonts w:hint="eastAsia" w:hAnsi="宋体" w:cs="宋体"/>
          <w:color w:val="auto"/>
          <w:sz w:val="21"/>
          <w:szCs w:val="21"/>
          <w:highlight w:val="none"/>
          <w:lang w:eastAsia="zh-CN"/>
        </w:rPr>
        <w:t>（需提供投标人企业真实的现场培训图片证明</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③</w:t>
      </w:r>
      <w:r>
        <w:rPr>
          <w:rFonts w:hint="eastAsia" w:ascii="宋体" w:hAnsi="宋体" w:eastAsia="宋体" w:cs="宋体"/>
          <w:color w:val="auto"/>
          <w:sz w:val="21"/>
          <w:szCs w:val="21"/>
          <w:highlight w:val="none"/>
          <w:lang w:val="en-US" w:eastAsia="zh-CN"/>
        </w:rPr>
        <w:t>培训</w:t>
      </w:r>
      <w:r>
        <w:rPr>
          <w:rFonts w:hint="eastAsia" w:ascii="宋体" w:hAnsi="宋体" w:eastAsia="宋体" w:cs="宋体"/>
          <w:color w:val="auto"/>
          <w:sz w:val="21"/>
          <w:szCs w:val="21"/>
          <w:highlight w:val="none"/>
        </w:rPr>
        <w:t>考核方式及考核标准</w:t>
      </w:r>
      <w:r>
        <w:rPr>
          <w:rFonts w:hint="eastAsia" w:hAnsi="宋体" w:cs="宋体"/>
          <w:color w:val="auto"/>
          <w:sz w:val="21"/>
          <w:szCs w:val="21"/>
          <w:highlight w:val="none"/>
          <w:lang w:eastAsia="zh-CN"/>
        </w:rPr>
        <w:t>（需提供培训合格证书、结业证书等证明）</w:t>
      </w:r>
      <w:r>
        <w:rPr>
          <w:rFonts w:hint="eastAsia" w:ascii="宋体" w:hAnsi="宋体" w:eastAsia="宋体" w:cs="宋体"/>
          <w:color w:val="auto"/>
          <w:sz w:val="21"/>
          <w:szCs w:val="21"/>
          <w:highlight w:val="none"/>
        </w:rPr>
        <w:t>，</w:t>
      </w:r>
      <w:r>
        <w:rPr>
          <w:rFonts w:hint="eastAsia" w:ascii="宋体" w:hAnsi="宋体" w:eastAsia="宋体" w:cs="宋体"/>
          <w:color w:val="auto"/>
          <w:kern w:val="0"/>
          <w:sz w:val="21"/>
          <w:szCs w:val="21"/>
          <w:highlight w:val="none"/>
          <w:lang w:bidi="ar"/>
        </w:rPr>
        <w:t>符合项目需求，且在方案中有明确描述的，</w:t>
      </w:r>
      <w:r>
        <w:rPr>
          <w:rFonts w:hint="eastAsia" w:ascii="宋体" w:hAnsi="宋体" w:eastAsia="宋体" w:cs="宋体"/>
          <w:b/>
          <w:bCs/>
          <w:color w:val="auto"/>
          <w:kern w:val="2"/>
          <w:sz w:val="21"/>
          <w:szCs w:val="21"/>
          <w:highlight w:val="none"/>
          <w:lang w:val="en-US" w:eastAsia="zh-CN" w:bidi="ar-SA"/>
        </w:rPr>
        <w:t>每项得2分，满分6分</w:t>
      </w:r>
      <w:r>
        <w:rPr>
          <w:rFonts w:hint="eastAsia" w:ascii="宋体" w:hAnsi="宋体" w:eastAsia="宋体" w:cs="宋体"/>
          <w:color w:val="auto"/>
          <w:kern w:val="0"/>
          <w:sz w:val="21"/>
          <w:szCs w:val="21"/>
          <w:highlight w:val="none"/>
          <w:lang w:bidi="ar"/>
        </w:rPr>
        <w:t>。</w:t>
      </w:r>
    </w:p>
    <w:p>
      <w:pPr>
        <w:pStyle w:val="27"/>
        <w:keepNext w:val="0"/>
        <w:keepLines w:val="0"/>
        <w:pageBreakBefore w:val="0"/>
        <w:widowControl w:val="0"/>
        <w:kinsoku/>
        <w:wordWrap/>
        <w:overflowPunct/>
        <w:topLinePunct w:val="0"/>
        <w:autoSpaceDE/>
        <w:autoSpaceDN/>
        <w:bidi w:val="0"/>
        <w:adjustRightInd/>
        <w:snapToGrid/>
        <w:spacing w:line="440" w:lineRule="exact"/>
        <w:ind w:firstLine="422" w:firstLineChars="200"/>
        <w:jc w:val="both"/>
        <w:textAlignment w:val="auto"/>
        <w:rPr>
          <w:rFonts w:hint="eastAsia" w:ascii="宋体" w:hAnsi="宋体" w:eastAsia="宋体" w:cs="宋体"/>
          <w:b/>
          <w:bCs/>
          <w:color w:val="auto"/>
          <w:sz w:val="21"/>
          <w:szCs w:val="21"/>
          <w:highlight w:val="none"/>
          <w:u w:val="none"/>
          <w:lang w:val="en-US" w:eastAsia="zh-CN"/>
        </w:rPr>
      </w:pPr>
      <w:r>
        <w:rPr>
          <w:rFonts w:hint="eastAsia" w:hAnsi="宋体" w:cs="宋体"/>
          <w:b/>
          <w:bCs/>
          <w:color w:val="auto"/>
          <w:sz w:val="21"/>
          <w:szCs w:val="21"/>
          <w:highlight w:val="none"/>
          <w:u w:val="none"/>
          <w:lang w:val="en-US" w:eastAsia="zh-CN"/>
        </w:rPr>
        <w:t>3</w:t>
      </w:r>
      <w:r>
        <w:rPr>
          <w:rFonts w:hint="eastAsia" w:ascii="宋体" w:hAnsi="宋体" w:eastAsia="宋体" w:cs="宋体"/>
          <w:b/>
          <w:bCs/>
          <w:color w:val="auto"/>
          <w:sz w:val="21"/>
          <w:szCs w:val="21"/>
          <w:highlight w:val="none"/>
          <w:u w:val="none"/>
          <w:lang w:val="en-US" w:eastAsia="zh-CN"/>
        </w:rPr>
        <w:t>.</w:t>
      </w:r>
      <w:r>
        <w:rPr>
          <w:rFonts w:hint="eastAsia" w:ascii="宋体" w:hAnsi="宋体" w:eastAsia="宋体" w:cs="宋体"/>
          <w:b/>
          <w:bCs/>
          <w:color w:val="auto"/>
          <w:sz w:val="21"/>
          <w:szCs w:val="21"/>
          <w:highlight w:val="none"/>
          <w:u w:val="none"/>
        </w:rPr>
        <w:t>商务分（满分</w:t>
      </w:r>
      <w:r>
        <w:rPr>
          <w:rFonts w:hint="eastAsia" w:hAnsi="宋体" w:cs="宋体"/>
          <w:b/>
          <w:bCs/>
          <w:color w:val="auto"/>
          <w:sz w:val="21"/>
          <w:szCs w:val="21"/>
          <w:highlight w:val="none"/>
          <w:u w:val="none"/>
          <w:lang w:val="en-US" w:eastAsia="zh-CN"/>
        </w:rPr>
        <w:t>10</w:t>
      </w:r>
      <w:r>
        <w:rPr>
          <w:rFonts w:hint="eastAsia" w:ascii="宋体" w:hAnsi="宋体" w:eastAsia="宋体" w:cs="宋体"/>
          <w:b/>
          <w:bCs/>
          <w:color w:val="auto"/>
          <w:sz w:val="21"/>
          <w:szCs w:val="21"/>
          <w:highlight w:val="none"/>
          <w:u w:val="none"/>
        </w:rPr>
        <w:t>分）</w:t>
      </w:r>
    </w:p>
    <w:p>
      <w:pPr>
        <w:spacing w:line="46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投标人提供2021年1月1日以来同类服务项目业绩和履约质量评价优秀等级（以服务合同和评价表扫描件为准并能清晰反映所提供的服务类型，</w:t>
      </w:r>
      <w:r>
        <w:rPr>
          <w:rFonts w:hint="eastAsia" w:ascii="宋体" w:hAnsi="宋体" w:eastAsia="宋体" w:cs="宋体"/>
          <w:b/>
          <w:bCs/>
          <w:color w:val="auto"/>
          <w:sz w:val="21"/>
          <w:szCs w:val="21"/>
          <w:highlight w:val="none"/>
          <w:lang w:val="en-US" w:eastAsia="zh-CN"/>
        </w:rPr>
        <w:t>提供的合同和</w:t>
      </w:r>
      <w:r>
        <w:rPr>
          <w:rFonts w:hint="eastAsia" w:ascii="宋体" w:hAnsi="宋体" w:eastAsia="宋体" w:cs="宋体"/>
          <w:color w:val="auto"/>
          <w:sz w:val="21"/>
          <w:szCs w:val="21"/>
          <w:highlight w:val="none"/>
          <w:lang w:val="en-US" w:eastAsia="zh-CN"/>
        </w:rPr>
        <w:t>履约质量评价优秀等级</w:t>
      </w:r>
      <w:r>
        <w:rPr>
          <w:rFonts w:hint="eastAsia" w:ascii="宋体" w:hAnsi="宋体" w:eastAsia="宋体" w:cs="宋体"/>
          <w:b/>
          <w:bCs/>
          <w:color w:val="auto"/>
          <w:sz w:val="21"/>
          <w:szCs w:val="21"/>
          <w:highlight w:val="none"/>
          <w:lang w:val="en-US" w:eastAsia="zh-CN"/>
        </w:rPr>
        <w:t>须是同一单位，</w:t>
      </w:r>
      <w:r>
        <w:rPr>
          <w:rFonts w:hint="eastAsia" w:ascii="宋体" w:hAnsi="宋体" w:eastAsia="宋体" w:cs="宋体"/>
          <w:b w:val="0"/>
          <w:bCs w:val="0"/>
          <w:color w:val="auto"/>
          <w:sz w:val="21"/>
          <w:szCs w:val="21"/>
          <w:highlight w:val="none"/>
          <w:lang w:val="en-US" w:eastAsia="zh-CN"/>
        </w:rPr>
        <w:t>否则将不予计分</w:t>
      </w:r>
      <w:r>
        <w:rPr>
          <w:rFonts w:hint="eastAsia" w:ascii="宋体" w:hAnsi="宋体" w:eastAsia="宋体" w:cs="宋体"/>
          <w:b/>
          <w:bCs/>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同一个编号的项目有两个或两个以上的分标中标的只算一次），每提供一个合同和履约质量评价优秀等级</w:t>
      </w:r>
      <w:r>
        <w:rPr>
          <w:rFonts w:hint="eastAsia" w:ascii="宋体" w:hAnsi="宋体" w:eastAsia="宋体" w:cs="宋体"/>
          <w:b w:val="0"/>
          <w:bCs w:val="0"/>
          <w:color w:val="auto"/>
          <w:sz w:val="21"/>
          <w:szCs w:val="21"/>
          <w:highlight w:val="none"/>
          <w:lang w:val="en-US" w:eastAsia="zh-CN"/>
        </w:rPr>
        <w:t>得2分，满分10分。</w:t>
      </w:r>
    </w:p>
    <w:p>
      <w:pPr>
        <w:spacing w:line="460" w:lineRule="exact"/>
        <w:rPr>
          <w:rFonts w:ascii="Times New Roman" w:hAnsi="Times New Roman" w:eastAsia="宋体" w:cs="Times New Roman"/>
          <w:b/>
          <w:bCs/>
          <w:color w:val="auto"/>
          <w:szCs w:val="24"/>
          <w:highlight w:val="none"/>
        </w:rPr>
      </w:pPr>
      <w:r>
        <w:rPr>
          <w:rFonts w:hint="eastAsia" w:ascii="Times New Roman" w:hAnsi="Times New Roman" w:eastAsia="宋体" w:cs="Times New Roman"/>
          <w:b/>
          <w:bCs/>
          <w:color w:val="auto"/>
          <w:szCs w:val="24"/>
          <w:highlight w:val="none"/>
        </w:rPr>
        <w:t>三、总得分</w:t>
      </w:r>
      <w:r>
        <w:rPr>
          <w:rFonts w:ascii="Times New Roman" w:hAnsi="Times New Roman" w:eastAsia="宋体" w:cs="Times New Roman"/>
          <w:b/>
          <w:bCs/>
          <w:color w:val="auto"/>
          <w:szCs w:val="24"/>
          <w:highlight w:val="none"/>
        </w:rPr>
        <w:t>=</w:t>
      </w:r>
      <w:r>
        <w:rPr>
          <w:rFonts w:hint="eastAsia" w:ascii="Times New Roman" w:hAnsi="Times New Roman" w:eastAsia="宋体" w:cs="Times New Roman"/>
          <w:b/>
          <w:bCs/>
          <w:color w:val="auto"/>
          <w:szCs w:val="24"/>
          <w:highlight w:val="none"/>
        </w:rPr>
        <w:t>价格分</w:t>
      </w:r>
      <w:r>
        <w:rPr>
          <w:rFonts w:ascii="Times New Roman" w:hAnsi="Times New Roman" w:eastAsia="宋体" w:cs="Times New Roman"/>
          <w:b/>
          <w:bCs/>
          <w:color w:val="auto"/>
          <w:szCs w:val="24"/>
          <w:highlight w:val="none"/>
        </w:rPr>
        <w:t>+</w:t>
      </w:r>
      <w:r>
        <w:rPr>
          <w:rFonts w:hint="eastAsia" w:ascii="Times New Roman" w:hAnsi="Times New Roman" w:eastAsia="宋体" w:cs="Times New Roman"/>
          <w:b/>
          <w:bCs/>
          <w:color w:val="auto"/>
          <w:szCs w:val="24"/>
          <w:highlight w:val="none"/>
        </w:rPr>
        <w:t>技术商务资信分</w:t>
      </w:r>
    </w:p>
    <w:p>
      <w:pPr>
        <w:spacing w:line="460" w:lineRule="exact"/>
        <w:rPr>
          <w:rFonts w:ascii="Times New Roman" w:hAnsi="Times New Roman" w:eastAsia="宋体" w:cs="Times New Roman"/>
          <w:b/>
          <w:bCs/>
          <w:color w:val="auto"/>
          <w:szCs w:val="24"/>
          <w:highlight w:val="none"/>
        </w:rPr>
      </w:pPr>
      <w:r>
        <w:rPr>
          <w:rFonts w:hint="eastAsia" w:ascii="Times New Roman" w:hAnsi="Times New Roman" w:eastAsia="宋体" w:cs="Times New Roman"/>
          <w:b/>
          <w:bCs/>
          <w:color w:val="auto"/>
          <w:szCs w:val="24"/>
          <w:highlight w:val="none"/>
        </w:rPr>
        <w:t>四、中标候选人</w:t>
      </w:r>
      <w:bookmarkStart w:id="193" w:name="_Hlk92267887"/>
      <w:r>
        <w:rPr>
          <w:rFonts w:hint="eastAsia" w:ascii="Times New Roman" w:hAnsi="Times New Roman" w:eastAsia="宋体" w:cs="Times New Roman"/>
          <w:b/>
          <w:bCs/>
          <w:color w:val="auto"/>
          <w:szCs w:val="24"/>
          <w:highlight w:val="none"/>
        </w:rPr>
        <w:t>推荐原则</w:t>
      </w:r>
      <w:bookmarkEnd w:id="193"/>
    </w:p>
    <w:p>
      <w:pPr>
        <w:spacing w:line="460" w:lineRule="exact"/>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tab/>
      </w:r>
      <w:r>
        <w:rPr>
          <w:rFonts w:hint="eastAsia" w:ascii="Times New Roman" w:hAnsi="Times New Roman" w:eastAsia="宋体" w:cs="Times New Roman"/>
          <w:color w:val="auto"/>
          <w:szCs w:val="24"/>
          <w:highlight w:val="none"/>
        </w:rPr>
        <w:t>评标委员会将根据评标结果按评审后得分由高到低顺序排列。得分相同的，按投标报价由低到高顺序排列。得分且投标报价相同的并列。投标文件满足</w:t>
      </w:r>
      <w:r>
        <w:rPr>
          <w:rFonts w:hint="eastAsia" w:ascii="Times New Roman" w:hAnsi="Times New Roman" w:eastAsia="宋体" w:cs="Times New Roman"/>
          <w:color w:val="auto"/>
          <w:szCs w:val="24"/>
          <w:highlight w:val="none"/>
          <w:lang w:val="en-US" w:eastAsia="zh-CN"/>
        </w:rPr>
        <w:t>或优于</w:t>
      </w:r>
      <w:r>
        <w:rPr>
          <w:rFonts w:hint="eastAsia" w:ascii="Times New Roman" w:hAnsi="Times New Roman" w:eastAsia="宋体" w:cs="Times New Roman"/>
          <w:color w:val="auto"/>
          <w:szCs w:val="24"/>
          <w:highlight w:val="none"/>
        </w:rPr>
        <w:t>招标文件全部实质性要求，且按照评审因素的量化指标评审得分最高的投标人为排名第一的中标候选人。</w:t>
      </w:r>
    </w:p>
    <w:p>
      <w:pPr>
        <w:spacing w:line="420" w:lineRule="exact"/>
        <w:jc w:val="left"/>
        <w:rPr>
          <w:rFonts w:ascii="宋体" w:hAnsi="Courier New" w:eastAsia="宋体" w:cs="Courier New"/>
          <w:color w:val="auto"/>
          <w:szCs w:val="21"/>
          <w:highlight w:val="none"/>
        </w:rPr>
      </w:pPr>
      <w:r>
        <w:rPr>
          <w:rFonts w:hint="eastAsia" w:ascii="宋体" w:hAnsi="Courier New" w:eastAsia="宋体" w:cs="Courier New"/>
          <w:bCs/>
          <w:color w:val="auto"/>
          <w:sz w:val="32"/>
          <w:szCs w:val="32"/>
          <w:highlight w:val="none"/>
        </w:rPr>
        <w:br w:type="page"/>
      </w:r>
    </w:p>
    <w:p>
      <w:pPr>
        <w:spacing w:line="400" w:lineRule="exact"/>
        <w:rPr>
          <w:rFonts w:ascii="Times New Roman" w:hAnsi="Times New Roman" w:eastAsia="宋体" w:cs="Times New Roman"/>
          <w:color w:val="auto"/>
          <w:szCs w:val="24"/>
          <w:highlight w:val="none"/>
        </w:rPr>
      </w:pPr>
    </w:p>
    <w:p>
      <w:pPr>
        <w:spacing w:line="400" w:lineRule="exact"/>
        <w:rPr>
          <w:rFonts w:ascii="Times New Roman" w:hAnsi="Times New Roman" w:eastAsia="宋体" w:cs="Times New Roman"/>
          <w:color w:val="auto"/>
          <w:szCs w:val="24"/>
          <w:highlight w:val="none"/>
        </w:rPr>
      </w:pPr>
    </w:p>
    <w:p>
      <w:pPr>
        <w:spacing w:line="400" w:lineRule="exact"/>
        <w:rPr>
          <w:rFonts w:ascii="Times New Roman" w:hAnsi="Times New Roman" w:eastAsia="宋体" w:cs="Times New Roman"/>
          <w:color w:val="auto"/>
          <w:szCs w:val="24"/>
          <w:highlight w:val="none"/>
        </w:rPr>
      </w:pPr>
    </w:p>
    <w:p>
      <w:pPr>
        <w:spacing w:line="400" w:lineRule="exact"/>
        <w:rPr>
          <w:rFonts w:ascii="Times New Roman" w:hAnsi="Times New Roman" w:eastAsia="宋体" w:cs="Times New Roman"/>
          <w:color w:val="auto"/>
          <w:szCs w:val="24"/>
          <w:highlight w:val="none"/>
        </w:rPr>
      </w:pPr>
    </w:p>
    <w:p>
      <w:pPr>
        <w:spacing w:line="400" w:lineRule="exact"/>
        <w:rPr>
          <w:rFonts w:ascii="Times New Roman" w:hAnsi="Times New Roman" w:eastAsia="宋体" w:cs="Times New Roman"/>
          <w:color w:val="auto"/>
          <w:szCs w:val="24"/>
          <w:highlight w:val="none"/>
        </w:rPr>
      </w:pPr>
    </w:p>
    <w:p>
      <w:pPr>
        <w:spacing w:line="400" w:lineRule="exact"/>
        <w:rPr>
          <w:rFonts w:ascii="Times New Roman" w:hAnsi="Times New Roman" w:eastAsia="宋体" w:cs="Times New Roman"/>
          <w:color w:val="auto"/>
          <w:szCs w:val="24"/>
          <w:highlight w:val="none"/>
        </w:rPr>
      </w:pPr>
    </w:p>
    <w:p>
      <w:pPr>
        <w:spacing w:line="400" w:lineRule="exact"/>
        <w:rPr>
          <w:rFonts w:ascii="Times New Roman" w:hAnsi="Times New Roman" w:eastAsia="宋体" w:cs="Times New Roman"/>
          <w:color w:val="auto"/>
          <w:szCs w:val="24"/>
          <w:highlight w:val="none"/>
        </w:rPr>
      </w:pPr>
    </w:p>
    <w:p>
      <w:pPr>
        <w:spacing w:line="400" w:lineRule="exact"/>
        <w:rPr>
          <w:rFonts w:ascii="Times New Roman" w:hAnsi="Times New Roman" w:eastAsia="宋体" w:cs="Times New Roman"/>
          <w:color w:val="auto"/>
          <w:szCs w:val="24"/>
          <w:highlight w:val="none"/>
        </w:rPr>
      </w:pPr>
    </w:p>
    <w:p>
      <w:pPr>
        <w:spacing w:line="400" w:lineRule="exact"/>
        <w:rPr>
          <w:rFonts w:ascii="Times New Roman" w:hAnsi="Times New Roman" w:eastAsia="宋体" w:cs="Times New Roman"/>
          <w:color w:val="auto"/>
          <w:szCs w:val="24"/>
          <w:highlight w:val="none"/>
        </w:rPr>
      </w:pPr>
    </w:p>
    <w:p>
      <w:pPr>
        <w:spacing w:line="400" w:lineRule="exact"/>
        <w:rPr>
          <w:rFonts w:ascii="Times New Roman" w:hAnsi="Times New Roman" w:eastAsia="宋体" w:cs="Times New Roman"/>
          <w:color w:val="auto"/>
          <w:szCs w:val="24"/>
          <w:highlight w:val="none"/>
        </w:rPr>
      </w:pPr>
    </w:p>
    <w:p>
      <w:pPr>
        <w:spacing w:line="400" w:lineRule="exact"/>
        <w:rPr>
          <w:rFonts w:ascii="Times New Roman" w:hAnsi="Times New Roman" w:eastAsia="宋体" w:cs="Times New Roman"/>
          <w:color w:val="auto"/>
          <w:szCs w:val="24"/>
          <w:highlight w:val="none"/>
        </w:rPr>
      </w:pPr>
    </w:p>
    <w:p>
      <w:pPr>
        <w:spacing w:line="300" w:lineRule="auto"/>
        <w:jc w:val="center"/>
        <w:outlineLvl w:val="0"/>
        <w:rPr>
          <w:rFonts w:ascii="Cambria" w:hAnsi="Cambria" w:eastAsia="方正小标宋_GBK" w:cs="Times New Roman"/>
          <w:b/>
          <w:bCs/>
          <w:color w:val="auto"/>
          <w:kern w:val="0"/>
          <w:sz w:val="44"/>
          <w:szCs w:val="32"/>
          <w:highlight w:val="none"/>
        </w:rPr>
      </w:pPr>
      <w:bookmarkStart w:id="194" w:name="_Toc173764942"/>
      <w:r>
        <w:rPr>
          <w:rFonts w:hint="eastAsia" w:ascii="Cambria" w:hAnsi="Cambria" w:eastAsia="方正小标宋_GBK" w:cs="Times New Roman"/>
          <w:b/>
          <w:bCs/>
          <w:color w:val="auto"/>
          <w:kern w:val="0"/>
          <w:sz w:val="44"/>
          <w:szCs w:val="32"/>
          <w:highlight w:val="none"/>
        </w:rPr>
        <w:t>第五章</w:t>
      </w:r>
      <w:r>
        <w:rPr>
          <w:rFonts w:ascii="Cambria" w:hAnsi="Cambria" w:eastAsia="方正小标宋_GBK" w:cs="Times New Roman"/>
          <w:b/>
          <w:bCs/>
          <w:color w:val="auto"/>
          <w:kern w:val="0"/>
          <w:sz w:val="44"/>
          <w:szCs w:val="32"/>
          <w:highlight w:val="none"/>
        </w:rPr>
        <w:t xml:space="preserve">  </w:t>
      </w:r>
      <w:r>
        <w:rPr>
          <w:rFonts w:hint="eastAsia" w:ascii="Cambria" w:hAnsi="Cambria" w:eastAsia="方正小标宋_GBK" w:cs="Times New Roman"/>
          <w:b/>
          <w:bCs/>
          <w:color w:val="auto"/>
          <w:kern w:val="0"/>
          <w:sz w:val="44"/>
          <w:szCs w:val="32"/>
          <w:highlight w:val="none"/>
        </w:rPr>
        <w:t>政府采购合同主要条款</w:t>
      </w:r>
      <w:bookmarkEnd w:id="194"/>
    </w:p>
    <w:p>
      <w:pPr>
        <w:spacing w:line="400" w:lineRule="exact"/>
        <w:jc w:val="left"/>
        <w:rPr>
          <w:rFonts w:ascii="Times New Roman" w:hAnsi="Times New Roman" w:eastAsia="宋体" w:cs="Times New Roman"/>
          <w:color w:val="auto"/>
          <w:szCs w:val="24"/>
          <w:highlight w:val="none"/>
        </w:rPr>
      </w:pPr>
      <w:r>
        <w:rPr>
          <w:rFonts w:hint="eastAsia" w:ascii="宋体" w:hAnsi="Courier New" w:eastAsia="宋体" w:cs="Courier New"/>
          <w:color w:val="auto"/>
          <w:szCs w:val="21"/>
          <w:highlight w:val="none"/>
        </w:rPr>
        <w:br w:type="page"/>
      </w:r>
      <w:bookmarkStart w:id="195" w:name="_Hlk92701478"/>
    </w:p>
    <w:p>
      <w:pPr>
        <w:rPr>
          <w:rFonts w:ascii="Times New Roman" w:hAnsi="Times New Roman" w:eastAsia="宋体" w:cs="Times New Roman"/>
          <w:color w:val="auto"/>
          <w:szCs w:val="24"/>
          <w:highlight w:val="none"/>
        </w:rPr>
      </w:pPr>
    </w:p>
    <w:p>
      <w:pPr>
        <w:adjustRightInd w:val="0"/>
        <w:snapToGrid w:val="0"/>
        <w:spacing w:line="540" w:lineRule="exact"/>
        <w:ind w:firstLine="0" w:firstLineChars="0"/>
        <w:jc w:val="center"/>
        <w:rPr>
          <w:rFonts w:hint="eastAsia" w:ascii="方正小标宋简体" w:hAnsi="方正小标宋简体" w:eastAsia="方正小标宋简体" w:cs="方正小标宋简体"/>
          <w:bCs/>
          <w:color w:val="auto"/>
          <w:sz w:val="32"/>
          <w:szCs w:val="32"/>
          <w:highlight w:val="none"/>
        </w:rPr>
      </w:pPr>
      <w:r>
        <w:rPr>
          <w:rFonts w:hint="eastAsia" w:ascii="方正小标宋简体" w:hAnsi="方正小标宋简体" w:eastAsia="方正小标宋简体" w:cs="方正小标宋简体"/>
          <w:bCs/>
          <w:color w:val="auto"/>
          <w:sz w:val="32"/>
          <w:szCs w:val="32"/>
          <w:highlight w:val="none"/>
          <w:lang w:eastAsia="zh-CN"/>
        </w:rPr>
        <w:t>防城港市防城区妇幼保健院物业服务</w:t>
      </w:r>
      <w:r>
        <w:rPr>
          <w:rFonts w:hint="eastAsia" w:ascii="方正小标宋简体" w:hAnsi="方正小标宋简体" w:eastAsia="方正小标宋简体" w:cs="方正小标宋简体"/>
          <w:bCs/>
          <w:color w:val="auto"/>
          <w:sz w:val="32"/>
          <w:szCs w:val="32"/>
          <w:highlight w:val="none"/>
        </w:rPr>
        <w:t>合同</w:t>
      </w:r>
    </w:p>
    <w:p>
      <w:pPr>
        <w:adjustRightInd w:val="0"/>
        <w:snapToGrid w:val="0"/>
        <w:spacing w:line="540" w:lineRule="exact"/>
        <w:ind w:firstLine="0" w:firstLineChars="0"/>
        <w:jc w:val="center"/>
        <w:rPr>
          <w:rFonts w:hint="eastAsia" w:ascii="方正小标宋简体" w:hAnsi="方正小标宋简体" w:eastAsia="方正小标宋简体" w:cs="方正小标宋简体"/>
          <w:bCs/>
          <w:color w:val="auto"/>
          <w:sz w:val="32"/>
          <w:szCs w:val="32"/>
          <w:highlight w:val="none"/>
          <w:lang w:eastAsia="zh-CN"/>
        </w:rPr>
      </w:pPr>
      <w:r>
        <w:rPr>
          <w:rFonts w:hint="eastAsia" w:ascii="方正小标宋简体" w:hAnsi="方正小标宋简体" w:eastAsia="方正小标宋简体" w:cs="方正小标宋简体"/>
          <w:bCs/>
          <w:color w:val="auto"/>
          <w:sz w:val="32"/>
          <w:szCs w:val="32"/>
          <w:highlight w:val="none"/>
          <w:lang w:eastAsia="zh-CN"/>
        </w:rPr>
        <w:t>（参考格式）</w:t>
      </w:r>
    </w:p>
    <w:p>
      <w:pPr>
        <w:spacing w:line="380" w:lineRule="exact"/>
        <w:ind w:firstLine="0" w:firstLineChars="0"/>
        <w:rPr>
          <w:rFonts w:hint="eastAsia" w:ascii="仿宋_GB2312" w:hAnsi="宋体" w:eastAsia="仿宋_GB2312"/>
          <w:color w:val="auto"/>
          <w:sz w:val="28"/>
          <w:szCs w:val="28"/>
          <w:highlight w:val="none"/>
        </w:rPr>
      </w:pPr>
    </w:p>
    <w:p>
      <w:pPr>
        <w:snapToGrid w:val="0"/>
        <w:spacing w:line="440" w:lineRule="exact"/>
        <w:ind w:right="-61" w:firstLine="420" w:firstLineChars="0"/>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 xml:space="preserve">  合同编号：</w:t>
      </w:r>
      <w:r>
        <w:rPr>
          <w:rFonts w:hint="eastAsia" w:ascii="宋体" w:hAnsi="宋体" w:eastAsia="宋体" w:cs="宋体"/>
          <w:bCs/>
          <w:color w:val="auto"/>
          <w:sz w:val="21"/>
          <w:szCs w:val="21"/>
          <w:highlight w:val="none"/>
          <w:u w:val="single"/>
        </w:rPr>
        <w:t xml:space="preserve">                    </w:t>
      </w:r>
    </w:p>
    <w:p>
      <w:pPr>
        <w:snapToGrid w:val="0"/>
        <w:spacing w:line="440" w:lineRule="exact"/>
        <w:ind w:firstLine="0" w:firstLineChars="0"/>
        <w:rPr>
          <w:rFonts w:hint="eastAsia" w:ascii="宋体" w:hAnsi="宋体" w:eastAsia="宋体" w:cs="宋体"/>
          <w:color w:val="auto"/>
          <w:sz w:val="21"/>
          <w:szCs w:val="21"/>
          <w:highlight w:val="none"/>
        </w:rPr>
      </w:pPr>
    </w:p>
    <w:p>
      <w:pPr>
        <w:snapToGrid w:val="0"/>
        <w:spacing w:line="440" w:lineRule="exact"/>
        <w:ind w:firstLine="420" w:firstLineChars="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采购单位（甲方）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防城港市防城区妇幼保健院</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采购计划号</w:t>
      </w:r>
      <w:r>
        <w:rPr>
          <w:rFonts w:hint="eastAsia" w:ascii="宋体" w:hAnsi="宋体" w:eastAsia="宋体" w:cs="宋体"/>
          <w:color w:val="auto"/>
          <w:sz w:val="21"/>
          <w:szCs w:val="21"/>
          <w:highlight w:val="none"/>
          <w:u w:val="single"/>
        </w:rPr>
        <w:t xml:space="preserve">                       </w:t>
      </w:r>
    </w:p>
    <w:p>
      <w:pPr>
        <w:snapToGrid w:val="0"/>
        <w:spacing w:line="440" w:lineRule="exact"/>
        <w:ind w:firstLine="420" w:firstLineChars="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供 应 商（乙方）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项目名称编号</w:t>
      </w:r>
      <w:r>
        <w:rPr>
          <w:rFonts w:hint="eastAsia" w:ascii="宋体" w:hAnsi="宋体" w:eastAsia="宋体" w:cs="宋体"/>
          <w:color w:val="auto"/>
          <w:sz w:val="21"/>
          <w:szCs w:val="21"/>
          <w:highlight w:val="none"/>
          <w:u w:val="single"/>
        </w:rPr>
        <w:t xml:space="preserve">                     </w:t>
      </w:r>
    </w:p>
    <w:p>
      <w:pPr>
        <w:tabs>
          <w:tab w:val="left" w:pos="1185"/>
        </w:tabs>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签订时间：</w:t>
      </w:r>
      <w:r>
        <w:rPr>
          <w:rFonts w:hint="eastAsia" w:ascii="宋体" w:hAnsi="宋体" w:eastAsia="宋体" w:cs="宋体"/>
          <w:color w:val="auto"/>
          <w:sz w:val="21"/>
          <w:szCs w:val="21"/>
          <w:highlight w:val="none"/>
          <w:u w:val="single"/>
        </w:rPr>
        <w:t xml:space="preserve">      年    月    日    </w:t>
      </w:r>
    </w:p>
    <w:p>
      <w:pPr>
        <w:snapToGrid w:val="0"/>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中华人民共和国政府采购法》、《中华人民共和国民法典》和国家《物业管理条例》、《广西壮族自治区物业管理条例》以及国家、地方有关城市物业管理法规，以合同的形式委托中标物业管理公司在合同有效期内对甲方委托的物业进行社会化、专业化、市场化的物业管理，甲乙双方遵循平等、自愿、公平、诚实信用的原则，经协商一致，就甲方选聘乙方对本项目物业服务事宜，订立本合同。</w:t>
      </w:r>
    </w:p>
    <w:p>
      <w:pPr>
        <w:snapToGrid w:val="0"/>
        <w:spacing w:line="440" w:lineRule="exact"/>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第一条 项目概况</w:t>
      </w:r>
    </w:p>
    <w:p>
      <w:pPr>
        <w:spacing w:line="440" w:lineRule="exact"/>
        <w:ind w:firstLine="620" w:firstLineChars="0"/>
        <w:rPr>
          <w:rFonts w:hint="eastAsia" w:ascii="宋体" w:hAnsi="宋体" w:eastAsia="宋体" w:cs="宋体"/>
          <w:color w:val="auto"/>
          <w:sz w:val="21"/>
          <w:szCs w:val="21"/>
          <w:highlight w:val="none"/>
          <w:u w:val="single"/>
          <w:shd w:val="clear" w:color="FFFFFF" w:fill="D9D9D9"/>
        </w:rPr>
      </w:pPr>
      <w:r>
        <w:rPr>
          <w:rFonts w:hint="eastAsia" w:ascii="宋体" w:hAnsi="宋体" w:eastAsia="宋体" w:cs="宋体"/>
          <w:color w:val="auto"/>
          <w:sz w:val="21"/>
          <w:szCs w:val="21"/>
          <w:highlight w:val="none"/>
        </w:rPr>
        <w:t>1.项目名称：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防城港市防城区妇幼保健院物业服务</w:t>
      </w:r>
      <w:r>
        <w:rPr>
          <w:rFonts w:hint="eastAsia" w:ascii="宋体" w:hAnsi="宋体" w:eastAsia="宋体" w:cs="宋体"/>
          <w:color w:val="auto"/>
          <w:sz w:val="21"/>
          <w:szCs w:val="21"/>
          <w:highlight w:val="none"/>
          <w:u w:val="single"/>
        </w:rPr>
        <w:t xml:space="preserve">  </w:t>
      </w:r>
    </w:p>
    <w:p>
      <w:pPr>
        <w:spacing w:line="440" w:lineRule="exact"/>
        <w:ind w:firstLine="620" w:firstLineChars="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2.座落位置：</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防城港市防城区慈爱路117号</w:t>
      </w:r>
      <w:r>
        <w:rPr>
          <w:rFonts w:hint="eastAsia" w:ascii="宋体" w:hAnsi="宋体" w:eastAsia="宋体" w:cs="宋体"/>
          <w:color w:val="auto"/>
          <w:sz w:val="21"/>
          <w:szCs w:val="21"/>
          <w:highlight w:val="none"/>
          <w:u w:val="single"/>
        </w:rPr>
        <w:t xml:space="preserve">  </w:t>
      </w:r>
    </w:p>
    <w:p>
      <w:pPr>
        <w:spacing w:line="440" w:lineRule="exact"/>
        <w:ind w:firstLine="620" w:firstLineChars="0"/>
        <w:rPr>
          <w:rFonts w:hint="eastAsia" w:ascii="宋体" w:hAnsi="宋体" w:eastAsia="宋体" w:cs="宋体"/>
          <w:color w:val="auto"/>
          <w:sz w:val="21"/>
          <w:szCs w:val="21"/>
          <w:highlight w:val="none"/>
          <w:u w:val="single"/>
          <w:shd w:val="clear" w:color="FFFFFF" w:fill="D9D9D9"/>
        </w:rPr>
      </w:pPr>
      <w:r>
        <w:rPr>
          <w:rFonts w:hint="eastAsia" w:ascii="宋体" w:hAnsi="宋体" w:eastAsia="宋体" w:cs="宋体"/>
          <w:color w:val="auto"/>
          <w:sz w:val="21"/>
          <w:szCs w:val="21"/>
          <w:highlight w:val="none"/>
        </w:rPr>
        <w:t>3.物业管理范围：</w:t>
      </w:r>
      <w:r>
        <w:rPr>
          <w:rFonts w:hint="eastAsia" w:ascii="宋体" w:hAnsi="宋体" w:eastAsia="宋体" w:cs="宋体"/>
          <w:color w:val="auto"/>
          <w:sz w:val="21"/>
          <w:szCs w:val="21"/>
          <w:highlight w:val="none"/>
          <w:u w:val="single"/>
        </w:rPr>
        <w:t xml:space="preserve">   防城港市防城区妇幼保健院所辖本院区、康复中心区、人民银行区</w:t>
      </w:r>
    </w:p>
    <w:p>
      <w:pPr>
        <w:snapToGrid w:val="0"/>
        <w:spacing w:line="440" w:lineRule="exact"/>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第</w:t>
      </w:r>
      <w:r>
        <w:rPr>
          <w:rFonts w:hint="eastAsia" w:ascii="宋体" w:hAnsi="宋体" w:eastAsia="宋体" w:cs="宋体"/>
          <w:b/>
          <w:color w:val="auto"/>
          <w:sz w:val="21"/>
          <w:szCs w:val="21"/>
          <w:highlight w:val="none"/>
          <w:lang w:eastAsia="zh-CN"/>
        </w:rPr>
        <w:t>二</w:t>
      </w:r>
      <w:r>
        <w:rPr>
          <w:rFonts w:hint="eastAsia" w:ascii="宋体" w:hAnsi="宋体" w:eastAsia="宋体" w:cs="宋体"/>
          <w:b/>
          <w:color w:val="auto"/>
          <w:sz w:val="21"/>
          <w:szCs w:val="21"/>
          <w:highlight w:val="none"/>
        </w:rPr>
        <w:t>条 服务内容</w:t>
      </w:r>
    </w:p>
    <w:p>
      <w:pPr>
        <w:spacing w:line="440" w:lineRule="exact"/>
        <w:ind w:firstLine="620" w:firstLineChars="0"/>
        <w:rPr>
          <w:rFonts w:hint="eastAsia" w:ascii="宋体" w:hAnsi="宋体" w:eastAsia="宋体" w:cs="宋体"/>
          <w:color w:val="auto"/>
          <w:sz w:val="21"/>
          <w:szCs w:val="21"/>
          <w:highlight w:val="none"/>
          <w:u w:val="single"/>
          <w:shd w:val="clear" w:color="FFFFFF" w:fill="D9D9D9"/>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物业服务内容概况：</w:t>
      </w:r>
      <w:r>
        <w:rPr>
          <w:rFonts w:hint="eastAsia" w:ascii="宋体" w:hAnsi="宋体" w:eastAsia="宋体" w:cs="宋体"/>
          <w:color w:val="auto"/>
          <w:sz w:val="21"/>
          <w:szCs w:val="21"/>
          <w:highlight w:val="none"/>
          <w:u w:val="single"/>
        </w:rPr>
        <w:t xml:space="preserve">   保洁及医疗辅助服务（包含医疗垃圾处理、室内消毒）、安保服务及停车场管理、绿化养护、消防安全及消防器材管理、消防控制室管理、门禁监控系统管理、搬运服务（小型物品、器械及药品搬运服务</w:t>
      </w:r>
      <w:r>
        <w:rPr>
          <w:rFonts w:hint="eastAsia" w:ascii="宋体" w:hAnsi="宋体" w:eastAsia="宋体" w:cs="宋体"/>
          <w:color w:val="auto"/>
          <w:sz w:val="21"/>
          <w:szCs w:val="21"/>
          <w:highlight w:val="none"/>
          <w:u w:val="single"/>
          <w:lang w:val="en-US" w:eastAsia="zh-CN"/>
        </w:rPr>
        <w:t>等</w:t>
      </w:r>
      <w:r>
        <w:rPr>
          <w:rFonts w:hint="eastAsia" w:ascii="宋体" w:hAnsi="宋体" w:eastAsia="宋体" w:cs="宋体"/>
          <w:color w:val="auto"/>
          <w:sz w:val="21"/>
          <w:szCs w:val="21"/>
          <w:highlight w:val="none"/>
          <w:u w:val="single"/>
        </w:rPr>
        <w:t xml:space="preserve">）、应急事件处理等  </w:t>
      </w:r>
    </w:p>
    <w:p>
      <w:pPr>
        <w:spacing w:line="440" w:lineRule="exact"/>
        <w:ind w:firstLine="315" w:firstLineChars="15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物业服务范畴：</w:t>
      </w:r>
      <w:bookmarkStart w:id="196" w:name="_Hlk173336849"/>
      <w:r>
        <w:rPr>
          <w:rFonts w:hint="eastAsia" w:ascii="宋体" w:hAnsi="宋体" w:eastAsia="宋体" w:cs="宋体"/>
          <w:color w:val="auto"/>
          <w:sz w:val="21"/>
          <w:szCs w:val="21"/>
          <w:highlight w:val="none"/>
          <w:u w:val="single"/>
        </w:rPr>
        <w:t xml:space="preserve">                                                                    </w:t>
      </w:r>
    </w:p>
    <w:p>
      <w:pPr>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第</w:t>
      </w:r>
      <w:r>
        <w:rPr>
          <w:rFonts w:hint="eastAsia" w:ascii="宋体" w:hAnsi="宋体" w:eastAsia="宋体" w:cs="宋体"/>
          <w:b/>
          <w:bCs/>
          <w:color w:val="auto"/>
          <w:sz w:val="21"/>
          <w:szCs w:val="21"/>
          <w:highlight w:val="none"/>
          <w:lang w:eastAsia="zh-CN"/>
        </w:rPr>
        <w:t>三</w:t>
      </w:r>
      <w:r>
        <w:rPr>
          <w:rFonts w:hint="eastAsia" w:ascii="宋体" w:hAnsi="宋体" w:eastAsia="宋体" w:cs="宋体"/>
          <w:b/>
          <w:bCs/>
          <w:color w:val="auto"/>
          <w:sz w:val="21"/>
          <w:szCs w:val="21"/>
          <w:highlight w:val="none"/>
        </w:rPr>
        <w:t>条　质量保证</w:t>
      </w:r>
    </w:p>
    <w:p>
      <w:pPr>
        <w:pStyle w:val="1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乙方所提供的服务及服务内容必须与投标文件承诺相一致，有国家强制性标准的，还必须符合国家强制性标准的规定，没有国家强制性标准但有其他强制性标准的，必须符合其他强制性标准的规定。</w:t>
      </w:r>
    </w:p>
    <w:bookmarkEnd w:id="196"/>
    <w:p>
      <w:pPr>
        <w:snapToGrid w:val="0"/>
        <w:spacing w:line="440" w:lineRule="exact"/>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第</w:t>
      </w:r>
      <w:r>
        <w:rPr>
          <w:rFonts w:hint="eastAsia" w:ascii="宋体" w:hAnsi="宋体" w:eastAsia="宋体" w:cs="宋体"/>
          <w:b/>
          <w:color w:val="auto"/>
          <w:sz w:val="21"/>
          <w:szCs w:val="21"/>
          <w:highlight w:val="none"/>
          <w:lang w:eastAsia="zh-CN"/>
        </w:rPr>
        <w:t>四</w:t>
      </w:r>
      <w:r>
        <w:rPr>
          <w:rFonts w:hint="eastAsia" w:ascii="宋体" w:hAnsi="宋体" w:eastAsia="宋体" w:cs="宋体"/>
          <w:b/>
          <w:color w:val="auto"/>
          <w:sz w:val="21"/>
          <w:szCs w:val="21"/>
          <w:highlight w:val="none"/>
        </w:rPr>
        <w:t>条 合同期限</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本合同服务期限为：自签订合同之日起</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若</w:t>
      </w:r>
      <w:r>
        <w:rPr>
          <w:rFonts w:hint="eastAsia" w:ascii="宋体" w:hAnsi="宋体" w:eastAsia="宋体" w:cs="宋体"/>
          <w:color w:val="auto"/>
          <w:sz w:val="21"/>
          <w:szCs w:val="21"/>
          <w:highlight w:val="none"/>
          <w:lang w:eastAsia="zh-CN"/>
        </w:rPr>
        <w:t>年度考核不合格，采购人有权</w:t>
      </w:r>
      <w:r>
        <w:rPr>
          <w:rFonts w:hint="eastAsia" w:ascii="宋体" w:hAnsi="宋体" w:eastAsia="宋体" w:cs="宋体"/>
          <w:color w:val="auto"/>
          <w:sz w:val="21"/>
          <w:szCs w:val="21"/>
          <w:highlight w:val="none"/>
          <w:lang w:val="en-US" w:eastAsia="zh-CN"/>
        </w:rPr>
        <w:t>终止</w:t>
      </w:r>
      <w:r>
        <w:rPr>
          <w:rFonts w:hint="eastAsia" w:ascii="宋体" w:hAnsi="宋体" w:eastAsia="宋体" w:cs="宋体"/>
          <w:color w:val="auto"/>
          <w:sz w:val="21"/>
          <w:szCs w:val="21"/>
          <w:highlight w:val="none"/>
          <w:lang w:eastAsia="zh-CN"/>
        </w:rPr>
        <w:t>合同。</w:t>
      </w:r>
    </w:p>
    <w:p>
      <w:pPr>
        <w:snapToGrid w:val="0"/>
        <w:spacing w:line="440" w:lineRule="exact"/>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第</w:t>
      </w:r>
      <w:r>
        <w:rPr>
          <w:rFonts w:hint="eastAsia" w:ascii="宋体" w:hAnsi="宋体" w:eastAsia="宋体" w:cs="宋体"/>
          <w:b/>
          <w:color w:val="auto"/>
          <w:sz w:val="21"/>
          <w:szCs w:val="21"/>
          <w:highlight w:val="none"/>
          <w:lang w:eastAsia="zh-CN"/>
        </w:rPr>
        <w:t>五</w:t>
      </w:r>
      <w:r>
        <w:rPr>
          <w:rFonts w:hint="eastAsia" w:ascii="宋体" w:hAnsi="宋体" w:eastAsia="宋体" w:cs="宋体"/>
          <w:b/>
          <w:color w:val="auto"/>
          <w:sz w:val="21"/>
          <w:szCs w:val="21"/>
          <w:highlight w:val="none"/>
        </w:rPr>
        <w:t>条 验收</w:t>
      </w:r>
    </w:p>
    <w:p>
      <w:pPr>
        <w:snapToGrid w:val="0"/>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1、乙方提供不符合采购文件和本合同规定的服务，甲方有权拒绝接受。</w:t>
      </w:r>
    </w:p>
    <w:p>
      <w:pPr>
        <w:snapToGrid w:val="0"/>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2、验收：按采购文件项目采购需求要求执行。</w:t>
      </w:r>
    </w:p>
    <w:p>
      <w:pPr>
        <w:snapToGrid w:val="0"/>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第</w:t>
      </w:r>
      <w:r>
        <w:rPr>
          <w:rFonts w:hint="eastAsia" w:ascii="宋体" w:hAnsi="宋体" w:eastAsia="宋体" w:cs="宋体"/>
          <w:b/>
          <w:color w:val="auto"/>
          <w:sz w:val="21"/>
          <w:szCs w:val="21"/>
          <w:highlight w:val="none"/>
          <w:lang w:eastAsia="zh-CN"/>
        </w:rPr>
        <w:t>六</w:t>
      </w:r>
      <w:r>
        <w:rPr>
          <w:rFonts w:hint="eastAsia" w:ascii="宋体" w:hAnsi="宋体" w:eastAsia="宋体" w:cs="宋体"/>
          <w:b/>
          <w:color w:val="auto"/>
          <w:sz w:val="21"/>
          <w:szCs w:val="21"/>
          <w:highlight w:val="none"/>
        </w:rPr>
        <w:t>条　售后服务及培训</w:t>
      </w:r>
    </w:p>
    <w:p>
      <w:pPr>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乙方应按照国家有关法律法规和本合同所附的《售后服务承诺》要求为甲方提供相应的售后服务。</w:t>
      </w:r>
    </w:p>
    <w:p>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甲方应提供必要测试条件（如场地、电源、水源等）。</w:t>
      </w:r>
    </w:p>
    <w:p>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乙方负责甲方有关人员的培训。培训时间、地点：</w:t>
      </w:r>
      <w:r>
        <w:rPr>
          <w:rFonts w:hint="eastAsia" w:ascii="宋体" w:hAnsi="宋体" w:eastAsia="宋体" w:cs="宋体"/>
          <w:color w:val="auto"/>
          <w:sz w:val="21"/>
          <w:szCs w:val="21"/>
          <w:highlight w:val="none"/>
          <w:u w:val="single"/>
        </w:rPr>
        <w:t xml:space="preserve"> 甲方指定时间、地点 </w:t>
      </w:r>
      <w:r>
        <w:rPr>
          <w:rFonts w:hint="eastAsia" w:ascii="宋体" w:hAnsi="宋体" w:eastAsia="宋体" w:cs="宋体"/>
          <w:color w:val="auto"/>
          <w:sz w:val="21"/>
          <w:szCs w:val="21"/>
          <w:highlight w:val="none"/>
        </w:rPr>
        <w:t>。</w:t>
      </w:r>
    </w:p>
    <w:p>
      <w:pPr>
        <w:snapToGrid w:val="0"/>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4、乙方提供服务的质量保证期为3年 (</w:t>
      </w:r>
      <w:r>
        <w:rPr>
          <w:rFonts w:hint="eastAsia" w:ascii="宋体" w:hAnsi="宋体" w:eastAsia="宋体" w:cs="宋体"/>
          <w:bCs/>
          <w:snapToGrid w:val="0"/>
          <w:color w:val="auto"/>
          <w:kern w:val="0"/>
          <w:sz w:val="21"/>
          <w:szCs w:val="21"/>
          <w:highlight w:val="none"/>
        </w:rPr>
        <w:t>中标后签订合同，若年度考核不合格，</w:t>
      </w:r>
      <w:r>
        <w:rPr>
          <w:rFonts w:hint="eastAsia" w:ascii="宋体" w:hAnsi="宋体" w:eastAsia="宋体" w:cs="宋体"/>
          <w:bCs/>
          <w:snapToGrid w:val="0"/>
          <w:color w:val="auto"/>
          <w:kern w:val="0"/>
          <w:sz w:val="21"/>
          <w:szCs w:val="21"/>
          <w:highlight w:val="none"/>
          <w:lang w:val="en-US" w:eastAsia="zh-CN"/>
        </w:rPr>
        <w:t>甲方</w:t>
      </w:r>
      <w:r>
        <w:rPr>
          <w:rFonts w:hint="eastAsia" w:ascii="宋体" w:hAnsi="宋体" w:eastAsia="宋体" w:cs="宋体"/>
          <w:bCs/>
          <w:snapToGrid w:val="0"/>
          <w:color w:val="auto"/>
          <w:kern w:val="0"/>
          <w:sz w:val="21"/>
          <w:szCs w:val="21"/>
          <w:highlight w:val="none"/>
        </w:rPr>
        <w:t>有权依法解除合同。</w:t>
      </w:r>
      <w:r>
        <w:rPr>
          <w:rFonts w:hint="eastAsia" w:ascii="宋体" w:hAnsi="宋体" w:eastAsia="宋体" w:cs="宋体"/>
          <w:color w:val="auto"/>
          <w:sz w:val="21"/>
          <w:szCs w:val="21"/>
          <w:highlight w:val="none"/>
          <w:lang w:val="en-US" w:eastAsia="zh-CN"/>
        </w:rPr>
        <w:t>)</w:t>
      </w:r>
    </w:p>
    <w:p>
      <w:pPr>
        <w:snapToGrid w:val="0"/>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5、在本合同约定的质量保证期内，乙方应对服务出现的问题负责处理解决并承担一切费用。</w:t>
      </w:r>
    </w:p>
    <w:p>
      <w:pPr>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第</w:t>
      </w:r>
      <w:r>
        <w:rPr>
          <w:rFonts w:hint="eastAsia" w:ascii="宋体" w:hAnsi="宋体" w:eastAsia="宋体" w:cs="宋体"/>
          <w:b/>
          <w:bCs/>
          <w:color w:val="auto"/>
          <w:sz w:val="21"/>
          <w:szCs w:val="21"/>
          <w:highlight w:val="none"/>
          <w:lang w:eastAsia="zh-CN"/>
        </w:rPr>
        <w:t>七</w:t>
      </w:r>
      <w:r>
        <w:rPr>
          <w:rFonts w:hint="eastAsia" w:ascii="宋体" w:hAnsi="宋体" w:eastAsia="宋体" w:cs="宋体"/>
          <w:b/>
          <w:color w:val="auto"/>
          <w:sz w:val="21"/>
          <w:szCs w:val="21"/>
          <w:highlight w:val="none"/>
        </w:rPr>
        <w:t>条</w:t>
      </w:r>
      <w:r>
        <w:rPr>
          <w:rFonts w:hint="eastAsia" w:ascii="宋体" w:hAnsi="宋体" w:eastAsia="宋体" w:cs="宋体"/>
          <w:color w:val="auto"/>
          <w:sz w:val="21"/>
          <w:szCs w:val="21"/>
          <w:highlight w:val="none"/>
        </w:rPr>
        <w:t xml:space="preserve"> </w:t>
      </w:r>
      <w:r>
        <w:rPr>
          <w:rFonts w:hint="eastAsia" w:ascii="宋体" w:hAnsi="宋体" w:eastAsia="宋体" w:cs="宋体"/>
          <w:b/>
          <w:color w:val="auto"/>
          <w:sz w:val="21"/>
          <w:szCs w:val="21"/>
          <w:highlight w:val="none"/>
        </w:rPr>
        <w:t>考核标准</w:t>
      </w:r>
    </w:p>
    <w:p>
      <w:pPr>
        <w:pStyle w:val="27"/>
        <w:spacing w:line="560" w:lineRule="exact"/>
        <w:ind w:firstLine="6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按照甲方采购需求内《</w:t>
      </w:r>
      <w:r>
        <w:rPr>
          <w:rFonts w:hint="eastAsia" w:ascii="宋体" w:hAnsi="宋体" w:eastAsia="宋体" w:cs="宋体"/>
          <w:color w:val="auto"/>
          <w:sz w:val="21"/>
          <w:szCs w:val="21"/>
          <w:highlight w:val="none"/>
          <w:lang w:eastAsia="zh-CN"/>
        </w:rPr>
        <w:t>物业服务年度考核评分表</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考核</w:t>
      </w:r>
      <w:r>
        <w:rPr>
          <w:rFonts w:hint="eastAsia" w:ascii="宋体" w:hAnsi="宋体" w:eastAsia="宋体" w:cs="宋体"/>
          <w:color w:val="auto"/>
          <w:sz w:val="21"/>
          <w:szCs w:val="21"/>
          <w:highlight w:val="none"/>
        </w:rPr>
        <w:t>。</w:t>
      </w:r>
    </w:p>
    <w:p>
      <w:pPr>
        <w:snapToGrid w:val="0"/>
        <w:spacing w:line="440" w:lineRule="exact"/>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第</w:t>
      </w:r>
      <w:r>
        <w:rPr>
          <w:rFonts w:hint="eastAsia" w:ascii="宋体" w:hAnsi="宋体" w:eastAsia="宋体" w:cs="宋体"/>
          <w:b/>
          <w:color w:val="auto"/>
          <w:sz w:val="21"/>
          <w:szCs w:val="21"/>
          <w:highlight w:val="none"/>
          <w:lang w:eastAsia="zh-CN"/>
        </w:rPr>
        <w:t>八</w:t>
      </w:r>
      <w:r>
        <w:rPr>
          <w:rFonts w:hint="eastAsia" w:ascii="宋体" w:hAnsi="宋体" w:eastAsia="宋体" w:cs="宋体"/>
          <w:b/>
          <w:color w:val="auto"/>
          <w:sz w:val="21"/>
          <w:szCs w:val="21"/>
          <w:highlight w:val="none"/>
        </w:rPr>
        <w:t>条 甲方</w:t>
      </w:r>
      <w:r>
        <w:rPr>
          <w:rFonts w:hint="eastAsia" w:ascii="宋体" w:hAnsi="宋体" w:eastAsia="宋体" w:cs="宋体"/>
          <w:b/>
          <w:color w:val="auto"/>
          <w:sz w:val="21"/>
          <w:szCs w:val="21"/>
          <w:highlight w:val="none"/>
          <w:lang w:eastAsia="zh-CN"/>
        </w:rPr>
        <w:t>的</w:t>
      </w:r>
      <w:r>
        <w:rPr>
          <w:rFonts w:hint="eastAsia" w:ascii="宋体" w:hAnsi="宋体" w:eastAsia="宋体" w:cs="宋体"/>
          <w:b/>
          <w:color w:val="auto"/>
          <w:sz w:val="21"/>
          <w:szCs w:val="21"/>
          <w:highlight w:val="none"/>
        </w:rPr>
        <w:t>权利</w:t>
      </w:r>
      <w:r>
        <w:rPr>
          <w:rFonts w:hint="eastAsia" w:ascii="宋体" w:hAnsi="宋体" w:eastAsia="宋体" w:cs="宋体"/>
          <w:b/>
          <w:color w:val="auto"/>
          <w:sz w:val="21"/>
          <w:szCs w:val="21"/>
          <w:highlight w:val="none"/>
          <w:lang w:eastAsia="zh-CN"/>
        </w:rPr>
        <w:t>和</w:t>
      </w:r>
      <w:r>
        <w:rPr>
          <w:rFonts w:hint="eastAsia" w:ascii="宋体" w:hAnsi="宋体" w:eastAsia="宋体" w:cs="宋体"/>
          <w:b/>
          <w:color w:val="auto"/>
          <w:sz w:val="21"/>
          <w:szCs w:val="21"/>
          <w:highlight w:val="none"/>
        </w:rPr>
        <w:t>义务</w:t>
      </w:r>
    </w:p>
    <w:p>
      <w:pPr>
        <w:tabs>
          <w:tab w:val="left" w:pos="1185"/>
        </w:tabs>
        <w:spacing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审定乙方编制的物业服务方案、年度管理服务计划等，监督乙方管理服务工作的实施。甲方有权按照合同约定和法律规定的标准规范，对乙方实施的物业服务提出修改和变更建议。</w:t>
      </w:r>
    </w:p>
    <w:p>
      <w:pPr>
        <w:tabs>
          <w:tab w:val="left" w:pos="1185"/>
        </w:tabs>
        <w:spacing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2、负责协调、处理、解决本合同生效前发生的遗留问题，便于乙方开展工作。</w:t>
      </w:r>
    </w:p>
    <w:p>
      <w:pPr>
        <w:tabs>
          <w:tab w:val="left" w:pos="1185"/>
        </w:tabs>
        <w:spacing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 制定、审议、修改物业区域共用部位和共用设施设备使用、公共秩序和环境卫生维护等方面的规章制度。审核涉及本物业公共部位固定资产配置、绿化和设备改造等事项，并根据批准的方案委托乙方实施。</w:t>
      </w:r>
    </w:p>
    <w:p>
      <w:pPr>
        <w:tabs>
          <w:tab w:val="left" w:pos="1185"/>
        </w:tabs>
        <w:spacing w:line="400" w:lineRule="exact"/>
        <w:ind w:firstLine="420" w:firstLineChars="200"/>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4、甲方对物业服务质量进行监督检查，对不符合质量标准的管理服务有权要求乙方整改，乙方应及时整改落实。</w:t>
      </w:r>
    </w:p>
    <w:p>
      <w:pPr>
        <w:tabs>
          <w:tab w:val="left" w:pos="1185"/>
        </w:tabs>
        <w:spacing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 对乙方的节能工作进行指导，下达有关物业年度节能指标，督促乙方加大节能管理力度，提高用能设施设备的能源利用效率。</w:t>
      </w:r>
    </w:p>
    <w:p>
      <w:pPr>
        <w:tabs>
          <w:tab w:val="left" w:pos="1185"/>
        </w:tabs>
        <w:spacing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6、根据有关部门的要求，指导、协调乙方妥善处理与物业服务相关的控烟、爱国卫生等工作。</w:t>
      </w:r>
    </w:p>
    <w:p>
      <w:pPr>
        <w:tabs>
          <w:tab w:val="left" w:pos="1185"/>
        </w:tabs>
        <w:spacing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7、与乙方沟通协调物业服务相关事宜，组织实施第三方物业服务满意度测评，配合乙方提升本物业的服务质量。</w:t>
      </w:r>
    </w:p>
    <w:p>
      <w:pPr>
        <w:tabs>
          <w:tab w:val="left" w:pos="1185"/>
        </w:tabs>
        <w:spacing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8、甲方在合同生效之日起</w:t>
      </w:r>
      <w:r>
        <w:rPr>
          <w:rFonts w:hint="eastAsia" w:ascii="宋体" w:hAnsi="宋体" w:eastAsia="宋体" w:cs="宋体"/>
          <w:color w:val="auto"/>
          <w:sz w:val="21"/>
          <w:szCs w:val="21"/>
          <w:highlight w:val="none"/>
          <w:u w:val="single"/>
        </w:rPr>
        <w:t>30</w:t>
      </w:r>
      <w:r>
        <w:rPr>
          <w:rFonts w:hint="eastAsia" w:ascii="宋体" w:hAnsi="宋体" w:eastAsia="宋体" w:cs="宋体"/>
          <w:color w:val="auto"/>
          <w:sz w:val="21"/>
          <w:szCs w:val="21"/>
          <w:highlight w:val="none"/>
        </w:rPr>
        <w:t>日内按规定向乙方提供本物业所有的物业及物业工作档案、资料，并在乙方管理期满时予以收回。</w:t>
      </w:r>
    </w:p>
    <w:p>
      <w:pPr>
        <w:tabs>
          <w:tab w:val="left" w:pos="1185"/>
        </w:tabs>
        <w:spacing w:line="400" w:lineRule="exact"/>
        <w:ind w:left="435"/>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9、不得干涉乙方依法或依本合同规定内容所进行的管理活动。</w:t>
      </w:r>
    </w:p>
    <w:p>
      <w:pPr>
        <w:tabs>
          <w:tab w:val="left" w:pos="1185"/>
        </w:tabs>
        <w:spacing w:line="400" w:lineRule="exact"/>
        <w:ind w:left="435"/>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10、负责处理非乙方原因而产生的各种纠纷。</w:t>
      </w:r>
    </w:p>
    <w:p>
      <w:pPr>
        <w:tabs>
          <w:tab w:val="left" w:pos="1185"/>
        </w:tabs>
        <w:spacing w:line="400" w:lineRule="exact"/>
        <w:ind w:left="435"/>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11、协助乙方做好物业工作。</w:t>
      </w:r>
    </w:p>
    <w:p>
      <w:pPr>
        <w:tabs>
          <w:tab w:val="left" w:pos="1185"/>
        </w:tabs>
        <w:spacing w:line="400" w:lineRule="exact"/>
        <w:ind w:left="435"/>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12、法规政策规定由甲方承担的其他责任。</w:t>
      </w:r>
    </w:p>
    <w:p>
      <w:pPr>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13、</w:t>
      </w:r>
      <w:r>
        <w:rPr>
          <w:rFonts w:hint="eastAsia" w:ascii="宋体" w:hAnsi="宋体" w:eastAsia="宋体" w:cs="宋体"/>
          <w:color w:val="auto"/>
          <w:sz w:val="21"/>
          <w:szCs w:val="21"/>
          <w:highlight w:val="none"/>
        </w:rPr>
        <w:t>因政府政策、决策变动等原因，致使合同无法履行的，甲方有权单方终止本合同。</w:t>
      </w:r>
    </w:p>
    <w:p>
      <w:pPr>
        <w:snapToGrid w:val="0"/>
        <w:spacing w:line="440" w:lineRule="exact"/>
        <w:ind w:firstLine="422"/>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第</w:t>
      </w:r>
      <w:r>
        <w:rPr>
          <w:rFonts w:hint="eastAsia" w:ascii="宋体" w:hAnsi="宋体" w:eastAsia="宋体" w:cs="宋体"/>
          <w:b/>
          <w:bCs w:val="0"/>
          <w:color w:val="auto"/>
          <w:sz w:val="21"/>
          <w:szCs w:val="21"/>
          <w:highlight w:val="none"/>
          <w:lang w:eastAsia="zh-CN"/>
        </w:rPr>
        <w:t>九</w:t>
      </w:r>
      <w:r>
        <w:rPr>
          <w:rFonts w:hint="eastAsia" w:ascii="宋体" w:hAnsi="宋体" w:eastAsia="宋体" w:cs="宋体"/>
          <w:b/>
          <w:bCs w:val="0"/>
          <w:color w:val="auto"/>
          <w:sz w:val="21"/>
          <w:szCs w:val="21"/>
          <w:highlight w:val="none"/>
        </w:rPr>
        <w:t>条 乙方</w:t>
      </w:r>
      <w:r>
        <w:rPr>
          <w:rFonts w:hint="eastAsia" w:ascii="宋体" w:hAnsi="宋体" w:eastAsia="宋体" w:cs="宋体"/>
          <w:b/>
          <w:bCs w:val="0"/>
          <w:color w:val="auto"/>
          <w:sz w:val="21"/>
          <w:szCs w:val="21"/>
          <w:highlight w:val="none"/>
          <w:lang w:eastAsia="zh-CN"/>
        </w:rPr>
        <w:t>的</w:t>
      </w:r>
      <w:r>
        <w:rPr>
          <w:rFonts w:hint="eastAsia" w:ascii="宋体" w:hAnsi="宋体" w:eastAsia="宋体" w:cs="宋体"/>
          <w:b/>
          <w:bCs w:val="0"/>
          <w:color w:val="auto"/>
          <w:sz w:val="21"/>
          <w:szCs w:val="21"/>
          <w:highlight w:val="none"/>
        </w:rPr>
        <w:t>权利</w:t>
      </w:r>
      <w:r>
        <w:rPr>
          <w:rFonts w:hint="eastAsia" w:ascii="宋体" w:hAnsi="宋体" w:eastAsia="宋体" w:cs="宋体"/>
          <w:b/>
          <w:bCs w:val="0"/>
          <w:color w:val="auto"/>
          <w:sz w:val="21"/>
          <w:szCs w:val="21"/>
          <w:highlight w:val="none"/>
          <w:lang w:eastAsia="zh-CN"/>
        </w:rPr>
        <w:t>和</w:t>
      </w:r>
      <w:r>
        <w:rPr>
          <w:rFonts w:hint="eastAsia" w:ascii="宋体" w:hAnsi="宋体" w:eastAsia="宋体" w:cs="宋体"/>
          <w:b/>
          <w:bCs w:val="0"/>
          <w:color w:val="auto"/>
          <w:sz w:val="21"/>
          <w:szCs w:val="21"/>
          <w:highlight w:val="none"/>
        </w:rPr>
        <w:t>义务</w:t>
      </w:r>
    </w:p>
    <w:p>
      <w:pPr>
        <w:tabs>
          <w:tab w:val="left" w:pos="1185"/>
        </w:tabs>
        <w:spacing w:line="400" w:lineRule="exact"/>
        <w:ind w:firstLine="411" w:firstLineChars="196"/>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 xml:space="preserve"> 在承接物业时，对物业档案资料、共用部位、设施设备等进行查验,并做好书面确认工作，妥善保管。</w:t>
      </w:r>
    </w:p>
    <w:p>
      <w:pPr>
        <w:tabs>
          <w:tab w:val="left" w:pos="1185"/>
        </w:tabs>
        <w:spacing w:line="400" w:lineRule="exact"/>
        <w:ind w:firstLine="411" w:firstLineChars="196"/>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在本物业服务区域设立专门机构负责物业的日常管理工作，并按要求委派符合岗位资格要求的人员履行本合同。</w:t>
      </w:r>
      <w:r>
        <w:rPr>
          <w:rFonts w:hint="eastAsia" w:ascii="宋体" w:hAnsi="宋体" w:eastAsia="宋体" w:cs="宋体"/>
          <w:color w:val="auto"/>
          <w:sz w:val="21"/>
          <w:szCs w:val="21"/>
          <w:highlight w:val="none"/>
          <w:lang w:val="en-US" w:eastAsia="zh-CN"/>
        </w:rPr>
        <w:t>严格落实新生儿胎盘处理制度，严禁私自买卖胎盘。每天专人对接甲方药剂科配合搬运药品，并做好药品运送安全保护措施。</w:t>
      </w:r>
    </w:p>
    <w:p>
      <w:pPr>
        <w:tabs>
          <w:tab w:val="left" w:pos="1185"/>
        </w:tabs>
        <w:spacing w:line="400" w:lineRule="exact"/>
        <w:ind w:firstLine="411" w:firstLineChars="196"/>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 xml:space="preserve"> 编制物业服务方案、年度管理服务计划并认真落实执行，根据法律法规的规定及本物业的实际情况开展物业服务。</w:t>
      </w:r>
    </w:p>
    <w:p>
      <w:pPr>
        <w:tabs>
          <w:tab w:val="left" w:pos="1185"/>
        </w:tabs>
        <w:spacing w:line="400" w:lineRule="exact"/>
        <w:ind w:firstLine="411" w:firstLineChars="196"/>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乙方物业服务项目的人员应具备相应的职业资格和应有的素质，做好从业人员有关政治素养方面的审核。如需调整主要管理人员及技术骨干应事先通报甲方，对甲方提出认为不适合的在岗人员，乙方应在接到甲方变更在岗人员要求后及时作出调整。</w:t>
      </w:r>
    </w:p>
    <w:p>
      <w:pPr>
        <w:tabs>
          <w:tab w:val="left" w:pos="1185"/>
        </w:tabs>
        <w:spacing w:line="400" w:lineRule="exact"/>
        <w:ind w:firstLine="411" w:firstLineChars="196"/>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非经甲方书面许可，不得改变物业区域内共用部位、共用设施设备的用途，不得占用、挖掘物业区域内道路和场地，同时乙方对第三人的相关行为也应予以制止；确因工作需要，乙方应事前以书面形式向甲方提出申请并经同意后，方可实施，施工不得影响医院工作秩序。</w:t>
      </w:r>
    </w:p>
    <w:p>
      <w:pPr>
        <w:tabs>
          <w:tab w:val="left" w:pos="1185"/>
        </w:tabs>
        <w:spacing w:line="400" w:lineRule="exact"/>
        <w:ind w:firstLine="411" w:firstLineChars="196"/>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 xml:space="preserve"> 对有违反或影响本合同执行，包括影响医院正常办公秩序的行为，乙方应及时整改。</w:t>
      </w:r>
    </w:p>
    <w:p>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因乙方管理不善，造成甲方重大经济损失的，乙方应给予赔偿。</w:t>
      </w:r>
    </w:p>
    <w:p>
      <w:pPr>
        <w:tabs>
          <w:tab w:val="left" w:pos="1185"/>
        </w:tabs>
        <w:spacing w:line="400" w:lineRule="exact"/>
        <w:ind w:firstLine="411" w:firstLineChars="196"/>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协助甲方做好物业区域内各项节能管理工作，对物业服务人员进行节能管理专业培训，加大节能管理力度。</w:t>
      </w:r>
    </w:p>
    <w:p>
      <w:pPr>
        <w:tabs>
          <w:tab w:val="left" w:pos="1185"/>
        </w:tabs>
        <w:spacing w:line="400" w:lineRule="exact"/>
        <w:ind w:firstLine="411" w:firstLineChars="196"/>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乙方应协助甲方做好本物业区域的安全生产和事故防范工作，对从事本物业的从业人员应进行安全操作培训</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每年应进行一次全部员工健康体检，并将体检结果报备甲方（注：保洁人员需做传染病等相关检查）</w:t>
      </w:r>
      <w:r>
        <w:rPr>
          <w:rFonts w:hint="eastAsia" w:ascii="宋体" w:hAnsi="宋体" w:eastAsia="宋体" w:cs="宋体"/>
          <w:color w:val="auto"/>
          <w:sz w:val="21"/>
          <w:szCs w:val="21"/>
          <w:highlight w:val="none"/>
        </w:rPr>
        <w:t>；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p>
    <w:p>
      <w:pPr>
        <w:tabs>
          <w:tab w:val="left" w:pos="1185"/>
        </w:tabs>
        <w:spacing w:line="400" w:lineRule="exact"/>
        <w:ind w:firstLine="411" w:firstLineChars="196"/>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按要求组织成立服务质量监督检查部门，定期对物业服务质量进行内部监督检查，及时向甲方通报本物业服务区域有关物业服务的重大事项，稳步提升物业服务质量。</w:t>
      </w:r>
    </w:p>
    <w:p>
      <w:pPr>
        <w:tabs>
          <w:tab w:val="left" w:pos="1185"/>
        </w:tabs>
        <w:spacing w:line="400" w:lineRule="exact"/>
        <w:ind w:firstLine="411" w:firstLineChars="196"/>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11、</w:t>
      </w:r>
      <w:r>
        <w:rPr>
          <w:rFonts w:hint="eastAsia" w:ascii="宋体" w:hAnsi="宋体" w:eastAsia="宋体" w:cs="宋体"/>
          <w:color w:val="auto"/>
          <w:sz w:val="21"/>
          <w:szCs w:val="21"/>
          <w:highlight w:val="none"/>
        </w:rPr>
        <w:t>合同期限届满且不再续签新合同时，乙方应向甲方移交房屋、物料、设备、工具、档案和图纸资料，并填写移交清单，由双方签收；全部手续完成后签署物业移交确认书。</w:t>
      </w:r>
    </w:p>
    <w:p>
      <w:pPr>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w:t>
      </w:r>
      <w:r>
        <w:rPr>
          <w:rFonts w:hint="eastAsia" w:ascii="宋体" w:hAnsi="宋体" w:eastAsia="宋体" w:cs="宋体"/>
          <w:color w:val="auto"/>
          <w:sz w:val="21"/>
          <w:szCs w:val="21"/>
          <w:highlight w:val="none"/>
        </w:rPr>
        <w:t>应按劳动部门的政策给员工办好社会养老保险并对保安工作人员办好意外伤害保险等手续，有关手续费用已含在本合同中。在合同执行期间，乙方人员工作时若发生工伤或保安人员发生意外伤害，由乙方承担全部民事责任，甲方不承担任何责任。</w:t>
      </w:r>
    </w:p>
    <w:p>
      <w:pPr>
        <w:spacing w:line="440" w:lineRule="exact"/>
        <w:ind w:firstLine="315"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13、</w:t>
      </w:r>
      <w:r>
        <w:rPr>
          <w:rFonts w:hint="eastAsia" w:ascii="宋体" w:hAnsi="宋体" w:eastAsia="宋体" w:cs="宋体"/>
          <w:color w:val="auto"/>
          <w:sz w:val="21"/>
          <w:szCs w:val="21"/>
          <w:highlight w:val="none"/>
        </w:rPr>
        <w:t>本合同终止时，乙方须向甲方移交期初转交的保洁设施、设备，并确保各项设施的性能良好。</w:t>
      </w:r>
    </w:p>
    <w:p>
      <w:pPr>
        <w:spacing w:line="440" w:lineRule="exact"/>
        <w:ind w:firstLine="422" w:firstLine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第</w:t>
      </w:r>
      <w:r>
        <w:rPr>
          <w:rFonts w:hint="eastAsia" w:ascii="宋体" w:hAnsi="宋体" w:eastAsia="宋体" w:cs="宋体"/>
          <w:b/>
          <w:bCs/>
          <w:color w:val="auto"/>
          <w:sz w:val="21"/>
          <w:szCs w:val="21"/>
          <w:highlight w:val="none"/>
          <w:lang w:eastAsia="zh-CN"/>
        </w:rPr>
        <w:t>十</w:t>
      </w:r>
      <w:r>
        <w:rPr>
          <w:rFonts w:hint="eastAsia" w:ascii="宋体" w:hAnsi="宋体" w:eastAsia="宋体" w:cs="宋体"/>
          <w:b/>
          <w:bCs/>
          <w:color w:val="auto"/>
          <w:sz w:val="21"/>
          <w:szCs w:val="21"/>
          <w:highlight w:val="none"/>
        </w:rPr>
        <w:t>条 服务费用及支付</w:t>
      </w:r>
    </w:p>
    <w:p>
      <w:pPr>
        <w:tabs>
          <w:tab w:val="left" w:pos="1185"/>
        </w:tabs>
        <w:spacing w:line="400" w:lineRule="exact"/>
        <w:ind w:firstLine="413" w:firstLineChars="196"/>
        <w:jc w:val="left"/>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rPr>
        <w:t>本项目合同金额：</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元整</w:t>
      </w:r>
      <w:r>
        <w:rPr>
          <w:rFonts w:hint="eastAsia" w:ascii="宋体" w:hAnsi="宋体" w:eastAsia="宋体" w:cs="宋体"/>
          <w:b w:val="0"/>
          <w:bCs w:val="0"/>
          <w:color w:val="auto"/>
          <w:sz w:val="21"/>
          <w:szCs w:val="21"/>
          <w:highlight w:val="none"/>
          <w:u w:val="single"/>
          <w:lang w:eastAsia="zh-CN"/>
        </w:rPr>
        <w:t>（</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u w:val="single"/>
        </w:rPr>
        <w:t>元</w:t>
      </w:r>
      <w:r>
        <w:rPr>
          <w:rFonts w:hint="eastAsia" w:ascii="宋体" w:hAnsi="宋体" w:eastAsia="宋体" w:cs="宋体"/>
          <w:b w:val="0"/>
          <w:bCs w:val="0"/>
          <w:color w:val="auto"/>
          <w:sz w:val="21"/>
          <w:szCs w:val="21"/>
          <w:highlight w:val="none"/>
          <w:u w:val="single"/>
          <w:lang w:eastAsia="zh-CN"/>
        </w:rPr>
        <w:t>）</w:t>
      </w:r>
    </w:p>
    <w:p>
      <w:pPr>
        <w:keepNext w:val="0"/>
        <w:keepLines w:val="0"/>
        <w:pageBreakBefore w:val="0"/>
        <w:tabs>
          <w:tab w:val="left" w:pos="1185"/>
        </w:tabs>
        <w:kinsoku/>
        <w:wordWrap/>
        <w:overflowPunct/>
        <w:topLinePunct w:val="0"/>
        <w:autoSpaceDE/>
        <w:autoSpaceDN/>
        <w:bidi w:val="0"/>
        <w:adjustRightInd/>
        <w:snapToGrid/>
        <w:spacing w:line="360" w:lineRule="auto"/>
        <w:ind w:firstLine="422" w:firstLineChars="200"/>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支付方式：</w:t>
      </w:r>
      <w:r>
        <w:rPr>
          <w:rFonts w:hint="eastAsia" w:ascii="宋体" w:hAnsi="宋体" w:eastAsia="宋体" w:cs="宋体"/>
          <w:color w:val="auto"/>
          <w:sz w:val="21"/>
          <w:szCs w:val="21"/>
          <w:highlight w:val="none"/>
        </w:rPr>
        <w:t>按月支付，平均每月服务费金额:</w:t>
      </w:r>
      <w:r>
        <w:rPr>
          <w:rFonts w:hint="eastAsia" w:ascii="宋体" w:hAnsi="宋体" w:eastAsia="宋体" w:cs="宋体"/>
          <w:color w:val="auto"/>
          <w:sz w:val="21"/>
          <w:szCs w:val="21"/>
          <w:highlight w:val="none"/>
          <w:lang w:val="en-US" w:eastAsia="zh-CN"/>
        </w:rPr>
        <w:t xml:space="preserve">人民币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元</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由</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每月28日前向</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申请当月费用，并开具合法发票给</w:t>
      </w:r>
      <w:r>
        <w:rPr>
          <w:rFonts w:hint="eastAsia" w:ascii="宋体" w:hAnsi="宋体" w:eastAsia="宋体" w:cs="宋体"/>
          <w:color w:val="auto"/>
          <w:sz w:val="21"/>
          <w:szCs w:val="21"/>
          <w:highlight w:val="none"/>
          <w:lang w:eastAsia="zh-CN"/>
        </w:rPr>
        <w:t>甲方，甲方</w:t>
      </w:r>
      <w:r>
        <w:rPr>
          <w:rFonts w:hint="eastAsia" w:ascii="宋体" w:hAnsi="宋体" w:eastAsia="宋体" w:cs="宋体"/>
          <w:color w:val="auto"/>
          <w:sz w:val="21"/>
          <w:szCs w:val="21"/>
          <w:highlight w:val="none"/>
        </w:rPr>
        <w:t>在</w:t>
      </w:r>
      <w:r>
        <w:rPr>
          <w:rFonts w:hint="eastAsia" w:ascii="宋体" w:hAnsi="宋体" w:eastAsia="宋体" w:cs="宋体"/>
          <w:color w:val="auto"/>
          <w:sz w:val="21"/>
          <w:szCs w:val="21"/>
          <w:highlight w:val="none"/>
          <w:lang w:val="en-US" w:eastAsia="zh-CN"/>
        </w:rPr>
        <w:t>收到发票后10</w:t>
      </w:r>
      <w:r>
        <w:rPr>
          <w:rFonts w:hint="eastAsia" w:ascii="宋体" w:hAnsi="宋体" w:eastAsia="宋体" w:cs="宋体"/>
          <w:color w:val="auto"/>
          <w:sz w:val="21"/>
          <w:szCs w:val="21"/>
          <w:highlight w:val="none"/>
        </w:rPr>
        <w:t>个工作日内支付该月费用</w:t>
      </w:r>
      <w:r>
        <w:rPr>
          <w:rFonts w:hint="eastAsia" w:ascii="宋体" w:hAnsi="宋体" w:eastAsia="宋体" w:cs="宋体"/>
          <w:color w:val="auto"/>
          <w:sz w:val="21"/>
          <w:szCs w:val="21"/>
          <w:highlight w:val="none"/>
          <w:lang w:eastAsia="zh-CN"/>
        </w:rPr>
        <w:t>给乙方</w:t>
      </w:r>
      <w:r>
        <w:rPr>
          <w:rFonts w:hint="eastAsia" w:ascii="宋体" w:hAnsi="宋体" w:eastAsia="宋体" w:cs="宋体"/>
          <w:color w:val="auto"/>
          <w:sz w:val="21"/>
          <w:szCs w:val="21"/>
          <w:highlight w:val="none"/>
        </w:rPr>
        <w:t>。</w:t>
      </w:r>
    </w:p>
    <w:p>
      <w:pPr>
        <w:keepNext w:val="0"/>
        <w:keepLines w:val="0"/>
        <w:pageBreakBefore w:val="0"/>
        <w:widowControl/>
        <w:kinsoku/>
        <w:wordWrap/>
        <w:overflowPunct/>
        <w:topLinePunct w:val="0"/>
        <w:autoSpaceDE/>
        <w:autoSpaceDN/>
        <w:bidi w:val="0"/>
        <w:adjustRightInd/>
        <w:snapToGrid/>
        <w:spacing w:line="360" w:lineRule="auto"/>
        <w:ind w:firstLine="211" w:firstLineChars="1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支付服务费的方式：</w:t>
      </w:r>
      <w:r>
        <w:rPr>
          <w:rFonts w:hint="eastAsia" w:ascii="宋体" w:hAnsi="宋体" w:eastAsia="宋体" w:cs="宋体"/>
          <w:color w:val="auto"/>
          <w:sz w:val="21"/>
          <w:szCs w:val="21"/>
          <w:highlight w:val="none"/>
          <w:lang w:val="en-US" w:eastAsia="zh-CN"/>
        </w:rPr>
        <w:t>转账形式支付，乙方开具</w:t>
      </w:r>
      <w:r>
        <w:rPr>
          <w:rFonts w:hint="eastAsia" w:ascii="宋体" w:hAnsi="宋体" w:eastAsia="宋体" w:cs="宋体"/>
          <w:color w:val="auto"/>
          <w:sz w:val="21"/>
          <w:szCs w:val="21"/>
          <w:highlight w:val="none"/>
        </w:rPr>
        <w:t>合法</w:t>
      </w:r>
      <w:r>
        <w:rPr>
          <w:rFonts w:hint="eastAsia" w:ascii="宋体" w:hAnsi="宋体" w:eastAsia="宋体" w:cs="宋体"/>
          <w:color w:val="auto"/>
          <w:sz w:val="21"/>
          <w:szCs w:val="21"/>
          <w:highlight w:val="none"/>
          <w:lang w:val="en-US" w:eastAsia="zh-CN"/>
        </w:rPr>
        <w:t>发票给甲方。</w:t>
      </w:r>
    </w:p>
    <w:p>
      <w:pPr>
        <w:numPr>
          <w:ilvl w:val="0"/>
          <w:numId w:val="0"/>
        </w:numPr>
        <w:spacing w:line="440" w:lineRule="exact"/>
        <w:ind w:firstLine="211" w:firstLineChars="1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第十一条</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履约保证金</w:t>
      </w:r>
    </w:p>
    <w:p>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履约保证金金额：本项目不收取履约保证金。</w:t>
      </w:r>
    </w:p>
    <w:p>
      <w:pPr>
        <w:spacing w:line="440" w:lineRule="exact"/>
        <w:ind w:firstLine="422" w:firstLineChars="200"/>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第十</w:t>
      </w:r>
      <w:r>
        <w:rPr>
          <w:rFonts w:hint="eastAsia" w:ascii="宋体" w:hAnsi="宋体" w:eastAsia="宋体" w:cs="宋体"/>
          <w:b/>
          <w:bCs/>
          <w:color w:val="auto"/>
          <w:sz w:val="21"/>
          <w:szCs w:val="21"/>
          <w:highlight w:val="none"/>
          <w:lang w:eastAsia="zh-CN"/>
        </w:rPr>
        <w:t>二</w:t>
      </w:r>
      <w:r>
        <w:rPr>
          <w:rFonts w:hint="eastAsia" w:ascii="宋体" w:hAnsi="宋体" w:eastAsia="宋体" w:cs="宋体"/>
          <w:b/>
          <w:bCs/>
          <w:color w:val="auto"/>
          <w:sz w:val="21"/>
          <w:szCs w:val="21"/>
          <w:highlight w:val="none"/>
        </w:rPr>
        <w:t xml:space="preserve">条 </w:t>
      </w:r>
      <w:r>
        <w:rPr>
          <w:rFonts w:hint="eastAsia" w:ascii="宋体" w:hAnsi="宋体" w:eastAsia="宋体" w:cs="宋体"/>
          <w:b/>
          <w:color w:val="auto"/>
          <w:sz w:val="21"/>
          <w:szCs w:val="21"/>
          <w:highlight w:val="none"/>
        </w:rPr>
        <w:t>违约责任</w:t>
      </w:r>
    </w:p>
    <w:p>
      <w:pPr>
        <w:tabs>
          <w:tab w:val="left" w:pos="1185"/>
        </w:tabs>
        <w:spacing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1.乙方违反合同约定，其中人员未达到合同约定的，甲方有权要求乙方在1</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rPr>
        <w:t>日内整改</w:t>
      </w:r>
      <w:r>
        <w:rPr>
          <w:rFonts w:hint="eastAsia" w:ascii="宋体" w:hAnsi="宋体" w:eastAsia="宋体" w:cs="宋体"/>
          <w:color w:val="auto"/>
          <w:sz w:val="21"/>
          <w:szCs w:val="21"/>
          <w:highlight w:val="none"/>
          <w:lang w:val="en-US" w:eastAsia="zh-CN"/>
        </w:rPr>
        <w:t>到位</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且甲方有权扣除此期间相应的服务费（缺员岗位期间的工资），</w:t>
      </w:r>
      <w:r>
        <w:rPr>
          <w:rFonts w:hint="eastAsia" w:ascii="宋体" w:hAnsi="宋体" w:eastAsia="宋体" w:cs="宋体"/>
          <w:color w:val="auto"/>
          <w:sz w:val="21"/>
          <w:szCs w:val="21"/>
          <w:highlight w:val="none"/>
        </w:rPr>
        <w:t>连续二个月以上缺2人以上，甲方有权解除合同并追究相关违约责任。</w:t>
      </w:r>
    </w:p>
    <w:p>
      <w:pPr>
        <w:tabs>
          <w:tab w:val="left" w:pos="1185"/>
        </w:tabs>
        <w:spacing w:line="400" w:lineRule="exact"/>
        <w:ind w:firstLine="411" w:firstLineChars="196"/>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因甲方房屋建筑、设施设备质量或安装技术等原因，造成重大事故的，由甲方承担责任并负责善后处理。因乙方管理不善或操作不当等原因造成重大事故的，由乙方承担责任并负责善后处理（产生事故的直接原因，以政府有关部门的鉴定结论为准）。</w:t>
      </w:r>
    </w:p>
    <w:p>
      <w:pPr>
        <w:tabs>
          <w:tab w:val="left" w:pos="1185"/>
        </w:tabs>
        <w:spacing w:line="400" w:lineRule="exact"/>
        <w:ind w:firstLine="411" w:firstLineChars="196"/>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3.甲方违反本合同的约定，致使乙方未能完成本合同约定的服务标准，乙方不承担违约责任。</w:t>
      </w:r>
    </w:p>
    <w:p>
      <w:pPr>
        <w:tabs>
          <w:tab w:val="left" w:pos="1185"/>
        </w:tabs>
        <w:spacing w:line="400" w:lineRule="exact"/>
        <w:ind w:firstLine="411" w:firstLineChars="196"/>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4、甲乙双方任何一方无正当理由提前终止合同的，违约方应赔偿对方合同未履行部分价款</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0%的违约金；造成对方损失的，应给予经济赔偿。</w:t>
      </w:r>
    </w:p>
    <w:p>
      <w:pPr>
        <w:tabs>
          <w:tab w:val="left" w:pos="1185"/>
        </w:tabs>
        <w:spacing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5、合同期内或到期时，甲方有权单方解除合同情形的或甲方重新采购更换物业单位，乙方必须支持甲方此项工作，在约定时间内向甲方移交房屋、物料、设备、工具、档案和图纸资料。按照</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广西物业管理条例</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第六十六条规定，</w:t>
      </w:r>
      <w:r>
        <w:rPr>
          <w:rFonts w:hint="eastAsia" w:ascii="宋体" w:hAnsi="宋体" w:eastAsia="宋体" w:cs="宋体"/>
          <w:color w:val="auto"/>
          <w:sz w:val="21"/>
          <w:szCs w:val="21"/>
          <w:highlight w:val="none"/>
        </w:rPr>
        <w:t>协助做好先后两家物管单位的平稳过渡和交接工作；如违反</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广西物业管理条例</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第六十六条规定，</w:t>
      </w:r>
      <w:r>
        <w:rPr>
          <w:rFonts w:hint="eastAsia" w:ascii="宋体" w:hAnsi="宋体" w:eastAsia="宋体" w:cs="宋体"/>
          <w:color w:val="auto"/>
          <w:sz w:val="21"/>
          <w:szCs w:val="21"/>
          <w:highlight w:val="none"/>
        </w:rPr>
        <w:t>不移交有关资料的，按</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广西物业管理条例</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第六十七条规定</w:t>
      </w:r>
      <w:r>
        <w:rPr>
          <w:rFonts w:hint="eastAsia" w:ascii="宋体" w:hAnsi="宋体" w:eastAsia="宋体" w:cs="宋体"/>
          <w:color w:val="auto"/>
          <w:sz w:val="21"/>
          <w:szCs w:val="21"/>
          <w:highlight w:val="none"/>
        </w:rPr>
        <w:t>执行。</w:t>
      </w:r>
    </w:p>
    <w:p>
      <w:pPr>
        <w:tabs>
          <w:tab w:val="left" w:pos="1185"/>
        </w:tabs>
        <w:spacing w:line="400" w:lineRule="exact"/>
        <w:ind w:firstLine="420" w:firstLineChars="200"/>
        <w:jc w:val="left"/>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6、</w:t>
      </w:r>
      <w:r>
        <w:rPr>
          <w:rFonts w:hint="eastAsia" w:ascii="宋体" w:hAnsi="宋体" w:eastAsia="宋体" w:cs="宋体"/>
          <w:bCs/>
          <w:color w:val="auto"/>
          <w:sz w:val="21"/>
          <w:szCs w:val="21"/>
          <w:highlight w:val="none"/>
        </w:rPr>
        <w:t>甲方</w:t>
      </w:r>
      <w:r>
        <w:rPr>
          <w:rFonts w:hint="eastAsia" w:ascii="宋体" w:hAnsi="宋体" w:eastAsia="宋体" w:cs="宋体"/>
          <w:color w:val="auto"/>
          <w:sz w:val="21"/>
          <w:szCs w:val="21"/>
          <w:highlight w:val="none"/>
        </w:rPr>
        <w:t>对不符合质量标准的管理服务提出整改，乙方拒不整改或三次整改不到位的，</w:t>
      </w:r>
      <w:r>
        <w:rPr>
          <w:rFonts w:hint="eastAsia" w:ascii="宋体" w:hAnsi="宋体" w:eastAsia="宋体" w:cs="宋体"/>
          <w:bCs/>
          <w:color w:val="auto"/>
          <w:sz w:val="21"/>
          <w:szCs w:val="21"/>
          <w:highlight w:val="none"/>
        </w:rPr>
        <w:t>甲方有权解除合同。</w:t>
      </w:r>
    </w:p>
    <w:p>
      <w:pPr>
        <w:spacing w:line="360" w:lineRule="auto"/>
        <w:ind w:firstLine="400" w:firstLineChars="200"/>
        <w:rPr>
          <w:rFonts w:hint="default" w:hAnsi="宋体" w:cs="宋体"/>
          <w:color w:val="auto"/>
          <w:sz w:val="18"/>
          <w:szCs w:val="20"/>
          <w:highlight w:val="none"/>
          <w:u w:val="none"/>
          <w:lang w:val="en-US" w:eastAsia="zh-CN"/>
        </w:rPr>
      </w:pPr>
      <w:r>
        <w:rPr>
          <w:rFonts w:hint="eastAsia" w:hAnsi="宋体" w:cs="宋体"/>
          <w:color w:val="auto"/>
          <w:sz w:val="20"/>
          <w:szCs w:val="21"/>
          <w:highlight w:val="none"/>
          <w:u w:val="none"/>
          <w:lang w:val="en-US" w:eastAsia="zh-CN"/>
        </w:rPr>
        <w:t>7</w:t>
      </w:r>
      <w:r>
        <w:rPr>
          <w:rFonts w:hint="eastAsia" w:hAnsi="宋体" w:cs="宋体"/>
          <w:color w:val="auto"/>
          <w:sz w:val="21"/>
          <w:szCs w:val="22"/>
          <w:highlight w:val="none"/>
          <w:u w:val="none"/>
          <w:lang w:val="en-US" w:eastAsia="zh-CN"/>
        </w:rPr>
        <w:t>、</w:t>
      </w:r>
      <w:r>
        <w:rPr>
          <w:rFonts w:hint="eastAsia" w:hAnsi="宋体" w:cs="宋体"/>
          <w:color w:val="auto"/>
          <w:sz w:val="18"/>
          <w:szCs w:val="20"/>
          <w:highlight w:val="none"/>
          <w:u w:val="none"/>
          <w:lang w:val="en-US" w:eastAsia="zh-CN"/>
        </w:rPr>
        <w:t>甲方已支付</w:t>
      </w:r>
      <w:r>
        <w:rPr>
          <w:rFonts w:hint="eastAsia" w:ascii="宋体" w:hAnsi="宋体" w:eastAsia="宋体" w:cs="宋体"/>
          <w:color w:val="auto"/>
          <w:sz w:val="18"/>
          <w:szCs w:val="18"/>
          <w:highlight w:val="none"/>
          <w:lang w:val="en-US" w:eastAsia="zh-CN"/>
        </w:rPr>
        <w:t>服务费</w:t>
      </w:r>
      <w:r>
        <w:rPr>
          <w:rFonts w:hint="eastAsia" w:hAnsi="宋体" w:cs="宋体"/>
          <w:color w:val="auto"/>
          <w:sz w:val="18"/>
          <w:szCs w:val="20"/>
          <w:highlight w:val="none"/>
          <w:u w:val="none"/>
          <w:lang w:val="en-US" w:eastAsia="zh-CN"/>
        </w:rPr>
        <w:t>，乙方收到</w:t>
      </w:r>
      <w:r>
        <w:rPr>
          <w:rFonts w:hint="eastAsia" w:ascii="宋体" w:hAnsi="宋体" w:eastAsia="宋体" w:cs="宋体"/>
          <w:color w:val="auto"/>
          <w:sz w:val="18"/>
          <w:szCs w:val="18"/>
          <w:highlight w:val="none"/>
          <w:lang w:val="en-US" w:eastAsia="zh-CN"/>
        </w:rPr>
        <w:t>服务费</w:t>
      </w:r>
      <w:r>
        <w:rPr>
          <w:rFonts w:hint="eastAsia" w:hAnsi="宋体" w:cs="宋体"/>
          <w:color w:val="auto"/>
          <w:sz w:val="18"/>
          <w:szCs w:val="20"/>
          <w:highlight w:val="none"/>
          <w:u w:val="none"/>
          <w:lang w:val="en-US" w:eastAsia="zh-CN"/>
        </w:rPr>
        <w:t>后挪用，导致工人集体罢工及闹事，甲方有权停止支付</w:t>
      </w:r>
      <w:r>
        <w:rPr>
          <w:rFonts w:hint="eastAsia" w:ascii="宋体" w:hAnsi="宋体" w:eastAsia="宋体" w:cs="宋体"/>
          <w:color w:val="auto"/>
          <w:sz w:val="18"/>
          <w:szCs w:val="18"/>
          <w:highlight w:val="none"/>
          <w:lang w:val="en-US" w:eastAsia="zh-CN"/>
        </w:rPr>
        <w:t>服务费</w:t>
      </w:r>
      <w:r>
        <w:rPr>
          <w:rFonts w:hint="eastAsia" w:hAnsi="宋体" w:cs="宋体"/>
          <w:color w:val="auto"/>
          <w:sz w:val="18"/>
          <w:szCs w:val="20"/>
          <w:highlight w:val="none"/>
          <w:u w:val="none"/>
          <w:lang w:val="en-US" w:eastAsia="zh-CN"/>
        </w:rPr>
        <w:t>，待乙方整改完成在进行支付。如情节严重拒不整改的，甲方有权自行解除合同并委托律师介入处理，由此产生费由乙方承担。</w:t>
      </w:r>
    </w:p>
    <w:p>
      <w:pPr>
        <w:widowControl/>
        <w:adjustRightInd w:val="0"/>
        <w:snapToGrid w:val="0"/>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、乙方不得以挂靠形式承揽该本合同项目，不得进行转包、分包，甲方一经发现视为违约，甲方有权解除合同。</w:t>
      </w:r>
    </w:p>
    <w:p>
      <w:pPr>
        <w:widowControl/>
        <w:adjustRightInd w:val="0"/>
        <w:snapToGrid w:val="0"/>
        <w:spacing w:line="360" w:lineRule="auto"/>
        <w:ind w:firstLine="42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第十</w:t>
      </w:r>
      <w:r>
        <w:rPr>
          <w:rFonts w:hint="eastAsia" w:ascii="宋体" w:hAnsi="宋体" w:eastAsia="宋体" w:cs="宋体"/>
          <w:b/>
          <w:bCs/>
          <w:color w:val="auto"/>
          <w:sz w:val="21"/>
          <w:szCs w:val="21"/>
          <w:highlight w:val="none"/>
          <w:lang w:eastAsia="zh-CN"/>
        </w:rPr>
        <w:t>三</w:t>
      </w:r>
      <w:r>
        <w:rPr>
          <w:rFonts w:hint="eastAsia" w:ascii="宋体" w:hAnsi="宋体" w:eastAsia="宋体" w:cs="宋体"/>
          <w:b/>
          <w:bCs/>
          <w:color w:val="auto"/>
          <w:sz w:val="21"/>
          <w:szCs w:val="21"/>
          <w:highlight w:val="none"/>
        </w:rPr>
        <w:t>条不可抗力的约定</w:t>
      </w:r>
    </w:p>
    <w:p>
      <w:pPr>
        <w:spacing w:line="440" w:lineRule="exact"/>
        <w:ind w:firstLine="315" w:firstLine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本合同执行期间，如遇不可抗力，致使合同无法履行时，双方应按有关法律规定及时协商处理。</w:t>
      </w:r>
    </w:p>
    <w:p>
      <w:pPr>
        <w:spacing w:line="440" w:lineRule="exact"/>
        <w:ind w:firstLine="315" w:firstLine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第十</w:t>
      </w:r>
      <w:r>
        <w:rPr>
          <w:rFonts w:hint="eastAsia" w:ascii="宋体" w:hAnsi="宋体" w:eastAsia="宋体" w:cs="宋体"/>
          <w:b/>
          <w:bCs/>
          <w:color w:val="auto"/>
          <w:sz w:val="21"/>
          <w:szCs w:val="21"/>
          <w:highlight w:val="none"/>
          <w:lang w:eastAsia="zh-CN"/>
        </w:rPr>
        <w:t>四</w:t>
      </w:r>
      <w:r>
        <w:rPr>
          <w:rFonts w:hint="eastAsia" w:ascii="宋体" w:hAnsi="宋体" w:eastAsia="宋体" w:cs="宋体"/>
          <w:b/>
          <w:bCs/>
          <w:color w:val="auto"/>
          <w:sz w:val="21"/>
          <w:szCs w:val="21"/>
          <w:highlight w:val="none"/>
        </w:rPr>
        <w:t>条 争议处理</w:t>
      </w:r>
    </w:p>
    <w:p>
      <w:pPr>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本合同在履行中如发生争议，双方应协商解决或报请物业管理行政主管部门进行调解，协商或调解不成的，双方均可向甲方所在地人民法院提起诉讼。</w:t>
      </w:r>
    </w:p>
    <w:p>
      <w:pPr>
        <w:spacing w:line="440" w:lineRule="exact"/>
        <w:ind w:firstLine="315" w:firstLineChars="0"/>
        <w:textAlignment w:val="baseline"/>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第十</w:t>
      </w:r>
      <w:r>
        <w:rPr>
          <w:rFonts w:hint="eastAsia" w:ascii="宋体" w:hAnsi="宋体" w:eastAsia="宋体" w:cs="宋体"/>
          <w:b/>
          <w:bCs/>
          <w:color w:val="auto"/>
          <w:sz w:val="21"/>
          <w:szCs w:val="21"/>
          <w:highlight w:val="none"/>
          <w:lang w:eastAsia="zh-CN"/>
        </w:rPr>
        <w:t>五</w:t>
      </w:r>
      <w:r>
        <w:rPr>
          <w:rFonts w:hint="eastAsia" w:ascii="宋体" w:hAnsi="宋体" w:eastAsia="宋体" w:cs="宋体"/>
          <w:b/>
          <w:bCs/>
          <w:color w:val="auto"/>
          <w:sz w:val="21"/>
          <w:szCs w:val="21"/>
          <w:highlight w:val="none"/>
        </w:rPr>
        <w:t>条 合同生效及其它</w:t>
      </w:r>
    </w:p>
    <w:p>
      <w:pPr>
        <w:spacing w:line="440" w:lineRule="exact"/>
        <w:ind w:firstLine="525" w:firstLineChars="2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本合同经双方法定代表人或授权委托代理人签字盖章之日起生效。</w:t>
      </w:r>
    </w:p>
    <w:p>
      <w:pPr>
        <w:tabs>
          <w:tab w:val="left" w:pos="1185"/>
        </w:tabs>
        <w:spacing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双方可对本合同的条款进行修订更改或补充，但应书面签订补充协议，补充协议与本合同具有同等效力。</w:t>
      </w:r>
    </w:p>
    <w:p>
      <w:pPr>
        <w:tabs>
          <w:tab w:val="left" w:pos="1185"/>
        </w:tabs>
        <w:spacing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合同规定的管理期满，本合同自然终止。</w:t>
      </w:r>
    </w:p>
    <w:p>
      <w:pPr>
        <w:tabs>
          <w:tab w:val="left" w:pos="1185"/>
        </w:tabs>
        <w:spacing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本合同执行期间如遇不可抗力，致使合同无法履行时，双方均不承担违约责任并按有关法规政策规定及时协商处理。</w:t>
      </w:r>
    </w:p>
    <w:p>
      <w:pPr>
        <w:tabs>
          <w:tab w:val="left" w:pos="1185"/>
        </w:tabs>
        <w:spacing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本合同之附件均为合同有效组成部分，本合同及其附件内空格部分填写的文字与印刷文字具有同等效力。本合同及其附件和补充协议中未规定的事项，均遵照中华人民共和国有关法律、法规和政策执行。</w:t>
      </w:r>
    </w:p>
    <w:p>
      <w:pPr>
        <w:tabs>
          <w:tab w:val="left" w:pos="1185"/>
        </w:tabs>
        <w:spacing w:line="400" w:lineRule="exact"/>
        <w:ind w:firstLine="420" w:firstLineChars="20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rPr>
        <w:t>6、</w:t>
      </w:r>
      <w:r>
        <w:rPr>
          <w:rFonts w:hint="eastAsia" w:ascii="宋体" w:hAnsi="宋体" w:eastAsia="宋体" w:cs="宋体"/>
          <w:color w:val="auto"/>
          <w:kern w:val="2"/>
          <w:sz w:val="21"/>
          <w:szCs w:val="21"/>
          <w:highlight w:val="none"/>
        </w:rPr>
        <w:t>本合同履行期间</w:t>
      </w:r>
      <w:r>
        <w:rPr>
          <w:rFonts w:hint="eastAsia" w:ascii="宋体" w:hAnsi="宋体" w:eastAsia="宋体" w:cs="宋体"/>
          <w:color w:val="auto"/>
          <w:kern w:val="2"/>
          <w:sz w:val="21"/>
          <w:szCs w:val="21"/>
          <w:highlight w:val="none"/>
          <w:lang w:val="en-US" w:eastAsia="zh-CN"/>
        </w:rPr>
        <w:t>,</w:t>
      </w:r>
      <w:r>
        <w:rPr>
          <w:rFonts w:hint="eastAsia" w:ascii="宋体" w:hAnsi="宋体" w:eastAsia="宋体" w:cs="宋体"/>
          <w:color w:val="auto"/>
          <w:kern w:val="2"/>
          <w:sz w:val="21"/>
          <w:szCs w:val="21"/>
          <w:highlight w:val="none"/>
        </w:rPr>
        <w:t>如政府部门硬定性增加或减少调整员工的社保金或</w:t>
      </w:r>
      <w:r>
        <w:rPr>
          <w:rFonts w:hint="eastAsia" w:ascii="宋体" w:hAnsi="宋体" w:eastAsia="宋体" w:cs="宋体"/>
          <w:color w:val="auto"/>
          <w:kern w:val="2"/>
          <w:sz w:val="21"/>
          <w:szCs w:val="21"/>
          <w:highlight w:val="none"/>
          <w:lang w:eastAsia="zh-CN"/>
        </w:rPr>
        <w:t>调整最低工资标准时</w:t>
      </w:r>
      <w:r>
        <w:rPr>
          <w:rFonts w:hint="eastAsia" w:ascii="宋体" w:hAnsi="宋体" w:eastAsia="宋体" w:cs="宋体"/>
          <w:color w:val="auto"/>
          <w:kern w:val="2"/>
          <w:sz w:val="21"/>
          <w:szCs w:val="21"/>
          <w:highlight w:val="none"/>
        </w:rPr>
        <w:t>，服务费用</w:t>
      </w:r>
      <w:r>
        <w:rPr>
          <w:rFonts w:hint="eastAsia" w:ascii="宋体" w:hAnsi="宋体" w:eastAsia="宋体" w:cs="宋体"/>
          <w:color w:val="auto"/>
          <w:kern w:val="2"/>
          <w:sz w:val="21"/>
          <w:szCs w:val="21"/>
          <w:highlight w:val="none"/>
          <w:lang w:val="en-US" w:eastAsia="zh-CN"/>
        </w:rPr>
        <w:t>不</w:t>
      </w:r>
      <w:r>
        <w:rPr>
          <w:rFonts w:hint="eastAsia" w:ascii="宋体" w:hAnsi="宋体" w:eastAsia="宋体" w:cs="宋体"/>
          <w:color w:val="auto"/>
          <w:kern w:val="2"/>
          <w:sz w:val="21"/>
          <w:szCs w:val="21"/>
          <w:highlight w:val="none"/>
          <w:lang w:eastAsia="zh-CN"/>
        </w:rPr>
        <w:t>按</w:t>
      </w:r>
      <w:r>
        <w:rPr>
          <w:rFonts w:hint="eastAsia" w:ascii="宋体" w:hAnsi="宋体" w:eastAsia="宋体" w:cs="宋体"/>
          <w:color w:val="auto"/>
          <w:kern w:val="2"/>
          <w:sz w:val="21"/>
          <w:szCs w:val="21"/>
          <w:highlight w:val="none"/>
        </w:rPr>
        <w:t>政府调整的金额度重新调整</w:t>
      </w:r>
      <w:r>
        <w:rPr>
          <w:rFonts w:hint="eastAsia" w:ascii="宋体" w:hAnsi="宋体" w:eastAsia="宋体" w:cs="宋体"/>
          <w:color w:val="auto"/>
          <w:kern w:val="2"/>
          <w:sz w:val="21"/>
          <w:szCs w:val="21"/>
          <w:highlight w:val="none"/>
          <w:lang w:eastAsia="zh-CN"/>
        </w:rPr>
        <w:t>；在合同期内甲方因工作需要增加或者减少服务科室或服务内容时</w:t>
      </w:r>
      <w:r>
        <w:rPr>
          <w:rFonts w:hint="eastAsia" w:ascii="宋体" w:hAnsi="宋体" w:eastAsia="宋体" w:cs="宋体"/>
          <w:color w:val="auto"/>
          <w:kern w:val="2"/>
          <w:sz w:val="21"/>
          <w:szCs w:val="21"/>
          <w:highlight w:val="none"/>
        </w:rPr>
        <w:t>可双方协商适当增加</w:t>
      </w:r>
      <w:r>
        <w:rPr>
          <w:rFonts w:hint="eastAsia" w:ascii="宋体" w:hAnsi="宋体" w:eastAsia="宋体" w:cs="宋体"/>
          <w:color w:val="auto"/>
          <w:kern w:val="2"/>
          <w:sz w:val="21"/>
          <w:szCs w:val="21"/>
          <w:highlight w:val="none"/>
          <w:lang w:eastAsia="zh-CN"/>
        </w:rPr>
        <w:t>或减少服务</w:t>
      </w:r>
      <w:r>
        <w:rPr>
          <w:rFonts w:hint="eastAsia" w:ascii="宋体" w:hAnsi="宋体" w:eastAsia="宋体" w:cs="宋体"/>
          <w:color w:val="auto"/>
          <w:kern w:val="2"/>
          <w:sz w:val="21"/>
          <w:szCs w:val="21"/>
          <w:highlight w:val="none"/>
        </w:rPr>
        <w:t>费用，另行签订补充协议。合同补充协议与合同具有同等法律效力。</w:t>
      </w:r>
    </w:p>
    <w:p>
      <w:pPr>
        <w:tabs>
          <w:tab w:val="left" w:pos="1185"/>
        </w:tabs>
        <w:spacing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其他约定事项：合同履行中，如需修改或补充合同内容，由双方协商另签署书面修改或补充协议，作为本合同不可分割的一部分。</w:t>
      </w:r>
    </w:p>
    <w:p>
      <w:pPr>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合同执行中涉及采购资金和采购内容修改或补充的，须经财政部门审批，并签书面补充协议报财政局备案，方可作为主合同不可分割的一部分。</w:t>
      </w:r>
    </w:p>
    <w:p>
      <w:pPr>
        <w:spacing w:line="440" w:lineRule="exact"/>
        <w:ind w:firstLine="525" w:firstLineChars="2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本合同一式</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份，具有同等法律效力，甲方执</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份，乙方及市政府采购中心各执壹份。自签订之日起两个工作日内，甲方应当将合同副本报广西政采云平台备案。</w:t>
      </w:r>
    </w:p>
    <w:p>
      <w:pPr>
        <w:spacing w:line="440" w:lineRule="exact"/>
        <w:ind w:firstLine="525" w:firstLineChars="2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本合同未尽</w:t>
      </w:r>
      <w:r>
        <w:rPr>
          <w:rFonts w:hint="eastAsia" w:ascii="宋体" w:hAnsi="宋体" w:eastAsia="宋体" w:cs="宋体"/>
          <w:color w:val="auto"/>
          <w:sz w:val="21"/>
          <w:szCs w:val="21"/>
          <w:highlight w:val="none"/>
          <w:lang w:val="en-US" w:eastAsia="zh-CN"/>
        </w:rPr>
        <w:t>事宜</w:t>
      </w:r>
      <w:r>
        <w:rPr>
          <w:rFonts w:hint="eastAsia" w:ascii="宋体" w:hAnsi="宋体" w:eastAsia="宋体" w:cs="宋体"/>
          <w:color w:val="auto"/>
          <w:sz w:val="21"/>
          <w:szCs w:val="21"/>
          <w:highlight w:val="none"/>
        </w:rPr>
        <w:t>，遵照《中华人民共和国民法典》有关条文执行。</w:t>
      </w:r>
    </w:p>
    <w:p>
      <w:pPr>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第十</w:t>
      </w:r>
      <w:r>
        <w:rPr>
          <w:rFonts w:hint="eastAsia" w:ascii="宋体" w:hAnsi="宋体" w:eastAsia="宋体" w:cs="宋体"/>
          <w:b/>
          <w:bCs/>
          <w:color w:val="auto"/>
          <w:sz w:val="21"/>
          <w:szCs w:val="21"/>
          <w:highlight w:val="none"/>
          <w:lang w:eastAsia="zh-CN"/>
        </w:rPr>
        <w:t>六</w:t>
      </w:r>
      <w:r>
        <w:rPr>
          <w:rFonts w:hint="eastAsia" w:ascii="宋体" w:hAnsi="宋体" w:eastAsia="宋体" w:cs="宋体"/>
          <w:b/>
          <w:bCs/>
          <w:color w:val="auto"/>
          <w:sz w:val="21"/>
          <w:szCs w:val="21"/>
          <w:highlight w:val="none"/>
        </w:rPr>
        <w:t>条　签订本合同依据</w:t>
      </w:r>
    </w:p>
    <w:p>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1.中标通知书；</w:t>
      </w:r>
    </w:p>
    <w:p>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2.投标报价明细表；</w:t>
      </w:r>
    </w:p>
    <w:p>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3.商务条款偏离表和服务需求、技术需求偏离表；</w:t>
      </w:r>
    </w:p>
    <w:p>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4.服务方案；</w:t>
      </w:r>
    </w:p>
    <w:p>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5.投标文件中的其他相关文件。</w:t>
      </w:r>
    </w:p>
    <w:p>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6.上述合同文件互相补充和解释。如果合同文件之间存在矛盾或者不一致之处，以上述文件的排列顺序在先者为准。</w:t>
      </w:r>
    </w:p>
    <w:p>
      <w:pPr>
        <w:spacing w:line="360" w:lineRule="auto"/>
        <w:ind w:firstLine="420" w:firstLineChars="200"/>
        <w:rPr>
          <w:rFonts w:hint="eastAsia" w:ascii="宋体" w:hAnsi="宋体" w:eastAsia="宋体" w:cs="宋体"/>
          <w:color w:val="auto"/>
          <w:sz w:val="21"/>
          <w:szCs w:val="21"/>
          <w:highlight w:val="none"/>
        </w:rPr>
      </w:pPr>
    </w:p>
    <w:p>
      <w:pPr>
        <w:pStyle w:val="140"/>
        <w:rPr>
          <w:rFonts w:hint="eastAsia" w:ascii="宋体" w:hAnsi="宋体" w:eastAsia="宋体" w:cs="宋体"/>
          <w:color w:val="auto"/>
          <w:sz w:val="21"/>
          <w:szCs w:val="21"/>
          <w:highlight w:val="none"/>
        </w:rPr>
      </w:pPr>
    </w:p>
    <w:p>
      <w:pPr>
        <w:spacing w:line="520" w:lineRule="exact"/>
        <w:ind w:firstLine="315" w:firstLineChars="150"/>
        <w:rPr>
          <w:rFonts w:hint="eastAsia" w:ascii="宋体" w:hAnsi="宋体" w:eastAsia="宋体" w:cs="宋体"/>
          <w:color w:val="auto"/>
          <w:sz w:val="21"/>
          <w:szCs w:val="21"/>
          <w:highlight w:val="none"/>
        </w:rPr>
      </w:pPr>
    </w:p>
    <w:p>
      <w:pPr>
        <w:spacing w:line="520" w:lineRule="exact"/>
        <w:ind w:firstLine="315" w:firstLine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r>
    </w:p>
    <w:tbl>
      <w:tblPr>
        <w:tblStyle w:val="49"/>
        <w:tblpPr w:leftFromText="180" w:rightFromText="180" w:vertAnchor="page" w:horzAnchor="margin" w:tblpY="1501"/>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86"/>
        <w:gridCol w:w="46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24" w:hRule="atLeast"/>
        </w:trPr>
        <w:tc>
          <w:tcPr>
            <w:tcW w:w="4786" w:type="dxa"/>
            <w:tcBorders>
              <w:top w:val="single" w:color="auto" w:sz="4" w:space="0"/>
              <w:left w:val="single" w:color="auto" w:sz="4" w:space="0"/>
              <w:bottom w:val="single" w:color="auto" w:sz="4" w:space="0"/>
              <w:right w:val="single" w:color="auto" w:sz="4" w:space="0"/>
            </w:tcBorders>
            <w:noWrap w:val="0"/>
            <w:vAlign w:val="center"/>
          </w:tcPr>
          <w:p>
            <w:pPr>
              <w:snapToGrid w:val="0"/>
              <w:spacing w:line="320" w:lineRule="exact"/>
              <w:ind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甲方（盖章）</w:t>
            </w:r>
            <w:r>
              <w:rPr>
                <w:rFonts w:hint="eastAsia" w:ascii="宋体" w:hAnsi="宋体" w:eastAsia="宋体" w:cs="宋体"/>
                <w:color w:val="auto"/>
                <w:sz w:val="21"/>
                <w:szCs w:val="21"/>
                <w:highlight w:val="none"/>
                <w:lang w:eastAsia="zh-CN"/>
              </w:rPr>
              <w:t>防城港市防城区妇幼保健院</w:t>
            </w:r>
          </w:p>
          <w:p>
            <w:pPr>
              <w:snapToGrid w:val="0"/>
              <w:spacing w:line="320" w:lineRule="exact"/>
              <w:ind w:firstLine="0" w:firstLineChars="0"/>
              <w:jc w:val="right"/>
              <w:rPr>
                <w:rFonts w:hint="eastAsia" w:ascii="宋体" w:hAnsi="宋体" w:eastAsia="宋体" w:cs="宋体"/>
                <w:color w:val="auto"/>
                <w:sz w:val="21"/>
                <w:szCs w:val="21"/>
                <w:highlight w:val="none"/>
              </w:rPr>
            </w:pPr>
          </w:p>
          <w:p>
            <w:pPr>
              <w:snapToGrid w:val="0"/>
              <w:spacing w:line="320" w:lineRule="exact"/>
              <w:ind w:firstLine="0" w:firstLineChars="0"/>
              <w:jc w:val="right"/>
              <w:rPr>
                <w:rFonts w:hint="eastAsia" w:ascii="宋体" w:hAnsi="宋体" w:eastAsia="宋体" w:cs="宋体"/>
                <w:color w:val="auto"/>
                <w:sz w:val="21"/>
                <w:szCs w:val="21"/>
                <w:highlight w:val="none"/>
              </w:rPr>
            </w:pPr>
          </w:p>
          <w:p>
            <w:pPr>
              <w:snapToGrid w:val="0"/>
              <w:spacing w:line="320" w:lineRule="exact"/>
              <w:ind w:firstLine="0" w:firstLineChars="0"/>
              <w:jc w:val="right"/>
              <w:rPr>
                <w:rFonts w:hint="eastAsia" w:ascii="宋体" w:hAnsi="宋体" w:eastAsia="宋体" w:cs="宋体"/>
                <w:color w:val="auto"/>
                <w:sz w:val="21"/>
                <w:szCs w:val="21"/>
                <w:highlight w:val="none"/>
              </w:rPr>
            </w:pPr>
          </w:p>
          <w:p>
            <w:pPr>
              <w:snapToGrid w:val="0"/>
              <w:spacing w:line="320" w:lineRule="exact"/>
              <w:ind w:firstLine="0" w:firstLineChars="0"/>
              <w:jc w:val="right"/>
              <w:rPr>
                <w:rFonts w:hint="eastAsia" w:ascii="宋体" w:hAnsi="宋体" w:eastAsia="宋体" w:cs="宋体"/>
                <w:color w:val="auto"/>
                <w:sz w:val="21"/>
                <w:szCs w:val="21"/>
                <w:highlight w:val="none"/>
              </w:rPr>
            </w:pPr>
          </w:p>
          <w:p>
            <w:pPr>
              <w:snapToGrid w:val="0"/>
              <w:spacing w:line="320" w:lineRule="exact"/>
              <w:ind w:firstLine="0" w:firstLineChars="0"/>
              <w:jc w:val="right"/>
              <w:rPr>
                <w:rFonts w:hint="eastAsia" w:ascii="宋体" w:hAnsi="宋体" w:eastAsia="宋体" w:cs="宋体"/>
                <w:color w:val="auto"/>
                <w:sz w:val="21"/>
                <w:szCs w:val="21"/>
                <w:highlight w:val="none"/>
              </w:rPr>
            </w:pPr>
          </w:p>
          <w:p>
            <w:pPr>
              <w:snapToGrid w:val="0"/>
              <w:spacing w:line="320" w:lineRule="exact"/>
              <w:ind w:firstLine="0" w:firstLineChars="0"/>
              <w:jc w:val="right"/>
              <w:rPr>
                <w:rFonts w:hint="eastAsia" w:ascii="宋体" w:hAnsi="宋体" w:eastAsia="宋体" w:cs="宋体"/>
                <w:color w:val="auto"/>
                <w:sz w:val="21"/>
                <w:szCs w:val="21"/>
                <w:highlight w:val="none"/>
              </w:rPr>
            </w:pPr>
          </w:p>
          <w:p>
            <w:pPr>
              <w:snapToGrid w:val="0"/>
              <w:spacing w:line="320" w:lineRule="exact"/>
              <w:ind w:firstLine="0" w:firstLineChars="0"/>
              <w:jc w:val="right"/>
              <w:rPr>
                <w:rFonts w:hint="eastAsia" w:ascii="宋体" w:hAnsi="宋体" w:eastAsia="宋体" w:cs="宋体"/>
                <w:color w:val="auto"/>
                <w:sz w:val="21"/>
                <w:szCs w:val="21"/>
                <w:highlight w:val="none"/>
              </w:rPr>
            </w:pPr>
          </w:p>
          <w:p>
            <w:pPr>
              <w:snapToGrid w:val="0"/>
              <w:spacing w:line="320" w:lineRule="exact"/>
              <w:ind w:firstLine="0" w:firstLineChars="0"/>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年   月   日</w:t>
            </w:r>
          </w:p>
        </w:tc>
        <w:tc>
          <w:tcPr>
            <w:tcW w:w="4678" w:type="dxa"/>
            <w:tcBorders>
              <w:top w:val="single" w:color="auto" w:sz="4" w:space="0"/>
              <w:left w:val="single" w:color="auto" w:sz="4" w:space="0"/>
              <w:bottom w:val="single" w:color="auto" w:sz="4" w:space="0"/>
              <w:right w:val="single" w:color="auto" w:sz="4" w:space="0"/>
            </w:tcBorders>
            <w:noWrap w:val="0"/>
            <w:vAlign w:val="center"/>
          </w:tcPr>
          <w:p>
            <w:pPr>
              <w:snapToGrid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乙方（盖章）</w:t>
            </w:r>
          </w:p>
          <w:p>
            <w:pPr>
              <w:snapToGrid w:val="0"/>
              <w:spacing w:line="320" w:lineRule="exact"/>
              <w:ind w:firstLine="35" w:firstLineChars="17"/>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p>
          <w:p>
            <w:pPr>
              <w:snapToGrid w:val="0"/>
              <w:spacing w:line="320" w:lineRule="exact"/>
              <w:ind w:firstLine="35" w:firstLineChars="17"/>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atLeast"/>
        </w:trPr>
        <w:tc>
          <w:tcPr>
            <w:tcW w:w="4786" w:type="dxa"/>
            <w:tcBorders>
              <w:top w:val="single" w:color="auto" w:sz="4" w:space="0"/>
              <w:left w:val="single" w:color="auto" w:sz="4" w:space="0"/>
              <w:bottom w:val="single" w:color="auto" w:sz="4" w:space="0"/>
              <w:right w:val="single" w:color="auto" w:sz="4" w:space="0"/>
            </w:tcBorders>
            <w:noWrap w:val="0"/>
            <w:vAlign w:val="center"/>
          </w:tcPr>
          <w:p>
            <w:pPr>
              <w:snapToGrid w:val="0"/>
              <w:spacing w:line="440" w:lineRule="exact"/>
              <w:ind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单位地址：</w:t>
            </w:r>
            <w:r>
              <w:rPr>
                <w:rFonts w:hint="eastAsia" w:ascii="宋体" w:hAnsi="宋体" w:eastAsia="宋体" w:cs="宋体"/>
                <w:color w:val="auto"/>
                <w:sz w:val="21"/>
                <w:szCs w:val="21"/>
                <w:highlight w:val="none"/>
                <w:lang w:eastAsia="zh-CN"/>
              </w:rPr>
              <w:t>防城港市防城区慈爱路</w:t>
            </w:r>
            <w:r>
              <w:rPr>
                <w:rFonts w:hint="eastAsia" w:ascii="宋体" w:hAnsi="宋体" w:eastAsia="宋体" w:cs="宋体"/>
                <w:color w:val="auto"/>
                <w:sz w:val="21"/>
                <w:szCs w:val="21"/>
                <w:highlight w:val="none"/>
                <w:lang w:val="en-US" w:eastAsia="zh-CN"/>
              </w:rPr>
              <w:t>117号</w:t>
            </w:r>
          </w:p>
        </w:tc>
        <w:tc>
          <w:tcPr>
            <w:tcW w:w="4678" w:type="dxa"/>
            <w:tcBorders>
              <w:top w:val="single" w:color="auto" w:sz="4" w:space="0"/>
              <w:left w:val="single" w:color="auto" w:sz="4" w:space="0"/>
              <w:bottom w:val="single" w:color="auto" w:sz="4" w:space="0"/>
              <w:right w:val="single" w:color="auto" w:sz="4" w:space="0"/>
            </w:tcBorders>
            <w:noWrap w:val="0"/>
            <w:vAlign w:val="center"/>
          </w:tcPr>
          <w:p>
            <w:pPr>
              <w:snapToGrid w:val="0"/>
              <w:spacing w:line="440" w:lineRule="exact"/>
              <w:ind w:firstLine="35" w:firstLineChars="1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8" w:hRule="atLeast"/>
        </w:trPr>
        <w:tc>
          <w:tcPr>
            <w:tcW w:w="4786" w:type="dxa"/>
            <w:tcBorders>
              <w:top w:val="single" w:color="auto" w:sz="4" w:space="0"/>
              <w:left w:val="single" w:color="auto" w:sz="4" w:space="0"/>
              <w:bottom w:val="single" w:color="auto" w:sz="4" w:space="0"/>
              <w:right w:val="single" w:color="auto" w:sz="4" w:space="0"/>
            </w:tcBorders>
            <w:noWrap w:val="0"/>
            <w:vAlign w:val="center"/>
          </w:tcPr>
          <w:p>
            <w:pPr>
              <w:snapToGrid w:val="0"/>
              <w:spacing w:line="440" w:lineRule="exact"/>
              <w:ind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法定代表人(负责人)：</w:t>
            </w:r>
          </w:p>
        </w:tc>
        <w:tc>
          <w:tcPr>
            <w:tcW w:w="4678" w:type="dxa"/>
            <w:tcBorders>
              <w:top w:val="single" w:color="auto" w:sz="4" w:space="0"/>
              <w:left w:val="single" w:color="auto" w:sz="4" w:space="0"/>
              <w:bottom w:val="single" w:color="auto" w:sz="4" w:space="0"/>
              <w:right w:val="single" w:color="auto" w:sz="4" w:space="0"/>
            </w:tcBorders>
            <w:noWrap w:val="0"/>
            <w:vAlign w:val="center"/>
          </w:tcPr>
          <w:p>
            <w:pPr>
              <w:snapToGrid w:val="0"/>
              <w:spacing w:line="440" w:lineRule="exact"/>
              <w:ind w:firstLine="35" w:firstLineChars="1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法定代表人(负责人)：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0" w:hRule="atLeast"/>
        </w:trPr>
        <w:tc>
          <w:tcPr>
            <w:tcW w:w="4786" w:type="dxa"/>
            <w:tcBorders>
              <w:top w:val="single" w:color="auto" w:sz="4" w:space="0"/>
              <w:left w:val="single" w:color="auto" w:sz="4" w:space="0"/>
              <w:bottom w:val="single" w:color="auto" w:sz="4" w:space="0"/>
              <w:right w:val="single" w:color="auto" w:sz="4" w:space="0"/>
            </w:tcBorders>
            <w:noWrap w:val="0"/>
            <w:vAlign w:val="center"/>
          </w:tcPr>
          <w:p>
            <w:pPr>
              <w:snapToGrid w:val="0"/>
              <w:spacing w:line="440" w:lineRule="exact"/>
              <w:ind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委托代理人：</w:t>
            </w:r>
          </w:p>
        </w:tc>
        <w:tc>
          <w:tcPr>
            <w:tcW w:w="4678" w:type="dxa"/>
            <w:tcBorders>
              <w:top w:val="single" w:color="auto" w:sz="4" w:space="0"/>
              <w:left w:val="single" w:color="auto" w:sz="4" w:space="0"/>
              <w:bottom w:val="single" w:color="auto" w:sz="4" w:space="0"/>
              <w:right w:val="single" w:color="auto" w:sz="4" w:space="0"/>
            </w:tcBorders>
            <w:noWrap w:val="0"/>
            <w:vAlign w:val="center"/>
          </w:tcPr>
          <w:p>
            <w:pPr>
              <w:snapToGrid w:val="0"/>
              <w:spacing w:line="440" w:lineRule="exact"/>
              <w:ind w:firstLine="35" w:firstLineChars="1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委托代理人：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58" w:hRule="atLeast"/>
        </w:trPr>
        <w:tc>
          <w:tcPr>
            <w:tcW w:w="4786" w:type="dxa"/>
            <w:tcBorders>
              <w:top w:val="single" w:color="auto" w:sz="4" w:space="0"/>
              <w:left w:val="single" w:color="auto" w:sz="4" w:space="0"/>
              <w:bottom w:val="single" w:color="auto" w:sz="4" w:space="0"/>
              <w:right w:val="single" w:color="auto" w:sz="4" w:space="0"/>
            </w:tcBorders>
            <w:noWrap w:val="0"/>
            <w:vAlign w:val="center"/>
          </w:tcPr>
          <w:p>
            <w:pPr>
              <w:snapToGrid w:val="0"/>
              <w:spacing w:line="440" w:lineRule="exact"/>
              <w:ind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电话：</w:t>
            </w:r>
          </w:p>
        </w:tc>
        <w:tc>
          <w:tcPr>
            <w:tcW w:w="4678" w:type="dxa"/>
            <w:tcBorders>
              <w:top w:val="single" w:color="auto" w:sz="4" w:space="0"/>
              <w:left w:val="single" w:color="auto" w:sz="4" w:space="0"/>
              <w:bottom w:val="single" w:color="auto" w:sz="4" w:space="0"/>
              <w:right w:val="single" w:color="auto" w:sz="4" w:space="0"/>
            </w:tcBorders>
            <w:noWrap w:val="0"/>
            <w:vAlign w:val="center"/>
          </w:tcPr>
          <w:p>
            <w:pPr>
              <w:snapToGrid w:val="0"/>
              <w:spacing w:line="440" w:lineRule="exact"/>
              <w:ind w:firstLine="35" w:firstLineChars="1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2" w:hRule="atLeast"/>
        </w:trPr>
        <w:tc>
          <w:tcPr>
            <w:tcW w:w="4786" w:type="dxa"/>
            <w:tcBorders>
              <w:top w:val="single" w:color="auto" w:sz="4" w:space="0"/>
              <w:left w:val="single" w:color="auto" w:sz="4" w:space="0"/>
              <w:bottom w:val="single" w:color="auto" w:sz="4" w:space="0"/>
              <w:right w:val="single" w:color="auto" w:sz="4" w:space="0"/>
            </w:tcBorders>
            <w:noWrap w:val="0"/>
            <w:vAlign w:val="center"/>
          </w:tcPr>
          <w:p>
            <w:pPr>
              <w:snapToGrid w:val="0"/>
              <w:spacing w:line="440" w:lineRule="exact"/>
              <w:ind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电子邮箱：</w:t>
            </w:r>
          </w:p>
        </w:tc>
        <w:tc>
          <w:tcPr>
            <w:tcW w:w="4678" w:type="dxa"/>
            <w:tcBorders>
              <w:top w:val="single" w:color="auto" w:sz="4" w:space="0"/>
              <w:left w:val="single" w:color="auto" w:sz="4" w:space="0"/>
              <w:bottom w:val="single" w:color="auto" w:sz="4" w:space="0"/>
              <w:right w:val="single" w:color="auto" w:sz="4" w:space="0"/>
            </w:tcBorders>
            <w:noWrap w:val="0"/>
            <w:vAlign w:val="center"/>
          </w:tcPr>
          <w:p>
            <w:pPr>
              <w:snapToGrid w:val="0"/>
              <w:spacing w:line="440" w:lineRule="exact"/>
              <w:ind w:firstLine="35" w:firstLineChars="1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电子邮箱：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4" w:hRule="atLeast"/>
        </w:trPr>
        <w:tc>
          <w:tcPr>
            <w:tcW w:w="4786" w:type="dxa"/>
            <w:tcBorders>
              <w:top w:val="single" w:color="auto" w:sz="4" w:space="0"/>
              <w:left w:val="single" w:color="auto" w:sz="4" w:space="0"/>
              <w:bottom w:val="single" w:color="auto" w:sz="4" w:space="0"/>
              <w:right w:val="single" w:color="auto" w:sz="4" w:space="0"/>
            </w:tcBorders>
            <w:noWrap w:val="0"/>
            <w:vAlign w:val="center"/>
          </w:tcPr>
          <w:p>
            <w:pPr>
              <w:snapToGrid w:val="0"/>
              <w:spacing w:line="440" w:lineRule="exact"/>
              <w:ind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开户银行：</w:t>
            </w:r>
          </w:p>
        </w:tc>
        <w:tc>
          <w:tcPr>
            <w:tcW w:w="4678" w:type="dxa"/>
            <w:tcBorders>
              <w:top w:val="single" w:color="auto" w:sz="4" w:space="0"/>
              <w:left w:val="single" w:color="auto" w:sz="4" w:space="0"/>
              <w:bottom w:val="single" w:color="auto" w:sz="4" w:space="0"/>
              <w:right w:val="single" w:color="auto" w:sz="4" w:space="0"/>
            </w:tcBorders>
            <w:noWrap w:val="0"/>
            <w:vAlign w:val="center"/>
          </w:tcPr>
          <w:p>
            <w:pPr>
              <w:snapToGrid w:val="0"/>
              <w:spacing w:line="440" w:lineRule="exact"/>
              <w:ind w:firstLine="35" w:firstLineChars="1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开户银行：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2" w:hRule="atLeast"/>
        </w:trPr>
        <w:tc>
          <w:tcPr>
            <w:tcW w:w="4786" w:type="dxa"/>
            <w:tcBorders>
              <w:top w:val="single" w:color="auto" w:sz="4" w:space="0"/>
              <w:left w:val="single" w:color="auto" w:sz="4" w:space="0"/>
              <w:bottom w:val="single" w:color="auto" w:sz="4" w:space="0"/>
              <w:right w:val="single" w:color="auto" w:sz="4" w:space="0"/>
            </w:tcBorders>
            <w:noWrap w:val="0"/>
            <w:vAlign w:val="center"/>
          </w:tcPr>
          <w:p>
            <w:pPr>
              <w:snapToGrid w:val="0"/>
              <w:spacing w:line="440" w:lineRule="exact"/>
              <w:ind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账号：</w:t>
            </w:r>
          </w:p>
        </w:tc>
        <w:tc>
          <w:tcPr>
            <w:tcW w:w="4678" w:type="dxa"/>
            <w:tcBorders>
              <w:top w:val="single" w:color="auto" w:sz="4" w:space="0"/>
              <w:left w:val="single" w:color="auto" w:sz="4" w:space="0"/>
              <w:bottom w:val="single" w:color="auto" w:sz="4" w:space="0"/>
              <w:right w:val="single" w:color="auto" w:sz="4" w:space="0"/>
            </w:tcBorders>
            <w:noWrap w:val="0"/>
            <w:vAlign w:val="center"/>
          </w:tcPr>
          <w:p>
            <w:pPr>
              <w:snapToGrid w:val="0"/>
              <w:spacing w:line="440" w:lineRule="exact"/>
              <w:ind w:firstLine="35" w:firstLineChars="1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账号：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4" w:hRule="atLeast"/>
        </w:trPr>
        <w:tc>
          <w:tcPr>
            <w:tcW w:w="4786" w:type="dxa"/>
            <w:tcBorders>
              <w:top w:val="single" w:color="auto" w:sz="4" w:space="0"/>
              <w:left w:val="single" w:color="auto" w:sz="4" w:space="0"/>
              <w:bottom w:val="single" w:color="auto" w:sz="4" w:space="0"/>
              <w:right w:val="single" w:color="auto" w:sz="4" w:space="0"/>
            </w:tcBorders>
            <w:noWrap w:val="0"/>
            <w:vAlign w:val="center"/>
          </w:tcPr>
          <w:p>
            <w:pPr>
              <w:snapToGrid w:val="0"/>
              <w:spacing w:line="440" w:lineRule="exact"/>
              <w:ind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邮政编码：</w:t>
            </w:r>
          </w:p>
        </w:tc>
        <w:tc>
          <w:tcPr>
            <w:tcW w:w="4678" w:type="dxa"/>
            <w:tcBorders>
              <w:top w:val="single" w:color="auto" w:sz="4" w:space="0"/>
              <w:left w:val="single" w:color="auto" w:sz="4" w:space="0"/>
              <w:bottom w:val="single" w:color="auto" w:sz="4" w:space="0"/>
              <w:right w:val="single" w:color="auto" w:sz="4" w:space="0"/>
            </w:tcBorders>
            <w:noWrap w:val="0"/>
            <w:vAlign w:val="center"/>
          </w:tcPr>
          <w:p>
            <w:pPr>
              <w:snapToGrid w:val="0"/>
              <w:spacing w:line="440" w:lineRule="exact"/>
              <w:ind w:firstLine="35" w:firstLineChars="1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邮政编码：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atLeast"/>
        </w:trPr>
        <w:tc>
          <w:tcPr>
            <w:tcW w:w="9464" w:type="dxa"/>
            <w:gridSpan w:val="2"/>
            <w:tcBorders>
              <w:top w:val="single" w:color="auto" w:sz="4" w:space="0"/>
              <w:left w:val="single" w:color="auto" w:sz="4" w:space="0"/>
              <w:bottom w:val="single" w:color="auto" w:sz="4" w:space="0"/>
              <w:right w:val="single" w:color="auto" w:sz="4" w:space="0"/>
            </w:tcBorders>
            <w:noWrap w:val="0"/>
            <w:vAlign w:val="top"/>
          </w:tcPr>
          <w:p>
            <w:pPr>
              <w:snapToGrid w:val="0"/>
              <w:spacing w:line="440" w:lineRule="exact"/>
              <w:ind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经办人：</w:t>
            </w:r>
          </w:p>
        </w:tc>
      </w:tr>
    </w:tbl>
    <w:p>
      <w:pPr>
        <w:spacing w:line="520" w:lineRule="exact"/>
        <w:ind w:firstLine="315" w:firstLineChars="150"/>
        <w:rPr>
          <w:rFonts w:hint="eastAsia" w:ascii="宋体" w:hAnsi="宋体" w:cs="宋体"/>
          <w:color w:val="auto"/>
          <w:szCs w:val="21"/>
          <w:highlight w:val="none"/>
        </w:rPr>
      </w:pPr>
    </w:p>
    <w:p>
      <w:pPr>
        <w:spacing w:line="520" w:lineRule="exact"/>
        <w:ind w:firstLine="315" w:firstLineChars="150"/>
        <w:rPr>
          <w:rFonts w:hint="eastAsia" w:ascii="宋体" w:hAnsi="宋体" w:cs="宋体"/>
          <w:color w:val="auto"/>
          <w:szCs w:val="21"/>
          <w:highlight w:val="none"/>
        </w:rPr>
      </w:pPr>
    </w:p>
    <w:p>
      <w:pPr>
        <w:spacing w:line="520" w:lineRule="exact"/>
        <w:ind w:firstLine="315" w:firstLineChars="150"/>
        <w:rPr>
          <w:rFonts w:hint="eastAsia" w:ascii="宋体" w:hAnsi="宋体" w:cs="宋体"/>
          <w:color w:val="auto"/>
          <w:szCs w:val="21"/>
          <w:highlight w:val="none"/>
        </w:rPr>
      </w:pPr>
    </w:p>
    <w:p>
      <w:pPr>
        <w:snapToGrid w:val="0"/>
        <w:spacing w:line="360" w:lineRule="auto"/>
        <w:ind w:firstLine="562" w:firstLineChars="200"/>
        <w:rPr>
          <w:rFonts w:hint="eastAsia" w:ascii="宋体" w:hAnsi="宋体" w:eastAsia="宋体" w:cs="Times New Roman"/>
          <w:b/>
          <w:color w:val="auto"/>
          <w:sz w:val="28"/>
          <w:szCs w:val="28"/>
          <w:highlight w:val="none"/>
        </w:rPr>
      </w:pPr>
    </w:p>
    <w:p>
      <w:pPr>
        <w:spacing w:line="400" w:lineRule="exact"/>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br w:type="page"/>
      </w:r>
    </w:p>
    <w:bookmarkEnd w:id="195"/>
    <w:p>
      <w:pPr>
        <w:spacing w:line="400" w:lineRule="exact"/>
        <w:rPr>
          <w:rFonts w:ascii="Times New Roman" w:hAnsi="Times New Roman" w:eastAsia="宋体" w:cs="Times New Roman"/>
          <w:color w:val="auto"/>
          <w:szCs w:val="24"/>
          <w:highlight w:val="none"/>
        </w:rPr>
      </w:pPr>
    </w:p>
    <w:p>
      <w:pPr>
        <w:spacing w:line="400" w:lineRule="exact"/>
        <w:rPr>
          <w:rFonts w:ascii="Times New Roman" w:hAnsi="Times New Roman" w:eastAsia="宋体" w:cs="Times New Roman"/>
          <w:color w:val="auto"/>
          <w:szCs w:val="24"/>
          <w:highlight w:val="none"/>
        </w:rPr>
      </w:pPr>
    </w:p>
    <w:p>
      <w:pPr>
        <w:spacing w:line="400" w:lineRule="exact"/>
        <w:rPr>
          <w:rFonts w:ascii="Times New Roman" w:hAnsi="Times New Roman" w:eastAsia="宋体" w:cs="Times New Roman"/>
          <w:color w:val="auto"/>
          <w:szCs w:val="24"/>
          <w:highlight w:val="none"/>
        </w:rPr>
      </w:pPr>
    </w:p>
    <w:p>
      <w:pPr>
        <w:spacing w:line="400" w:lineRule="exact"/>
        <w:rPr>
          <w:rFonts w:ascii="Times New Roman" w:hAnsi="Times New Roman" w:eastAsia="宋体" w:cs="Times New Roman"/>
          <w:color w:val="auto"/>
          <w:szCs w:val="24"/>
          <w:highlight w:val="none"/>
        </w:rPr>
      </w:pPr>
    </w:p>
    <w:p>
      <w:pPr>
        <w:spacing w:line="400" w:lineRule="exact"/>
        <w:rPr>
          <w:rFonts w:ascii="Times New Roman" w:hAnsi="Times New Roman" w:eastAsia="宋体" w:cs="Times New Roman"/>
          <w:color w:val="auto"/>
          <w:szCs w:val="24"/>
          <w:highlight w:val="none"/>
        </w:rPr>
      </w:pPr>
    </w:p>
    <w:p>
      <w:pPr>
        <w:spacing w:line="400" w:lineRule="exact"/>
        <w:rPr>
          <w:rFonts w:ascii="Times New Roman" w:hAnsi="Times New Roman" w:eastAsia="宋体" w:cs="Times New Roman"/>
          <w:color w:val="auto"/>
          <w:szCs w:val="24"/>
          <w:highlight w:val="none"/>
        </w:rPr>
      </w:pPr>
    </w:p>
    <w:p>
      <w:pPr>
        <w:spacing w:line="400" w:lineRule="exact"/>
        <w:rPr>
          <w:rFonts w:ascii="Times New Roman" w:hAnsi="Times New Roman" w:eastAsia="宋体" w:cs="Times New Roman"/>
          <w:color w:val="auto"/>
          <w:szCs w:val="24"/>
          <w:highlight w:val="none"/>
        </w:rPr>
      </w:pPr>
    </w:p>
    <w:p>
      <w:pPr>
        <w:spacing w:line="400" w:lineRule="exact"/>
        <w:rPr>
          <w:rFonts w:ascii="Times New Roman" w:hAnsi="Times New Roman" w:eastAsia="宋体" w:cs="Times New Roman"/>
          <w:color w:val="auto"/>
          <w:szCs w:val="24"/>
          <w:highlight w:val="none"/>
        </w:rPr>
      </w:pPr>
    </w:p>
    <w:p>
      <w:pPr>
        <w:spacing w:line="400" w:lineRule="exact"/>
        <w:rPr>
          <w:rFonts w:ascii="Times New Roman" w:hAnsi="Times New Roman" w:eastAsia="宋体" w:cs="Times New Roman"/>
          <w:color w:val="auto"/>
          <w:szCs w:val="24"/>
          <w:highlight w:val="none"/>
        </w:rPr>
      </w:pPr>
    </w:p>
    <w:p>
      <w:pPr>
        <w:spacing w:line="400" w:lineRule="exact"/>
        <w:rPr>
          <w:rFonts w:ascii="Times New Roman" w:hAnsi="Times New Roman" w:eastAsia="宋体" w:cs="Times New Roman"/>
          <w:color w:val="auto"/>
          <w:szCs w:val="24"/>
          <w:highlight w:val="none"/>
        </w:rPr>
      </w:pPr>
    </w:p>
    <w:p>
      <w:pPr>
        <w:spacing w:line="400" w:lineRule="exact"/>
        <w:rPr>
          <w:rFonts w:ascii="Times New Roman" w:hAnsi="Times New Roman" w:eastAsia="宋体" w:cs="Times New Roman"/>
          <w:color w:val="auto"/>
          <w:szCs w:val="24"/>
          <w:highlight w:val="none"/>
        </w:rPr>
      </w:pPr>
    </w:p>
    <w:p>
      <w:pPr>
        <w:spacing w:line="300" w:lineRule="auto"/>
        <w:jc w:val="center"/>
        <w:outlineLvl w:val="0"/>
        <w:rPr>
          <w:rFonts w:ascii="Cambria" w:hAnsi="Cambria" w:eastAsia="方正小标宋_GBK" w:cs="Times New Roman"/>
          <w:b/>
          <w:bCs/>
          <w:color w:val="auto"/>
          <w:kern w:val="0"/>
          <w:sz w:val="44"/>
          <w:szCs w:val="32"/>
          <w:highlight w:val="none"/>
        </w:rPr>
      </w:pPr>
      <w:bookmarkStart w:id="197" w:name="_Toc173764943"/>
      <w:bookmarkStart w:id="198" w:name="_Toc352700352"/>
      <w:bookmarkStart w:id="199" w:name="_Toc352700448"/>
      <w:r>
        <w:rPr>
          <w:rFonts w:hint="eastAsia" w:ascii="Cambria" w:hAnsi="Cambria" w:eastAsia="方正小标宋_GBK" w:cs="Times New Roman"/>
          <w:b/>
          <w:bCs/>
          <w:color w:val="auto"/>
          <w:kern w:val="0"/>
          <w:sz w:val="44"/>
          <w:szCs w:val="32"/>
          <w:highlight w:val="none"/>
        </w:rPr>
        <w:t>第六章　投标文件格式</w:t>
      </w:r>
      <w:bookmarkEnd w:id="197"/>
      <w:bookmarkEnd w:id="198"/>
      <w:bookmarkEnd w:id="199"/>
    </w:p>
    <w:p>
      <w:pPr>
        <w:spacing w:line="400" w:lineRule="exact"/>
        <w:rPr>
          <w:rFonts w:hint="eastAsia" w:ascii="宋体" w:hAnsi="宋体" w:eastAsia="宋体" w:cs="Courier New"/>
          <w:b/>
          <w:color w:val="auto"/>
          <w:sz w:val="32"/>
          <w:szCs w:val="32"/>
          <w:highlight w:val="none"/>
        </w:rPr>
      </w:pPr>
      <w:r>
        <w:rPr>
          <w:rFonts w:hint="eastAsia" w:ascii="宋体" w:hAnsi="宋体" w:eastAsia="宋体" w:cs="Courier New"/>
          <w:color w:val="auto"/>
          <w:szCs w:val="21"/>
          <w:highlight w:val="none"/>
        </w:rPr>
        <w:br w:type="page"/>
      </w:r>
      <w:r>
        <w:rPr>
          <w:rFonts w:hint="eastAsia" w:ascii="宋体" w:hAnsi="宋体" w:eastAsia="宋体" w:cs="Courier New"/>
          <w:color w:val="auto"/>
          <w:szCs w:val="21"/>
          <w:highlight w:val="none"/>
        </w:rPr>
        <w:t xml:space="preserve"> </w:t>
      </w:r>
      <w:r>
        <w:rPr>
          <w:rFonts w:hint="eastAsia" w:ascii="宋体" w:hAnsi="宋体" w:eastAsia="宋体" w:cs="Courier New"/>
          <w:b/>
          <w:color w:val="auto"/>
          <w:sz w:val="32"/>
          <w:szCs w:val="32"/>
          <w:highlight w:val="none"/>
        </w:rPr>
        <w:t>一、资格文件</w:t>
      </w:r>
    </w:p>
    <w:p>
      <w:pPr>
        <w:tabs>
          <w:tab w:val="left" w:pos="3402"/>
        </w:tabs>
        <w:spacing w:line="320" w:lineRule="exact"/>
        <w:jc w:val="left"/>
        <w:rPr>
          <w:rFonts w:hint="eastAsia" w:ascii="仿宋_GB2312" w:hAnsi="Adobe 仿宋 Std R" w:eastAsia="仿宋_GB2312" w:cs="Times New Roman"/>
          <w:b/>
          <w:color w:val="auto"/>
          <w:spacing w:val="10"/>
          <w:sz w:val="32"/>
          <w:szCs w:val="32"/>
          <w:highlight w:val="none"/>
        </w:rPr>
      </w:pPr>
    </w:p>
    <w:p>
      <w:pPr>
        <w:tabs>
          <w:tab w:val="left" w:pos="3402"/>
        </w:tabs>
        <w:ind w:firstLine="602"/>
        <w:jc w:val="center"/>
        <w:rPr>
          <w:rFonts w:hint="eastAsia" w:ascii="仿宋_GB2312" w:hAnsi="Adobe 仿宋 Std R" w:eastAsia="仿宋_GB2312" w:cs="Times New Roman"/>
          <w:b/>
          <w:color w:val="auto"/>
          <w:spacing w:val="10"/>
          <w:sz w:val="32"/>
          <w:szCs w:val="32"/>
          <w:highlight w:val="none"/>
        </w:rPr>
      </w:pPr>
      <w:r>
        <w:rPr>
          <w:rFonts w:hint="eastAsia" w:ascii="仿宋_GB2312" w:hAnsi="Adobe 仿宋 Std R" w:eastAsia="仿宋_GB2312" w:cs="Times New Roman"/>
          <w:b/>
          <w:color w:val="auto"/>
          <w:spacing w:val="10"/>
          <w:sz w:val="32"/>
          <w:szCs w:val="32"/>
          <w:highlight w:val="none"/>
        </w:rPr>
        <w:t>投标人具备参加政府采购活动条件的承诺书</w:t>
      </w:r>
      <w:r>
        <w:rPr>
          <w:rFonts w:hint="eastAsia" w:ascii="仿宋_GB2312" w:hAnsi="Adobe 仿宋 Std R" w:eastAsia="仿宋_GB2312" w:cs="黑体"/>
          <w:bCs/>
          <w:color w:val="auto"/>
          <w:sz w:val="24"/>
          <w:szCs w:val="24"/>
          <w:highlight w:val="none"/>
        </w:rPr>
        <w:t>(格式)</w:t>
      </w:r>
    </w:p>
    <w:p>
      <w:pPr>
        <w:tabs>
          <w:tab w:val="left" w:pos="3402"/>
        </w:tabs>
        <w:jc w:val="left"/>
        <w:rPr>
          <w:rFonts w:hint="eastAsia" w:ascii="仿宋_GB2312" w:hAnsi="仿宋" w:eastAsia="仿宋_GB2312" w:cs="Times New Roman"/>
          <w:b/>
          <w:color w:val="auto"/>
          <w:spacing w:val="10"/>
          <w:szCs w:val="21"/>
          <w:highlight w:val="none"/>
        </w:rPr>
      </w:pPr>
    </w:p>
    <w:p>
      <w:pPr>
        <w:spacing w:line="520" w:lineRule="exact"/>
        <w:rPr>
          <w:rFonts w:hint="eastAsia" w:ascii="宋体" w:hAnsi="宋体" w:eastAsia="宋体" w:cs="Times New Roman"/>
          <w:bCs/>
          <w:color w:val="auto"/>
          <w:highlight w:val="none"/>
        </w:rPr>
      </w:pPr>
      <w:r>
        <w:rPr>
          <w:rFonts w:hint="eastAsia" w:ascii="宋体" w:hAnsi="宋体" w:eastAsia="宋体" w:cs="Times New Roman"/>
          <w:bCs/>
          <w:color w:val="auto"/>
          <w:highlight w:val="none"/>
        </w:rPr>
        <w:t>钦州市政府采购中心：</w:t>
      </w:r>
    </w:p>
    <w:p>
      <w:pPr>
        <w:spacing w:line="520" w:lineRule="exact"/>
        <w:ind w:firstLine="420"/>
        <w:rPr>
          <w:rFonts w:hint="eastAsia" w:ascii="宋体" w:hAnsi="宋体" w:eastAsia="宋体" w:cs="Times New Roman"/>
          <w:bCs/>
          <w:color w:val="auto"/>
          <w:highlight w:val="none"/>
        </w:rPr>
      </w:pPr>
      <w:r>
        <w:rPr>
          <w:rFonts w:hint="eastAsia" w:ascii="宋体" w:hAnsi="宋体" w:eastAsia="宋体" w:cs="Times New Roman"/>
          <w:bCs/>
          <w:color w:val="auto"/>
          <w:highlight w:val="none"/>
        </w:rPr>
        <w:t>根据《中华人民共和国政府采购法》第二十二条、《中华人民共和国政府采购法》实施条例第十七条的规定，现郑重承诺：</w:t>
      </w:r>
    </w:p>
    <w:p>
      <w:pPr>
        <w:spacing w:line="520" w:lineRule="exact"/>
        <w:ind w:firstLine="420"/>
        <w:rPr>
          <w:rFonts w:hint="eastAsia" w:ascii="宋体" w:hAnsi="宋体" w:eastAsia="宋体" w:cs="Times New Roman"/>
          <w:bCs/>
          <w:color w:val="auto"/>
          <w:highlight w:val="none"/>
        </w:rPr>
      </w:pPr>
      <w:r>
        <w:rPr>
          <w:rFonts w:hint="eastAsia" w:ascii="宋体" w:hAnsi="宋体" w:eastAsia="宋体" w:cs="Times New Roman"/>
          <w:bCs/>
          <w:color w:val="auto"/>
          <w:highlight w:val="none"/>
          <w:u w:val="single"/>
        </w:rPr>
        <w:t>(投标人名称)</w:t>
      </w:r>
      <w:r>
        <w:rPr>
          <w:rFonts w:hint="eastAsia" w:ascii="宋体" w:hAnsi="宋体" w:eastAsia="宋体" w:cs="Times New Roman"/>
          <w:bCs/>
          <w:color w:val="auto"/>
          <w:highlight w:val="none"/>
        </w:rPr>
        <w:t>具有良好的商业信誉和健全的财务会计制度，具有履行合同所必需的设备和专业技术能力，有依法缴纳税收和社会保障资金的良好记录。</w:t>
      </w:r>
    </w:p>
    <w:p>
      <w:pPr>
        <w:spacing w:line="520" w:lineRule="exact"/>
        <w:ind w:firstLine="420"/>
        <w:rPr>
          <w:rFonts w:hint="eastAsia" w:ascii="宋体" w:hAnsi="宋体" w:eastAsia="宋体" w:cs="Times New Roman"/>
          <w:bCs/>
          <w:color w:val="auto"/>
          <w:highlight w:val="none"/>
        </w:rPr>
      </w:pPr>
      <w:r>
        <w:rPr>
          <w:rFonts w:hint="eastAsia" w:ascii="宋体" w:hAnsi="宋体" w:eastAsia="宋体" w:cs="Times New Roman"/>
          <w:bCs/>
          <w:color w:val="auto"/>
          <w:highlight w:val="none"/>
        </w:rPr>
        <w:t>本单位对上述承诺内容事项真实性负责，如有虚假，由我单位承担相关法律责任。</w:t>
      </w:r>
    </w:p>
    <w:p>
      <w:pPr>
        <w:spacing w:line="520" w:lineRule="exact"/>
        <w:ind w:firstLine="420"/>
        <w:rPr>
          <w:rFonts w:hint="eastAsia" w:ascii="宋体" w:hAnsi="宋体" w:eastAsia="宋体" w:cs="Times New Roman"/>
          <w:bCs/>
          <w:color w:val="auto"/>
          <w:highlight w:val="none"/>
        </w:rPr>
      </w:pPr>
      <w:r>
        <w:rPr>
          <w:rFonts w:hint="eastAsia" w:ascii="宋体" w:hAnsi="宋体" w:eastAsia="宋体" w:cs="Times New Roman"/>
          <w:bCs/>
          <w:color w:val="auto"/>
          <w:highlight w:val="none"/>
        </w:rPr>
        <w:t>特此承诺。</w:t>
      </w:r>
    </w:p>
    <w:p>
      <w:pPr>
        <w:ind w:firstLine="420"/>
        <w:rPr>
          <w:rFonts w:hint="eastAsia" w:ascii="宋体" w:hAnsi="宋体" w:eastAsia="宋体" w:cs="Times New Roman"/>
          <w:bCs/>
          <w:color w:val="auto"/>
          <w:highlight w:val="none"/>
        </w:rPr>
      </w:pPr>
    </w:p>
    <w:p>
      <w:pPr>
        <w:rPr>
          <w:rFonts w:hint="eastAsia" w:ascii="宋体" w:hAnsi="宋体" w:eastAsia="宋体" w:cs="Times New Roman"/>
          <w:bCs/>
          <w:color w:val="auto"/>
          <w:highlight w:val="none"/>
        </w:rPr>
      </w:pPr>
    </w:p>
    <w:p>
      <w:pPr>
        <w:spacing w:line="440" w:lineRule="exact"/>
        <w:ind w:right="1050" w:rightChars="500" w:firstLine="5250" w:firstLineChars="2500"/>
        <w:jc w:val="left"/>
        <w:rPr>
          <w:rFonts w:hint="eastAsia" w:ascii="宋体" w:hAnsi="宋体" w:eastAsia="宋体" w:cs="Times New Roman"/>
          <w:bCs/>
          <w:color w:val="auto"/>
          <w:szCs w:val="24"/>
          <w:highlight w:val="none"/>
        </w:rPr>
      </w:pPr>
      <w:r>
        <w:rPr>
          <w:rFonts w:hint="eastAsia" w:ascii="宋体" w:hAnsi="宋体" w:eastAsia="宋体" w:cs="Times New Roman"/>
          <w:bCs/>
          <w:color w:val="auto"/>
          <w:highlight w:val="none"/>
        </w:rPr>
        <w:t xml:space="preserve">    </w:t>
      </w:r>
      <w:r>
        <w:rPr>
          <w:rFonts w:hint="eastAsia" w:ascii="宋体" w:hAnsi="宋体" w:eastAsia="宋体" w:cs="Times New Roman"/>
          <w:bCs/>
          <w:color w:val="auto"/>
          <w:szCs w:val="24"/>
          <w:highlight w:val="none"/>
        </w:rPr>
        <w:t>投标人（盖章）：</w:t>
      </w:r>
      <w:r>
        <w:rPr>
          <w:rFonts w:hint="eastAsia" w:ascii="宋体" w:hAnsi="宋体" w:eastAsia="宋体" w:cs="Times New Roman"/>
          <w:bCs/>
          <w:color w:val="auto"/>
          <w:szCs w:val="24"/>
          <w:highlight w:val="none"/>
          <w:u w:val="single"/>
        </w:rPr>
        <w:t xml:space="preserve">            </w:t>
      </w:r>
    </w:p>
    <w:p>
      <w:pPr>
        <w:spacing w:line="440" w:lineRule="exact"/>
        <w:ind w:right="420"/>
        <w:jc w:val="center"/>
        <w:rPr>
          <w:rFonts w:hint="eastAsia" w:ascii="宋体" w:hAnsi="宋体" w:eastAsia="宋体" w:cs="Times New Roman"/>
          <w:bCs/>
          <w:color w:val="auto"/>
          <w:szCs w:val="24"/>
          <w:highlight w:val="none"/>
        </w:rPr>
      </w:pPr>
      <w:r>
        <w:rPr>
          <w:rFonts w:hint="eastAsia" w:ascii="宋体" w:hAnsi="宋体" w:eastAsia="宋体" w:cs="Times New Roman"/>
          <w:bCs/>
          <w:color w:val="auto"/>
          <w:szCs w:val="24"/>
          <w:highlight w:val="none"/>
        </w:rPr>
        <w:t xml:space="preserve">                                               日期：</w:t>
      </w:r>
      <w:r>
        <w:rPr>
          <w:rFonts w:hint="eastAsia" w:ascii="宋体" w:hAnsi="宋体" w:eastAsia="宋体" w:cs="Times New Roman"/>
          <w:bCs/>
          <w:color w:val="auto"/>
          <w:szCs w:val="24"/>
          <w:highlight w:val="none"/>
          <w:u w:val="single"/>
        </w:rPr>
        <w:t xml:space="preserve">       </w:t>
      </w:r>
      <w:r>
        <w:rPr>
          <w:rFonts w:hint="eastAsia" w:ascii="宋体" w:hAnsi="宋体" w:eastAsia="宋体" w:cs="Times New Roman"/>
          <w:bCs/>
          <w:color w:val="auto"/>
          <w:szCs w:val="24"/>
          <w:highlight w:val="none"/>
        </w:rPr>
        <w:t>年</w:t>
      </w:r>
      <w:r>
        <w:rPr>
          <w:rFonts w:hint="eastAsia" w:ascii="宋体" w:hAnsi="宋体" w:eastAsia="宋体" w:cs="Times New Roman"/>
          <w:bCs/>
          <w:color w:val="auto"/>
          <w:szCs w:val="24"/>
          <w:highlight w:val="none"/>
          <w:u w:val="single"/>
        </w:rPr>
        <w:t xml:space="preserve">    </w:t>
      </w:r>
      <w:r>
        <w:rPr>
          <w:rFonts w:hint="eastAsia" w:ascii="宋体" w:hAnsi="宋体" w:eastAsia="宋体" w:cs="Times New Roman"/>
          <w:bCs/>
          <w:color w:val="auto"/>
          <w:szCs w:val="24"/>
          <w:highlight w:val="none"/>
        </w:rPr>
        <w:t>月</w:t>
      </w:r>
      <w:r>
        <w:rPr>
          <w:rFonts w:hint="eastAsia" w:ascii="宋体" w:hAnsi="宋体" w:eastAsia="宋体" w:cs="Times New Roman"/>
          <w:bCs/>
          <w:color w:val="auto"/>
          <w:szCs w:val="24"/>
          <w:highlight w:val="none"/>
          <w:u w:val="single"/>
        </w:rPr>
        <w:t xml:space="preserve">    </w:t>
      </w:r>
      <w:r>
        <w:rPr>
          <w:rFonts w:hint="eastAsia" w:ascii="宋体" w:hAnsi="宋体" w:eastAsia="宋体" w:cs="Times New Roman"/>
          <w:bCs/>
          <w:color w:val="auto"/>
          <w:szCs w:val="24"/>
          <w:highlight w:val="none"/>
        </w:rPr>
        <w:t>日</w:t>
      </w:r>
    </w:p>
    <w:p>
      <w:pPr>
        <w:spacing w:line="400" w:lineRule="exact"/>
        <w:rPr>
          <w:rFonts w:ascii="Times New Roman" w:hAnsi="Times New Roman" w:eastAsia="宋体" w:cs="Times New Roman"/>
          <w:color w:val="auto"/>
          <w:szCs w:val="24"/>
          <w:highlight w:val="none"/>
        </w:rPr>
      </w:pPr>
    </w:p>
    <w:p>
      <w:pPr>
        <w:spacing w:line="400" w:lineRule="exact"/>
        <w:rPr>
          <w:rFonts w:ascii="Times New Roman" w:hAnsi="Times New Roman" w:eastAsia="宋体" w:cs="Times New Roman"/>
          <w:color w:val="auto"/>
          <w:szCs w:val="24"/>
          <w:highlight w:val="none"/>
        </w:rPr>
      </w:pPr>
    </w:p>
    <w:p>
      <w:pPr>
        <w:spacing w:line="400" w:lineRule="exact"/>
        <w:rPr>
          <w:rFonts w:ascii="Times New Roman" w:hAnsi="Times New Roman" w:eastAsia="宋体" w:cs="Times New Roman"/>
          <w:color w:val="auto"/>
          <w:szCs w:val="24"/>
          <w:highlight w:val="none"/>
        </w:rPr>
      </w:pPr>
    </w:p>
    <w:p>
      <w:pPr>
        <w:tabs>
          <w:tab w:val="left" w:pos="3402"/>
        </w:tabs>
        <w:spacing w:line="400" w:lineRule="exact"/>
        <w:ind w:firstLine="683" w:firstLineChars="200"/>
        <w:jc w:val="center"/>
        <w:rPr>
          <w:rFonts w:hint="eastAsia" w:ascii="仿宋_GB2312" w:hAnsi="仿宋" w:eastAsia="仿宋_GB2312" w:cs="Times New Roman"/>
          <w:b/>
          <w:color w:val="auto"/>
          <w:spacing w:val="10"/>
          <w:sz w:val="28"/>
          <w:szCs w:val="28"/>
          <w:highlight w:val="none"/>
        </w:rPr>
      </w:pPr>
      <w:r>
        <w:rPr>
          <w:rFonts w:hint="eastAsia" w:ascii="仿宋_GB2312" w:hAnsi="仿宋" w:eastAsia="仿宋_GB2312" w:cs="Times New Roman"/>
          <w:b/>
          <w:color w:val="auto"/>
          <w:spacing w:val="10"/>
          <w:sz w:val="32"/>
          <w:szCs w:val="32"/>
          <w:highlight w:val="none"/>
        </w:rPr>
        <w:t>无重大违法记录的书面声明</w:t>
      </w:r>
      <w:r>
        <w:rPr>
          <w:rFonts w:hint="eastAsia" w:ascii="仿宋_GB2312" w:hAnsi="仿宋" w:eastAsia="仿宋_GB2312" w:cs="Times New Roman"/>
          <w:bCs/>
          <w:color w:val="auto"/>
          <w:spacing w:val="10"/>
          <w:sz w:val="24"/>
          <w:szCs w:val="24"/>
          <w:highlight w:val="none"/>
        </w:rPr>
        <w:t>（格式）</w:t>
      </w:r>
    </w:p>
    <w:p>
      <w:pPr>
        <w:tabs>
          <w:tab w:val="left" w:pos="3402"/>
        </w:tabs>
        <w:spacing w:line="400" w:lineRule="exact"/>
        <w:jc w:val="left"/>
        <w:rPr>
          <w:rFonts w:hint="eastAsia" w:ascii="仿宋_GB2312" w:hAnsi="仿宋" w:eastAsia="仿宋_GB2312" w:cs="Times New Roman"/>
          <w:b/>
          <w:color w:val="auto"/>
          <w:spacing w:val="10"/>
          <w:szCs w:val="21"/>
          <w:highlight w:val="none"/>
        </w:rPr>
      </w:pPr>
    </w:p>
    <w:p>
      <w:pPr>
        <w:spacing w:line="440" w:lineRule="exact"/>
        <w:rPr>
          <w:rFonts w:hint="eastAsia" w:ascii="宋体" w:hAnsi="宋体" w:eastAsia="宋体" w:cs="Times New Roman"/>
          <w:bCs/>
          <w:color w:val="auto"/>
          <w:szCs w:val="24"/>
          <w:highlight w:val="none"/>
        </w:rPr>
      </w:pPr>
      <w:r>
        <w:rPr>
          <w:rFonts w:hint="eastAsia" w:ascii="宋体" w:hAnsi="宋体" w:eastAsia="宋体" w:cs="Times New Roman"/>
          <w:bCs/>
          <w:color w:val="auto"/>
          <w:szCs w:val="24"/>
          <w:highlight w:val="none"/>
        </w:rPr>
        <w:t>钦州市政府采购中心：</w:t>
      </w:r>
    </w:p>
    <w:p>
      <w:pPr>
        <w:spacing w:line="440" w:lineRule="exact"/>
        <w:ind w:firstLine="420" w:firstLineChars="200"/>
        <w:rPr>
          <w:rFonts w:hint="eastAsia" w:ascii="宋体" w:hAnsi="宋体" w:eastAsia="宋体" w:cs="Times New Roman"/>
          <w:bCs/>
          <w:color w:val="auto"/>
          <w:szCs w:val="24"/>
          <w:highlight w:val="none"/>
        </w:rPr>
      </w:pPr>
      <w:r>
        <w:rPr>
          <w:rFonts w:hint="eastAsia" w:ascii="宋体" w:hAnsi="宋体" w:eastAsia="宋体" w:cs="Times New Roman"/>
          <w:bCs/>
          <w:color w:val="auto"/>
          <w:szCs w:val="24"/>
          <w:highlight w:val="none"/>
        </w:rPr>
        <w:t>根据《中华人民共和国政府采购法》第二十二条、《中华人民共和国政府采购法实施条例》第十七条的规定，</w:t>
      </w:r>
      <w:r>
        <w:rPr>
          <w:rFonts w:hint="eastAsia" w:ascii="宋体" w:hAnsi="宋体" w:eastAsia="宋体" w:cs="Times New Roman"/>
          <w:bCs/>
          <w:color w:val="auto"/>
          <w:szCs w:val="24"/>
          <w:highlight w:val="none"/>
          <w:u w:val="single"/>
        </w:rPr>
        <w:t>（投标人名称）</w:t>
      </w:r>
      <w:r>
        <w:rPr>
          <w:rFonts w:hint="eastAsia" w:ascii="宋体" w:hAnsi="宋体" w:eastAsia="宋体" w:cs="Times New Roman"/>
          <w:bCs/>
          <w:color w:val="auto"/>
          <w:szCs w:val="24"/>
          <w:highlight w:val="none"/>
        </w:rPr>
        <w:t>郑重声明：</w:t>
      </w:r>
    </w:p>
    <w:p>
      <w:pPr>
        <w:spacing w:line="440" w:lineRule="exact"/>
        <w:ind w:firstLine="420" w:firstLineChars="200"/>
        <w:rPr>
          <w:rFonts w:hint="eastAsia" w:ascii="宋体" w:hAnsi="宋体" w:eastAsia="宋体" w:cs="Times New Roman"/>
          <w:bCs/>
          <w:color w:val="auto"/>
          <w:szCs w:val="24"/>
          <w:highlight w:val="none"/>
        </w:rPr>
      </w:pPr>
      <w:r>
        <w:rPr>
          <w:rFonts w:hint="eastAsia" w:ascii="宋体" w:hAnsi="宋体" w:eastAsia="宋体" w:cs="Times New Roman"/>
          <w:bCs/>
          <w:color w:val="auto"/>
          <w:szCs w:val="24"/>
          <w:highlight w:val="none"/>
          <w:u w:val="single"/>
        </w:rPr>
        <w:t>(投标人名称)</w:t>
      </w:r>
      <w:r>
        <w:rPr>
          <w:rFonts w:hint="eastAsia" w:ascii="宋体" w:hAnsi="宋体" w:eastAsia="宋体" w:cs="Times New Roman"/>
          <w:bCs/>
          <w:color w:val="auto"/>
          <w:szCs w:val="24"/>
          <w:highlight w:val="none"/>
        </w:rPr>
        <w:t>在参加本次政府采购活动前3年内在经营活动中没有重大违法记录（</w:t>
      </w:r>
      <w:r>
        <w:rPr>
          <w:rFonts w:hint="eastAsia" w:ascii="宋体" w:hAnsi="宋体" w:eastAsia="宋体" w:cs="Times New Roman"/>
          <w:bCs/>
          <w:color w:val="auto"/>
          <w:szCs w:val="24"/>
          <w:highlight w:val="none"/>
          <w:u w:val="single"/>
        </w:rPr>
        <w:t>即因违法经营受到刑事处罚或者责令停产停业、吊销许可证或者执照、较大数额罚款等行政处罚的行为</w:t>
      </w:r>
      <w:r>
        <w:rPr>
          <w:rFonts w:hint="eastAsia" w:ascii="宋体" w:hAnsi="宋体" w:eastAsia="宋体" w:cs="Times New Roman"/>
          <w:bCs/>
          <w:color w:val="auto"/>
          <w:szCs w:val="24"/>
          <w:highlight w:val="none"/>
        </w:rPr>
        <w:t>）。</w:t>
      </w:r>
    </w:p>
    <w:p>
      <w:pPr>
        <w:spacing w:line="440" w:lineRule="exact"/>
        <w:ind w:firstLine="420" w:firstLineChars="200"/>
        <w:rPr>
          <w:rFonts w:hint="eastAsia" w:ascii="宋体" w:hAnsi="宋体" w:eastAsia="宋体" w:cs="Times New Roman"/>
          <w:bCs/>
          <w:color w:val="auto"/>
          <w:szCs w:val="24"/>
          <w:highlight w:val="none"/>
        </w:rPr>
      </w:pPr>
      <w:r>
        <w:rPr>
          <w:rFonts w:hint="eastAsia" w:ascii="宋体" w:hAnsi="宋体" w:eastAsia="宋体" w:cs="Times New Roman"/>
          <w:bCs/>
          <w:color w:val="auto"/>
          <w:szCs w:val="24"/>
          <w:highlight w:val="none"/>
        </w:rPr>
        <w:t>本单位对上述声明内容事项真实性负责，如有虚假，由我单位承担相关法律责任。</w:t>
      </w:r>
    </w:p>
    <w:p>
      <w:pPr>
        <w:spacing w:line="400" w:lineRule="exact"/>
        <w:ind w:firstLine="420" w:firstLineChars="200"/>
        <w:rPr>
          <w:rFonts w:hint="eastAsia" w:ascii="宋体" w:hAnsi="宋体" w:eastAsia="宋体" w:cs="Times New Roman"/>
          <w:bCs/>
          <w:color w:val="auto"/>
          <w:szCs w:val="24"/>
          <w:highlight w:val="none"/>
        </w:rPr>
      </w:pPr>
      <w:r>
        <w:rPr>
          <w:rFonts w:hint="eastAsia" w:ascii="宋体" w:hAnsi="宋体" w:eastAsia="宋体" w:cs="Times New Roman"/>
          <w:bCs/>
          <w:color w:val="auto"/>
          <w:szCs w:val="24"/>
          <w:highlight w:val="none"/>
        </w:rPr>
        <w:t>特此声明。</w:t>
      </w:r>
    </w:p>
    <w:p>
      <w:pPr>
        <w:spacing w:line="400" w:lineRule="exact"/>
        <w:ind w:firstLine="420" w:firstLineChars="200"/>
        <w:rPr>
          <w:rFonts w:hint="eastAsia" w:ascii="宋体" w:hAnsi="宋体" w:eastAsia="宋体" w:cs="Times New Roman"/>
          <w:bCs/>
          <w:color w:val="auto"/>
          <w:szCs w:val="24"/>
          <w:highlight w:val="none"/>
        </w:rPr>
      </w:pPr>
    </w:p>
    <w:p>
      <w:pPr>
        <w:spacing w:line="400" w:lineRule="exact"/>
        <w:ind w:firstLine="420" w:firstLineChars="200"/>
        <w:rPr>
          <w:rFonts w:hint="eastAsia" w:ascii="宋体" w:hAnsi="宋体" w:eastAsia="宋体" w:cs="Times New Roman"/>
          <w:bCs/>
          <w:color w:val="auto"/>
          <w:szCs w:val="24"/>
          <w:highlight w:val="none"/>
        </w:rPr>
      </w:pPr>
    </w:p>
    <w:p>
      <w:pPr>
        <w:spacing w:line="400" w:lineRule="exact"/>
        <w:ind w:firstLine="420" w:firstLineChars="200"/>
        <w:rPr>
          <w:rFonts w:hint="eastAsia" w:ascii="宋体" w:hAnsi="宋体" w:eastAsia="宋体" w:cs="Times New Roman"/>
          <w:bCs/>
          <w:color w:val="auto"/>
          <w:szCs w:val="24"/>
          <w:highlight w:val="none"/>
        </w:rPr>
      </w:pPr>
    </w:p>
    <w:p>
      <w:pPr>
        <w:spacing w:line="400" w:lineRule="exact"/>
        <w:ind w:right="1050" w:rightChars="500" w:firstLine="4819" w:firstLineChars="2295"/>
        <w:jc w:val="left"/>
        <w:rPr>
          <w:rFonts w:hint="eastAsia" w:ascii="宋体" w:hAnsi="宋体" w:eastAsia="宋体" w:cs="Times New Roman"/>
          <w:bCs/>
          <w:color w:val="auto"/>
          <w:szCs w:val="24"/>
          <w:highlight w:val="none"/>
        </w:rPr>
      </w:pPr>
      <w:r>
        <w:rPr>
          <w:rFonts w:hint="eastAsia" w:ascii="宋体" w:hAnsi="宋体" w:eastAsia="宋体" w:cs="Times New Roman"/>
          <w:bCs/>
          <w:color w:val="auto"/>
          <w:szCs w:val="24"/>
          <w:highlight w:val="none"/>
        </w:rPr>
        <w:t xml:space="preserve">           投标人（盖章）：</w:t>
      </w:r>
      <w:r>
        <w:rPr>
          <w:rFonts w:hint="eastAsia" w:ascii="宋体" w:hAnsi="宋体" w:eastAsia="宋体" w:cs="Times New Roman"/>
          <w:bCs/>
          <w:color w:val="auto"/>
          <w:szCs w:val="24"/>
          <w:highlight w:val="none"/>
          <w:u w:val="single"/>
        </w:rPr>
        <w:t xml:space="preserve">           </w:t>
      </w:r>
    </w:p>
    <w:p>
      <w:pPr>
        <w:spacing w:line="400" w:lineRule="exact"/>
        <w:ind w:right="1050" w:rightChars="500" w:firstLine="420" w:firstLineChars="200"/>
        <w:jc w:val="right"/>
        <w:rPr>
          <w:rFonts w:hint="eastAsia" w:ascii="宋体" w:hAnsi="宋体" w:eastAsia="宋体" w:cs="Times New Roman"/>
          <w:bCs/>
          <w:color w:val="auto"/>
          <w:szCs w:val="24"/>
          <w:highlight w:val="none"/>
        </w:rPr>
      </w:pPr>
      <w:r>
        <w:rPr>
          <w:rFonts w:hint="eastAsia" w:ascii="宋体" w:hAnsi="宋体" w:eastAsia="宋体" w:cs="Times New Roman"/>
          <w:bCs/>
          <w:color w:val="auto"/>
          <w:szCs w:val="24"/>
          <w:highlight w:val="none"/>
        </w:rPr>
        <w:t>日期：</w:t>
      </w:r>
      <w:bookmarkStart w:id="200" w:name="_Hlk112336125"/>
      <w:r>
        <w:rPr>
          <w:rFonts w:hint="eastAsia" w:ascii="宋体" w:hAnsi="宋体" w:eastAsia="宋体" w:cs="Times New Roman"/>
          <w:bCs/>
          <w:color w:val="auto"/>
          <w:szCs w:val="24"/>
          <w:highlight w:val="none"/>
          <w:u w:val="single"/>
        </w:rPr>
        <w:t xml:space="preserve">      </w:t>
      </w:r>
      <w:r>
        <w:rPr>
          <w:rFonts w:hint="eastAsia" w:ascii="宋体" w:hAnsi="宋体" w:eastAsia="宋体" w:cs="Times New Roman"/>
          <w:bCs/>
          <w:color w:val="auto"/>
          <w:szCs w:val="24"/>
          <w:highlight w:val="none"/>
        </w:rPr>
        <w:t>年</w:t>
      </w:r>
      <w:r>
        <w:rPr>
          <w:rFonts w:hint="eastAsia" w:ascii="宋体" w:hAnsi="宋体" w:eastAsia="宋体" w:cs="Times New Roman"/>
          <w:bCs/>
          <w:color w:val="auto"/>
          <w:szCs w:val="24"/>
          <w:highlight w:val="none"/>
          <w:u w:val="single"/>
        </w:rPr>
        <w:t xml:space="preserve">    </w:t>
      </w:r>
      <w:r>
        <w:rPr>
          <w:rFonts w:hint="eastAsia" w:ascii="宋体" w:hAnsi="宋体" w:eastAsia="宋体" w:cs="Times New Roman"/>
          <w:bCs/>
          <w:color w:val="auto"/>
          <w:szCs w:val="24"/>
          <w:highlight w:val="none"/>
        </w:rPr>
        <w:t>月</w:t>
      </w:r>
      <w:r>
        <w:rPr>
          <w:rFonts w:hint="eastAsia" w:ascii="宋体" w:hAnsi="宋体" w:eastAsia="宋体" w:cs="Times New Roman"/>
          <w:bCs/>
          <w:color w:val="auto"/>
          <w:szCs w:val="24"/>
          <w:highlight w:val="none"/>
          <w:u w:val="single"/>
        </w:rPr>
        <w:t xml:space="preserve">    </w:t>
      </w:r>
      <w:r>
        <w:rPr>
          <w:rFonts w:hint="eastAsia" w:ascii="宋体" w:hAnsi="宋体" w:eastAsia="宋体" w:cs="Times New Roman"/>
          <w:bCs/>
          <w:color w:val="auto"/>
          <w:szCs w:val="24"/>
          <w:highlight w:val="none"/>
        </w:rPr>
        <w:t>日</w:t>
      </w:r>
      <w:bookmarkEnd w:id="200"/>
    </w:p>
    <w:p>
      <w:pPr>
        <w:snapToGrid w:val="0"/>
        <w:spacing w:before="156" w:beforeLines="50" w:after="50" w:line="360" w:lineRule="exact"/>
        <w:jc w:val="left"/>
        <w:rPr>
          <w:rFonts w:hint="eastAsia" w:ascii="宋体" w:hAnsi="宋体" w:eastAsia="宋体" w:cs="Times New Roman"/>
          <w:b/>
          <w:color w:val="auto"/>
          <w:sz w:val="32"/>
          <w:szCs w:val="32"/>
          <w:highlight w:val="none"/>
        </w:rPr>
      </w:pPr>
      <w:r>
        <w:rPr>
          <w:rFonts w:hint="eastAsia" w:ascii="宋体" w:hAnsi="宋体" w:eastAsia="宋体" w:cs="Times New Roman"/>
          <w:b/>
          <w:color w:val="auto"/>
          <w:sz w:val="32"/>
          <w:szCs w:val="32"/>
          <w:highlight w:val="none"/>
        </w:rPr>
        <w:br w:type="page"/>
      </w:r>
      <w:r>
        <w:rPr>
          <w:rFonts w:hint="eastAsia" w:ascii="宋体" w:hAnsi="宋体" w:eastAsia="宋体" w:cs="Times New Roman"/>
          <w:b/>
          <w:color w:val="auto"/>
          <w:sz w:val="32"/>
          <w:szCs w:val="32"/>
          <w:highlight w:val="none"/>
        </w:rPr>
        <w:t>二、资信技术文件</w:t>
      </w:r>
    </w:p>
    <w:p>
      <w:pPr>
        <w:snapToGrid w:val="0"/>
        <w:spacing w:before="156" w:beforeLines="50" w:after="50" w:line="360" w:lineRule="exact"/>
        <w:jc w:val="center"/>
        <w:rPr>
          <w:rFonts w:hint="eastAsia" w:ascii="仿宋_GB2312" w:hAnsi="宋体" w:eastAsia="仿宋_GB2312" w:cs="Times New Roman"/>
          <w:b/>
          <w:color w:val="auto"/>
          <w:sz w:val="28"/>
          <w:szCs w:val="28"/>
          <w:highlight w:val="none"/>
        </w:rPr>
      </w:pPr>
      <w:r>
        <w:rPr>
          <w:rFonts w:hint="eastAsia" w:ascii="仿宋_GB2312" w:hAnsi="宋体" w:eastAsia="仿宋_GB2312" w:cs="Times New Roman"/>
          <w:b/>
          <w:color w:val="auto"/>
          <w:sz w:val="28"/>
          <w:szCs w:val="28"/>
          <w:highlight w:val="none"/>
        </w:rPr>
        <w:t>投 标 函</w:t>
      </w:r>
      <w:r>
        <w:rPr>
          <w:rFonts w:hint="eastAsia" w:ascii="仿宋_GB2312" w:hAnsi="宋体" w:eastAsia="仿宋_GB2312" w:cs="Times New Roman"/>
          <w:bCs/>
          <w:color w:val="auto"/>
          <w:sz w:val="24"/>
          <w:szCs w:val="24"/>
          <w:highlight w:val="none"/>
        </w:rPr>
        <w:t>（格式）</w:t>
      </w:r>
    </w:p>
    <w:p>
      <w:pPr>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致：钦州市政府采购中心：</w:t>
      </w:r>
    </w:p>
    <w:p>
      <w:pPr>
        <w:spacing w:line="400" w:lineRule="exact"/>
        <w:rPr>
          <w:rFonts w:hint="eastAsia" w:ascii="宋体" w:hAnsi="宋体" w:eastAsia="宋体" w:cs="Times New Roman"/>
          <w:color w:val="auto"/>
          <w:szCs w:val="21"/>
          <w:highlight w:val="none"/>
        </w:rPr>
      </w:pPr>
    </w:p>
    <w:p>
      <w:pPr>
        <w:spacing w:line="400" w:lineRule="exact"/>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ab/>
      </w:r>
      <w:r>
        <w:rPr>
          <w:rFonts w:hint="eastAsia" w:ascii="宋体" w:hAnsi="宋体" w:eastAsia="宋体" w:cs="Times New Roman"/>
          <w:color w:val="auto"/>
          <w:szCs w:val="21"/>
          <w:highlight w:val="none"/>
        </w:rPr>
        <w:t>根据贵方为</w:t>
      </w:r>
      <w:r>
        <w:rPr>
          <w:rFonts w:hint="eastAsia" w:ascii="宋体" w:hAnsi="宋体" w:eastAsia="宋体" w:cs="Times New Roman"/>
          <w:color w:val="auto"/>
          <w:szCs w:val="21"/>
          <w:highlight w:val="none"/>
          <w:u w:val="single"/>
        </w:rPr>
        <w:t xml:space="preserve">   （项目名称）   </w:t>
      </w:r>
      <w:r>
        <w:rPr>
          <w:rFonts w:hint="eastAsia" w:ascii="宋体" w:hAnsi="宋体" w:eastAsia="宋体" w:cs="Times New Roman"/>
          <w:color w:val="auto"/>
          <w:szCs w:val="21"/>
          <w:highlight w:val="none"/>
        </w:rPr>
        <w:t>招标文件</w:t>
      </w:r>
      <w:r>
        <w:rPr>
          <w:rFonts w:hint="eastAsia" w:ascii="宋体" w:hAnsi="宋体" w:eastAsia="宋体" w:cs="Times New Roman"/>
          <w:color w:val="auto"/>
          <w:szCs w:val="21"/>
          <w:highlight w:val="none"/>
          <w:u w:val="single"/>
        </w:rPr>
        <w:t xml:space="preserve"> （项目编号及分标号） </w:t>
      </w:r>
      <w:r>
        <w:rPr>
          <w:rFonts w:hint="eastAsia" w:ascii="宋体" w:hAnsi="宋体" w:eastAsia="宋体" w:cs="Times New Roman"/>
          <w:color w:val="auto"/>
          <w:szCs w:val="21"/>
          <w:highlight w:val="none"/>
        </w:rPr>
        <w:t>，</w:t>
      </w:r>
      <w:bookmarkStart w:id="201" w:name="_Hlk92702218"/>
      <w:r>
        <w:rPr>
          <w:rFonts w:hint="eastAsia" w:ascii="宋体" w:hAnsi="宋体" w:eastAsia="宋体" w:cs="Times New Roman"/>
          <w:color w:val="auto"/>
          <w:szCs w:val="21"/>
          <w:highlight w:val="none"/>
        </w:rPr>
        <w:t>我方</w:t>
      </w:r>
      <w:r>
        <w:rPr>
          <w:rFonts w:hint="eastAsia" w:ascii="宋体" w:hAnsi="宋体" w:eastAsia="宋体" w:cs="Times New Roman"/>
          <w:color w:val="auto"/>
          <w:szCs w:val="21"/>
          <w:highlight w:val="none"/>
          <w:u w:val="single"/>
        </w:rPr>
        <w:t xml:space="preserve">  （投标人名称）  </w:t>
      </w:r>
      <w:r>
        <w:rPr>
          <w:rFonts w:hint="eastAsia" w:ascii="宋体" w:hAnsi="宋体" w:eastAsia="宋体" w:cs="Times New Roman"/>
          <w:color w:val="auto"/>
          <w:szCs w:val="21"/>
          <w:highlight w:val="none"/>
        </w:rPr>
        <w:t>经正式授权代表</w:t>
      </w:r>
      <w:r>
        <w:rPr>
          <w:rFonts w:hint="eastAsia" w:ascii="宋体" w:hAnsi="宋体" w:eastAsia="宋体" w:cs="Times New Roman"/>
          <w:color w:val="auto"/>
          <w:szCs w:val="21"/>
          <w:highlight w:val="none"/>
          <w:u w:val="single"/>
        </w:rPr>
        <w:t xml:space="preserve">   （被授权人）   </w:t>
      </w:r>
      <w:r>
        <w:rPr>
          <w:rFonts w:hint="eastAsia" w:ascii="宋体" w:hAnsi="宋体" w:eastAsia="宋体" w:cs="Times New Roman"/>
          <w:color w:val="auto"/>
          <w:szCs w:val="21"/>
          <w:highlight w:val="none"/>
        </w:rPr>
        <w:t>提交</w:t>
      </w:r>
      <w:bookmarkEnd w:id="201"/>
      <w:r>
        <w:rPr>
          <w:rFonts w:hint="eastAsia" w:ascii="宋体" w:hAnsi="宋体" w:eastAsia="宋体" w:cs="Times New Roman"/>
          <w:color w:val="auto"/>
          <w:szCs w:val="21"/>
          <w:highlight w:val="none"/>
        </w:rPr>
        <w:t>投标文件：</w:t>
      </w:r>
    </w:p>
    <w:p>
      <w:pPr>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ab/>
      </w:r>
      <w:r>
        <w:rPr>
          <w:rFonts w:hint="eastAsia" w:ascii="宋体" w:hAnsi="宋体" w:eastAsia="宋体" w:cs="Times New Roman"/>
          <w:color w:val="auto"/>
          <w:szCs w:val="21"/>
          <w:highlight w:val="none"/>
        </w:rPr>
        <w:t>据此函，投标人承诺：</w:t>
      </w:r>
    </w:p>
    <w:p>
      <w:pPr>
        <w:snapToGrid w:val="0"/>
        <w:spacing w:line="360" w:lineRule="exact"/>
        <w:ind w:firstLine="420" w:firstLineChars="2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1.我方已详细审阅招标文件（包括澄清或者修改文件），已经了解我方对于招标文件、采购过程、采购结果有依法进行询问、质疑、投诉的权利及相关渠道和要求。</w:t>
      </w:r>
    </w:p>
    <w:p>
      <w:pPr>
        <w:snapToGrid w:val="0"/>
        <w:spacing w:line="360" w:lineRule="exact"/>
        <w:ind w:firstLine="420" w:firstLineChars="2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2.我方不是采购人的附属机构；在获知本项目采购信息后，与采购人聘请的为此项目提供咨询服务的公司及其附属机构没有任何联系。</w:t>
      </w:r>
    </w:p>
    <w:p>
      <w:pPr>
        <w:snapToGrid w:val="0"/>
        <w:spacing w:line="360" w:lineRule="exact"/>
        <w:ind w:firstLine="420" w:firstLineChars="2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3.我方在投标之前已经与贵方进行了充分的沟通，完全理解并接受招标文件的各项规定和要求，对招标文件的合理性、合法性不再有异议。</w:t>
      </w:r>
    </w:p>
    <w:p>
      <w:pPr>
        <w:snapToGrid w:val="0"/>
        <w:spacing w:line="360" w:lineRule="exact"/>
        <w:ind w:firstLine="420" w:firstLineChars="2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4.我方同意在开标日期起遵循本投标文件，并在投标有效期90天内均具有约束力。</w:t>
      </w:r>
    </w:p>
    <w:p>
      <w:pPr>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ab/>
      </w:r>
      <w:r>
        <w:rPr>
          <w:rFonts w:hint="eastAsia" w:ascii="宋体" w:hAnsi="宋体" w:eastAsia="宋体" w:cs="Times New Roman"/>
          <w:color w:val="auto"/>
          <w:szCs w:val="21"/>
          <w:highlight w:val="none"/>
        </w:rPr>
        <w:t>5.我方承诺具备《中华人民共和国政府采购法》中规定的参加政府采购活动供应商应当具备的条件。</w:t>
      </w:r>
    </w:p>
    <w:p>
      <w:pPr>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ab/>
      </w:r>
      <w:r>
        <w:rPr>
          <w:rFonts w:hint="eastAsia" w:ascii="宋体" w:hAnsi="宋体" w:eastAsia="宋体" w:cs="Times New Roman"/>
          <w:color w:val="auto"/>
          <w:szCs w:val="21"/>
          <w:highlight w:val="none"/>
        </w:rPr>
        <w:t>6.我方根据招标文件的规定，承担完成合同的责任和义务。</w:t>
      </w:r>
    </w:p>
    <w:p>
      <w:pPr>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ab/>
      </w:r>
      <w:r>
        <w:rPr>
          <w:rFonts w:hint="eastAsia" w:ascii="宋体" w:hAnsi="宋体" w:eastAsia="宋体" w:cs="Times New Roman"/>
          <w:color w:val="auto"/>
          <w:szCs w:val="21"/>
          <w:highlight w:val="none"/>
        </w:rPr>
        <w:t>7.如果在投标截止时间后的投标有效期内撤回投标或者有其他违约行为，我方的投标保证金可被贵方全部没收。</w:t>
      </w:r>
    </w:p>
    <w:p>
      <w:pPr>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ab/>
      </w:r>
      <w:r>
        <w:rPr>
          <w:rFonts w:hint="eastAsia" w:ascii="宋体" w:hAnsi="宋体" w:eastAsia="宋体" w:cs="Times New Roman"/>
          <w:color w:val="auto"/>
          <w:szCs w:val="21"/>
          <w:highlight w:val="none"/>
        </w:rPr>
        <w:t>8.同意向贵方提供贵方可能要求的与本投标有关的人员、数据和资料。</w:t>
      </w:r>
    </w:p>
    <w:p>
      <w:pPr>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ab/>
      </w:r>
      <w:r>
        <w:rPr>
          <w:rFonts w:hint="eastAsia" w:ascii="宋体" w:hAnsi="宋体" w:eastAsia="宋体" w:cs="Times New Roman"/>
          <w:color w:val="auto"/>
          <w:szCs w:val="21"/>
          <w:highlight w:val="none"/>
        </w:rPr>
        <w:t>9.我方完全理解贵方不一定要接受最低报价的投标人为中标人。</w:t>
      </w:r>
    </w:p>
    <w:p>
      <w:pPr>
        <w:spacing w:line="400" w:lineRule="exact"/>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10.我方向贵方提交的所有投标文件、资料都是准确的和真实的。</w:t>
      </w:r>
    </w:p>
    <w:p>
      <w:pPr>
        <w:spacing w:line="400" w:lineRule="exact"/>
        <w:rPr>
          <w:rFonts w:hint="eastAsia" w:ascii="宋体" w:hAnsi="宋体" w:eastAsia="宋体" w:cs="Times New Roman"/>
          <w:color w:val="auto"/>
          <w:szCs w:val="21"/>
          <w:highlight w:val="none"/>
        </w:rPr>
      </w:pPr>
    </w:p>
    <w:p>
      <w:pPr>
        <w:spacing w:line="400" w:lineRule="exact"/>
        <w:ind w:firstLine="426"/>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与我公司有关的正式通讯方式：</w:t>
      </w:r>
    </w:p>
    <w:p>
      <w:pPr>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ab/>
      </w:r>
      <w:r>
        <w:rPr>
          <w:rFonts w:hint="eastAsia" w:ascii="宋体" w:hAnsi="宋体" w:eastAsia="宋体" w:cs="Times New Roman"/>
          <w:color w:val="auto"/>
          <w:szCs w:val="21"/>
          <w:highlight w:val="none"/>
        </w:rPr>
        <w:t>地址：</w:t>
      </w:r>
      <w:r>
        <w:rPr>
          <w:rFonts w:hint="eastAsia" w:ascii="宋体" w:hAnsi="宋体" w:eastAsia="宋体" w:cs="Times New Roman"/>
          <w:color w:val="auto"/>
          <w:szCs w:val="21"/>
          <w:highlight w:val="none"/>
          <w:u w:val="single"/>
        </w:rPr>
        <w:t xml:space="preserve">                                   </w:t>
      </w:r>
    </w:p>
    <w:p>
      <w:pPr>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ab/>
      </w:r>
      <w:r>
        <w:rPr>
          <w:rFonts w:hint="eastAsia" w:ascii="宋体" w:hAnsi="宋体" w:eastAsia="宋体" w:cs="Times New Roman"/>
          <w:color w:val="auto"/>
          <w:szCs w:val="21"/>
          <w:highlight w:val="none"/>
        </w:rPr>
        <w:t>邮政编码：</w:t>
      </w:r>
      <w:r>
        <w:rPr>
          <w:rFonts w:hint="eastAsia" w:ascii="宋体" w:hAnsi="宋体" w:eastAsia="宋体" w:cs="Times New Roman"/>
          <w:color w:val="auto"/>
          <w:szCs w:val="21"/>
          <w:highlight w:val="none"/>
          <w:u w:val="single"/>
        </w:rPr>
        <w:t xml:space="preserve">                               </w:t>
      </w:r>
    </w:p>
    <w:p>
      <w:pPr>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ab/>
      </w:r>
      <w:r>
        <w:rPr>
          <w:rFonts w:hint="eastAsia" w:ascii="宋体" w:hAnsi="宋体" w:eastAsia="宋体" w:cs="Times New Roman"/>
          <w:color w:val="auto"/>
          <w:szCs w:val="21"/>
          <w:highlight w:val="none"/>
        </w:rPr>
        <w:t>电话、电报、传真或电传：</w:t>
      </w:r>
      <w:r>
        <w:rPr>
          <w:rFonts w:hint="eastAsia" w:ascii="宋体" w:hAnsi="宋体" w:eastAsia="宋体" w:cs="Times New Roman"/>
          <w:color w:val="auto"/>
          <w:szCs w:val="21"/>
          <w:highlight w:val="none"/>
          <w:u w:val="single"/>
        </w:rPr>
        <w:t xml:space="preserve">                 </w:t>
      </w:r>
    </w:p>
    <w:p>
      <w:pPr>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ab/>
      </w:r>
      <w:r>
        <w:rPr>
          <w:rFonts w:hint="eastAsia" w:ascii="宋体" w:hAnsi="宋体" w:eastAsia="宋体" w:cs="Times New Roman"/>
          <w:color w:val="auto"/>
          <w:szCs w:val="21"/>
          <w:highlight w:val="none"/>
        </w:rPr>
        <w:t>开户名称：</w:t>
      </w:r>
      <w:r>
        <w:rPr>
          <w:rFonts w:hint="eastAsia" w:ascii="宋体" w:hAnsi="宋体" w:eastAsia="宋体" w:cs="Times New Roman"/>
          <w:color w:val="auto"/>
          <w:szCs w:val="21"/>
          <w:highlight w:val="none"/>
          <w:u w:val="single"/>
        </w:rPr>
        <w:t xml:space="preserve">                               </w:t>
      </w:r>
    </w:p>
    <w:p>
      <w:pPr>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ab/>
      </w:r>
      <w:r>
        <w:rPr>
          <w:rFonts w:hint="eastAsia" w:ascii="宋体" w:hAnsi="宋体" w:eastAsia="宋体" w:cs="Times New Roman"/>
          <w:color w:val="auto"/>
          <w:szCs w:val="21"/>
          <w:highlight w:val="none"/>
        </w:rPr>
        <w:t>开户银行：</w:t>
      </w:r>
      <w:r>
        <w:rPr>
          <w:rFonts w:hint="eastAsia" w:ascii="宋体" w:hAnsi="宋体" w:eastAsia="宋体" w:cs="Times New Roman"/>
          <w:color w:val="auto"/>
          <w:szCs w:val="21"/>
          <w:highlight w:val="none"/>
          <w:u w:val="single"/>
        </w:rPr>
        <w:t xml:space="preserve">                               </w:t>
      </w:r>
    </w:p>
    <w:p>
      <w:pPr>
        <w:spacing w:line="400" w:lineRule="exact"/>
        <w:rPr>
          <w:rFonts w:hint="eastAsia" w:ascii="宋体" w:hAnsi="宋体" w:eastAsia="宋体" w:cs="Times New Roman"/>
          <w:color w:val="auto"/>
          <w:szCs w:val="21"/>
          <w:highlight w:val="none"/>
          <w:u w:val="single"/>
        </w:rPr>
      </w:pPr>
      <w:r>
        <w:rPr>
          <w:rFonts w:hint="eastAsia" w:ascii="宋体" w:hAnsi="宋体" w:eastAsia="宋体" w:cs="Times New Roman"/>
          <w:color w:val="auto"/>
          <w:szCs w:val="21"/>
          <w:highlight w:val="none"/>
        </w:rPr>
        <w:tab/>
      </w:r>
      <w:r>
        <w:rPr>
          <w:rFonts w:hint="eastAsia" w:ascii="宋体" w:hAnsi="宋体" w:eastAsia="宋体" w:cs="Times New Roman"/>
          <w:color w:val="auto"/>
          <w:szCs w:val="21"/>
          <w:highlight w:val="none"/>
        </w:rPr>
        <w:t>账    号：</w:t>
      </w:r>
      <w:r>
        <w:rPr>
          <w:rFonts w:hint="eastAsia" w:ascii="宋体" w:hAnsi="宋体" w:eastAsia="宋体" w:cs="Times New Roman"/>
          <w:color w:val="auto"/>
          <w:szCs w:val="21"/>
          <w:highlight w:val="none"/>
          <w:u w:val="single"/>
        </w:rPr>
        <w:t xml:space="preserve">                               </w:t>
      </w:r>
    </w:p>
    <w:p>
      <w:pPr>
        <w:spacing w:line="400" w:lineRule="exact"/>
        <w:rPr>
          <w:rFonts w:hint="eastAsia" w:ascii="宋体" w:hAnsi="宋体" w:eastAsia="宋体" w:cs="Times New Roman"/>
          <w:color w:val="auto"/>
          <w:szCs w:val="21"/>
          <w:highlight w:val="none"/>
        </w:rPr>
      </w:pPr>
    </w:p>
    <w:p>
      <w:pPr>
        <w:spacing w:line="400" w:lineRule="exact"/>
        <w:rPr>
          <w:rFonts w:hint="eastAsia" w:ascii="宋体" w:hAnsi="宋体" w:eastAsia="宋体" w:cs="Times New Roman"/>
          <w:color w:val="auto"/>
          <w:szCs w:val="21"/>
          <w:highlight w:val="none"/>
        </w:rPr>
      </w:pPr>
    </w:p>
    <w:p>
      <w:pPr>
        <w:spacing w:line="400" w:lineRule="exact"/>
        <w:rPr>
          <w:rFonts w:hint="eastAsia" w:ascii="宋体" w:hAnsi="宋体" w:eastAsia="宋体" w:cs="Times New Roman"/>
          <w:color w:val="auto"/>
          <w:szCs w:val="21"/>
          <w:highlight w:val="none"/>
        </w:rPr>
      </w:pPr>
    </w:p>
    <w:p>
      <w:pPr>
        <w:spacing w:line="400" w:lineRule="exact"/>
        <w:rPr>
          <w:rFonts w:hint="eastAsia" w:ascii="宋体" w:hAnsi="宋体" w:eastAsia="宋体" w:cs="Times New Roman"/>
          <w:color w:val="auto"/>
          <w:szCs w:val="21"/>
          <w:highlight w:val="none"/>
          <w:u w:val="single"/>
        </w:rPr>
      </w:pPr>
      <w:r>
        <w:rPr>
          <w:rFonts w:hint="eastAsia" w:ascii="宋体" w:hAnsi="宋体" w:eastAsia="宋体" w:cs="Times New Roman"/>
          <w:color w:val="auto"/>
          <w:szCs w:val="21"/>
          <w:highlight w:val="none"/>
        </w:rPr>
        <w:tab/>
      </w:r>
      <w:r>
        <w:rPr>
          <w:rFonts w:hint="eastAsia" w:ascii="宋体" w:hAnsi="宋体" w:eastAsia="宋体" w:cs="Times New Roman"/>
          <w:color w:val="auto"/>
          <w:szCs w:val="21"/>
          <w:highlight w:val="none"/>
        </w:rPr>
        <w:t xml:space="preserve">                                                    投标人（盖章）：</w:t>
      </w:r>
      <w:r>
        <w:rPr>
          <w:rFonts w:hint="eastAsia" w:ascii="宋体" w:hAnsi="宋体" w:eastAsia="宋体" w:cs="Times New Roman"/>
          <w:color w:val="auto"/>
          <w:szCs w:val="21"/>
          <w:highlight w:val="none"/>
          <w:u w:val="single"/>
        </w:rPr>
        <w:t xml:space="preserve">             </w:t>
      </w:r>
    </w:p>
    <w:p>
      <w:pPr>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ab/>
      </w:r>
      <w:r>
        <w:rPr>
          <w:rFonts w:hint="eastAsia" w:ascii="宋体" w:hAnsi="宋体" w:eastAsia="宋体" w:cs="Times New Roman"/>
          <w:color w:val="auto"/>
          <w:szCs w:val="21"/>
          <w:highlight w:val="none"/>
        </w:rPr>
        <w:t xml:space="preserve">                                                    日期：</w:t>
      </w:r>
      <w:r>
        <w:rPr>
          <w:rFonts w:hint="eastAsia" w:ascii="宋体" w:hAnsi="宋体" w:eastAsia="宋体" w:cs="Times New Roman"/>
          <w:bCs/>
          <w:color w:val="auto"/>
          <w:szCs w:val="24"/>
          <w:highlight w:val="none"/>
          <w:u w:val="single"/>
        </w:rPr>
        <w:t xml:space="preserve">        </w:t>
      </w:r>
      <w:r>
        <w:rPr>
          <w:rFonts w:hint="eastAsia" w:ascii="宋体" w:hAnsi="宋体" w:eastAsia="宋体" w:cs="Times New Roman"/>
          <w:bCs/>
          <w:color w:val="auto"/>
          <w:szCs w:val="24"/>
          <w:highlight w:val="none"/>
        </w:rPr>
        <w:t>年</w:t>
      </w:r>
      <w:r>
        <w:rPr>
          <w:rFonts w:hint="eastAsia" w:ascii="宋体" w:hAnsi="宋体" w:eastAsia="宋体" w:cs="Times New Roman"/>
          <w:bCs/>
          <w:color w:val="auto"/>
          <w:szCs w:val="24"/>
          <w:highlight w:val="none"/>
          <w:u w:val="single"/>
        </w:rPr>
        <w:t xml:space="preserve">    </w:t>
      </w:r>
      <w:r>
        <w:rPr>
          <w:rFonts w:hint="eastAsia" w:ascii="宋体" w:hAnsi="宋体" w:eastAsia="宋体" w:cs="Times New Roman"/>
          <w:bCs/>
          <w:color w:val="auto"/>
          <w:szCs w:val="24"/>
          <w:highlight w:val="none"/>
        </w:rPr>
        <w:t>月</w:t>
      </w:r>
      <w:r>
        <w:rPr>
          <w:rFonts w:hint="eastAsia" w:ascii="宋体" w:hAnsi="宋体" w:eastAsia="宋体" w:cs="Times New Roman"/>
          <w:bCs/>
          <w:color w:val="auto"/>
          <w:szCs w:val="24"/>
          <w:highlight w:val="none"/>
          <w:u w:val="single"/>
        </w:rPr>
        <w:t xml:space="preserve">    </w:t>
      </w:r>
      <w:r>
        <w:rPr>
          <w:rFonts w:hint="eastAsia" w:ascii="宋体" w:hAnsi="宋体" w:eastAsia="宋体" w:cs="Times New Roman"/>
          <w:bCs/>
          <w:color w:val="auto"/>
          <w:szCs w:val="24"/>
          <w:highlight w:val="none"/>
        </w:rPr>
        <w:t>日</w:t>
      </w:r>
    </w:p>
    <w:p>
      <w:pPr>
        <w:spacing w:line="400" w:lineRule="exact"/>
        <w:rPr>
          <w:rFonts w:ascii="Times New Roman" w:hAnsi="Times New Roman" w:eastAsia="宋体" w:cs="Times New Roman"/>
          <w:color w:val="auto"/>
          <w:szCs w:val="24"/>
          <w:highlight w:val="none"/>
        </w:rPr>
      </w:pPr>
    </w:p>
    <w:p>
      <w:pPr>
        <w:tabs>
          <w:tab w:val="left" w:pos="3870"/>
          <w:tab w:val="left" w:pos="4085"/>
        </w:tabs>
        <w:snapToGrid w:val="0"/>
        <w:spacing w:line="600" w:lineRule="exact"/>
        <w:jc w:val="center"/>
        <w:rPr>
          <w:rFonts w:hint="eastAsia" w:ascii="仿宋_GB2312" w:hAnsi="宋体" w:eastAsia="仿宋_GB2312" w:cs="Times New Roman"/>
          <w:b/>
          <w:color w:val="auto"/>
          <w:sz w:val="28"/>
          <w:szCs w:val="28"/>
          <w:highlight w:val="none"/>
        </w:rPr>
      </w:pPr>
      <w:bookmarkStart w:id="202" w:name="_Hlk92702580"/>
      <w:r>
        <w:rPr>
          <w:rFonts w:hint="eastAsia" w:ascii="仿宋_GB2312" w:hAnsi="宋体" w:eastAsia="仿宋_GB2312" w:cs="Times New Roman"/>
          <w:b/>
          <w:color w:val="auto"/>
          <w:sz w:val="32"/>
          <w:szCs w:val="32"/>
          <w:highlight w:val="none"/>
        </w:rPr>
        <w:t>授权委托书</w:t>
      </w:r>
      <w:r>
        <w:rPr>
          <w:rFonts w:hint="eastAsia" w:ascii="仿宋_GB2312" w:hAnsi="宋体" w:eastAsia="仿宋_GB2312" w:cs="Times New Roman"/>
          <w:bCs/>
          <w:color w:val="auto"/>
          <w:sz w:val="24"/>
          <w:szCs w:val="24"/>
          <w:highlight w:val="none"/>
        </w:rPr>
        <w:t>（格式）</w:t>
      </w:r>
    </w:p>
    <w:p>
      <w:pPr>
        <w:snapToGrid w:val="0"/>
        <w:spacing w:before="156" w:beforeLines="50" w:after="50" w:line="400" w:lineRule="exact"/>
        <w:rPr>
          <w:rFonts w:hint="eastAsia" w:ascii="宋体" w:hAnsi="宋体" w:eastAsia="宋体" w:cs="Times New Roman"/>
          <w:b/>
          <w:bCs/>
          <w:color w:val="auto"/>
          <w:szCs w:val="21"/>
          <w:highlight w:val="none"/>
        </w:rPr>
      </w:pPr>
      <w:r>
        <w:rPr>
          <w:rFonts w:hint="eastAsia" w:ascii="宋体" w:hAnsi="宋体" w:eastAsia="宋体" w:cs="Times New Roman"/>
          <w:bCs/>
          <w:color w:val="auto"/>
          <w:szCs w:val="21"/>
          <w:highlight w:val="none"/>
        </w:rPr>
        <w:t>致：</w:t>
      </w:r>
      <w:r>
        <w:rPr>
          <w:rFonts w:hint="eastAsia" w:ascii="Times New Roman" w:hAnsi="Times New Roman" w:eastAsia="宋体" w:cs="Times New Roman"/>
          <w:color w:val="auto"/>
          <w:szCs w:val="24"/>
          <w:highlight w:val="none"/>
        </w:rPr>
        <w:t>钦州市政府采购中心</w:t>
      </w:r>
    </w:p>
    <w:p>
      <w:pPr>
        <w:snapToGrid w:val="0"/>
        <w:spacing w:before="156" w:beforeLines="50" w:after="50" w:line="400" w:lineRule="exact"/>
        <w:ind w:firstLine="420" w:firstLineChars="2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我</w:t>
      </w:r>
      <w:r>
        <w:rPr>
          <w:rFonts w:hint="eastAsia" w:ascii="宋体" w:hAnsi="宋体" w:eastAsia="宋体" w:cs="Times New Roman"/>
          <w:color w:val="auto"/>
          <w:szCs w:val="21"/>
          <w:highlight w:val="none"/>
          <w:u w:val="single"/>
        </w:rPr>
        <w:t>（姓名）</w:t>
      </w:r>
      <w:r>
        <w:rPr>
          <w:rFonts w:hint="eastAsia" w:ascii="宋体" w:hAnsi="宋体" w:eastAsia="宋体" w:cs="Times New Roman"/>
          <w:color w:val="auto"/>
          <w:szCs w:val="21"/>
          <w:highlight w:val="none"/>
        </w:rPr>
        <w:t>系</w:t>
      </w:r>
      <w:r>
        <w:rPr>
          <w:rFonts w:hint="eastAsia" w:ascii="宋体" w:hAnsi="宋体" w:eastAsia="宋体" w:cs="Times New Roman"/>
          <w:color w:val="auto"/>
          <w:szCs w:val="21"/>
          <w:highlight w:val="none"/>
          <w:u w:val="single"/>
        </w:rPr>
        <w:t>（投标人名称）</w:t>
      </w:r>
      <w:r>
        <w:rPr>
          <w:rFonts w:hint="eastAsia" w:ascii="宋体" w:hAnsi="宋体" w:eastAsia="宋体" w:cs="Times New Roman"/>
          <w:color w:val="auto"/>
          <w:szCs w:val="21"/>
          <w:highlight w:val="none"/>
        </w:rPr>
        <w:t>的法定代表人，现授权委托本单位在职职工</w:t>
      </w:r>
      <w:r>
        <w:rPr>
          <w:rFonts w:hint="eastAsia" w:ascii="宋体" w:hAnsi="宋体" w:eastAsia="宋体" w:cs="Times New Roman"/>
          <w:color w:val="auto"/>
          <w:szCs w:val="21"/>
          <w:highlight w:val="none"/>
          <w:u w:val="single"/>
        </w:rPr>
        <w:t>（姓名）</w:t>
      </w:r>
      <w:r>
        <w:rPr>
          <w:rFonts w:hint="eastAsia" w:ascii="宋体" w:hAnsi="宋体" w:eastAsia="宋体" w:cs="Times New Roman"/>
          <w:color w:val="auto"/>
          <w:szCs w:val="21"/>
          <w:highlight w:val="none"/>
        </w:rPr>
        <w:t>以我方的名义参加</w:t>
      </w:r>
      <w:r>
        <w:rPr>
          <w:rFonts w:hint="eastAsia" w:ascii="宋体" w:hAnsi="宋体" w:eastAsia="宋体" w:cs="Times New Roman"/>
          <w:color w:val="auto"/>
          <w:szCs w:val="21"/>
          <w:highlight w:val="none"/>
          <w:u w:val="single"/>
        </w:rPr>
        <w:t>（项目名称/项目编号）</w:t>
      </w:r>
      <w:r>
        <w:rPr>
          <w:rFonts w:hint="eastAsia" w:ascii="宋体" w:hAnsi="宋体" w:eastAsia="宋体" w:cs="Times New Roman"/>
          <w:color w:val="auto"/>
          <w:szCs w:val="21"/>
          <w:highlight w:val="none"/>
        </w:rPr>
        <w:t>的投标活动，并代表我方全权办理针对上述项目的投标、开标、评标、签约等具体事务和签署相关文件。</w:t>
      </w:r>
    </w:p>
    <w:p>
      <w:pPr>
        <w:snapToGrid w:val="0"/>
        <w:spacing w:before="156" w:beforeLines="50" w:after="50" w:line="400" w:lineRule="exact"/>
        <w:ind w:firstLine="420" w:firstLineChars="2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我方对被授权人的签名事项负全部责任。</w:t>
      </w:r>
    </w:p>
    <w:p>
      <w:pPr>
        <w:snapToGrid w:val="0"/>
        <w:spacing w:before="156" w:beforeLines="50" w:after="50" w:line="400" w:lineRule="exact"/>
        <w:ind w:firstLine="420" w:firstLineChars="2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u w:val="single"/>
        </w:rPr>
        <w:t>在撤销授权的书面通知以前，本授权书一直有效</w:t>
      </w:r>
      <w:r>
        <w:rPr>
          <w:rFonts w:hint="eastAsia" w:ascii="宋体" w:hAnsi="宋体" w:eastAsia="宋体" w:cs="Times New Roman"/>
          <w:color w:val="auto"/>
          <w:szCs w:val="21"/>
          <w:highlight w:val="none"/>
        </w:rPr>
        <w:t>。被授权人在授权书有效期内签署的所有文件不因授权的撤销而失效。</w:t>
      </w:r>
    </w:p>
    <w:p>
      <w:pPr>
        <w:snapToGrid w:val="0"/>
        <w:spacing w:before="156" w:beforeLines="50" w:after="50" w:line="400" w:lineRule="exact"/>
        <w:ind w:firstLine="420" w:firstLineChars="2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被授权人无转委托权，特此委托。</w:t>
      </w:r>
    </w:p>
    <w:p>
      <w:pPr>
        <w:snapToGrid w:val="0"/>
        <w:spacing w:before="156" w:beforeLines="50" w:after="50" w:line="300" w:lineRule="exact"/>
        <w:rPr>
          <w:rFonts w:hint="eastAsia" w:ascii="宋体" w:hAnsi="宋体" w:eastAsia="宋体" w:cs="Times New Roman"/>
          <w:color w:val="auto"/>
          <w:szCs w:val="21"/>
          <w:highlight w:val="none"/>
        </w:rPr>
      </w:pPr>
    </w:p>
    <w:p>
      <w:pPr>
        <w:snapToGrid w:val="0"/>
        <w:spacing w:before="156" w:beforeLines="50" w:after="50" w:line="300" w:lineRule="exact"/>
        <w:ind w:firstLine="420" w:firstLineChars="2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被授权人身份证号码：</w:t>
      </w:r>
      <w:r>
        <w:rPr>
          <w:rFonts w:hint="eastAsia" w:ascii="宋体" w:hAnsi="宋体" w:eastAsia="宋体" w:cs="Times New Roman"/>
          <w:color w:val="auto"/>
          <w:szCs w:val="21"/>
          <w:highlight w:val="none"/>
          <w:u w:val="single"/>
        </w:rPr>
        <w:t xml:space="preserve">                  </w:t>
      </w:r>
    </w:p>
    <w:p>
      <w:pPr>
        <w:snapToGrid w:val="0"/>
        <w:spacing w:before="156" w:beforeLines="50" w:after="50" w:line="300" w:lineRule="exact"/>
        <w:ind w:firstLine="420" w:firstLineChars="200"/>
        <w:rPr>
          <w:rFonts w:hint="eastAsia" w:ascii="Times New Roman" w:hAnsi="宋体" w:eastAsia="宋体" w:cs="Times New Roman"/>
          <w:color w:val="auto"/>
          <w:szCs w:val="24"/>
          <w:highlight w:val="none"/>
        </w:rPr>
      </w:pPr>
      <w:r>
        <w:rPr>
          <w:rFonts w:hint="eastAsia" w:ascii="Times New Roman" w:hAnsi="宋体" w:eastAsia="宋体" w:cs="Times New Roman"/>
          <w:color w:val="auto"/>
          <w:szCs w:val="24"/>
          <w:highlight w:val="none"/>
        </w:rPr>
        <w:t>附：委托代理人身份证</w:t>
      </w:r>
      <w:r>
        <w:rPr>
          <w:rFonts w:ascii="Times New Roman" w:hAnsi="宋体" w:eastAsia="宋体" w:cs="Times New Roman"/>
          <w:color w:val="auto"/>
          <w:szCs w:val="24"/>
          <w:highlight w:val="none"/>
        </w:rPr>
        <w:t>(</w:t>
      </w:r>
      <w:r>
        <w:rPr>
          <w:rFonts w:hint="eastAsia" w:ascii="Times New Roman" w:hAnsi="宋体" w:eastAsia="宋体" w:cs="Times New Roman"/>
          <w:color w:val="auto"/>
          <w:szCs w:val="24"/>
          <w:highlight w:val="none"/>
        </w:rPr>
        <w:t>正反面</w:t>
      </w:r>
      <w:r>
        <w:rPr>
          <w:rFonts w:ascii="Times New Roman" w:hAnsi="宋体" w:eastAsia="宋体" w:cs="Times New Roman"/>
          <w:color w:val="auto"/>
          <w:szCs w:val="24"/>
          <w:highlight w:val="none"/>
        </w:rPr>
        <w:t>)</w:t>
      </w:r>
    </w:p>
    <w:p>
      <w:pPr>
        <w:spacing w:line="400" w:lineRule="exact"/>
        <w:ind w:left="420"/>
        <w:rPr>
          <w:rFonts w:hint="eastAsia" w:ascii="宋体" w:hAnsi="宋体" w:eastAsia="宋体" w:cs="Times New Roman"/>
          <w:color w:val="auto"/>
          <w:szCs w:val="24"/>
          <w:highlight w:val="none"/>
        </w:rPr>
      </w:pPr>
    </w:p>
    <w:p>
      <w:pPr>
        <w:spacing w:line="400" w:lineRule="exact"/>
        <w:ind w:left="420"/>
        <w:rPr>
          <w:rFonts w:hint="eastAsia" w:ascii="宋体" w:hAnsi="宋体" w:eastAsia="宋体" w:cs="Times New Roman"/>
          <w:color w:val="auto"/>
          <w:szCs w:val="24"/>
          <w:highlight w:val="none"/>
        </w:rPr>
      </w:pPr>
    </w:p>
    <w:p>
      <w:pPr>
        <w:spacing w:line="400" w:lineRule="exact"/>
        <w:ind w:left="420"/>
        <w:rPr>
          <w:rFonts w:hint="eastAsia" w:ascii="宋体" w:hAnsi="宋体" w:eastAsia="宋体" w:cs="Times New Roman"/>
          <w:color w:val="auto"/>
          <w:szCs w:val="24"/>
          <w:highlight w:val="none"/>
        </w:rPr>
      </w:pPr>
    </w:p>
    <w:p>
      <w:pPr>
        <w:snapToGrid w:val="0"/>
        <w:spacing w:before="156" w:beforeLines="50" w:after="50" w:line="200" w:lineRule="exact"/>
        <w:ind w:firstLine="4620" w:firstLineChars="2200"/>
        <w:rPr>
          <w:rFonts w:hint="eastAsia" w:ascii="宋体" w:hAnsi="宋体" w:eastAsia="宋体" w:cs="Times New Roman"/>
          <w:color w:val="auto"/>
          <w:szCs w:val="21"/>
          <w:highlight w:val="none"/>
          <w:u w:val="single"/>
        </w:rPr>
      </w:pPr>
      <w:r>
        <w:rPr>
          <w:rFonts w:hint="eastAsia" w:ascii="宋体" w:hAnsi="宋体" w:eastAsia="宋体" w:cs="Times New Roman"/>
          <w:color w:val="auto"/>
          <w:szCs w:val="21"/>
          <w:highlight w:val="none"/>
        </w:rPr>
        <w:t xml:space="preserve">       投标人（盖章）：</w:t>
      </w:r>
      <w:r>
        <w:rPr>
          <w:rFonts w:hint="eastAsia" w:ascii="宋体" w:hAnsi="宋体" w:eastAsia="宋体" w:cs="Times New Roman"/>
          <w:color w:val="auto"/>
          <w:szCs w:val="21"/>
          <w:highlight w:val="none"/>
          <w:u w:val="single"/>
        </w:rPr>
        <w:t xml:space="preserve">                    </w:t>
      </w:r>
    </w:p>
    <w:p>
      <w:pPr>
        <w:snapToGrid w:val="0"/>
        <w:spacing w:before="156" w:beforeLines="50" w:after="50" w:line="200" w:lineRule="exact"/>
        <w:ind w:firstLine="5355" w:firstLineChars="255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法定代表人签名：</w:t>
      </w:r>
      <w:r>
        <w:rPr>
          <w:rFonts w:hint="eastAsia" w:ascii="宋体" w:hAnsi="宋体" w:eastAsia="宋体" w:cs="Times New Roman"/>
          <w:color w:val="auto"/>
          <w:szCs w:val="21"/>
          <w:highlight w:val="none"/>
          <w:u w:val="single"/>
        </w:rPr>
        <w:t xml:space="preserve">                   </w:t>
      </w:r>
    </w:p>
    <w:p>
      <w:pPr>
        <w:snapToGrid w:val="0"/>
        <w:spacing w:before="156" w:beforeLines="50" w:after="50" w:line="200" w:lineRule="exact"/>
        <w:ind w:firstLine="5355" w:firstLineChars="255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日期：</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年</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月</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日</w:t>
      </w:r>
    </w:p>
    <w:bookmarkEnd w:id="202"/>
    <w:p>
      <w:pPr>
        <w:spacing w:line="360" w:lineRule="exact"/>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br w:type="page"/>
      </w:r>
    </w:p>
    <w:p>
      <w:pPr>
        <w:snapToGrid w:val="0"/>
        <w:spacing w:before="156" w:beforeLines="50" w:after="50" w:line="360" w:lineRule="exact"/>
        <w:jc w:val="center"/>
        <w:rPr>
          <w:rFonts w:ascii="仿宋_GB2312" w:hAnsi="Times New Roman" w:eastAsia="仿宋_GB2312" w:cs="Times New Roman"/>
          <w:b/>
          <w:color w:val="auto"/>
          <w:sz w:val="28"/>
          <w:szCs w:val="28"/>
          <w:highlight w:val="none"/>
        </w:rPr>
      </w:pPr>
      <w:bookmarkStart w:id="203" w:name="_Hlk92702799"/>
      <w:r>
        <w:rPr>
          <w:rFonts w:hint="eastAsia" w:ascii="仿宋_GB2312" w:hAnsi="宋体" w:eastAsia="仿宋_GB2312" w:cs="Times New Roman"/>
          <w:b/>
          <w:color w:val="auto"/>
          <w:sz w:val="32"/>
          <w:szCs w:val="32"/>
          <w:highlight w:val="none"/>
        </w:rPr>
        <w:t>商务响应</w:t>
      </w:r>
      <w:r>
        <w:rPr>
          <w:rFonts w:hint="eastAsia" w:ascii="仿宋_GB2312" w:hAnsi="Times New Roman" w:eastAsia="仿宋_GB2312" w:cs="Times New Roman"/>
          <w:b/>
          <w:color w:val="auto"/>
          <w:sz w:val="32"/>
          <w:szCs w:val="32"/>
          <w:highlight w:val="none"/>
        </w:rPr>
        <w:t>表</w:t>
      </w:r>
      <w:bookmarkStart w:id="204" w:name="_Hlk111728555"/>
      <w:r>
        <w:rPr>
          <w:rFonts w:hint="eastAsia" w:ascii="仿宋_GB2312" w:hAnsi="Times New Roman" w:eastAsia="仿宋_GB2312" w:cs="Times New Roman"/>
          <w:bCs/>
          <w:color w:val="auto"/>
          <w:sz w:val="24"/>
          <w:szCs w:val="24"/>
          <w:highlight w:val="none"/>
        </w:rPr>
        <w:t>（格式）</w:t>
      </w:r>
      <w:bookmarkEnd w:id="204"/>
    </w:p>
    <w:p>
      <w:pPr>
        <w:spacing w:line="400" w:lineRule="exact"/>
        <w:rPr>
          <w:rFonts w:ascii="Times New Roman" w:hAnsi="Times New Roman" w:eastAsia="宋体" w:cs="Times New Roman"/>
          <w:color w:val="auto"/>
          <w:szCs w:val="24"/>
          <w:highlight w:val="none"/>
        </w:rPr>
      </w:pPr>
    </w:p>
    <w:tbl>
      <w:tblPr>
        <w:tblStyle w:val="49"/>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908"/>
        <w:gridCol w:w="3240"/>
        <w:gridCol w:w="1440"/>
        <w:gridCol w:w="288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908" w:type="dxa"/>
            <w:tcBorders>
              <w:top w:val="single" w:color="auto" w:sz="4" w:space="0"/>
              <w:left w:val="single" w:color="auto" w:sz="4" w:space="0"/>
              <w:bottom w:val="single" w:color="auto" w:sz="4" w:space="0"/>
              <w:right w:val="single" w:color="auto" w:sz="4" w:space="0"/>
            </w:tcBorders>
            <w:vAlign w:val="center"/>
          </w:tcPr>
          <w:p>
            <w:pPr>
              <w:snapToGrid w:val="0"/>
              <w:spacing w:before="156" w:beforeLines="50" w:line="360" w:lineRule="exact"/>
              <w:jc w:val="center"/>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t>项目</w:t>
            </w:r>
          </w:p>
        </w:tc>
        <w:tc>
          <w:tcPr>
            <w:tcW w:w="3240" w:type="dxa"/>
            <w:tcBorders>
              <w:top w:val="single" w:color="auto" w:sz="4" w:space="0"/>
              <w:left w:val="single" w:color="auto" w:sz="4" w:space="0"/>
              <w:bottom w:val="single" w:color="auto" w:sz="4" w:space="0"/>
              <w:right w:val="single" w:color="auto" w:sz="4" w:space="0"/>
            </w:tcBorders>
            <w:vAlign w:val="center"/>
          </w:tcPr>
          <w:p>
            <w:pPr>
              <w:snapToGrid w:val="0"/>
              <w:spacing w:before="156" w:beforeLines="50" w:line="360" w:lineRule="exact"/>
              <w:jc w:val="center"/>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t>招标文件要求</w:t>
            </w:r>
          </w:p>
        </w:tc>
        <w:tc>
          <w:tcPr>
            <w:tcW w:w="1440" w:type="dxa"/>
            <w:tcBorders>
              <w:top w:val="single" w:color="auto" w:sz="4" w:space="0"/>
              <w:left w:val="single" w:color="auto" w:sz="4" w:space="0"/>
              <w:bottom w:val="single" w:color="auto" w:sz="4" w:space="0"/>
              <w:right w:val="single" w:color="auto" w:sz="4" w:space="0"/>
            </w:tcBorders>
            <w:vAlign w:val="center"/>
          </w:tcPr>
          <w:p>
            <w:pPr>
              <w:snapToGrid w:val="0"/>
              <w:spacing w:before="156" w:beforeLines="50" w:line="360" w:lineRule="exact"/>
              <w:jc w:val="center"/>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t>是否响应</w:t>
            </w:r>
          </w:p>
        </w:tc>
        <w:tc>
          <w:tcPr>
            <w:tcW w:w="2880" w:type="dxa"/>
            <w:tcBorders>
              <w:top w:val="single" w:color="auto" w:sz="4" w:space="0"/>
              <w:left w:val="single" w:color="auto" w:sz="4" w:space="0"/>
              <w:bottom w:val="single" w:color="auto" w:sz="4" w:space="0"/>
              <w:right w:val="single" w:color="auto" w:sz="4" w:space="0"/>
            </w:tcBorders>
            <w:vAlign w:val="center"/>
          </w:tcPr>
          <w:p>
            <w:pPr>
              <w:snapToGrid w:val="0"/>
              <w:spacing w:before="156" w:beforeLines="50" w:line="360" w:lineRule="exact"/>
              <w:jc w:val="center"/>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t>投标人的承诺或说明</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908" w:type="dxa"/>
            <w:tcBorders>
              <w:top w:val="single" w:color="auto" w:sz="4" w:space="0"/>
              <w:left w:val="single" w:color="auto" w:sz="4" w:space="0"/>
              <w:bottom w:val="single" w:color="auto" w:sz="4" w:space="0"/>
              <w:right w:val="single" w:color="auto" w:sz="4" w:space="0"/>
            </w:tcBorders>
            <w:vAlign w:val="center"/>
          </w:tcPr>
          <w:p>
            <w:pPr>
              <w:snapToGrid w:val="0"/>
              <w:spacing w:before="156" w:beforeLines="50" w:line="360" w:lineRule="exact"/>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服务期</w:t>
            </w:r>
          </w:p>
        </w:tc>
        <w:tc>
          <w:tcPr>
            <w:tcW w:w="3240" w:type="dxa"/>
            <w:tcBorders>
              <w:top w:val="single" w:color="auto" w:sz="4" w:space="0"/>
              <w:left w:val="single" w:color="auto" w:sz="4" w:space="0"/>
              <w:bottom w:val="single" w:color="auto" w:sz="4" w:space="0"/>
              <w:right w:val="single" w:color="auto" w:sz="4" w:space="0"/>
            </w:tcBorders>
            <w:vAlign w:val="center"/>
          </w:tcPr>
          <w:p>
            <w:pPr>
              <w:snapToGrid w:val="0"/>
              <w:spacing w:before="156" w:beforeLines="50" w:line="360" w:lineRule="exact"/>
              <w:jc w:val="center"/>
              <w:rPr>
                <w:rFonts w:hint="eastAsia" w:ascii="宋体" w:hAnsi="宋体" w:eastAsia="宋体" w:cs="Times New Roman"/>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vAlign w:val="center"/>
          </w:tcPr>
          <w:p>
            <w:pPr>
              <w:snapToGrid w:val="0"/>
              <w:spacing w:before="156" w:beforeLines="50" w:line="360" w:lineRule="exact"/>
              <w:jc w:val="center"/>
              <w:rPr>
                <w:rFonts w:hint="eastAsia" w:ascii="宋体" w:hAnsi="宋体" w:eastAsia="宋体" w:cs="Times New Roman"/>
                <w:color w:val="auto"/>
                <w:szCs w:val="21"/>
                <w:highlight w:val="none"/>
              </w:rPr>
            </w:pPr>
          </w:p>
        </w:tc>
        <w:tc>
          <w:tcPr>
            <w:tcW w:w="2880" w:type="dxa"/>
            <w:tcBorders>
              <w:top w:val="single" w:color="auto" w:sz="4" w:space="0"/>
              <w:left w:val="single" w:color="auto" w:sz="4" w:space="0"/>
              <w:bottom w:val="single" w:color="auto" w:sz="4" w:space="0"/>
              <w:right w:val="single" w:color="auto" w:sz="4" w:space="0"/>
            </w:tcBorders>
            <w:vAlign w:val="center"/>
          </w:tcPr>
          <w:p>
            <w:pPr>
              <w:snapToGrid w:val="0"/>
              <w:spacing w:before="156" w:beforeLines="50" w:line="360" w:lineRule="exact"/>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908" w:type="dxa"/>
            <w:tcBorders>
              <w:top w:val="single" w:color="auto" w:sz="4" w:space="0"/>
              <w:left w:val="single" w:color="auto" w:sz="4" w:space="0"/>
              <w:bottom w:val="single" w:color="auto" w:sz="4" w:space="0"/>
              <w:right w:val="single" w:color="auto" w:sz="4" w:space="0"/>
            </w:tcBorders>
            <w:vAlign w:val="center"/>
          </w:tcPr>
          <w:p>
            <w:pPr>
              <w:snapToGrid w:val="0"/>
              <w:spacing w:before="156" w:beforeLines="50" w:line="360" w:lineRule="exact"/>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服务地点</w:t>
            </w:r>
          </w:p>
        </w:tc>
        <w:tc>
          <w:tcPr>
            <w:tcW w:w="3240" w:type="dxa"/>
            <w:tcBorders>
              <w:top w:val="single" w:color="auto" w:sz="4" w:space="0"/>
              <w:left w:val="single" w:color="auto" w:sz="4" w:space="0"/>
              <w:bottom w:val="single" w:color="auto" w:sz="4" w:space="0"/>
              <w:right w:val="single" w:color="auto" w:sz="4" w:space="0"/>
            </w:tcBorders>
            <w:vAlign w:val="center"/>
          </w:tcPr>
          <w:p>
            <w:pPr>
              <w:snapToGrid w:val="0"/>
              <w:spacing w:before="156" w:beforeLines="50" w:line="360" w:lineRule="exact"/>
              <w:jc w:val="center"/>
              <w:rPr>
                <w:rFonts w:hint="eastAsia" w:ascii="宋体" w:hAnsi="宋体" w:eastAsia="宋体" w:cs="Times New Roman"/>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vAlign w:val="center"/>
          </w:tcPr>
          <w:p>
            <w:pPr>
              <w:snapToGrid w:val="0"/>
              <w:spacing w:before="156" w:beforeLines="50" w:line="360" w:lineRule="exact"/>
              <w:jc w:val="center"/>
              <w:rPr>
                <w:rFonts w:hint="eastAsia" w:ascii="宋体" w:hAnsi="宋体" w:eastAsia="宋体" w:cs="Times New Roman"/>
                <w:color w:val="auto"/>
                <w:szCs w:val="21"/>
                <w:highlight w:val="none"/>
              </w:rPr>
            </w:pPr>
          </w:p>
        </w:tc>
        <w:tc>
          <w:tcPr>
            <w:tcW w:w="2880" w:type="dxa"/>
            <w:tcBorders>
              <w:top w:val="single" w:color="auto" w:sz="4" w:space="0"/>
              <w:left w:val="single" w:color="auto" w:sz="4" w:space="0"/>
              <w:bottom w:val="single" w:color="auto" w:sz="4" w:space="0"/>
              <w:right w:val="single" w:color="auto" w:sz="4" w:space="0"/>
            </w:tcBorders>
            <w:vAlign w:val="center"/>
          </w:tcPr>
          <w:p>
            <w:pPr>
              <w:snapToGrid w:val="0"/>
              <w:spacing w:before="156" w:beforeLines="50" w:line="360" w:lineRule="exact"/>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908" w:type="dxa"/>
            <w:tcBorders>
              <w:top w:val="single" w:color="auto" w:sz="4" w:space="0"/>
              <w:left w:val="single" w:color="auto" w:sz="4" w:space="0"/>
              <w:bottom w:val="single" w:color="auto" w:sz="4" w:space="0"/>
              <w:right w:val="single" w:color="auto" w:sz="4" w:space="0"/>
            </w:tcBorders>
            <w:vAlign w:val="center"/>
          </w:tcPr>
          <w:p>
            <w:pPr>
              <w:snapToGrid w:val="0"/>
              <w:spacing w:before="156" w:beforeLines="50" w:line="360" w:lineRule="exact"/>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付款条件</w:t>
            </w:r>
          </w:p>
        </w:tc>
        <w:tc>
          <w:tcPr>
            <w:tcW w:w="3240" w:type="dxa"/>
            <w:tcBorders>
              <w:top w:val="single" w:color="auto" w:sz="4" w:space="0"/>
              <w:left w:val="single" w:color="auto" w:sz="4" w:space="0"/>
              <w:bottom w:val="single" w:color="auto" w:sz="4" w:space="0"/>
              <w:right w:val="single" w:color="auto" w:sz="4" w:space="0"/>
            </w:tcBorders>
            <w:vAlign w:val="center"/>
          </w:tcPr>
          <w:p>
            <w:pPr>
              <w:snapToGrid w:val="0"/>
              <w:spacing w:before="156" w:beforeLines="50" w:line="360" w:lineRule="exact"/>
              <w:jc w:val="center"/>
              <w:rPr>
                <w:rFonts w:hint="eastAsia" w:ascii="宋体" w:hAnsi="宋体" w:eastAsia="宋体" w:cs="Times New Roman"/>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vAlign w:val="center"/>
          </w:tcPr>
          <w:p>
            <w:pPr>
              <w:snapToGrid w:val="0"/>
              <w:spacing w:before="156" w:beforeLines="50" w:line="360" w:lineRule="exact"/>
              <w:ind w:left="43"/>
              <w:jc w:val="center"/>
              <w:rPr>
                <w:rFonts w:hint="eastAsia" w:ascii="宋体" w:hAnsi="宋体" w:eastAsia="宋体" w:cs="Times New Roman"/>
                <w:color w:val="auto"/>
                <w:szCs w:val="21"/>
                <w:highlight w:val="none"/>
              </w:rPr>
            </w:pPr>
          </w:p>
        </w:tc>
        <w:tc>
          <w:tcPr>
            <w:tcW w:w="2880" w:type="dxa"/>
            <w:tcBorders>
              <w:top w:val="single" w:color="auto" w:sz="4" w:space="0"/>
              <w:left w:val="single" w:color="auto" w:sz="4" w:space="0"/>
              <w:bottom w:val="single" w:color="auto" w:sz="4" w:space="0"/>
              <w:right w:val="single" w:color="auto" w:sz="4" w:space="0"/>
            </w:tcBorders>
            <w:vAlign w:val="center"/>
          </w:tcPr>
          <w:p>
            <w:pPr>
              <w:snapToGrid w:val="0"/>
              <w:spacing w:before="156" w:beforeLines="50" w:line="360" w:lineRule="exact"/>
              <w:ind w:left="43"/>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908" w:type="dxa"/>
            <w:tcBorders>
              <w:top w:val="single" w:color="auto" w:sz="4" w:space="0"/>
              <w:left w:val="single" w:color="auto" w:sz="4" w:space="0"/>
              <w:bottom w:val="single" w:color="auto" w:sz="4" w:space="0"/>
              <w:right w:val="single" w:color="auto" w:sz="4" w:space="0"/>
            </w:tcBorders>
            <w:vAlign w:val="center"/>
          </w:tcPr>
          <w:p>
            <w:pPr>
              <w:snapToGrid w:val="0"/>
              <w:spacing w:before="156" w:beforeLines="50" w:line="360" w:lineRule="exact"/>
              <w:jc w:val="center"/>
              <w:rPr>
                <w:rFonts w:hint="eastAsia" w:ascii="宋体" w:hAnsi="宋体" w:eastAsia="宋体" w:cs="Times New Roman"/>
                <w:color w:val="auto"/>
                <w:szCs w:val="21"/>
                <w:highlight w:val="none"/>
              </w:rPr>
            </w:pPr>
          </w:p>
        </w:tc>
        <w:tc>
          <w:tcPr>
            <w:tcW w:w="3240" w:type="dxa"/>
            <w:tcBorders>
              <w:top w:val="single" w:color="auto" w:sz="4" w:space="0"/>
              <w:left w:val="single" w:color="auto" w:sz="4" w:space="0"/>
              <w:bottom w:val="single" w:color="auto" w:sz="4" w:space="0"/>
              <w:right w:val="single" w:color="auto" w:sz="4" w:space="0"/>
            </w:tcBorders>
            <w:vAlign w:val="center"/>
          </w:tcPr>
          <w:p>
            <w:pPr>
              <w:snapToGrid w:val="0"/>
              <w:spacing w:before="156" w:beforeLines="50" w:line="360" w:lineRule="exact"/>
              <w:ind w:left="105"/>
              <w:jc w:val="center"/>
              <w:rPr>
                <w:rFonts w:hint="eastAsia" w:ascii="宋体" w:hAnsi="宋体" w:eastAsia="宋体" w:cs="Times New Roman"/>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vAlign w:val="center"/>
          </w:tcPr>
          <w:p>
            <w:pPr>
              <w:snapToGrid w:val="0"/>
              <w:spacing w:before="156" w:beforeLines="50" w:line="360" w:lineRule="exact"/>
              <w:jc w:val="center"/>
              <w:rPr>
                <w:rFonts w:hint="eastAsia" w:ascii="宋体" w:hAnsi="宋体" w:eastAsia="宋体" w:cs="Times New Roman"/>
                <w:color w:val="auto"/>
                <w:szCs w:val="21"/>
                <w:highlight w:val="none"/>
              </w:rPr>
            </w:pPr>
          </w:p>
        </w:tc>
        <w:tc>
          <w:tcPr>
            <w:tcW w:w="2880" w:type="dxa"/>
            <w:tcBorders>
              <w:top w:val="single" w:color="auto" w:sz="4" w:space="0"/>
              <w:left w:val="single" w:color="auto" w:sz="4" w:space="0"/>
              <w:bottom w:val="single" w:color="auto" w:sz="4" w:space="0"/>
              <w:right w:val="single" w:color="auto" w:sz="4" w:space="0"/>
            </w:tcBorders>
            <w:vAlign w:val="center"/>
          </w:tcPr>
          <w:p>
            <w:pPr>
              <w:snapToGrid w:val="0"/>
              <w:spacing w:before="156" w:beforeLines="50" w:line="360" w:lineRule="exact"/>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908" w:type="dxa"/>
            <w:tcBorders>
              <w:top w:val="single" w:color="auto" w:sz="4" w:space="0"/>
              <w:left w:val="single" w:color="auto" w:sz="4" w:space="0"/>
              <w:bottom w:val="single" w:color="auto" w:sz="4" w:space="0"/>
              <w:right w:val="single" w:color="auto" w:sz="4" w:space="0"/>
            </w:tcBorders>
            <w:vAlign w:val="center"/>
          </w:tcPr>
          <w:p>
            <w:pPr>
              <w:snapToGrid w:val="0"/>
              <w:spacing w:before="156" w:beforeLines="50" w:line="360" w:lineRule="exact"/>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w:t>
            </w:r>
          </w:p>
        </w:tc>
        <w:tc>
          <w:tcPr>
            <w:tcW w:w="3240" w:type="dxa"/>
            <w:tcBorders>
              <w:top w:val="single" w:color="auto" w:sz="4" w:space="0"/>
              <w:left w:val="single" w:color="auto" w:sz="4" w:space="0"/>
              <w:bottom w:val="single" w:color="auto" w:sz="4" w:space="0"/>
              <w:right w:val="single" w:color="auto" w:sz="4" w:space="0"/>
            </w:tcBorders>
            <w:vAlign w:val="center"/>
          </w:tcPr>
          <w:p>
            <w:pPr>
              <w:snapToGrid w:val="0"/>
              <w:spacing w:before="156" w:beforeLines="50" w:line="360" w:lineRule="exact"/>
              <w:jc w:val="center"/>
              <w:rPr>
                <w:rFonts w:hint="eastAsia" w:ascii="宋体" w:hAnsi="宋体" w:eastAsia="宋体" w:cs="Times New Roman"/>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vAlign w:val="center"/>
          </w:tcPr>
          <w:p>
            <w:pPr>
              <w:snapToGrid w:val="0"/>
              <w:spacing w:before="156" w:beforeLines="50" w:line="360" w:lineRule="exact"/>
              <w:jc w:val="center"/>
              <w:rPr>
                <w:rFonts w:hint="eastAsia" w:ascii="宋体" w:hAnsi="宋体" w:eastAsia="宋体" w:cs="Times New Roman"/>
                <w:color w:val="auto"/>
                <w:szCs w:val="21"/>
                <w:highlight w:val="none"/>
              </w:rPr>
            </w:pPr>
          </w:p>
        </w:tc>
        <w:tc>
          <w:tcPr>
            <w:tcW w:w="2880" w:type="dxa"/>
            <w:tcBorders>
              <w:top w:val="single" w:color="auto" w:sz="4" w:space="0"/>
              <w:left w:val="single" w:color="auto" w:sz="4" w:space="0"/>
              <w:bottom w:val="single" w:color="auto" w:sz="4" w:space="0"/>
              <w:right w:val="single" w:color="auto" w:sz="4" w:space="0"/>
            </w:tcBorders>
            <w:vAlign w:val="center"/>
          </w:tcPr>
          <w:p>
            <w:pPr>
              <w:snapToGrid w:val="0"/>
              <w:spacing w:before="156" w:beforeLines="50" w:line="360" w:lineRule="exact"/>
              <w:jc w:val="center"/>
              <w:rPr>
                <w:rFonts w:hint="eastAsia" w:ascii="宋体" w:hAnsi="宋体" w:eastAsia="宋体" w:cs="Times New Roman"/>
                <w:color w:val="auto"/>
                <w:szCs w:val="21"/>
                <w:highlight w:val="none"/>
              </w:rPr>
            </w:pPr>
          </w:p>
        </w:tc>
      </w:tr>
    </w:tbl>
    <w:p>
      <w:pPr>
        <w:tabs>
          <w:tab w:val="left" w:pos="3870"/>
          <w:tab w:val="left" w:pos="4085"/>
        </w:tabs>
        <w:snapToGrid w:val="0"/>
        <w:spacing w:line="360" w:lineRule="exact"/>
        <w:rPr>
          <w:rFonts w:hint="eastAsia" w:ascii="宋体" w:hAnsi="宋体" w:eastAsia="宋体" w:cs="Times New Roman"/>
          <w:b/>
          <w:color w:val="auto"/>
          <w:szCs w:val="21"/>
          <w:highlight w:val="none"/>
        </w:rPr>
      </w:pPr>
    </w:p>
    <w:p>
      <w:pPr>
        <w:tabs>
          <w:tab w:val="left" w:pos="3870"/>
          <w:tab w:val="left" w:pos="4085"/>
        </w:tabs>
        <w:snapToGrid w:val="0"/>
        <w:spacing w:line="360" w:lineRule="exact"/>
        <w:rPr>
          <w:rFonts w:hint="eastAsia" w:ascii="宋体" w:hAnsi="宋体" w:eastAsia="宋体" w:cs="Times New Roman"/>
          <w:b/>
          <w:color w:val="auto"/>
          <w:szCs w:val="21"/>
          <w:highlight w:val="none"/>
        </w:rPr>
      </w:pPr>
    </w:p>
    <w:p>
      <w:pPr>
        <w:snapToGrid w:val="0"/>
        <w:spacing w:before="50" w:after="50" w:line="350" w:lineRule="exact"/>
        <w:ind w:right="-817" w:rightChars="-389"/>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投标人（盖章）：</w:t>
      </w:r>
      <w:r>
        <w:rPr>
          <w:rFonts w:hint="eastAsia" w:ascii="宋体" w:hAnsi="宋体" w:eastAsia="宋体" w:cs="Times New Roman"/>
          <w:color w:val="auto"/>
          <w:szCs w:val="21"/>
          <w:highlight w:val="none"/>
          <w:u w:val="single"/>
        </w:rPr>
        <w:t xml:space="preserve">           </w:t>
      </w:r>
    </w:p>
    <w:p>
      <w:pPr>
        <w:snapToGrid w:val="0"/>
        <w:spacing w:before="50" w:after="50" w:line="350" w:lineRule="exact"/>
        <w:ind w:right="-817" w:rightChars="-389"/>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日期：</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年</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月</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日</w:t>
      </w:r>
    </w:p>
    <w:bookmarkEnd w:id="203"/>
    <w:p>
      <w:pPr>
        <w:snapToGrid w:val="0"/>
        <w:spacing w:line="360" w:lineRule="exact"/>
        <w:rPr>
          <w:rFonts w:hint="eastAsia" w:ascii="宋体" w:hAnsi="宋体" w:eastAsia="宋体" w:cs="Times New Roman"/>
          <w:b/>
          <w:color w:val="auto"/>
          <w:szCs w:val="21"/>
          <w:highlight w:val="none"/>
        </w:rPr>
      </w:pPr>
    </w:p>
    <w:p>
      <w:pPr>
        <w:snapToGrid w:val="0"/>
        <w:spacing w:line="700" w:lineRule="exact"/>
        <w:jc w:val="center"/>
        <w:rPr>
          <w:rFonts w:hint="eastAsia" w:ascii="宋体" w:hAnsi="宋体" w:eastAsia="宋体" w:cs="Times New Roman"/>
          <w:b/>
          <w:color w:val="auto"/>
          <w:sz w:val="32"/>
          <w:szCs w:val="32"/>
          <w:highlight w:val="none"/>
        </w:rPr>
      </w:pPr>
      <w:r>
        <w:rPr>
          <w:rFonts w:hint="eastAsia" w:ascii="仿宋_GB2312" w:hAnsi="宋体" w:eastAsia="仿宋_GB2312" w:cs="Times New Roman"/>
          <w:b/>
          <w:color w:val="auto"/>
          <w:sz w:val="32"/>
          <w:szCs w:val="32"/>
          <w:highlight w:val="none"/>
        </w:rPr>
        <w:t>技术响应表</w:t>
      </w:r>
      <w:bookmarkStart w:id="205" w:name="_Hlk111728645"/>
      <w:r>
        <w:rPr>
          <w:rFonts w:hint="eastAsia" w:ascii="仿宋_GB2312" w:hAnsi="Times New Roman" w:eastAsia="仿宋_GB2312" w:cs="Times New Roman"/>
          <w:bCs/>
          <w:color w:val="auto"/>
          <w:sz w:val="24"/>
          <w:szCs w:val="24"/>
          <w:highlight w:val="none"/>
        </w:rPr>
        <w:t>（格式）</w:t>
      </w:r>
      <w:bookmarkEnd w:id="205"/>
    </w:p>
    <w:p>
      <w:pPr>
        <w:snapToGrid w:val="0"/>
        <w:spacing w:line="160" w:lineRule="exact"/>
        <w:jc w:val="center"/>
        <w:rPr>
          <w:rFonts w:hint="eastAsia" w:ascii="宋体" w:hAnsi="宋体" w:eastAsia="宋体" w:cs="Times New Roman"/>
          <w:b/>
          <w:color w:val="auto"/>
          <w:szCs w:val="21"/>
          <w:highlight w:val="none"/>
        </w:rPr>
      </w:pPr>
    </w:p>
    <w:tbl>
      <w:tblPr>
        <w:tblStyle w:val="49"/>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20"/>
        <w:gridCol w:w="1440"/>
        <w:gridCol w:w="2110"/>
        <w:gridCol w:w="3600"/>
        <w:gridCol w:w="157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10" w:hRule="exact"/>
          <w:jc w:val="center"/>
        </w:trPr>
        <w:tc>
          <w:tcPr>
            <w:tcW w:w="72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序号</w:t>
            </w:r>
          </w:p>
        </w:tc>
        <w:tc>
          <w:tcPr>
            <w:tcW w:w="3550"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招标文件要求</w:t>
            </w:r>
          </w:p>
        </w:tc>
        <w:tc>
          <w:tcPr>
            <w:tcW w:w="3600" w:type="dxa"/>
            <w:tcBorders>
              <w:top w:val="single" w:color="auto" w:sz="4" w:space="0"/>
              <w:left w:val="single" w:color="auto" w:sz="4" w:space="0"/>
              <w:bottom w:val="single" w:color="auto" w:sz="4" w:space="0"/>
              <w:right w:val="single" w:color="auto" w:sz="4" w:space="0"/>
            </w:tcBorders>
            <w:vAlign w:val="center"/>
          </w:tcPr>
          <w:p>
            <w:pPr>
              <w:spacing w:line="400" w:lineRule="exact"/>
              <w:ind w:firstLine="23" w:firstLineChars="11"/>
              <w:jc w:val="center"/>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投标文件响应</w:t>
            </w:r>
          </w:p>
        </w:tc>
        <w:tc>
          <w:tcPr>
            <w:tcW w:w="1570"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偏离情况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32" w:hRule="exact"/>
          <w:jc w:val="center"/>
        </w:trPr>
        <w:tc>
          <w:tcPr>
            <w:tcW w:w="720"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t>1</w:t>
            </w:r>
          </w:p>
        </w:tc>
        <w:tc>
          <w:tcPr>
            <w:tcW w:w="1440" w:type="dxa"/>
            <w:tcBorders>
              <w:top w:val="single" w:color="auto" w:sz="4" w:space="0"/>
              <w:left w:val="single" w:color="auto" w:sz="4" w:space="0"/>
              <w:bottom w:val="single" w:color="auto" w:sz="4" w:space="0"/>
              <w:right w:val="single" w:color="auto" w:sz="4" w:space="0"/>
            </w:tcBorders>
            <w:vAlign w:val="center"/>
          </w:tcPr>
          <w:p>
            <w:pPr>
              <w:spacing w:line="400" w:lineRule="exact"/>
              <w:ind w:right="-15" w:rightChars="-7"/>
              <w:jc w:val="center"/>
              <w:rPr>
                <w:rFonts w:ascii="Times New Roman" w:hAnsi="Times New Roman" w:eastAsia="宋体" w:cs="Times New Roman"/>
                <w:color w:val="auto"/>
                <w:szCs w:val="24"/>
                <w:highlight w:val="none"/>
              </w:rPr>
            </w:pPr>
          </w:p>
        </w:tc>
        <w:tc>
          <w:tcPr>
            <w:tcW w:w="2110" w:type="dxa"/>
            <w:tcBorders>
              <w:top w:val="single" w:color="auto" w:sz="4" w:space="0"/>
              <w:left w:val="single" w:color="auto" w:sz="4" w:space="0"/>
              <w:bottom w:val="single" w:color="auto" w:sz="4" w:space="0"/>
              <w:right w:val="single" w:color="auto" w:sz="4" w:space="0"/>
            </w:tcBorders>
            <w:vAlign w:val="center"/>
          </w:tcPr>
          <w:p>
            <w:pPr>
              <w:spacing w:line="400" w:lineRule="exact"/>
              <w:ind w:left="-2" w:leftChars="-1"/>
              <w:jc w:val="center"/>
              <w:rPr>
                <w:rFonts w:ascii="Times New Roman" w:hAnsi="Times New Roman" w:eastAsia="宋体" w:cs="Times New Roman"/>
                <w:color w:val="auto"/>
                <w:szCs w:val="24"/>
                <w:highlight w:val="none"/>
              </w:rPr>
            </w:pPr>
          </w:p>
        </w:tc>
        <w:tc>
          <w:tcPr>
            <w:tcW w:w="3600" w:type="dxa"/>
            <w:tcBorders>
              <w:top w:val="single" w:color="auto" w:sz="4" w:space="0"/>
              <w:left w:val="single" w:color="auto" w:sz="4" w:space="0"/>
              <w:bottom w:val="single" w:color="auto" w:sz="4" w:space="0"/>
              <w:right w:val="single" w:color="auto" w:sz="4" w:space="0"/>
            </w:tcBorders>
            <w:vAlign w:val="center"/>
          </w:tcPr>
          <w:p>
            <w:pPr>
              <w:spacing w:line="400" w:lineRule="exact"/>
              <w:ind w:left="-2" w:leftChars="-1"/>
              <w:jc w:val="center"/>
              <w:rPr>
                <w:rFonts w:ascii="Times New Roman" w:hAnsi="Times New Roman" w:eastAsia="宋体" w:cs="Times New Roman"/>
                <w:color w:val="auto"/>
                <w:szCs w:val="24"/>
                <w:highlight w:val="none"/>
              </w:rPr>
            </w:pPr>
          </w:p>
        </w:tc>
        <w:tc>
          <w:tcPr>
            <w:tcW w:w="1570" w:type="dxa"/>
            <w:tcBorders>
              <w:top w:val="single" w:color="auto" w:sz="4" w:space="0"/>
              <w:left w:val="single" w:color="auto" w:sz="4" w:space="0"/>
              <w:bottom w:val="single" w:color="auto" w:sz="4" w:space="0"/>
              <w:right w:val="single" w:color="auto" w:sz="4" w:space="0"/>
            </w:tcBorders>
            <w:vAlign w:val="center"/>
          </w:tcPr>
          <w:p>
            <w:pPr>
              <w:widowControl/>
              <w:spacing w:line="360" w:lineRule="exact"/>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98" w:hRule="exact"/>
          <w:jc w:val="center"/>
        </w:trPr>
        <w:tc>
          <w:tcPr>
            <w:tcW w:w="720"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t>2</w:t>
            </w:r>
          </w:p>
        </w:tc>
        <w:tc>
          <w:tcPr>
            <w:tcW w:w="1440" w:type="dxa"/>
            <w:tcBorders>
              <w:top w:val="single" w:color="auto" w:sz="4" w:space="0"/>
              <w:left w:val="single" w:color="auto" w:sz="4" w:space="0"/>
              <w:bottom w:val="single" w:color="auto" w:sz="4" w:space="0"/>
              <w:right w:val="single" w:color="auto" w:sz="4" w:space="0"/>
            </w:tcBorders>
            <w:vAlign w:val="center"/>
          </w:tcPr>
          <w:p>
            <w:pPr>
              <w:snapToGrid w:val="0"/>
              <w:spacing w:line="320" w:lineRule="exact"/>
              <w:ind w:right="-15" w:rightChars="-7"/>
              <w:jc w:val="center"/>
              <w:outlineLvl w:val="0"/>
              <w:rPr>
                <w:rFonts w:hint="eastAsia" w:ascii="仿宋_GB2312" w:hAnsi="宋体" w:eastAsia="仿宋_GB2312" w:cs="Courier New"/>
                <w:color w:val="auto"/>
                <w:sz w:val="24"/>
                <w:szCs w:val="24"/>
                <w:highlight w:val="none"/>
              </w:rPr>
            </w:pPr>
          </w:p>
        </w:tc>
        <w:tc>
          <w:tcPr>
            <w:tcW w:w="2110" w:type="dxa"/>
            <w:tcBorders>
              <w:top w:val="single" w:color="auto" w:sz="4" w:space="0"/>
              <w:left w:val="single" w:color="auto" w:sz="4" w:space="0"/>
              <w:bottom w:val="single" w:color="auto" w:sz="4" w:space="0"/>
              <w:right w:val="single" w:color="auto" w:sz="4" w:space="0"/>
            </w:tcBorders>
            <w:vAlign w:val="center"/>
          </w:tcPr>
          <w:p>
            <w:pPr>
              <w:snapToGrid w:val="0"/>
              <w:spacing w:line="320" w:lineRule="exact"/>
              <w:jc w:val="center"/>
              <w:outlineLvl w:val="0"/>
              <w:rPr>
                <w:rFonts w:hint="eastAsia" w:ascii="仿宋_GB2312" w:hAnsi="宋体" w:eastAsia="仿宋_GB2312" w:cs="Courier New"/>
                <w:color w:val="auto"/>
                <w:sz w:val="24"/>
                <w:szCs w:val="24"/>
                <w:highlight w:val="none"/>
              </w:rPr>
            </w:pPr>
          </w:p>
        </w:tc>
        <w:tc>
          <w:tcPr>
            <w:tcW w:w="3600" w:type="dxa"/>
            <w:tcBorders>
              <w:top w:val="single" w:color="auto" w:sz="4" w:space="0"/>
              <w:left w:val="single" w:color="auto" w:sz="4" w:space="0"/>
              <w:bottom w:val="single" w:color="auto" w:sz="4" w:space="0"/>
              <w:right w:val="single" w:color="auto" w:sz="4" w:space="0"/>
            </w:tcBorders>
            <w:vAlign w:val="center"/>
          </w:tcPr>
          <w:p>
            <w:pPr>
              <w:snapToGrid w:val="0"/>
              <w:spacing w:line="320" w:lineRule="exact"/>
              <w:jc w:val="center"/>
              <w:outlineLvl w:val="0"/>
              <w:rPr>
                <w:rFonts w:hint="eastAsia" w:ascii="仿宋_GB2312" w:hAnsi="宋体" w:eastAsia="仿宋_GB2312" w:cs="Courier New"/>
                <w:color w:val="auto"/>
                <w:sz w:val="24"/>
                <w:szCs w:val="24"/>
                <w:highlight w:val="none"/>
              </w:rPr>
            </w:pPr>
          </w:p>
        </w:tc>
        <w:tc>
          <w:tcPr>
            <w:tcW w:w="1570" w:type="dxa"/>
            <w:tcBorders>
              <w:top w:val="single" w:color="auto" w:sz="4" w:space="0"/>
              <w:left w:val="single" w:color="auto" w:sz="4" w:space="0"/>
              <w:bottom w:val="single" w:color="auto" w:sz="4" w:space="0"/>
              <w:right w:val="single" w:color="auto" w:sz="4" w:space="0"/>
            </w:tcBorders>
            <w:vAlign w:val="center"/>
          </w:tcPr>
          <w:p>
            <w:pPr>
              <w:widowControl/>
              <w:spacing w:line="360" w:lineRule="exact"/>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98" w:hRule="exact"/>
          <w:jc w:val="center"/>
        </w:trPr>
        <w:tc>
          <w:tcPr>
            <w:tcW w:w="720"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t>3</w:t>
            </w:r>
          </w:p>
        </w:tc>
        <w:tc>
          <w:tcPr>
            <w:tcW w:w="1440" w:type="dxa"/>
            <w:tcBorders>
              <w:top w:val="single" w:color="auto" w:sz="4" w:space="0"/>
              <w:left w:val="single" w:color="auto" w:sz="4" w:space="0"/>
              <w:bottom w:val="single" w:color="auto" w:sz="4" w:space="0"/>
              <w:right w:val="single" w:color="auto" w:sz="4" w:space="0"/>
            </w:tcBorders>
            <w:vAlign w:val="center"/>
          </w:tcPr>
          <w:p>
            <w:pPr>
              <w:snapToGrid w:val="0"/>
              <w:spacing w:line="320" w:lineRule="exact"/>
              <w:ind w:right="-15" w:rightChars="-7"/>
              <w:jc w:val="center"/>
              <w:outlineLvl w:val="0"/>
              <w:rPr>
                <w:rFonts w:hint="eastAsia" w:ascii="仿宋_GB2312" w:hAnsi="宋体" w:eastAsia="仿宋_GB2312" w:cs="Courier New"/>
                <w:color w:val="auto"/>
                <w:sz w:val="24"/>
                <w:szCs w:val="24"/>
                <w:highlight w:val="none"/>
              </w:rPr>
            </w:pPr>
          </w:p>
        </w:tc>
        <w:tc>
          <w:tcPr>
            <w:tcW w:w="2110" w:type="dxa"/>
            <w:tcBorders>
              <w:top w:val="single" w:color="auto" w:sz="4" w:space="0"/>
              <w:left w:val="single" w:color="auto" w:sz="4" w:space="0"/>
              <w:bottom w:val="single" w:color="auto" w:sz="4" w:space="0"/>
              <w:right w:val="single" w:color="auto" w:sz="4" w:space="0"/>
            </w:tcBorders>
            <w:vAlign w:val="center"/>
          </w:tcPr>
          <w:p>
            <w:pPr>
              <w:snapToGrid w:val="0"/>
              <w:spacing w:line="320" w:lineRule="exact"/>
              <w:jc w:val="center"/>
              <w:outlineLvl w:val="0"/>
              <w:rPr>
                <w:rFonts w:hint="eastAsia" w:ascii="仿宋_GB2312" w:hAnsi="宋体" w:eastAsia="仿宋_GB2312" w:cs="Courier New"/>
                <w:color w:val="auto"/>
                <w:sz w:val="24"/>
                <w:szCs w:val="24"/>
                <w:highlight w:val="none"/>
              </w:rPr>
            </w:pPr>
          </w:p>
        </w:tc>
        <w:tc>
          <w:tcPr>
            <w:tcW w:w="3600" w:type="dxa"/>
            <w:tcBorders>
              <w:top w:val="single" w:color="auto" w:sz="4" w:space="0"/>
              <w:left w:val="single" w:color="auto" w:sz="4" w:space="0"/>
              <w:bottom w:val="single" w:color="auto" w:sz="4" w:space="0"/>
              <w:right w:val="single" w:color="auto" w:sz="4" w:space="0"/>
            </w:tcBorders>
            <w:vAlign w:val="center"/>
          </w:tcPr>
          <w:p>
            <w:pPr>
              <w:snapToGrid w:val="0"/>
              <w:spacing w:line="320" w:lineRule="exact"/>
              <w:jc w:val="center"/>
              <w:outlineLvl w:val="0"/>
              <w:rPr>
                <w:rFonts w:hint="eastAsia" w:ascii="仿宋_GB2312" w:hAnsi="宋体" w:eastAsia="仿宋_GB2312" w:cs="Courier New"/>
                <w:color w:val="auto"/>
                <w:sz w:val="24"/>
                <w:szCs w:val="24"/>
                <w:highlight w:val="none"/>
              </w:rPr>
            </w:pPr>
          </w:p>
        </w:tc>
        <w:tc>
          <w:tcPr>
            <w:tcW w:w="1570" w:type="dxa"/>
            <w:tcBorders>
              <w:top w:val="single" w:color="auto" w:sz="4" w:space="0"/>
              <w:left w:val="single" w:color="auto" w:sz="4" w:space="0"/>
              <w:bottom w:val="single" w:color="auto" w:sz="4" w:space="0"/>
              <w:right w:val="single" w:color="auto" w:sz="4" w:space="0"/>
            </w:tcBorders>
            <w:vAlign w:val="center"/>
          </w:tcPr>
          <w:p>
            <w:pPr>
              <w:widowControl/>
              <w:spacing w:line="360" w:lineRule="exact"/>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98" w:hRule="exact"/>
          <w:jc w:val="center"/>
        </w:trPr>
        <w:tc>
          <w:tcPr>
            <w:tcW w:w="720"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w:t>
            </w:r>
          </w:p>
        </w:tc>
        <w:tc>
          <w:tcPr>
            <w:tcW w:w="1440" w:type="dxa"/>
            <w:tcBorders>
              <w:top w:val="single" w:color="auto" w:sz="4" w:space="0"/>
              <w:left w:val="single" w:color="auto" w:sz="4" w:space="0"/>
              <w:bottom w:val="single" w:color="auto" w:sz="4" w:space="0"/>
              <w:right w:val="single" w:color="auto" w:sz="4" w:space="0"/>
            </w:tcBorders>
            <w:vAlign w:val="center"/>
          </w:tcPr>
          <w:p>
            <w:pPr>
              <w:snapToGrid w:val="0"/>
              <w:spacing w:line="320" w:lineRule="exact"/>
              <w:ind w:right="-15" w:rightChars="-7"/>
              <w:jc w:val="center"/>
              <w:outlineLvl w:val="0"/>
              <w:rPr>
                <w:rFonts w:hint="eastAsia" w:ascii="仿宋_GB2312" w:hAnsi="宋体" w:eastAsia="仿宋_GB2312" w:cs="Courier New"/>
                <w:color w:val="auto"/>
                <w:sz w:val="24"/>
                <w:szCs w:val="24"/>
                <w:highlight w:val="none"/>
              </w:rPr>
            </w:pPr>
          </w:p>
        </w:tc>
        <w:tc>
          <w:tcPr>
            <w:tcW w:w="2110" w:type="dxa"/>
            <w:tcBorders>
              <w:top w:val="single" w:color="auto" w:sz="4" w:space="0"/>
              <w:left w:val="single" w:color="auto" w:sz="4" w:space="0"/>
              <w:bottom w:val="single" w:color="auto" w:sz="4" w:space="0"/>
              <w:right w:val="single" w:color="auto" w:sz="4" w:space="0"/>
            </w:tcBorders>
            <w:vAlign w:val="center"/>
          </w:tcPr>
          <w:p>
            <w:pPr>
              <w:snapToGrid w:val="0"/>
              <w:spacing w:line="320" w:lineRule="exact"/>
              <w:jc w:val="center"/>
              <w:outlineLvl w:val="0"/>
              <w:rPr>
                <w:rFonts w:hint="eastAsia" w:ascii="仿宋_GB2312" w:hAnsi="宋体" w:eastAsia="仿宋_GB2312" w:cs="Courier New"/>
                <w:color w:val="auto"/>
                <w:sz w:val="24"/>
                <w:szCs w:val="24"/>
                <w:highlight w:val="none"/>
              </w:rPr>
            </w:pPr>
          </w:p>
        </w:tc>
        <w:tc>
          <w:tcPr>
            <w:tcW w:w="3600" w:type="dxa"/>
            <w:tcBorders>
              <w:top w:val="single" w:color="auto" w:sz="4" w:space="0"/>
              <w:left w:val="single" w:color="auto" w:sz="4" w:space="0"/>
              <w:bottom w:val="single" w:color="auto" w:sz="4" w:space="0"/>
              <w:right w:val="single" w:color="auto" w:sz="4" w:space="0"/>
            </w:tcBorders>
            <w:vAlign w:val="center"/>
          </w:tcPr>
          <w:p>
            <w:pPr>
              <w:snapToGrid w:val="0"/>
              <w:spacing w:line="320" w:lineRule="exact"/>
              <w:jc w:val="center"/>
              <w:outlineLvl w:val="0"/>
              <w:rPr>
                <w:rFonts w:hint="eastAsia" w:ascii="仿宋_GB2312" w:hAnsi="宋体" w:eastAsia="仿宋_GB2312" w:cs="Courier New"/>
                <w:color w:val="auto"/>
                <w:sz w:val="24"/>
                <w:szCs w:val="24"/>
                <w:highlight w:val="none"/>
              </w:rPr>
            </w:pPr>
          </w:p>
        </w:tc>
        <w:tc>
          <w:tcPr>
            <w:tcW w:w="1570" w:type="dxa"/>
            <w:tcBorders>
              <w:top w:val="single" w:color="auto" w:sz="4" w:space="0"/>
              <w:left w:val="single" w:color="auto" w:sz="4" w:space="0"/>
              <w:bottom w:val="single" w:color="auto" w:sz="4" w:space="0"/>
              <w:right w:val="single" w:color="auto" w:sz="4" w:space="0"/>
            </w:tcBorders>
            <w:vAlign w:val="center"/>
          </w:tcPr>
          <w:p>
            <w:pPr>
              <w:widowControl/>
              <w:spacing w:line="360" w:lineRule="exact"/>
              <w:jc w:val="center"/>
              <w:rPr>
                <w:rFonts w:hint="eastAsia" w:ascii="宋体" w:hAnsi="宋体" w:eastAsia="宋体" w:cs="Times New Roman"/>
                <w:color w:val="auto"/>
                <w:szCs w:val="21"/>
                <w:highlight w:val="none"/>
              </w:rPr>
            </w:pPr>
          </w:p>
        </w:tc>
      </w:tr>
    </w:tbl>
    <w:p>
      <w:pPr>
        <w:spacing w:line="360" w:lineRule="exact"/>
        <w:rPr>
          <w:rFonts w:hint="eastAsia" w:ascii="Times New Roman" w:hAnsi="Times New Roman" w:eastAsia="宋体" w:cs="Times New Roman"/>
          <w:b w:val="0"/>
          <w:bCs w:val="0"/>
          <w:color w:val="auto"/>
          <w:szCs w:val="21"/>
          <w:highlight w:val="none"/>
        </w:rPr>
      </w:pPr>
      <w:r>
        <w:rPr>
          <w:rFonts w:hint="eastAsia" w:ascii="Times New Roman" w:hAnsi="Times New Roman" w:eastAsia="宋体" w:cs="Times New Roman"/>
          <w:b w:val="0"/>
          <w:bCs w:val="0"/>
          <w:color w:val="auto"/>
          <w:szCs w:val="21"/>
          <w:highlight w:val="none"/>
        </w:rPr>
        <w:t>注：</w:t>
      </w:r>
    </w:p>
    <w:p>
      <w:pPr>
        <w:spacing w:line="360" w:lineRule="exact"/>
        <w:rPr>
          <w:rFonts w:hint="eastAsia" w:ascii="Times New Roman" w:hAnsi="Times New Roman" w:eastAsia="宋体" w:cs="Times New Roman"/>
          <w:b w:val="0"/>
          <w:bCs w:val="0"/>
          <w:color w:val="auto"/>
          <w:szCs w:val="21"/>
          <w:highlight w:val="none"/>
        </w:rPr>
      </w:pPr>
      <w:r>
        <w:rPr>
          <w:rFonts w:hint="eastAsia" w:ascii="Times New Roman" w:hAnsi="Times New Roman" w:eastAsia="宋体" w:cs="Times New Roman"/>
          <w:b w:val="0"/>
          <w:bCs w:val="0"/>
          <w:color w:val="auto"/>
          <w:szCs w:val="21"/>
          <w:highlight w:val="none"/>
        </w:rPr>
        <w:t>1.应对照采购文件“第二章 项目需求”中的服务要求逐条作出明确响应，并作出偏离说明。</w:t>
      </w:r>
    </w:p>
    <w:p>
      <w:pPr>
        <w:spacing w:line="360" w:lineRule="exact"/>
        <w:rPr>
          <w:rFonts w:ascii="Times New Roman" w:hAnsi="Times New Roman" w:eastAsia="宋体" w:cs="Times New Roman"/>
          <w:b w:val="0"/>
          <w:bCs w:val="0"/>
          <w:color w:val="auto"/>
          <w:szCs w:val="21"/>
          <w:highlight w:val="none"/>
        </w:rPr>
      </w:pPr>
      <w:r>
        <w:rPr>
          <w:rFonts w:hint="eastAsia" w:ascii="Times New Roman" w:hAnsi="Times New Roman" w:eastAsia="宋体" w:cs="Times New Roman"/>
          <w:b w:val="0"/>
          <w:bCs w:val="0"/>
          <w:color w:val="auto"/>
          <w:szCs w:val="21"/>
          <w:highlight w:val="none"/>
        </w:rPr>
        <w:t>2.供应商应根据自身的承诺，对照</w:t>
      </w:r>
      <w:r>
        <w:rPr>
          <w:rFonts w:hint="eastAsia" w:ascii="Times New Roman" w:hAnsi="Times New Roman" w:eastAsia="宋体" w:cs="Times New Roman"/>
          <w:b w:val="0"/>
          <w:bCs w:val="0"/>
          <w:color w:val="auto"/>
          <w:szCs w:val="21"/>
          <w:highlight w:val="none"/>
          <w:lang w:val="en-US" w:eastAsia="zh-CN"/>
        </w:rPr>
        <w:t>招标</w:t>
      </w:r>
      <w:r>
        <w:rPr>
          <w:rFonts w:hint="eastAsia" w:ascii="Times New Roman" w:hAnsi="Times New Roman" w:eastAsia="宋体" w:cs="Times New Roman"/>
          <w:b w:val="0"/>
          <w:bCs w:val="0"/>
          <w:color w:val="auto"/>
          <w:szCs w:val="21"/>
          <w:highlight w:val="none"/>
        </w:rPr>
        <w:t>文件要求，在“偏离说明”中注明“正偏离”、“负偏离”或者“无偏离”。既不属于“正偏离”也不属于“负偏离”即为“无偏离”。</w:t>
      </w:r>
    </w:p>
    <w:p>
      <w:pPr>
        <w:spacing w:line="360" w:lineRule="exact"/>
        <w:rPr>
          <w:rFonts w:hint="eastAsia" w:ascii="宋体" w:hAnsi="宋体" w:eastAsia="宋体" w:cs="Times New Roman"/>
          <w:bCs/>
          <w:color w:val="auto"/>
          <w:szCs w:val="21"/>
          <w:highlight w:val="none"/>
        </w:rPr>
      </w:pPr>
    </w:p>
    <w:p>
      <w:pPr>
        <w:snapToGrid w:val="0"/>
        <w:spacing w:before="50" w:after="50" w:line="350" w:lineRule="exact"/>
        <w:ind w:right="-817" w:rightChars="-389"/>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投标人（盖章）：</w:t>
      </w:r>
      <w:r>
        <w:rPr>
          <w:rFonts w:hint="eastAsia" w:ascii="宋体" w:hAnsi="宋体" w:eastAsia="宋体" w:cs="Times New Roman"/>
          <w:color w:val="auto"/>
          <w:szCs w:val="21"/>
          <w:highlight w:val="none"/>
          <w:u w:val="single"/>
        </w:rPr>
        <w:t xml:space="preserve">           </w:t>
      </w:r>
    </w:p>
    <w:p>
      <w:pPr>
        <w:spacing w:line="38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日期：</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年</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月</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日</w:t>
      </w:r>
    </w:p>
    <w:p>
      <w:pPr>
        <w:spacing w:line="38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br w:type="page"/>
      </w:r>
    </w:p>
    <w:p>
      <w:pPr>
        <w:spacing w:line="440" w:lineRule="exact"/>
        <w:ind w:left="-47" w:leftChars="-200" w:hanging="373" w:hangingChars="116"/>
        <w:jc w:val="center"/>
        <w:rPr>
          <w:rFonts w:hint="eastAsia" w:ascii="仿宋_GB2312" w:hAnsi="宋体" w:eastAsia="仿宋_GB2312" w:cs="Times New Roman"/>
          <w:b/>
          <w:color w:val="auto"/>
          <w:sz w:val="32"/>
          <w:szCs w:val="32"/>
          <w:highlight w:val="none"/>
        </w:rPr>
      </w:pPr>
      <w:r>
        <w:rPr>
          <w:rFonts w:hint="eastAsia" w:ascii="仿宋_GB2312" w:hAnsi="宋体" w:eastAsia="仿宋_GB2312" w:cs="Times New Roman"/>
          <w:b/>
          <w:color w:val="auto"/>
          <w:sz w:val="32"/>
          <w:szCs w:val="32"/>
          <w:highlight w:val="none"/>
        </w:rPr>
        <w:t>中小企业声明函</w:t>
      </w:r>
      <w:r>
        <w:rPr>
          <w:rFonts w:hint="eastAsia" w:ascii="仿宋_GB2312" w:hAnsi="Times New Roman" w:eastAsia="仿宋_GB2312" w:cs="Times New Roman"/>
          <w:bCs/>
          <w:color w:val="auto"/>
          <w:sz w:val="24"/>
          <w:szCs w:val="24"/>
          <w:highlight w:val="none"/>
        </w:rPr>
        <w:t>（格式）</w:t>
      </w:r>
    </w:p>
    <w:p>
      <w:pPr>
        <w:spacing w:line="440" w:lineRule="exact"/>
        <w:ind w:left="2" w:hanging="2"/>
        <w:jc w:val="left"/>
        <w:rPr>
          <w:rFonts w:hint="eastAsia" w:ascii="仿宋_GB2312" w:hAnsi="宋体" w:eastAsia="仿宋_GB2312" w:cs="Times New Roman"/>
          <w:b/>
          <w:color w:val="auto"/>
          <w:szCs w:val="21"/>
          <w:highlight w:val="none"/>
        </w:rPr>
      </w:pPr>
    </w:p>
    <w:p>
      <w:pPr>
        <w:spacing w:line="600" w:lineRule="exact"/>
        <w:ind w:firstLine="294" w:firstLineChars="140"/>
        <w:jc w:val="left"/>
        <w:rPr>
          <w:rFonts w:hint="eastAsia" w:ascii="宋体" w:hAnsi="宋体" w:eastAsia="宋体" w:cs="Times New Roman"/>
          <w:bCs/>
          <w:color w:val="auto"/>
          <w:szCs w:val="21"/>
          <w:highlight w:val="none"/>
        </w:rPr>
      </w:pPr>
      <w:bookmarkStart w:id="206" w:name="_Hlk94193902"/>
      <w:r>
        <w:rPr>
          <w:rFonts w:hint="eastAsia" w:ascii="宋体" w:hAnsi="宋体" w:eastAsia="宋体" w:cs="Times New Roman"/>
          <w:bCs/>
          <w:color w:val="auto"/>
          <w:szCs w:val="21"/>
          <w:highlight w:val="none"/>
        </w:rPr>
        <w:t>本公司郑重声明，根据</w:t>
      </w:r>
      <w:bookmarkStart w:id="207" w:name="_Hlk82091685"/>
      <w:r>
        <w:rPr>
          <w:rFonts w:ascii="Times New Roman" w:hAnsi="Times New Roman" w:eastAsia="宋体" w:cs="Times New Roman"/>
          <w:color w:val="auto"/>
          <w:szCs w:val="24"/>
          <w:highlight w:val="none"/>
        </w:rPr>
        <w:fldChar w:fldCharType="begin"/>
      </w:r>
      <w:r>
        <w:rPr>
          <w:rFonts w:ascii="Times New Roman" w:hAnsi="Times New Roman" w:eastAsia="宋体" w:cs="Times New Roman"/>
          <w:color w:val="auto"/>
          <w:szCs w:val="24"/>
          <w:highlight w:val="none"/>
        </w:rPr>
        <w:instrText xml:space="preserve">HYPERLINK "http://www.gov.cn/zhengce/zhengceku/2020-12/29/content_5574611.htm"</w:instrText>
      </w:r>
      <w:r>
        <w:rPr>
          <w:rFonts w:ascii="Times New Roman" w:hAnsi="Times New Roman" w:eastAsia="宋体" w:cs="Times New Roman"/>
          <w:color w:val="auto"/>
          <w:szCs w:val="24"/>
          <w:highlight w:val="none"/>
        </w:rPr>
        <w:fldChar w:fldCharType="separate"/>
      </w:r>
      <w:r>
        <w:rPr>
          <w:rFonts w:hint="eastAsia" w:ascii="宋体" w:hAnsi="宋体" w:eastAsia="宋体" w:cs="Times New Roman"/>
          <w:bCs/>
          <w:color w:val="auto"/>
          <w:szCs w:val="21"/>
          <w:highlight w:val="none"/>
          <w:u w:val="single"/>
        </w:rPr>
        <w:t>《政府采购促进中小企业发展管理办法》</w:t>
      </w:r>
      <w:bookmarkStart w:id="208" w:name="_Hlk60836554"/>
      <w:r>
        <w:rPr>
          <w:rFonts w:hint="eastAsia" w:ascii="宋体" w:hAnsi="宋体" w:eastAsia="宋体" w:cs="Times New Roman"/>
          <w:bCs/>
          <w:color w:val="auto"/>
          <w:szCs w:val="21"/>
          <w:highlight w:val="none"/>
          <w:u w:val="single"/>
        </w:rPr>
        <w:t>（财库﹝2020﹞46号）</w:t>
      </w:r>
      <w:bookmarkEnd w:id="207"/>
      <w:bookmarkEnd w:id="208"/>
      <w:r>
        <w:rPr>
          <w:rFonts w:ascii="Times New Roman" w:hAnsi="Times New Roman" w:eastAsia="宋体" w:cs="Times New Roman"/>
          <w:color w:val="auto"/>
          <w:szCs w:val="24"/>
          <w:highlight w:val="none"/>
        </w:rPr>
        <w:fldChar w:fldCharType="end"/>
      </w:r>
      <w:r>
        <w:rPr>
          <w:rFonts w:hint="eastAsia" w:ascii="宋体" w:hAnsi="宋体" w:eastAsia="宋体" w:cs="Times New Roman"/>
          <w:bCs/>
          <w:color w:val="auto"/>
          <w:szCs w:val="21"/>
          <w:highlight w:val="none"/>
        </w:rPr>
        <w:t>的规定，本公司参加</w:t>
      </w:r>
      <w:bookmarkStart w:id="209" w:name="_Hlk82091228"/>
      <w:r>
        <w:rPr>
          <w:rFonts w:hint="eastAsia" w:ascii="宋体" w:hAnsi="宋体" w:eastAsia="宋体" w:cs="Times New Roman"/>
          <w:bCs/>
          <w:color w:val="auto"/>
          <w:szCs w:val="21"/>
          <w:highlight w:val="none"/>
        </w:rPr>
        <w:t>（</w:t>
      </w:r>
      <w:r>
        <w:rPr>
          <w:rFonts w:hint="eastAsia" w:ascii="宋体" w:hAnsi="宋体" w:eastAsia="宋体" w:cs="Times New Roman"/>
          <w:bCs/>
          <w:color w:val="auto"/>
          <w:szCs w:val="21"/>
          <w:highlight w:val="none"/>
          <w:u w:val="single"/>
        </w:rPr>
        <w:t>单位名称</w:t>
      </w:r>
      <w:r>
        <w:rPr>
          <w:rFonts w:hint="eastAsia" w:ascii="宋体" w:hAnsi="宋体" w:eastAsia="宋体" w:cs="Times New Roman"/>
          <w:bCs/>
          <w:color w:val="auto"/>
          <w:szCs w:val="21"/>
          <w:highlight w:val="none"/>
        </w:rPr>
        <w:t>）的（</w:t>
      </w:r>
      <w:r>
        <w:rPr>
          <w:rFonts w:hint="eastAsia" w:ascii="宋体" w:hAnsi="宋体" w:eastAsia="宋体" w:cs="Times New Roman"/>
          <w:bCs/>
          <w:color w:val="auto"/>
          <w:szCs w:val="21"/>
          <w:highlight w:val="none"/>
          <w:u w:val="single"/>
        </w:rPr>
        <w:t>项目名称</w:t>
      </w:r>
      <w:r>
        <w:rPr>
          <w:rFonts w:hint="eastAsia" w:ascii="宋体" w:hAnsi="宋体" w:eastAsia="宋体" w:cs="Times New Roman"/>
          <w:bCs/>
          <w:color w:val="auto"/>
          <w:szCs w:val="21"/>
          <w:highlight w:val="none"/>
        </w:rPr>
        <w:t>）</w:t>
      </w:r>
      <w:bookmarkEnd w:id="209"/>
      <w:r>
        <w:rPr>
          <w:rFonts w:hint="eastAsia" w:ascii="宋体" w:hAnsi="宋体" w:eastAsia="宋体" w:cs="Times New Roman"/>
          <w:bCs/>
          <w:color w:val="auto"/>
          <w:szCs w:val="21"/>
          <w:highlight w:val="none"/>
        </w:rPr>
        <w:t>采购活动，服务全部由符合政策要求的中小企业承接。相关企业的具体情况如下：</w:t>
      </w:r>
    </w:p>
    <w:p>
      <w:pPr>
        <w:spacing w:line="600" w:lineRule="exact"/>
        <w:ind w:firstLine="294" w:firstLineChars="140"/>
        <w:jc w:val="lef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1.</w:t>
      </w:r>
      <w:bookmarkStart w:id="210" w:name="_Hlk60836996"/>
      <w:r>
        <w:rPr>
          <w:rFonts w:hint="eastAsia" w:ascii="宋体" w:hAnsi="宋体" w:eastAsia="宋体" w:cs="Times New Roman"/>
          <w:bCs/>
          <w:color w:val="auto"/>
          <w:szCs w:val="21"/>
          <w:highlight w:val="none"/>
        </w:rPr>
        <w:t>（</w:t>
      </w:r>
      <w:r>
        <w:rPr>
          <w:rFonts w:hint="eastAsia" w:ascii="宋体" w:hAnsi="宋体" w:eastAsia="宋体" w:cs="Times New Roman"/>
          <w:bCs/>
          <w:color w:val="auto"/>
          <w:szCs w:val="21"/>
          <w:highlight w:val="none"/>
          <w:u w:val="single"/>
        </w:rPr>
        <w:t>标的名称</w:t>
      </w:r>
      <w:r>
        <w:rPr>
          <w:rFonts w:hint="eastAsia" w:ascii="宋体" w:hAnsi="宋体" w:eastAsia="宋体" w:cs="Times New Roman"/>
          <w:bCs/>
          <w:color w:val="auto"/>
          <w:szCs w:val="21"/>
          <w:highlight w:val="none"/>
        </w:rPr>
        <w:t>），属于（</w:t>
      </w:r>
      <w:r>
        <w:rPr>
          <w:rFonts w:hint="eastAsia" w:ascii="宋体" w:hAnsi="宋体" w:eastAsia="宋体" w:cs="Times New Roman"/>
          <w:bCs/>
          <w:color w:val="auto"/>
          <w:szCs w:val="21"/>
          <w:highlight w:val="none"/>
          <w:u w:val="single"/>
        </w:rPr>
        <w:t>采购文件中明确的所属行业</w:t>
      </w:r>
      <w:r>
        <w:rPr>
          <w:rFonts w:hint="eastAsia" w:ascii="宋体" w:hAnsi="宋体" w:eastAsia="宋体" w:cs="Times New Roman"/>
          <w:bCs/>
          <w:color w:val="auto"/>
          <w:szCs w:val="21"/>
          <w:highlight w:val="none"/>
        </w:rPr>
        <w:t>）行业；制造商为（</w:t>
      </w:r>
      <w:r>
        <w:rPr>
          <w:rFonts w:hint="eastAsia" w:ascii="宋体" w:hAnsi="宋体" w:eastAsia="宋体" w:cs="Times New Roman"/>
          <w:bCs/>
          <w:color w:val="auto"/>
          <w:szCs w:val="21"/>
          <w:highlight w:val="none"/>
          <w:u w:val="single"/>
        </w:rPr>
        <w:t>企业名称</w:t>
      </w:r>
      <w:r>
        <w:rPr>
          <w:rFonts w:hint="eastAsia" w:ascii="宋体" w:hAnsi="宋体" w:eastAsia="宋体" w:cs="Times New Roman"/>
          <w:bCs/>
          <w:color w:val="auto"/>
          <w:szCs w:val="21"/>
          <w:highlight w:val="none"/>
        </w:rPr>
        <w:t>），从业人员人，营业收入为万元，资产总额为万元，属于（</w:t>
      </w:r>
      <w:r>
        <w:rPr>
          <w:rFonts w:hint="eastAsia" w:ascii="宋体" w:hAnsi="宋体" w:eastAsia="宋体" w:cs="Times New Roman"/>
          <w:bCs/>
          <w:color w:val="auto"/>
          <w:szCs w:val="21"/>
          <w:highlight w:val="none"/>
          <w:u w:val="single"/>
        </w:rPr>
        <w:t>中型企业、小型企业、微型企业</w:t>
      </w:r>
      <w:r>
        <w:rPr>
          <w:rFonts w:hint="eastAsia" w:ascii="宋体" w:hAnsi="宋体" w:eastAsia="宋体" w:cs="Times New Roman"/>
          <w:bCs/>
          <w:color w:val="auto"/>
          <w:szCs w:val="21"/>
          <w:highlight w:val="none"/>
        </w:rPr>
        <w:t>）；</w:t>
      </w:r>
      <w:bookmarkEnd w:id="210"/>
    </w:p>
    <w:p>
      <w:pPr>
        <w:spacing w:line="600" w:lineRule="exact"/>
        <w:ind w:firstLine="294" w:firstLineChars="140"/>
        <w:jc w:val="lef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2.（</w:t>
      </w:r>
      <w:r>
        <w:rPr>
          <w:rFonts w:hint="eastAsia" w:ascii="宋体" w:hAnsi="宋体" w:eastAsia="宋体" w:cs="Times New Roman"/>
          <w:bCs/>
          <w:color w:val="auto"/>
          <w:szCs w:val="21"/>
          <w:highlight w:val="none"/>
          <w:u w:val="single"/>
        </w:rPr>
        <w:t>标的名称</w:t>
      </w:r>
      <w:r>
        <w:rPr>
          <w:rFonts w:hint="eastAsia" w:ascii="宋体" w:hAnsi="宋体" w:eastAsia="宋体" w:cs="Times New Roman"/>
          <w:bCs/>
          <w:color w:val="auto"/>
          <w:szCs w:val="21"/>
          <w:highlight w:val="none"/>
        </w:rPr>
        <w:t>），属于（</w:t>
      </w:r>
      <w:r>
        <w:rPr>
          <w:rFonts w:hint="eastAsia" w:ascii="宋体" w:hAnsi="宋体" w:eastAsia="宋体" w:cs="Times New Roman"/>
          <w:bCs/>
          <w:color w:val="auto"/>
          <w:szCs w:val="21"/>
          <w:highlight w:val="none"/>
          <w:u w:val="single"/>
        </w:rPr>
        <w:t>采购文件中明确的所属行业</w:t>
      </w:r>
      <w:r>
        <w:rPr>
          <w:rFonts w:hint="eastAsia" w:ascii="宋体" w:hAnsi="宋体" w:eastAsia="宋体" w:cs="Times New Roman"/>
          <w:bCs/>
          <w:color w:val="auto"/>
          <w:szCs w:val="21"/>
          <w:highlight w:val="none"/>
        </w:rPr>
        <w:t>）行业；制造商为（</w:t>
      </w:r>
      <w:r>
        <w:rPr>
          <w:rFonts w:hint="eastAsia" w:ascii="宋体" w:hAnsi="宋体" w:eastAsia="宋体" w:cs="Times New Roman"/>
          <w:bCs/>
          <w:color w:val="auto"/>
          <w:szCs w:val="21"/>
          <w:highlight w:val="none"/>
          <w:u w:val="single"/>
        </w:rPr>
        <w:t>企业名称</w:t>
      </w:r>
      <w:r>
        <w:rPr>
          <w:rFonts w:hint="eastAsia" w:ascii="宋体" w:hAnsi="宋体" w:eastAsia="宋体" w:cs="Times New Roman"/>
          <w:bCs/>
          <w:color w:val="auto"/>
          <w:szCs w:val="21"/>
          <w:highlight w:val="none"/>
        </w:rPr>
        <w:t>），从业人员人，营业收入为万元，资产总额为万元，属于（</w:t>
      </w:r>
      <w:r>
        <w:rPr>
          <w:rFonts w:hint="eastAsia" w:ascii="宋体" w:hAnsi="宋体" w:eastAsia="宋体" w:cs="Times New Roman"/>
          <w:bCs/>
          <w:color w:val="auto"/>
          <w:szCs w:val="21"/>
          <w:highlight w:val="none"/>
          <w:u w:val="single"/>
        </w:rPr>
        <w:t>中型企业、小型企业、微型企业</w:t>
      </w:r>
      <w:r>
        <w:rPr>
          <w:rFonts w:hint="eastAsia" w:ascii="宋体" w:hAnsi="宋体" w:eastAsia="宋体" w:cs="Times New Roman"/>
          <w:bCs/>
          <w:color w:val="auto"/>
          <w:szCs w:val="21"/>
          <w:highlight w:val="none"/>
        </w:rPr>
        <w:t>）；</w:t>
      </w:r>
    </w:p>
    <w:p>
      <w:pPr>
        <w:spacing w:line="600" w:lineRule="exact"/>
        <w:ind w:firstLine="294" w:firstLineChars="140"/>
        <w:jc w:val="lef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w:t>
      </w:r>
    </w:p>
    <w:p>
      <w:pPr>
        <w:spacing w:line="600" w:lineRule="exact"/>
        <w:ind w:firstLine="294" w:firstLineChars="140"/>
        <w:jc w:val="lef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以上企业，不属于大企业的分支机构，不存在控股股东为大企业的情形，也不存在与大企业的负责人为同一人的情形。</w:t>
      </w:r>
    </w:p>
    <w:p>
      <w:pPr>
        <w:spacing w:line="600" w:lineRule="exact"/>
        <w:ind w:firstLine="294" w:firstLineChars="140"/>
        <w:jc w:val="lef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本企业对上述声明内容的真实性负责。如有虚假，将依法承担相应责任。</w:t>
      </w:r>
    </w:p>
    <w:p>
      <w:pPr>
        <w:spacing w:line="400" w:lineRule="exact"/>
        <w:rPr>
          <w:rFonts w:ascii="Times New Roman" w:hAnsi="Times New Roman" w:eastAsia="宋体" w:cs="Times New Roman"/>
          <w:color w:val="auto"/>
          <w:szCs w:val="21"/>
          <w:highlight w:val="none"/>
        </w:rPr>
      </w:pPr>
    </w:p>
    <w:p>
      <w:pPr>
        <w:spacing w:line="400" w:lineRule="exact"/>
        <w:rPr>
          <w:rFonts w:ascii="Times New Roman" w:hAnsi="Times New Roman" w:eastAsia="宋体" w:cs="Times New Roman"/>
          <w:color w:val="auto"/>
          <w:szCs w:val="21"/>
          <w:highlight w:val="none"/>
        </w:rPr>
      </w:pPr>
    </w:p>
    <w:p>
      <w:pPr>
        <w:spacing w:line="400" w:lineRule="exact"/>
        <w:rPr>
          <w:rFonts w:ascii="Times New Roman" w:hAnsi="Times New Roman" w:eastAsia="宋体" w:cs="Times New Roman"/>
          <w:color w:val="auto"/>
          <w:szCs w:val="21"/>
          <w:highlight w:val="none"/>
        </w:rPr>
      </w:pPr>
    </w:p>
    <w:p>
      <w:pPr>
        <w:spacing w:line="440" w:lineRule="exact"/>
        <w:ind w:firstLine="5250" w:firstLineChars="2500"/>
        <w:jc w:val="lef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企业名称（盖章）：</w:t>
      </w:r>
      <w:r>
        <w:rPr>
          <w:rFonts w:ascii="Times New Roman" w:hAnsi="宋体" w:eastAsia="宋体" w:cs="Times New Roman"/>
          <w:color w:val="auto"/>
          <w:szCs w:val="21"/>
          <w:highlight w:val="none"/>
          <w:u w:val="single"/>
        </w:rPr>
        <w:t xml:space="preserve">               </w:t>
      </w:r>
    </w:p>
    <w:p>
      <w:pPr>
        <w:spacing w:line="440" w:lineRule="exact"/>
        <w:ind w:firstLine="5250" w:firstLineChars="2500"/>
        <w:jc w:val="lef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日 期：</w:t>
      </w:r>
      <w:r>
        <w:rPr>
          <w:rFonts w:ascii="Times New Roman" w:hAnsi="宋体" w:eastAsia="宋体" w:cs="Times New Roman"/>
          <w:color w:val="auto"/>
          <w:szCs w:val="21"/>
          <w:highlight w:val="none"/>
          <w:u w:val="single"/>
        </w:rPr>
        <w:t xml:space="preserve">                         </w:t>
      </w:r>
    </w:p>
    <w:bookmarkEnd w:id="206"/>
    <w:p>
      <w:pPr>
        <w:spacing w:line="400" w:lineRule="exact"/>
        <w:rPr>
          <w:rFonts w:ascii="Times New Roman" w:hAnsi="Times New Roman" w:eastAsia="宋体" w:cs="Times New Roman"/>
          <w:color w:val="auto"/>
          <w:szCs w:val="21"/>
          <w:highlight w:val="none"/>
        </w:rPr>
      </w:pPr>
    </w:p>
    <w:p>
      <w:pPr>
        <w:spacing w:line="400" w:lineRule="exact"/>
        <w:rPr>
          <w:rFonts w:ascii="Times New Roman" w:hAnsi="Times New Roman" w:eastAsia="宋体" w:cs="Times New Roman"/>
          <w:color w:val="auto"/>
          <w:szCs w:val="21"/>
          <w:highlight w:val="none"/>
        </w:rPr>
      </w:pPr>
    </w:p>
    <w:p>
      <w:pPr>
        <w:spacing w:line="400" w:lineRule="exact"/>
        <w:rPr>
          <w:rFonts w:ascii="Times New Roman" w:hAnsi="Times New Roman" w:eastAsia="宋体" w:cs="Times New Roman"/>
          <w:color w:val="auto"/>
          <w:szCs w:val="21"/>
          <w:highlight w:val="none"/>
        </w:rPr>
      </w:pPr>
    </w:p>
    <w:p>
      <w:pPr>
        <w:spacing w:line="400" w:lineRule="exact"/>
        <w:rPr>
          <w:rFonts w:ascii="Times New Roman" w:hAnsi="Times New Roman" w:eastAsia="宋体" w:cs="Times New Roman"/>
          <w:color w:val="auto"/>
          <w:szCs w:val="21"/>
          <w:highlight w:val="none"/>
        </w:rPr>
      </w:pPr>
    </w:p>
    <w:p>
      <w:pPr>
        <w:spacing w:line="400" w:lineRule="exact"/>
        <w:rPr>
          <w:rFonts w:ascii="Times New Roman" w:hAnsi="Times New Roman" w:eastAsia="宋体" w:cs="Times New Roman"/>
          <w:color w:val="auto"/>
          <w:szCs w:val="21"/>
          <w:highlight w:val="none"/>
        </w:rPr>
      </w:pPr>
    </w:p>
    <w:p>
      <w:pPr>
        <w:spacing w:line="320" w:lineRule="exact"/>
        <w:rPr>
          <w:rFonts w:ascii="Times New Roman" w:hAnsi="Times New Roman" w:eastAsia="宋体" w:cs="Times New Roman"/>
          <w:color w:val="auto"/>
          <w:szCs w:val="21"/>
          <w:highlight w:val="none"/>
        </w:rPr>
      </w:pPr>
    </w:p>
    <w:p>
      <w:pPr>
        <w:spacing w:line="320" w:lineRule="exact"/>
        <w:rPr>
          <w:rFonts w:ascii="Times New Roman" w:hAnsi="Times New Roman" w:eastAsia="宋体" w:cs="Times New Roman"/>
          <w:color w:val="auto"/>
          <w:szCs w:val="21"/>
          <w:highlight w:val="none"/>
        </w:rPr>
      </w:pPr>
    </w:p>
    <w:p>
      <w:pPr>
        <w:spacing w:line="320" w:lineRule="exact"/>
        <w:rPr>
          <w:rFonts w:ascii="Times New Roman" w:hAnsi="Times New Roman" w:eastAsia="宋体" w:cs="Times New Roman"/>
          <w:color w:val="auto"/>
          <w:szCs w:val="21"/>
          <w:highlight w:val="none"/>
        </w:rPr>
      </w:pPr>
    </w:p>
    <w:p>
      <w:pPr>
        <w:spacing w:line="320" w:lineRule="exact"/>
        <w:rPr>
          <w:rFonts w:ascii="Times New Roman" w:hAnsi="Times New Roman" w:eastAsia="宋体" w:cs="Times New Roman"/>
          <w:color w:val="auto"/>
          <w:szCs w:val="21"/>
          <w:highlight w:val="none"/>
        </w:rPr>
      </w:pPr>
    </w:p>
    <w:p>
      <w:pPr>
        <w:spacing w:line="320" w:lineRule="exact"/>
        <w:ind w:left="420"/>
        <w:rPr>
          <w:rFonts w:hint="eastAsia" w:ascii="宋体" w:hAnsi="宋体" w:eastAsia="宋体" w:cs="Times New Roman"/>
          <w:color w:val="auto"/>
          <w:sz w:val="18"/>
          <w:szCs w:val="18"/>
          <w:highlight w:val="none"/>
        </w:rPr>
      </w:pPr>
      <w:bookmarkStart w:id="211" w:name="_Hlk82091879"/>
      <w:r>
        <w:rPr>
          <w:rFonts w:hint="eastAsia" w:ascii="宋体" w:hAnsi="宋体" w:eastAsia="宋体" w:cs="Times New Roman"/>
          <w:color w:val="auto"/>
          <w:sz w:val="18"/>
          <w:szCs w:val="18"/>
          <w:highlight w:val="none"/>
        </w:rPr>
        <w:fldChar w:fldCharType="begin"/>
      </w:r>
      <w:r>
        <w:rPr>
          <w:rFonts w:hint="eastAsia" w:ascii="宋体" w:hAnsi="宋体" w:eastAsia="宋体" w:cs="Times New Roman"/>
          <w:color w:val="auto"/>
          <w:sz w:val="18"/>
          <w:szCs w:val="18"/>
          <w:highlight w:val="none"/>
        </w:rPr>
        <w:instrText xml:space="preserve">EQ \* jc2 \* hps9 \o\ad(\s\up 8(</w:instrText>
      </w:r>
      <w:r>
        <w:rPr>
          <w:rFonts w:hint="eastAsia" w:ascii="宋体" w:hAnsi="宋体" w:eastAsia="宋体" w:cs="Times New Roman"/>
          <w:color w:val="auto"/>
          <w:sz w:val="9"/>
          <w:szCs w:val="9"/>
          <w:highlight w:val="none"/>
        </w:rPr>
        <w:instrText xml:space="preserve">——</w:instrText>
      </w:r>
      <w:r>
        <w:rPr>
          <w:rFonts w:hint="eastAsia" w:ascii="宋体" w:hAnsi="宋体" w:eastAsia="宋体" w:cs="Times New Roman"/>
          <w:color w:val="auto"/>
          <w:sz w:val="18"/>
          <w:szCs w:val="18"/>
          <w:highlight w:val="none"/>
        </w:rPr>
        <w:instrText xml:space="preserve">),从)</w:instrText>
      </w:r>
      <w:r>
        <w:rPr>
          <w:rFonts w:hint="eastAsia" w:ascii="宋体" w:hAnsi="宋体" w:eastAsia="宋体" w:cs="Times New Roman"/>
          <w:color w:val="auto"/>
          <w:sz w:val="18"/>
          <w:szCs w:val="18"/>
          <w:highlight w:val="none"/>
        </w:rPr>
        <w:fldChar w:fldCharType="end"/>
      </w:r>
      <w:r>
        <w:rPr>
          <w:rFonts w:hint="eastAsia" w:ascii="宋体" w:hAnsi="宋体" w:eastAsia="宋体" w:cs="Times New Roman"/>
          <w:color w:val="auto"/>
          <w:sz w:val="18"/>
          <w:szCs w:val="18"/>
          <w:highlight w:val="none"/>
        </w:rPr>
        <w:fldChar w:fldCharType="begin"/>
      </w:r>
      <w:r>
        <w:rPr>
          <w:rFonts w:hint="eastAsia" w:ascii="宋体" w:hAnsi="宋体" w:eastAsia="宋体" w:cs="Times New Roman"/>
          <w:color w:val="auto"/>
          <w:sz w:val="18"/>
          <w:szCs w:val="18"/>
          <w:highlight w:val="none"/>
        </w:rPr>
        <w:instrText xml:space="preserve">EQ \* jc2 \* hps9 \o\ad(\s\up 8(</w:instrText>
      </w:r>
      <w:r>
        <w:rPr>
          <w:rFonts w:hint="eastAsia" w:ascii="宋体" w:hAnsi="宋体" w:eastAsia="宋体" w:cs="Times New Roman"/>
          <w:color w:val="auto"/>
          <w:sz w:val="9"/>
          <w:szCs w:val="9"/>
          <w:highlight w:val="none"/>
        </w:rPr>
        <w:instrText xml:space="preserve">——</w:instrText>
      </w:r>
      <w:r>
        <w:rPr>
          <w:rFonts w:hint="eastAsia" w:ascii="宋体" w:hAnsi="宋体" w:eastAsia="宋体" w:cs="Times New Roman"/>
          <w:color w:val="auto"/>
          <w:sz w:val="18"/>
          <w:szCs w:val="18"/>
          <w:highlight w:val="none"/>
        </w:rPr>
        <w:instrText xml:space="preserve">),业)</w:instrText>
      </w:r>
      <w:r>
        <w:rPr>
          <w:rFonts w:hint="eastAsia" w:ascii="宋体" w:hAnsi="宋体" w:eastAsia="宋体" w:cs="Times New Roman"/>
          <w:color w:val="auto"/>
          <w:sz w:val="18"/>
          <w:szCs w:val="18"/>
          <w:highlight w:val="none"/>
        </w:rPr>
        <w:fldChar w:fldCharType="end"/>
      </w:r>
      <w:r>
        <w:rPr>
          <w:rFonts w:hint="eastAsia" w:ascii="宋体" w:hAnsi="宋体" w:eastAsia="宋体" w:cs="Times New Roman"/>
          <w:color w:val="auto"/>
          <w:sz w:val="18"/>
          <w:szCs w:val="18"/>
          <w:highlight w:val="none"/>
        </w:rPr>
        <w:fldChar w:fldCharType="begin"/>
      </w:r>
      <w:r>
        <w:rPr>
          <w:rFonts w:hint="eastAsia" w:ascii="宋体" w:hAnsi="宋体" w:eastAsia="宋体" w:cs="Times New Roman"/>
          <w:color w:val="auto"/>
          <w:sz w:val="18"/>
          <w:szCs w:val="18"/>
          <w:highlight w:val="none"/>
        </w:rPr>
        <w:instrText xml:space="preserve">EQ \* jc2 \* hps9 \o\ad(\s\up 8(</w:instrText>
      </w:r>
      <w:r>
        <w:rPr>
          <w:rFonts w:hint="eastAsia" w:ascii="宋体" w:hAnsi="宋体" w:eastAsia="宋体" w:cs="Times New Roman"/>
          <w:color w:val="auto"/>
          <w:sz w:val="9"/>
          <w:szCs w:val="9"/>
          <w:highlight w:val="none"/>
        </w:rPr>
        <w:instrText xml:space="preserve">——</w:instrText>
      </w:r>
      <w:r>
        <w:rPr>
          <w:rFonts w:hint="eastAsia" w:ascii="宋体" w:hAnsi="宋体" w:eastAsia="宋体" w:cs="Times New Roman"/>
          <w:color w:val="auto"/>
          <w:sz w:val="18"/>
          <w:szCs w:val="18"/>
          <w:highlight w:val="none"/>
        </w:rPr>
        <w:instrText xml:space="preserve">),人)</w:instrText>
      </w:r>
      <w:r>
        <w:rPr>
          <w:rFonts w:hint="eastAsia" w:ascii="宋体" w:hAnsi="宋体" w:eastAsia="宋体" w:cs="Times New Roman"/>
          <w:color w:val="auto"/>
          <w:sz w:val="18"/>
          <w:szCs w:val="18"/>
          <w:highlight w:val="none"/>
        </w:rPr>
        <w:fldChar w:fldCharType="end"/>
      </w:r>
      <w:r>
        <w:rPr>
          <w:rFonts w:hint="eastAsia" w:ascii="宋体" w:hAnsi="宋体" w:eastAsia="宋体" w:cs="Times New Roman"/>
          <w:color w:val="auto"/>
          <w:sz w:val="18"/>
          <w:szCs w:val="18"/>
          <w:highlight w:val="none"/>
        </w:rPr>
        <w:fldChar w:fldCharType="begin"/>
      </w:r>
      <w:r>
        <w:rPr>
          <w:rFonts w:hint="eastAsia" w:ascii="宋体" w:hAnsi="宋体" w:eastAsia="宋体" w:cs="Times New Roman"/>
          <w:color w:val="auto"/>
          <w:sz w:val="18"/>
          <w:szCs w:val="18"/>
          <w:highlight w:val="none"/>
        </w:rPr>
        <w:instrText xml:space="preserve">EQ \* jc2 \* hps9 \o\ad(\s\up 8(</w:instrText>
      </w:r>
      <w:r>
        <w:rPr>
          <w:rFonts w:hint="eastAsia" w:ascii="宋体" w:hAnsi="宋体" w:eastAsia="宋体" w:cs="Times New Roman"/>
          <w:color w:val="auto"/>
          <w:sz w:val="9"/>
          <w:szCs w:val="9"/>
          <w:highlight w:val="none"/>
        </w:rPr>
        <w:instrText xml:space="preserve">——</w:instrText>
      </w:r>
      <w:r>
        <w:rPr>
          <w:rFonts w:hint="eastAsia" w:ascii="宋体" w:hAnsi="宋体" w:eastAsia="宋体" w:cs="Times New Roman"/>
          <w:color w:val="auto"/>
          <w:sz w:val="18"/>
          <w:szCs w:val="18"/>
          <w:highlight w:val="none"/>
        </w:rPr>
        <w:instrText xml:space="preserve">),员)</w:instrText>
      </w:r>
      <w:r>
        <w:rPr>
          <w:rFonts w:hint="eastAsia" w:ascii="宋体" w:hAnsi="宋体" w:eastAsia="宋体" w:cs="Times New Roman"/>
          <w:color w:val="auto"/>
          <w:sz w:val="18"/>
          <w:szCs w:val="18"/>
          <w:highlight w:val="none"/>
        </w:rPr>
        <w:fldChar w:fldCharType="end"/>
      </w:r>
      <w:r>
        <w:rPr>
          <w:rFonts w:hint="eastAsia" w:ascii="宋体" w:hAnsi="宋体" w:eastAsia="宋体" w:cs="Times New Roman"/>
          <w:color w:val="auto"/>
          <w:sz w:val="18"/>
          <w:szCs w:val="18"/>
          <w:highlight w:val="none"/>
        </w:rPr>
        <w:fldChar w:fldCharType="begin"/>
      </w:r>
      <w:r>
        <w:rPr>
          <w:rFonts w:hint="eastAsia" w:ascii="宋体" w:hAnsi="宋体" w:eastAsia="宋体" w:cs="Times New Roman"/>
          <w:color w:val="auto"/>
          <w:sz w:val="18"/>
          <w:szCs w:val="18"/>
          <w:highlight w:val="none"/>
        </w:rPr>
        <w:instrText xml:space="preserve">EQ \* jc2 \* hps9 \o\ad(\s\up 8(</w:instrText>
      </w:r>
      <w:r>
        <w:rPr>
          <w:rFonts w:hint="eastAsia" w:ascii="宋体" w:hAnsi="宋体" w:eastAsia="宋体" w:cs="Times New Roman"/>
          <w:color w:val="auto"/>
          <w:sz w:val="9"/>
          <w:szCs w:val="9"/>
          <w:highlight w:val="none"/>
        </w:rPr>
        <w:instrText xml:space="preserve">——</w:instrText>
      </w:r>
      <w:r>
        <w:rPr>
          <w:rFonts w:hint="eastAsia" w:ascii="宋体" w:hAnsi="宋体" w:eastAsia="宋体" w:cs="Times New Roman"/>
          <w:color w:val="auto"/>
          <w:sz w:val="18"/>
          <w:szCs w:val="18"/>
          <w:highlight w:val="none"/>
        </w:rPr>
        <w:instrText xml:space="preserve">),、)</w:instrText>
      </w:r>
      <w:r>
        <w:rPr>
          <w:rFonts w:hint="eastAsia" w:ascii="宋体" w:hAnsi="宋体" w:eastAsia="宋体" w:cs="Times New Roman"/>
          <w:color w:val="auto"/>
          <w:sz w:val="18"/>
          <w:szCs w:val="18"/>
          <w:highlight w:val="none"/>
        </w:rPr>
        <w:fldChar w:fldCharType="end"/>
      </w:r>
      <w:r>
        <w:rPr>
          <w:rFonts w:hint="eastAsia" w:ascii="宋体" w:hAnsi="宋体" w:eastAsia="宋体" w:cs="Times New Roman"/>
          <w:color w:val="auto"/>
          <w:sz w:val="18"/>
          <w:szCs w:val="18"/>
          <w:highlight w:val="none"/>
        </w:rPr>
        <w:fldChar w:fldCharType="begin"/>
      </w:r>
      <w:r>
        <w:rPr>
          <w:rFonts w:hint="eastAsia" w:ascii="宋体" w:hAnsi="宋体" w:eastAsia="宋体" w:cs="Times New Roman"/>
          <w:color w:val="auto"/>
          <w:sz w:val="18"/>
          <w:szCs w:val="18"/>
          <w:highlight w:val="none"/>
        </w:rPr>
        <w:instrText xml:space="preserve">EQ \* jc2 \* hps9 \o\ad(\s\up 8(</w:instrText>
      </w:r>
      <w:r>
        <w:rPr>
          <w:rFonts w:hint="eastAsia" w:ascii="宋体" w:hAnsi="宋体" w:eastAsia="宋体" w:cs="Times New Roman"/>
          <w:color w:val="auto"/>
          <w:sz w:val="9"/>
          <w:szCs w:val="9"/>
          <w:highlight w:val="none"/>
        </w:rPr>
        <w:instrText xml:space="preserve">——</w:instrText>
      </w:r>
      <w:r>
        <w:rPr>
          <w:rFonts w:hint="eastAsia" w:ascii="宋体" w:hAnsi="宋体" w:eastAsia="宋体" w:cs="Times New Roman"/>
          <w:color w:val="auto"/>
          <w:sz w:val="18"/>
          <w:szCs w:val="18"/>
          <w:highlight w:val="none"/>
        </w:rPr>
        <w:instrText xml:space="preserve">),营)</w:instrText>
      </w:r>
      <w:r>
        <w:rPr>
          <w:rFonts w:hint="eastAsia" w:ascii="宋体" w:hAnsi="宋体" w:eastAsia="宋体" w:cs="Times New Roman"/>
          <w:color w:val="auto"/>
          <w:sz w:val="18"/>
          <w:szCs w:val="18"/>
          <w:highlight w:val="none"/>
        </w:rPr>
        <w:fldChar w:fldCharType="end"/>
      </w:r>
      <w:r>
        <w:rPr>
          <w:rFonts w:hint="eastAsia" w:ascii="宋体" w:hAnsi="宋体" w:eastAsia="宋体" w:cs="Times New Roman"/>
          <w:color w:val="auto"/>
          <w:sz w:val="18"/>
          <w:szCs w:val="18"/>
          <w:highlight w:val="none"/>
        </w:rPr>
        <w:fldChar w:fldCharType="begin"/>
      </w:r>
      <w:r>
        <w:rPr>
          <w:rFonts w:hint="eastAsia" w:ascii="宋体" w:hAnsi="宋体" w:eastAsia="宋体" w:cs="Times New Roman"/>
          <w:color w:val="auto"/>
          <w:sz w:val="18"/>
          <w:szCs w:val="18"/>
          <w:highlight w:val="none"/>
        </w:rPr>
        <w:instrText xml:space="preserve">EQ \* jc2 \* hps9 \o\ad(\s\up 8(</w:instrText>
      </w:r>
      <w:r>
        <w:rPr>
          <w:rFonts w:hint="eastAsia" w:ascii="宋体" w:hAnsi="宋体" w:eastAsia="宋体" w:cs="Times New Roman"/>
          <w:color w:val="auto"/>
          <w:sz w:val="9"/>
          <w:szCs w:val="9"/>
          <w:highlight w:val="none"/>
        </w:rPr>
        <w:instrText xml:space="preserve">——</w:instrText>
      </w:r>
      <w:r>
        <w:rPr>
          <w:rFonts w:hint="eastAsia" w:ascii="宋体" w:hAnsi="宋体" w:eastAsia="宋体" w:cs="Times New Roman"/>
          <w:color w:val="auto"/>
          <w:sz w:val="18"/>
          <w:szCs w:val="18"/>
          <w:highlight w:val="none"/>
        </w:rPr>
        <w:instrText xml:space="preserve">),业)</w:instrText>
      </w:r>
      <w:r>
        <w:rPr>
          <w:rFonts w:hint="eastAsia" w:ascii="宋体" w:hAnsi="宋体" w:eastAsia="宋体" w:cs="Times New Roman"/>
          <w:color w:val="auto"/>
          <w:sz w:val="18"/>
          <w:szCs w:val="18"/>
          <w:highlight w:val="none"/>
        </w:rPr>
        <w:fldChar w:fldCharType="end"/>
      </w:r>
      <w:r>
        <w:rPr>
          <w:rFonts w:hint="eastAsia" w:ascii="宋体" w:hAnsi="宋体" w:eastAsia="宋体" w:cs="Times New Roman"/>
          <w:color w:val="auto"/>
          <w:sz w:val="18"/>
          <w:szCs w:val="18"/>
          <w:highlight w:val="none"/>
        </w:rPr>
        <w:fldChar w:fldCharType="begin"/>
      </w:r>
      <w:r>
        <w:rPr>
          <w:rFonts w:hint="eastAsia" w:ascii="宋体" w:hAnsi="宋体" w:eastAsia="宋体" w:cs="Times New Roman"/>
          <w:color w:val="auto"/>
          <w:sz w:val="18"/>
          <w:szCs w:val="18"/>
          <w:highlight w:val="none"/>
        </w:rPr>
        <w:instrText xml:space="preserve">EQ \* jc2 \* hps9 \o\ad(\s\up 8(</w:instrText>
      </w:r>
      <w:r>
        <w:rPr>
          <w:rFonts w:hint="eastAsia" w:ascii="宋体" w:hAnsi="宋体" w:eastAsia="宋体" w:cs="Times New Roman"/>
          <w:color w:val="auto"/>
          <w:sz w:val="9"/>
          <w:szCs w:val="9"/>
          <w:highlight w:val="none"/>
        </w:rPr>
        <w:instrText xml:space="preserve">——</w:instrText>
      </w:r>
      <w:r>
        <w:rPr>
          <w:rFonts w:hint="eastAsia" w:ascii="宋体" w:hAnsi="宋体" w:eastAsia="宋体" w:cs="Times New Roman"/>
          <w:color w:val="auto"/>
          <w:sz w:val="18"/>
          <w:szCs w:val="18"/>
          <w:highlight w:val="none"/>
        </w:rPr>
        <w:instrText xml:space="preserve">),收)</w:instrText>
      </w:r>
      <w:r>
        <w:rPr>
          <w:rFonts w:hint="eastAsia" w:ascii="宋体" w:hAnsi="宋体" w:eastAsia="宋体" w:cs="Times New Roman"/>
          <w:color w:val="auto"/>
          <w:sz w:val="18"/>
          <w:szCs w:val="18"/>
          <w:highlight w:val="none"/>
        </w:rPr>
        <w:fldChar w:fldCharType="end"/>
      </w:r>
      <w:r>
        <w:rPr>
          <w:rFonts w:hint="eastAsia" w:ascii="宋体" w:hAnsi="宋体" w:eastAsia="宋体" w:cs="Times New Roman"/>
          <w:color w:val="auto"/>
          <w:sz w:val="18"/>
          <w:szCs w:val="18"/>
          <w:highlight w:val="none"/>
        </w:rPr>
        <w:fldChar w:fldCharType="begin"/>
      </w:r>
      <w:r>
        <w:rPr>
          <w:rFonts w:hint="eastAsia" w:ascii="宋体" w:hAnsi="宋体" w:eastAsia="宋体" w:cs="Times New Roman"/>
          <w:color w:val="auto"/>
          <w:sz w:val="18"/>
          <w:szCs w:val="18"/>
          <w:highlight w:val="none"/>
        </w:rPr>
        <w:instrText xml:space="preserve">EQ \* jc2 \* hps9 \o\ad(\s\up 8(</w:instrText>
      </w:r>
      <w:r>
        <w:rPr>
          <w:rFonts w:hint="eastAsia" w:ascii="宋体" w:hAnsi="宋体" w:eastAsia="宋体" w:cs="Times New Roman"/>
          <w:color w:val="auto"/>
          <w:sz w:val="9"/>
          <w:szCs w:val="9"/>
          <w:highlight w:val="none"/>
        </w:rPr>
        <w:instrText xml:space="preserve">——</w:instrText>
      </w:r>
      <w:r>
        <w:rPr>
          <w:rFonts w:hint="eastAsia" w:ascii="宋体" w:hAnsi="宋体" w:eastAsia="宋体" w:cs="Times New Roman"/>
          <w:color w:val="auto"/>
          <w:sz w:val="18"/>
          <w:szCs w:val="18"/>
          <w:highlight w:val="none"/>
        </w:rPr>
        <w:instrText xml:space="preserve">),入)</w:instrText>
      </w:r>
      <w:r>
        <w:rPr>
          <w:rFonts w:hint="eastAsia" w:ascii="宋体" w:hAnsi="宋体" w:eastAsia="宋体" w:cs="Times New Roman"/>
          <w:color w:val="auto"/>
          <w:sz w:val="18"/>
          <w:szCs w:val="18"/>
          <w:highlight w:val="none"/>
        </w:rPr>
        <w:fldChar w:fldCharType="end"/>
      </w:r>
      <w:r>
        <w:rPr>
          <w:rFonts w:hint="eastAsia" w:ascii="宋体" w:hAnsi="宋体" w:eastAsia="宋体" w:cs="Times New Roman"/>
          <w:color w:val="auto"/>
          <w:sz w:val="18"/>
          <w:szCs w:val="18"/>
          <w:highlight w:val="none"/>
        </w:rPr>
        <w:fldChar w:fldCharType="begin"/>
      </w:r>
      <w:r>
        <w:rPr>
          <w:rFonts w:hint="eastAsia" w:ascii="宋体" w:hAnsi="宋体" w:eastAsia="宋体" w:cs="Times New Roman"/>
          <w:color w:val="auto"/>
          <w:sz w:val="18"/>
          <w:szCs w:val="18"/>
          <w:highlight w:val="none"/>
        </w:rPr>
        <w:instrText xml:space="preserve">EQ \* jc2 \* hps9 \o\ad(\s\up 8(</w:instrText>
      </w:r>
      <w:r>
        <w:rPr>
          <w:rFonts w:hint="eastAsia" w:ascii="宋体" w:hAnsi="宋体" w:eastAsia="宋体" w:cs="Times New Roman"/>
          <w:color w:val="auto"/>
          <w:sz w:val="9"/>
          <w:szCs w:val="9"/>
          <w:highlight w:val="none"/>
        </w:rPr>
        <w:instrText xml:space="preserve">——</w:instrText>
      </w:r>
      <w:r>
        <w:rPr>
          <w:rFonts w:hint="eastAsia" w:ascii="宋体" w:hAnsi="宋体" w:eastAsia="宋体" w:cs="Times New Roman"/>
          <w:color w:val="auto"/>
          <w:sz w:val="18"/>
          <w:szCs w:val="18"/>
          <w:highlight w:val="none"/>
        </w:rPr>
        <w:instrText xml:space="preserve">),、)</w:instrText>
      </w:r>
      <w:r>
        <w:rPr>
          <w:rFonts w:hint="eastAsia" w:ascii="宋体" w:hAnsi="宋体" w:eastAsia="宋体" w:cs="Times New Roman"/>
          <w:color w:val="auto"/>
          <w:sz w:val="18"/>
          <w:szCs w:val="18"/>
          <w:highlight w:val="none"/>
        </w:rPr>
        <w:fldChar w:fldCharType="end"/>
      </w:r>
      <w:r>
        <w:rPr>
          <w:rFonts w:hint="eastAsia" w:ascii="宋体" w:hAnsi="宋体" w:eastAsia="宋体" w:cs="Times New Roman"/>
          <w:color w:val="auto"/>
          <w:sz w:val="18"/>
          <w:szCs w:val="18"/>
          <w:highlight w:val="none"/>
        </w:rPr>
        <w:fldChar w:fldCharType="begin"/>
      </w:r>
      <w:r>
        <w:rPr>
          <w:rFonts w:hint="eastAsia" w:ascii="宋体" w:hAnsi="宋体" w:eastAsia="宋体" w:cs="Times New Roman"/>
          <w:color w:val="auto"/>
          <w:sz w:val="18"/>
          <w:szCs w:val="18"/>
          <w:highlight w:val="none"/>
        </w:rPr>
        <w:instrText xml:space="preserve">EQ \* jc2 \* hps9 \o\ad(\s\up 8(</w:instrText>
      </w:r>
      <w:r>
        <w:rPr>
          <w:rFonts w:hint="eastAsia" w:ascii="宋体" w:hAnsi="宋体" w:eastAsia="宋体" w:cs="Times New Roman"/>
          <w:color w:val="auto"/>
          <w:sz w:val="9"/>
          <w:szCs w:val="9"/>
          <w:highlight w:val="none"/>
        </w:rPr>
        <w:instrText xml:space="preserve">——</w:instrText>
      </w:r>
      <w:r>
        <w:rPr>
          <w:rFonts w:hint="eastAsia" w:ascii="宋体" w:hAnsi="宋体" w:eastAsia="宋体" w:cs="Times New Roman"/>
          <w:color w:val="auto"/>
          <w:sz w:val="18"/>
          <w:szCs w:val="18"/>
          <w:highlight w:val="none"/>
        </w:rPr>
        <w:instrText xml:space="preserve">),资)</w:instrText>
      </w:r>
      <w:r>
        <w:rPr>
          <w:rFonts w:hint="eastAsia" w:ascii="宋体" w:hAnsi="宋体" w:eastAsia="宋体" w:cs="Times New Roman"/>
          <w:color w:val="auto"/>
          <w:sz w:val="18"/>
          <w:szCs w:val="18"/>
          <w:highlight w:val="none"/>
        </w:rPr>
        <w:fldChar w:fldCharType="end"/>
      </w:r>
      <w:r>
        <w:rPr>
          <w:rFonts w:hint="eastAsia" w:ascii="宋体" w:hAnsi="宋体" w:eastAsia="宋体" w:cs="Times New Roman"/>
          <w:color w:val="auto"/>
          <w:sz w:val="18"/>
          <w:szCs w:val="18"/>
          <w:highlight w:val="none"/>
        </w:rPr>
        <w:fldChar w:fldCharType="begin"/>
      </w:r>
      <w:r>
        <w:rPr>
          <w:rFonts w:hint="eastAsia" w:ascii="宋体" w:hAnsi="宋体" w:eastAsia="宋体" w:cs="Times New Roman"/>
          <w:color w:val="auto"/>
          <w:sz w:val="18"/>
          <w:szCs w:val="18"/>
          <w:highlight w:val="none"/>
        </w:rPr>
        <w:instrText xml:space="preserve">EQ \* jc2 \* hps9 \o\ad(\s\up 8(</w:instrText>
      </w:r>
      <w:r>
        <w:rPr>
          <w:rFonts w:hint="eastAsia" w:ascii="宋体" w:hAnsi="宋体" w:eastAsia="宋体" w:cs="Times New Roman"/>
          <w:color w:val="auto"/>
          <w:sz w:val="9"/>
          <w:szCs w:val="9"/>
          <w:highlight w:val="none"/>
        </w:rPr>
        <w:instrText xml:space="preserve">——</w:instrText>
      </w:r>
      <w:r>
        <w:rPr>
          <w:rFonts w:hint="eastAsia" w:ascii="宋体" w:hAnsi="宋体" w:eastAsia="宋体" w:cs="Times New Roman"/>
          <w:color w:val="auto"/>
          <w:sz w:val="18"/>
          <w:szCs w:val="18"/>
          <w:highlight w:val="none"/>
        </w:rPr>
        <w:instrText xml:space="preserve">),产)</w:instrText>
      </w:r>
      <w:r>
        <w:rPr>
          <w:rFonts w:hint="eastAsia" w:ascii="宋体" w:hAnsi="宋体" w:eastAsia="宋体" w:cs="Times New Roman"/>
          <w:color w:val="auto"/>
          <w:sz w:val="18"/>
          <w:szCs w:val="18"/>
          <w:highlight w:val="none"/>
        </w:rPr>
        <w:fldChar w:fldCharType="end"/>
      </w:r>
      <w:r>
        <w:rPr>
          <w:rFonts w:hint="eastAsia" w:ascii="宋体" w:hAnsi="宋体" w:eastAsia="宋体" w:cs="Times New Roman"/>
          <w:color w:val="auto"/>
          <w:sz w:val="18"/>
          <w:szCs w:val="18"/>
          <w:highlight w:val="none"/>
        </w:rPr>
        <w:fldChar w:fldCharType="begin"/>
      </w:r>
      <w:r>
        <w:rPr>
          <w:rFonts w:hint="eastAsia" w:ascii="宋体" w:hAnsi="宋体" w:eastAsia="宋体" w:cs="Times New Roman"/>
          <w:color w:val="auto"/>
          <w:sz w:val="18"/>
          <w:szCs w:val="18"/>
          <w:highlight w:val="none"/>
        </w:rPr>
        <w:instrText xml:space="preserve">EQ \* jc2 \* hps9 \o\ad(\s\up 8(</w:instrText>
      </w:r>
      <w:r>
        <w:rPr>
          <w:rFonts w:hint="eastAsia" w:ascii="宋体" w:hAnsi="宋体" w:eastAsia="宋体" w:cs="Times New Roman"/>
          <w:color w:val="auto"/>
          <w:sz w:val="9"/>
          <w:szCs w:val="9"/>
          <w:highlight w:val="none"/>
        </w:rPr>
        <w:instrText xml:space="preserve">——</w:instrText>
      </w:r>
      <w:r>
        <w:rPr>
          <w:rFonts w:hint="eastAsia" w:ascii="宋体" w:hAnsi="宋体" w:eastAsia="宋体" w:cs="Times New Roman"/>
          <w:color w:val="auto"/>
          <w:sz w:val="18"/>
          <w:szCs w:val="18"/>
          <w:highlight w:val="none"/>
        </w:rPr>
        <w:instrText xml:space="preserve">),总)</w:instrText>
      </w:r>
      <w:r>
        <w:rPr>
          <w:rFonts w:hint="eastAsia" w:ascii="宋体" w:hAnsi="宋体" w:eastAsia="宋体" w:cs="Times New Roman"/>
          <w:color w:val="auto"/>
          <w:sz w:val="18"/>
          <w:szCs w:val="18"/>
          <w:highlight w:val="none"/>
        </w:rPr>
        <w:fldChar w:fldCharType="end"/>
      </w:r>
      <w:r>
        <w:rPr>
          <w:rFonts w:hint="eastAsia" w:ascii="宋体" w:hAnsi="宋体" w:eastAsia="宋体" w:cs="Times New Roman"/>
          <w:color w:val="auto"/>
          <w:sz w:val="18"/>
          <w:szCs w:val="18"/>
          <w:highlight w:val="none"/>
        </w:rPr>
        <w:fldChar w:fldCharType="begin"/>
      </w:r>
      <w:r>
        <w:rPr>
          <w:rFonts w:hint="eastAsia" w:ascii="宋体" w:hAnsi="宋体" w:eastAsia="宋体" w:cs="Times New Roman"/>
          <w:color w:val="auto"/>
          <w:sz w:val="18"/>
          <w:szCs w:val="18"/>
          <w:highlight w:val="none"/>
        </w:rPr>
        <w:instrText xml:space="preserve">EQ \* jc2 \* hps9 \o\ad(\s\up 8(</w:instrText>
      </w:r>
      <w:r>
        <w:rPr>
          <w:rFonts w:hint="eastAsia" w:ascii="宋体" w:hAnsi="宋体" w:eastAsia="宋体" w:cs="Times New Roman"/>
          <w:color w:val="auto"/>
          <w:sz w:val="9"/>
          <w:szCs w:val="9"/>
          <w:highlight w:val="none"/>
        </w:rPr>
        <w:instrText xml:space="preserve">——</w:instrText>
      </w:r>
      <w:r>
        <w:rPr>
          <w:rFonts w:hint="eastAsia" w:ascii="宋体" w:hAnsi="宋体" w:eastAsia="宋体" w:cs="Times New Roman"/>
          <w:color w:val="auto"/>
          <w:sz w:val="18"/>
          <w:szCs w:val="18"/>
          <w:highlight w:val="none"/>
        </w:rPr>
        <w:instrText xml:space="preserve">),额)</w:instrText>
      </w:r>
      <w:r>
        <w:rPr>
          <w:rFonts w:hint="eastAsia" w:ascii="宋体" w:hAnsi="宋体" w:eastAsia="宋体" w:cs="Times New Roman"/>
          <w:color w:val="auto"/>
          <w:sz w:val="18"/>
          <w:szCs w:val="18"/>
          <w:highlight w:val="none"/>
        </w:rPr>
        <w:fldChar w:fldCharType="end"/>
      </w:r>
      <w:r>
        <w:rPr>
          <w:rFonts w:hint="eastAsia" w:ascii="宋体" w:hAnsi="宋体" w:eastAsia="宋体" w:cs="Times New Roman"/>
          <w:color w:val="auto"/>
          <w:sz w:val="18"/>
          <w:szCs w:val="18"/>
          <w:highlight w:val="none"/>
        </w:rPr>
        <w:fldChar w:fldCharType="begin"/>
      </w:r>
      <w:r>
        <w:rPr>
          <w:rFonts w:hint="eastAsia" w:ascii="宋体" w:hAnsi="宋体" w:eastAsia="宋体" w:cs="Times New Roman"/>
          <w:color w:val="auto"/>
          <w:sz w:val="18"/>
          <w:szCs w:val="18"/>
          <w:highlight w:val="none"/>
        </w:rPr>
        <w:instrText xml:space="preserve">EQ \* jc2 \* hps9 \o\ad(\s\up 8(</w:instrText>
      </w:r>
      <w:r>
        <w:rPr>
          <w:rFonts w:hint="eastAsia" w:ascii="宋体" w:hAnsi="宋体" w:eastAsia="宋体" w:cs="Times New Roman"/>
          <w:color w:val="auto"/>
          <w:sz w:val="9"/>
          <w:szCs w:val="9"/>
          <w:highlight w:val="none"/>
        </w:rPr>
        <w:instrText xml:space="preserve">——</w:instrText>
      </w:r>
      <w:r>
        <w:rPr>
          <w:rFonts w:hint="eastAsia" w:ascii="宋体" w:hAnsi="宋体" w:eastAsia="宋体" w:cs="Times New Roman"/>
          <w:color w:val="auto"/>
          <w:sz w:val="18"/>
          <w:szCs w:val="18"/>
          <w:highlight w:val="none"/>
        </w:rPr>
        <w:instrText xml:space="preserve">),填)</w:instrText>
      </w:r>
      <w:r>
        <w:rPr>
          <w:rFonts w:hint="eastAsia" w:ascii="宋体" w:hAnsi="宋体" w:eastAsia="宋体" w:cs="Times New Roman"/>
          <w:color w:val="auto"/>
          <w:sz w:val="18"/>
          <w:szCs w:val="18"/>
          <w:highlight w:val="none"/>
        </w:rPr>
        <w:fldChar w:fldCharType="end"/>
      </w:r>
      <w:r>
        <w:rPr>
          <w:rFonts w:hint="eastAsia" w:ascii="宋体" w:hAnsi="宋体" w:eastAsia="宋体" w:cs="Times New Roman"/>
          <w:color w:val="auto"/>
          <w:sz w:val="18"/>
          <w:szCs w:val="18"/>
          <w:highlight w:val="none"/>
        </w:rPr>
        <w:fldChar w:fldCharType="begin"/>
      </w:r>
      <w:r>
        <w:rPr>
          <w:rFonts w:hint="eastAsia" w:ascii="宋体" w:hAnsi="宋体" w:eastAsia="宋体" w:cs="Times New Roman"/>
          <w:color w:val="auto"/>
          <w:sz w:val="18"/>
          <w:szCs w:val="18"/>
          <w:highlight w:val="none"/>
        </w:rPr>
        <w:instrText xml:space="preserve">EQ \* jc2 \* hps9 \o\ad(\s\up 8(</w:instrText>
      </w:r>
      <w:r>
        <w:rPr>
          <w:rFonts w:hint="eastAsia" w:ascii="宋体" w:hAnsi="宋体" w:eastAsia="宋体" w:cs="Times New Roman"/>
          <w:color w:val="auto"/>
          <w:sz w:val="9"/>
          <w:szCs w:val="9"/>
          <w:highlight w:val="none"/>
        </w:rPr>
        <w:instrText xml:space="preserve">——</w:instrText>
      </w:r>
      <w:r>
        <w:rPr>
          <w:rFonts w:hint="eastAsia" w:ascii="宋体" w:hAnsi="宋体" w:eastAsia="宋体" w:cs="Times New Roman"/>
          <w:color w:val="auto"/>
          <w:sz w:val="18"/>
          <w:szCs w:val="18"/>
          <w:highlight w:val="none"/>
        </w:rPr>
        <w:instrText xml:space="preserve">),报)</w:instrText>
      </w:r>
      <w:r>
        <w:rPr>
          <w:rFonts w:hint="eastAsia" w:ascii="宋体" w:hAnsi="宋体" w:eastAsia="宋体" w:cs="Times New Roman"/>
          <w:color w:val="auto"/>
          <w:sz w:val="18"/>
          <w:szCs w:val="18"/>
          <w:highlight w:val="none"/>
        </w:rPr>
        <w:fldChar w:fldCharType="end"/>
      </w:r>
      <w:bookmarkEnd w:id="211"/>
      <w:r>
        <w:rPr>
          <w:rFonts w:hint="eastAsia" w:ascii="宋体" w:hAnsi="宋体" w:eastAsia="宋体" w:cs="Times New Roman"/>
          <w:color w:val="auto"/>
          <w:sz w:val="18"/>
          <w:szCs w:val="18"/>
          <w:highlight w:val="none"/>
        </w:rPr>
        <w:t>上一年度数据，无上一年度数据的新成立企业可不填报。</w:t>
      </w:r>
    </w:p>
    <w:p>
      <w:pPr>
        <w:rPr>
          <w:rFonts w:hint="eastAsia" w:ascii="宋体" w:hAnsi="宋体" w:eastAsia="宋体" w:cs="Times New Roman"/>
          <w:color w:val="auto"/>
          <w:sz w:val="18"/>
          <w:szCs w:val="18"/>
          <w:highlight w:val="none"/>
        </w:rPr>
      </w:pPr>
    </w:p>
    <w:p>
      <w:pPr>
        <w:pStyle w:val="2"/>
        <w:rPr>
          <w:rFonts w:hint="eastAsia"/>
          <w:color w:val="auto"/>
          <w:highlight w:val="none"/>
        </w:rPr>
      </w:pPr>
    </w:p>
    <w:tbl>
      <w:tblPr>
        <w:tblStyle w:val="49"/>
        <w:tblW w:w="9952" w:type="dxa"/>
        <w:tblInd w:w="150" w:type="dxa"/>
        <w:shd w:val="clear" w:color="auto" w:fill="FFFFFF"/>
        <w:tblLayout w:type="autofit"/>
        <w:tblCellMar>
          <w:top w:w="0" w:type="dxa"/>
          <w:left w:w="108" w:type="dxa"/>
          <w:bottom w:w="0" w:type="dxa"/>
          <w:right w:w="108" w:type="dxa"/>
        </w:tblCellMar>
      </w:tblPr>
      <w:tblGrid>
        <w:gridCol w:w="2127"/>
        <w:gridCol w:w="1413"/>
        <w:gridCol w:w="714"/>
        <w:gridCol w:w="1275"/>
        <w:gridCol w:w="1843"/>
        <w:gridCol w:w="1559"/>
        <w:gridCol w:w="1021"/>
      </w:tblGrid>
      <w:tr>
        <w:tblPrEx>
          <w:tblCellMar>
            <w:top w:w="0" w:type="dxa"/>
            <w:left w:w="108" w:type="dxa"/>
            <w:bottom w:w="0" w:type="dxa"/>
            <w:right w:w="108" w:type="dxa"/>
          </w:tblCellMar>
        </w:tblPrEx>
        <w:trPr>
          <w:trHeight w:val="330" w:hRule="atLeast"/>
        </w:trPr>
        <w:tc>
          <w:tcPr>
            <w:tcW w:w="9952" w:type="dxa"/>
            <w:gridSpan w:val="7"/>
            <w:tcBorders>
              <w:top w:val="nil"/>
              <w:left w:val="nil"/>
              <w:bottom w:val="single" w:color="auto" w:sz="6" w:space="0"/>
              <w:right w:val="nil"/>
            </w:tcBorders>
            <w:shd w:val="clear" w:color="auto" w:fill="FFFFFF"/>
            <w:tcMar>
              <w:top w:w="30" w:type="dxa"/>
              <w:left w:w="150" w:type="dxa"/>
              <w:bottom w:w="30" w:type="dxa"/>
              <w:right w:w="150" w:type="dxa"/>
            </w:tcMar>
            <w:vAlign w:val="center"/>
          </w:tcPr>
          <w:p>
            <w:pPr>
              <w:widowControl/>
              <w:jc w:val="center"/>
              <w:rPr>
                <w:rFonts w:ascii="Helvetica" w:hAnsi="Helvetica" w:eastAsia="宋体" w:cs="Helvetica"/>
                <w:b/>
                <w:bCs/>
                <w:color w:val="auto"/>
                <w:kern w:val="0"/>
                <w:szCs w:val="21"/>
                <w:highlight w:val="none"/>
              </w:rPr>
            </w:pPr>
            <w:bookmarkStart w:id="212" w:name="_Hlk154045354"/>
            <w:r>
              <w:rPr>
                <w:rFonts w:hint="eastAsia" w:ascii="Helvetica" w:hAnsi="Helvetica" w:eastAsia="宋体" w:cs="Helvetica"/>
                <w:b/>
                <w:bCs/>
                <w:color w:val="auto"/>
                <w:kern w:val="0"/>
                <w:szCs w:val="21"/>
                <w:highlight w:val="none"/>
              </w:rPr>
              <w:t>大中小微型企业划分标准</w:t>
            </w:r>
          </w:p>
        </w:tc>
      </w:tr>
      <w:tr>
        <w:tblPrEx>
          <w:shd w:val="clear" w:color="auto" w:fill="FFFFFF"/>
          <w:tblCellMar>
            <w:top w:w="0" w:type="dxa"/>
            <w:left w:w="108" w:type="dxa"/>
            <w:bottom w:w="0" w:type="dxa"/>
            <w:right w:w="108" w:type="dxa"/>
          </w:tblCellMar>
        </w:tblPrEx>
        <w:trPr>
          <w:trHeight w:val="330" w:hRule="atLeast"/>
        </w:trPr>
        <w:tc>
          <w:tcPr>
            <w:tcW w:w="2127"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hint="eastAsia" w:ascii="Helvetica" w:hAnsi="Helvetica" w:eastAsia="宋体" w:cs="Helvetica"/>
                <w:b/>
                <w:bCs/>
                <w:color w:val="auto"/>
                <w:kern w:val="0"/>
                <w:sz w:val="18"/>
                <w:szCs w:val="18"/>
                <w:highlight w:val="none"/>
              </w:rPr>
              <w:t>行业名称</w:t>
            </w:r>
          </w:p>
        </w:tc>
        <w:tc>
          <w:tcPr>
            <w:tcW w:w="1413"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hint="eastAsia" w:ascii="Helvetica" w:hAnsi="Helvetica" w:eastAsia="宋体" w:cs="Helvetica"/>
                <w:b/>
                <w:bCs/>
                <w:color w:val="auto"/>
                <w:kern w:val="0"/>
                <w:sz w:val="18"/>
                <w:szCs w:val="18"/>
                <w:highlight w:val="none"/>
              </w:rPr>
              <w:t>指标名称</w:t>
            </w:r>
          </w:p>
        </w:tc>
        <w:tc>
          <w:tcPr>
            <w:tcW w:w="714"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hint="eastAsia" w:ascii="Helvetica" w:hAnsi="Helvetica" w:eastAsia="宋体" w:cs="Helvetica"/>
                <w:b/>
                <w:bCs/>
                <w:color w:val="auto"/>
                <w:kern w:val="0"/>
                <w:sz w:val="18"/>
                <w:szCs w:val="18"/>
                <w:highlight w:val="none"/>
              </w:rPr>
              <w:t>计量</w:t>
            </w:r>
          </w:p>
          <w:p>
            <w:pPr>
              <w:widowControl/>
              <w:spacing w:line="340" w:lineRule="exact"/>
              <w:jc w:val="center"/>
              <w:rPr>
                <w:rFonts w:ascii="Helvetica" w:hAnsi="Helvetica" w:eastAsia="宋体" w:cs="Helvetica"/>
                <w:color w:val="auto"/>
                <w:kern w:val="0"/>
                <w:sz w:val="18"/>
                <w:szCs w:val="18"/>
                <w:highlight w:val="none"/>
              </w:rPr>
            </w:pPr>
            <w:r>
              <w:rPr>
                <w:rFonts w:hint="eastAsia" w:ascii="Helvetica" w:hAnsi="Helvetica" w:eastAsia="宋体" w:cs="Helvetica"/>
                <w:b/>
                <w:bCs/>
                <w:color w:val="auto"/>
                <w:kern w:val="0"/>
                <w:sz w:val="18"/>
                <w:szCs w:val="18"/>
                <w:highlight w:val="none"/>
              </w:rPr>
              <w:t>单位</w:t>
            </w:r>
          </w:p>
        </w:tc>
        <w:tc>
          <w:tcPr>
            <w:tcW w:w="1275"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hint="eastAsia" w:ascii="Helvetica" w:hAnsi="Helvetica" w:eastAsia="宋体" w:cs="Helvetica"/>
                <w:b/>
                <w:bCs/>
                <w:color w:val="auto"/>
                <w:kern w:val="0"/>
                <w:sz w:val="18"/>
                <w:szCs w:val="18"/>
                <w:highlight w:val="none"/>
              </w:rPr>
              <w:t>大型</w:t>
            </w:r>
          </w:p>
        </w:tc>
        <w:tc>
          <w:tcPr>
            <w:tcW w:w="1843"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hint="eastAsia" w:ascii="Helvetica" w:hAnsi="Helvetica" w:eastAsia="宋体" w:cs="Helvetica"/>
                <w:b/>
                <w:bCs/>
                <w:color w:val="auto"/>
                <w:kern w:val="0"/>
                <w:sz w:val="18"/>
                <w:szCs w:val="18"/>
                <w:highlight w:val="none"/>
              </w:rPr>
              <w:t>中型</w:t>
            </w:r>
          </w:p>
        </w:tc>
        <w:tc>
          <w:tcPr>
            <w:tcW w:w="1559"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hint="eastAsia" w:ascii="Helvetica" w:hAnsi="Helvetica" w:eastAsia="宋体" w:cs="Helvetica"/>
                <w:b/>
                <w:bCs/>
                <w:color w:val="auto"/>
                <w:kern w:val="0"/>
                <w:sz w:val="18"/>
                <w:szCs w:val="18"/>
                <w:highlight w:val="none"/>
              </w:rPr>
              <w:t>小型</w:t>
            </w:r>
          </w:p>
        </w:tc>
        <w:tc>
          <w:tcPr>
            <w:tcW w:w="1004"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hint="eastAsia" w:ascii="Helvetica" w:hAnsi="Helvetica" w:eastAsia="宋体" w:cs="Helvetica"/>
                <w:b/>
                <w:bCs/>
                <w:color w:val="auto"/>
                <w:kern w:val="0"/>
                <w:sz w:val="18"/>
                <w:szCs w:val="18"/>
                <w:highlight w:val="none"/>
              </w:rPr>
              <w:t>微型</w:t>
            </w:r>
          </w:p>
        </w:tc>
      </w:tr>
      <w:tr>
        <w:tblPrEx>
          <w:shd w:val="clear" w:color="auto" w:fill="FFFFFF"/>
          <w:tblCellMar>
            <w:top w:w="0" w:type="dxa"/>
            <w:left w:w="108" w:type="dxa"/>
            <w:bottom w:w="0" w:type="dxa"/>
            <w:right w:w="108" w:type="dxa"/>
          </w:tblCellMar>
        </w:tblPrEx>
        <w:trPr>
          <w:trHeight w:val="330" w:hRule="atLeast"/>
        </w:trPr>
        <w:tc>
          <w:tcPr>
            <w:tcW w:w="2127"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hint="eastAsia" w:ascii="Helvetica" w:hAnsi="Helvetica" w:eastAsia="宋体" w:cs="Helvetica"/>
                <w:color w:val="auto"/>
                <w:kern w:val="0"/>
                <w:sz w:val="18"/>
                <w:szCs w:val="18"/>
                <w:highlight w:val="none"/>
              </w:rPr>
              <w:t>农、林、牧、渔业</w:t>
            </w:r>
          </w:p>
        </w:tc>
        <w:tc>
          <w:tcPr>
            <w:tcW w:w="1413"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hint="eastAsia" w:ascii="Helvetica" w:hAnsi="Helvetica" w:eastAsia="宋体" w:cs="Helvetica"/>
                <w:color w:val="auto"/>
                <w:kern w:val="0"/>
                <w:sz w:val="18"/>
                <w:szCs w:val="18"/>
                <w:highlight w:val="none"/>
              </w:rPr>
              <w:t>营业收入</w:t>
            </w:r>
            <w:r>
              <w:rPr>
                <w:rFonts w:ascii="Helvetica" w:hAnsi="Helvetica" w:eastAsia="宋体" w:cs="Helvetica"/>
                <w:color w:val="auto"/>
                <w:kern w:val="0"/>
                <w:sz w:val="18"/>
                <w:szCs w:val="18"/>
                <w:highlight w:val="none"/>
              </w:rPr>
              <w:t>(Y)</w:t>
            </w:r>
          </w:p>
        </w:tc>
        <w:tc>
          <w:tcPr>
            <w:tcW w:w="714"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hint="eastAsia" w:ascii="Helvetica" w:hAnsi="Helvetica" w:eastAsia="宋体" w:cs="Helvetica"/>
                <w:color w:val="auto"/>
                <w:kern w:val="0"/>
                <w:sz w:val="18"/>
                <w:szCs w:val="18"/>
                <w:highlight w:val="none"/>
              </w:rPr>
              <w:t>万元</w:t>
            </w:r>
          </w:p>
        </w:tc>
        <w:tc>
          <w:tcPr>
            <w:tcW w:w="1275"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Y≥20000</w:t>
            </w:r>
          </w:p>
        </w:tc>
        <w:tc>
          <w:tcPr>
            <w:tcW w:w="1843"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500≤Y</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20000</w:t>
            </w:r>
          </w:p>
        </w:tc>
        <w:tc>
          <w:tcPr>
            <w:tcW w:w="1559"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50≤Y</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500</w:t>
            </w:r>
          </w:p>
        </w:tc>
        <w:tc>
          <w:tcPr>
            <w:tcW w:w="1004"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Y</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50</w:t>
            </w:r>
          </w:p>
        </w:tc>
      </w:tr>
      <w:tr>
        <w:tblPrEx>
          <w:shd w:val="clear" w:color="auto" w:fill="FFFFFF"/>
          <w:tblCellMar>
            <w:top w:w="0" w:type="dxa"/>
            <w:left w:w="108" w:type="dxa"/>
            <w:bottom w:w="0" w:type="dxa"/>
            <w:right w:w="108" w:type="dxa"/>
          </w:tblCellMar>
        </w:tblPrEx>
        <w:trPr>
          <w:trHeight w:val="330" w:hRule="atLeast"/>
        </w:trPr>
        <w:tc>
          <w:tcPr>
            <w:tcW w:w="2127" w:type="dxa"/>
            <w:vMerge w:val="restart"/>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hint="eastAsia" w:ascii="Helvetica" w:hAnsi="Helvetica" w:eastAsia="宋体" w:cs="Helvetica"/>
                <w:color w:val="auto"/>
                <w:kern w:val="0"/>
                <w:sz w:val="18"/>
                <w:szCs w:val="18"/>
                <w:highlight w:val="none"/>
              </w:rPr>
              <w:t>工业</w:t>
            </w:r>
            <w:r>
              <w:rPr>
                <w:rFonts w:ascii="Helvetica" w:hAnsi="Helvetica" w:eastAsia="宋体" w:cs="Helvetica"/>
                <w:color w:val="auto"/>
                <w:kern w:val="0"/>
                <w:sz w:val="18"/>
                <w:szCs w:val="18"/>
                <w:highlight w:val="none"/>
              </w:rPr>
              <w:t xml:space="preserve"> *</w:t>
            </w:r>
          </w:p>
        </w:tc>
        <w:tc>
          <w:tcPr>
            <w:tcW w:w="1413"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hint="eastAsia" w:ascii="Helvetica" w:hAnsi="Helvetica" w:eastAsia="宋体" w:cs="Helvetica"/>
                <w:color w:val="auto"/>
                <w:kern w:val="0"/>
                <w:sz w:val="18"/>
                <w:szCs w:val="18"/>
                <w:highlight w:val="none"/>
              </w:rPr>
              <w:t>从业人员</w:t>
            </w:r>
            <w:r>
              <w:rPr>
                <w:rFonts w:ascii="Helvetica" w:hAnsi="Helvetica" w:eastAsia="宋体" w:cs="Helvetica"/>
                <w:color w:val="auto"/>
                <w:kern w:val="0"/>
                <w:sz w:val="18"/>
                <w:szCs w:val="18"/>
                <w:highlight w:val="none"/>
              </w:rPr>
              <w:t>(X)</w:t>
            </w:r>
          </w:p>
        </w:tc>
        <w:tc>
          <w:tcPr>
            <w:tcW w:w="714"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hint="eastAsia" w:ascii="Helvetica" w:hAnsi="Helvetica" w:eastAsia="宋体" w:cs="Helvetica"/>
                <w:color w:val="auto"/>
                <w:kern w:val="0"/>
                <w:sz w:val="18"/>
                <w:szCs w:val="18"/>
                <w:highlight w:val="none"/>
              </w:rPr>
              <w:t>人</w:t>
            </w:r>
          </w:p>
        </w:tc>
        <w:tc>
          <w:tcPr>
            <w:tcW w:w="1275"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X≥1000</w:t>
            </w:r>
          </w:p>
        </w:tc>
        <w:tc>
          <w:tcPr>
            <w:tcW w:w="1843"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300≤X</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1000</w:t>
            </w:r>
          </w:p>
        </w:tc>
        <w:tc>
          <w:tcPr>
            <w:tcW w:w="1559"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20≤X</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300</w:t>
            </w:r>
          </w:p>
        </w:tc>
        <w:tc>
          <w:tcPr>
            <w:tcW w:w="1004"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X</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20</w:t>
            </w:r>
          </w:p>
        </w:tc>
      </w:tr>
      <w:tr>
        <w:tblPrEx>
          <w:shd w:val="clear" w:color="auto" w:fill="FFFFFF"/>
          <w:tblCellMar>
            <w:top w:w="0" w:type="dxa"/>
            <w:left w:w="108" w:type="dxa"/>
            <w:bottom w:w="0" w:type="dxa"/>
            <w:right w:w="108" w:type="dxa"/>
          </w:tblCellMar>
        </w:tblPrEx>
        <w:trPr>
          <w:trHeight w:val="330" w:hRule="atLeast"/>
        </w:trPr>
        <w:tc>
          <w:tcPr>
            <w:tcW w:w="0" w:type="auto"/>
            <w:vMerge w:val="continue"/>
            <w:tcBorders>
              <w:top w:val="single" w:color="auto" w:sz="6" w:space="0"/>
              <w:left w:val="single" w:color="auto" w:sz="6" w:space="0"/>
              <w:bottom w:val="single" w:color="auto" w:sz="6" w:space="0"/>
              <w:right w:val="single" w:color="auto" w:sz="6" w:space="0"/>
            </w:tcBorders>
            <w:shd w:val="clear" w:color="auto" w:fill="FFFFFF"/>
            <w:vAlign w:val="center"/>
          </w:tcPr>
          <w:p>
            <w:pPr>
              <w:widowControl/>
              <w:jc w:val="left"/>
              <w:rPr>
                <w:rFonts w:ascii="Helvetica" w:hAnsi="Helvetica" w:eastAsia="宋体" w:cs="Helvetica"/>
                <w:color w:val="auto"/>
                <w:kern w:val="0"/>
                <w:sz w:val="18"/>
                <w:szCs w:val="18"/>
                <w:highlight w:val="none"/>
              </w:rPr>
            </w:pPr>
          </w:p>
        </w:tc>
        <w:tc>
          <w:tcPr>
            <w:tcW w:w="1413"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hint="eastAsia" w:ascii="Helvetica" w:hAnsi="Helvetica" w:eastAsia="宋体" w:cs="Helvetica"/>
                <w:color w:val="auto"/>
                <w:kern w:val="0"/>
                <w:sz w:val="18"/>
                <w:szCs w:val="18"/>
                <w:highlight w:val="none"/>
              </w:rPr>
              <w:t>营业收入</w:t>
            </w:r>
            <w:r>
              <w:rPr>
                <w:rFonts w:ascii="Helvetica" w:hAnsi="Helvetica" w:eastAsia="宋体" w:cs="Helvetica"/>
                <w:color w:val="auto"/>
                <w:kern w:val="0"/>
                <w:sz w:val="18"/>
                <w:szCs w:val="18"/>
                <w:highlight w:val="none"/>
              </w:rPr>
              <w:t>(Y)</w:t>
            </w:r>
          </w:p>
        </w:tc>
        <w:tc>
          <w:tcPr>
            <w:tcW w:w="714"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hint="eastAsia" w:ascii="Helvetica" w:hAnsi="Helvetica" w:eastAsia="宋体" w:cs="Helvetica"/>
                <w:color w:val="auto"/>
                <w:kern w:val="0"/>
                <w:sz w:val="18"/>
                <w:szCs w:val="18"/>
                <w:highlight w:val="none"/>
              </w:rPr>
              <w:t>万元</w:t>
            </w:r>
          </w:p>
        </w:tc>
        <w:tc>
          <w:tcPr>
            <w:tcW w:w="1275"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Y≥40000</w:t>
            </w:r>
          </w:p>
        </w:tc>
        <w:tc>
          <w:tcPr>
            <w:tcW w:w="1843"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2000≤Y</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40000</w:t>
            </w:r>
          </w:p>
        </w:tc>
        <w:tc>
          <w:tcPr>
            <w:tcW w:w="1559"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300≤Y</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2000</w:t>
            </w:r>
          </w:p>
        </w:tc>
        <w:tc>
          <w:tcPr>
            <w:tcW w:w="1004"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Y</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300</w:t>
            </w:r>
          </w:p>
        </w:tc>
      </w:tr>
      <w:tr>
        <w:tblPrEx>
          <w:shd w:val="clear" w:color="auto" w:fill="FFFFFF"/>
          <w:tblCellMar>
            <w:top w:w="0" w:type="dxa"/>
            <w:left w:w="108" w:type="dxa"/>
            <w:bottom w:w="0" w:type="dxa"/>
            <w:right w:w="108" w:type="dxa"/>
          </w:tblCellMar>
        </w:tblPrEx>
        <w:trPr>
          <w:trHeight w:val="330" w:hRule="atLeast"/>
        </w:trPr>
        <w:tc>
          <w:tcPr>
            <w:tcW w:w="2127" w:type="dxa"/>
            <w:vMerge w:val="restart"/>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hint="eastAsia" w:ascii="Helvetica" w:hAnsi="Helvetica" w:eastAsia="宋体" w:cs="Helvetica"/>
                <w:color w:val="auto"/>
                <w:kern w:val="0"/>
                <w:sz w:val="18"/>
                <w:szCs w:val="18"/>
                <w:highlight w:val="none"/>
              </w:rPr>
              <w:t>建筑业</w:t>
            </w:r>
          </w:p>
        </w:tc>
        <w:tc>
          <w:tcPr>
            <w:tcW w:w="1413"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hint="eastAsia" w:ascii="Helvetica" w:hAnsi="Helvetica" w:eastAsia="宋体" w:cs="Helvetica"/>
                <w:color w:val="auto"/>
                <w:kern w:val="0"/>
                <w:sz w:val="18"/>
                <w:szCs w:val="18"/>
                <w:highlight w:val="none"/>
              </w:rPr>
              <w:t>营业收入</w:t>
            </w:r>
            <w:r>
              <w:rPr>
                <w:rFonts w:ascii="Helvetica" w:hAnsi="Helvetica" w:eastAsia="宋体" w:cs="Helvetica"/>
                <w:color w:val="auto"/>
                <w:kern w:val="0"/>
                <w:sz w:val="18"/>
                <w:szCs w:val="18"/>
                <w:highlight w:val="none"/>
              </w:rPr>
              <w:t>(Y)</w:t>
            </w:r>
          </w:p>
        </w:tc>
        <w:tc>
          <w:tcPr>
            <w:tcW w:w="714"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hint="eastAsia" w:ascii="Helvetica" w:hAnsi="Helvetica" w:eastAsia="宋体" w:cs="Helvetica"/>
                <w:color w:val="auto"/>
                <w:kern w:val="0"/>
                <w:sz w:val="18"/>
                <w:szCs w:val="18"/>
                <w:highlight w:val="none"/>
              </w:rPr>
              <w:t>万元</w:t>
            </w:r>
          </w:p>
        </w:tc>
        <w:tc>
          <w:tcPr>
            <w:tcW w:w="1275"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Y≥80000</w:t>
            </w:r>
          </w:p>
        </w:tc>
        <w:tc>
          <w:tcPr>
            <w:tcW w:w="1843"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6000≤Y</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80000</w:t>
            </w:r>
          </w:p>
        </w:tc>
        <w:tc>
          <w:tcPr>
            <w:tcW w:w="1559"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300≤Y</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6000</w:t>
            </w:r>
          </w:p>
        </w:tc>
        <w:tc>
          <w:tcPr>
            <w:tcW w:w="1004"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Y</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300</w:t>
            </w:r>
          </w:p>
        </w:tc>
      </w:tr>
      <w:tr>
        <w:tblPrEx>
          <w:shd w:val="clear" w:color="auto" w:fill="FFFFFF"/>
          <w:tblCellMar>
            <w:top w:w="0" w:type="dxa"/>
            <w:left w:w="108" w:type="dxa"/>
            <w:bottom w:w="0" w:type="dxa"/>
            <w:right w:w="108" w:type="dxa"/>
          </w:tblCellMar>
        </w:tblPrEx>
        <w:trPr>
          <w:trHeight w:val="330" w:hRule="atLeast"/>
        </w:trPr>
        <w:tc>
          <w:tcPr>
            <w:tcW w:w="0" w:type="auto"/>
            <w:vMerge w:val="continue"/>
            <w:tcBorders>
              <w:top w:val="single" w:color="auto" w:sz="6" w:space="0"/>
              <w:left w:val="single" w:color="auto" w:sz="6" w:space="0"/>
              <w:bottom w:val="single" w:color="auto" w:sz="6" w:space="0"/>
              <w:right w:val="single" w:color="auto" w:sz="6" w:space="0"/>
            </w:tcBorders>
            <w:shd w:val="clear" w:color="auto" w:fill="FFFFFF"/>
            <w:vAlign w:val="center"/>
          </w:tcPr>
          <w:p>
            <w:pPr>
              <w:widowControl/>
              <w:jc w:val="left"/>
              <w:rPr>
                <w:rFonts w:ascii="Helvetica" w:hAnsi="Helvetica" w:eastAsia="宋体" w:cs="Helvetica"/>
                <w:color w:val="auto"/>
                <w:kern w:val="0"/>
                <w:sz w:val="18"/>
                <w:szCs w:val="18"/>
                <w:highlight w:val="none"/>
              </w:rPr>
            </w:pPr>
          </w:p>
        </w:tc>
        <w:tc>
          <w:tcPr>
            <w:tcW w:w="1413"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hint="eastAsia" w:ascii="Helvetica" w:hAnsi="Helvetica" w:eastAsia="宋体" w:cs="Helvetica"/>
                <w:color w:val="auto"/>
                <w:kern w:val="0"/>
                <w:sz w:val="18"/>
                <w:szCs w:val="18"/>
                <w:highlight w:val="none"/>
              </w:rPr>
              <w:t>资产总额</w:t>
            </w:r>
            <w:r>
              <w:rPr>
                <w:rFonts w:ascii="Helvetica" w:hAnsi="Helvetica" w:eastAsia="宋体" w:cs="Helvetica"/>
                <w:color w:val="auto"/>
                <w:kern w:val="0"/>
                <w:sz w:val="18"/>
                <w:szCs w:val="18"/>
                <w:highlight w:val="none"/>
              </w:rPr>
              <w:t>(Z)</w:t>
            </w:r>
          </w:p>
        </w:tc>
        <w:tc>
          <w:tcPr>
            <w:tcW w:w="714"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hint="eastAsia" w:ascii="Helvetica" w:hAnsi="Helvetica" w:eastAsia="宋体" w:cs="Helvetica"/>
                <w:color w:val="auto"/>
                <w:kern w:val="0"/>
                <w:sz w:val="18"/>
                <w:szCs w:val="18"/>
                <w:highlight w:val="none"/>
              </w:rPr>
              <w:t>万元</w:t>
            </w:r>
          </w:p>
        </w:tc>
        <w:tc>
          <w:tcPr>
            <w:tcW w:w="1275"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Z≥80000</w:t>
            </w:r>
          </w:p>
        </w:tc>
        <w:tc>
          <w:tcPr>
            <w:tcW w:w="1843"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5000≤Z</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80000</w:t>
            </w:r>
          </w:p>
        </w:tc>
        <w:tc>
          <w:tcPr>
            <w:tcW w:w="1559"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300≤Z</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5000</w:t>
            </w:r>
          </w:p>
        </w:tc>
        <w:tc>
          <w:tcPr>
            <w:tcW w:w="1004"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Z</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300</w:t>
            </w:r>
          </w:p>
        </w:tc>
      </w:tr>
      <w:tr>
        <w:tblPrEx>
          <w:shd w:val="clear" w:color="auto" w:fill="FFFFFF"/>
          <w:tblCellMar>
            <w:top w:w="0" w:type="dxa"/>
            <w:left w:w="108" w:type="dxa"/>
            <w:bottom w:w="0" w:type="dxa"/>
            <w:right w:w="108" w:type="dxa"/>
          </w:tblCellMar>
        </w:tblPrEx>
        <w:trPr>
          <w:trHeight w:val="330" w:hRule="atLeast"/>
        </w:trPr>
        <w:tc>
          <w:tcPr>
            <w:tcW w:w="2127" w:type="dxa"/>
            <w:vMerge w:val="restart"/>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hint="eastAsia" w:ascii="Helvetica" w:hAnsi="Helvetica" w:eastAsia="宋体" w:cs="Helvetica"/>
                <w:color w:val="auto"/>
                <w:kern w:val="0"/>
                <w:sz w:val="18"/>
                <w:szCs w:val="18"/>
                <w:highlight w:val="none"/>
              </w:rPr>
              <w:t>批发业</w:t>
            </w:r>
          </w:p>
        </w:tc>
        <w:tc>
          <w:tcPr>
            <w:tcW w:w="1413"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hint="eastAsia" w:ascii="Helvetica" w:hAnsi="Helvetica" w:eastAsia="宋体" w:cs="Helvetica"/>
                <w:color w:val="auto"/>
                <w:kern w:val="0"/>
                <w:sz w:val="18"/>
                <w:szCs w:val="18"/>
                <w:highlight w:val="none"/>
              </w:rPr>
              <w:t>从业人员</w:t>
            </w:r>
            <w:r>
              <w:rPr>
                <w:rFonts w:ascii="Helvetica" w:hAnsi="Helvetica" w:eastAsia="宋体" w:cs="Helvetica"/>
                <w:color w:val="auto"/>
                <w:kern w:val="0"/>
                <w:sz w:val="18"/>
                <w:szCs w:val="18"/>
                <w:highlight w:val="none"/>
              </w:rPr>
              <w:t>(X)</w:t>
            </w:r>
          </w:p>
        </w:tc>
        <w:tc>
          <w:tcPr>
            <w:tcW w:w="714"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hint="eastAsia" w:ascii="Helvetica" w:hAnsi="Helvetica" w:eastAsia="宋体" w:cs="Helvetica"/>
                <w:color w:val="auto"/>
                <w:kern w:val="0"/>
                <w:sz w:val="18"/>
                <w:szCs w:val="18"/>
                <w:highlight w:val="none"/>
              </w:rPr>
              <w:t>人</w:t>
            </w:r>
          </w:p>
        </w:tc>
        <w:tc>
          <w:tcPr>
            <w:tcW w:w="1275"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X≥200</w:t>
            </w:r>
          </w:p>
        </w:tc>
        <w:tc>
          <w:tcPr>
            <w:tcW w:w="1843"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20≤X</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200</w:t>
            </w:r>
          </w:p>
        </w:tc>
        <w:tc>
          <w:tcPr>
            <w:tcW w:w="1559"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5≤X</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20</w:t>
            </w:r>
          </w:p>
        </w:tc>
        <w:tc>
          <w:tcPr>
            <w:tcW w:w="1004"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X</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5</w:t>
            </w:r>
          </w:p>
        </w:tc>
      </w:tr>
      <w:tr>
        <w:tblPrEx>
          <w:shd w:val="clear" w:color="auto" w:fill="FFFFFF"/>
          <w:tblCellMar>
            <w:top w:w="0" w:type="dxa"/>
            <w:left w:w="108" w:type="dxa"/>
            <w:bottom w:w="0" w:type="dxa"/>
            <w:right w:w="108" w:type="dxa"/>
          </w:tblCellMar>
        </w:tblPrEx>
        <w:trPr>
          <w:trHeight w:val="330" w:hRule="atLeast"/>
        </w:trPr>
        <w:tc>
          <w:tcPr>
            <w:tcW w:w="0" w:type="auto"/>
            <w:vMerge w:val="continue"/>
            <w:tcBorders>
              <w:top w:val="single" w:color="auto" w:sz="6" w:space="0"/>
              <w:left w:val="single" w:color="auto" w:sz="6" w:space="0"/>
              <w:bottom w:val="single" w:color="auto" w:sz="6" w:space="0"/>
              <w:right w:val="single" w:color="auto" w:sz="6" w:space="0"/>
            </w:tcBorders>
            <w:shd w:val="clear" w:color="auto" w:fill="FFFFFF"/>
            <w:vAlign w:val="center"/>
          </w:tcPr>
          <w:p>
            <w:pPr>
              <w:widowControl/>
              <w:jc w:val="left"/>
              <w:rPr>
                <w:rFonts w:ascii="Helvetica" w:hAnsi="Helvetica" w:eastAsia="宋体" w:cs="Helvetica"/>
                <w:color w:val="auto"/>
                <w:kern w:val="0"/>
                <w:sz w:val="18"/>
                <w:szCs w:val="18"/>
                <w:highlight w:val="none"/>
              </w:rPr>
            </w:pPr>
          </w:p>
        </w:tc>
        <w:tc>
          <w:tcPr>
            <w:tcW w:w="1413"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hint="eastAsia" w:ascii="Helvetica" w:hAnsi="Helvetica" w:eastAsia="宋体" w:cs="Helvetica"/>
                <w:color w:val="auto"/>
                <w:kern w:val="0"/>
                <w:sz w:val="18"/>
                <w:szCs w:val="18"/>
                <w:highlight w:val="none"/>
              </w:rPr>
              <w:t>营业收入</w:t>
            </w:r>
            <w:r>
              <w:rPr>
                <w:rFonts w:ascii="Helvetica" w:hAnsi="Helvetica" w:eastAsia="宋体" w:cs="Helvetica"/>
                <w:color w:val="auto"/>
                <w:kern w:val="0"/>
                <w:sz w:val="18"/>
                <w:szCs w:val="18"/>
                <w:highlight w:val="none"/>
              </w:rPr>
              <w:t>(Y)</w:t>
            </w:r>
          </w:p>
        </w:tc>
        <w:tc>
          <w:tcPr>
            <w:tcW w:w="714"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hint="eastAsia" w:ascii="Helvetica" w:hAnsi="Helvetica" w:eastAsia="宋体" w:cs="Helvetica"/>
                <w:color w:val="auto"/>
                <w:kern w:val="0"/>
                <w:sz w:val="18"/>
                <w:szCs w:val="18"/>
                <w:highlight w:val="none"/>
              </w:rPr>
              <w:t>万元</w:t>
            </w:r>
          </w:p>
        </w:tc>
        <w:tc>
          <w:tcPr>
            <w:tcW w:w="1275"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Y≥40000</w:t>
            </w:r>
          </w:p>
        </w:tc>
        <w:tc>
          <w:tcPr>
            <w:tcW w:w="1843"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5000≤Y</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40000</w:t>
            </w:r>
          </w:p>
        </w:tc>
        <w:tc>
          <w:tcPr>
            <w:tcW w:w="1559"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1000≤Y</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5000</w:t>
            </w:r>
          </w:p>
        </w:tc>
        <w:tc>
          <w:tcPr>
            <w:tcW w:w="1004"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Y</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1000</w:t>
            </w:r>
          </w:p>
        </w:tc>
      </w:tr>
      <w:tr>
        <w:tblPrEx>
          <w:shd w:val="clear" w:color="auto" w:fill="FFFFFF"/>
          <w:tblCellMar>
            <w:top w:w="0" w:type="dxa"/>
            <w:left w:w="108" w:type="dxa"/>
            <w:bottom w:w="0" w:type="dxa"/>
            <w:right w:w="108" w:type="dxa"/>
          </w:tblCellMar>
        </w:tblPrEx>
        <w:trPr>
          <w:trHeight w:val="330" w:hRule="atLeast"/>
        </w:trPr>
        <w:tc>
          <w:tcPr>
            <w:tcW w:w="2127" w:type="dxa"/>
            <w:vMerge w:val="restart"/>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hint="eastAsia" w:ascii="Helvetica" w:hAnsi="Helvetica" w:eastAsia="宋体" w:cs="Helvetica"/>
                <w:color w:val="auto"/>
                <w:kern w:val="0"/>
                <w:sz w:val="18"/>
                <w:szCs w:val="18"/>
                <w:highlight w:val="none"/>
              </w:rPr>
              <w:t>零售业</w:t>
            </w:r>
          </w:p>
        </w:tc>
        <w:tc>
          <w:tcPr>
            <w:tcW w:w="1413"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hint="eastAsia" w:ascii="Helvetica" w:hAnsi="Helvetica" w:eastAsia="宋体" w:cs="Helvetica"/>
                <w:color w:val="auto"/>
                <w:kern w:val="0"/>
                <w:sz w:val="18"/>
                <w:szCs w:val="18"/>
                <w:highlight w:val="none"/>
              </w:rPr>
              <w:t>从业人员</w:t>
            </w:r>
            <w:r>
              <w:rPr>
                <w:rFonts w:ascii="Helvetica" w:hAnsi="Helvetica" w:eastAsia="宋体" w:cs="Helvetica"/>
                <w:color w:val="auto"/>
                <w:kern w:val="0"/>
                <w:sz w:val="18"/>
                <w:szCs w:val="18"/>
                <w:highlight w:val="none"/>
              </w:rPr>
              <w:t>(X)</w:t>
            </w:r>
          </w:p>
        </w:tc>
        <w:tc>
          <w:tcPr>
            <w:tcW w:w="714"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hint="eastAsia" w:ascii="Helvetica" w:hAnsi="Helvetica" w:eastAsia="宋体" w:cs="Helvetica"/>
                <w:color w:val="auto"/>
                <w:kern w:val="0"/>
                <w:sz w:val="18"/>
                <w:szCs w:val="18"/>
                <w:highlight w:val="none"/>
              </w:rPr>
              <w:t>人</w:t>
            </w:r>
          </w:p>
        </w:tc>
        <w:tc>
          <w:tcPr>
            <w:tcW w:w="1275"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X≥300</w:t>
            </w:r>
          </w:p>
        </w:tc>
        <w:tc>
          <w:tcPr>
            <w:tcW w:w="1843"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50≤X</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300</w:t>
            </w:r>
          </w:p>
        </w:tc>
        <w:tc>
          <w:tcPr>
            <w:tcW w:w="1559"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10≤X</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50</w:t>
            </w:r>
          </w:p>
        </w:tc>
        <w:tc>
          <w:tcPr>
            <w:tcW w:w="1004"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X</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10</w:t>
            </w:r>
          </w:p>
        </w:tc>
      </w:tr>
      <w:tr>
        <w:tblPrEx>
          <w:shd w:val="clear" w:color="auto" w:fill="FFFFFF"/>
          <w:tblCellMar>
            <w:top w:w="0" w:type="dxa"/>
            <w:left w:w="108" w:type="dxa"/>
            <w:bottom w:w="0" w:type="dxa"/>
            <w:right w:w="108" w:type="dxa"/>
          </w:tblCellMar>
        </w:tblPrEx>
        <w:trPr>
          <w:trHeight w:val="330" w:hRule="atLeast"/>
        </w:trPr>
        <w:tc>
          <w:tcPr>
            <w:tcW w:w="0" w:type="auto"/>
            <w:vMerge w:val="continue"/>
            <w:tcBorders>
              <w:top w:val="single" w:color="auto" w:sz="6" w:space="0"/>
              <w:left w:val="single" w:color="auto" w:sz="6" w:space="0"/>
              <w:bottom w:val="single" w:color="auto" w:sz="6" w:space="0"/>
              <w:right w:val="single" w:color="auto" w:sz="6" w:space="0"/>
            </w:tcBorders>
            <w:shd w:val="clear" w:color="auto" w:fill="FFFFFF"/>
            <w:vAlign w:val="center"/>
          </w:tcPr>
          <w:p>
            <w:pPr>
              <w:widowControl/>
              <w:jc w:val="left"/>
              <w:rPr>
                <w:rFonts w:ascii="Helvetica" w:hAnsi="Helvetica" w:eastAsia="宋体" w:cs="Helvetica"/>
                <w:color w:val="auto"/>
                <w:kern w:val="0"/>
                <w:sz w:val="18"/>
                <w:szCs w:val="18"/>
                <w:highlight w:val="none"/>
              </w:rPr>
            </w:pPr>
          </w:p>
        </w:tc>
        <w:tc>
          <w:tcPr>
            <w:tcW w:w="1413"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hint="eastAsia" w:ascii="Helvetica" w:hAnsi="Helvetica" w:eastAsia="宋体" w:cs="Helvetica"/>
                <w:color w:val="auto"/>
                <w:kern w:val="0"/>
                <w:sz w:val="18"/>
                <w:szCs w:val="18"/>
                <w:highlight w:val="none"/>
              </w:rPr>
              <w:t>营业收入</w:t>
            </w:r>
            <w:r>
              <w:rPr>
                <w:rFonts w:ascii="Helvetica" w:hAnsi="Helvetica" w:eastAsia="宋体" w:cs="Helvetica"/>
                <w:color w:val="auto"/>
                <w:kern w:val="0"/>
                <w:sz w:val="18"/>
                <w:szCs w:val="18"/>
                <w:highlight w:val="none"/>
              </w:rPr>
              <w:t>(Y)</w:t>
            </w:r>
          </w:p>
        </w:tc>
        <w:tc>
          <w:tcPr>
            <w:tcW w:w="714"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hint="eastAsia" w:ascii="Helvetica" w:hAnsi="Helvetica" w:eastAsia="宋体" w:cs="Helvetica"/>
                <w:color w:val="auto"/>
                <w:kern w:val="0"/>
                <w:sz w:val="18"/>
                <w:szCs w:val="18"/>
                <w:highlight w:val="none"/>
              </w:rPr>
              <w:t>万元</w:t>
            </w:r>
          </w:p>
        </w:tc>
        <w:tc>
          <w:tcPr>
            <w:tcW w:w="1275"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Y≥20000</w:t>
            </w:r>
          </w:p>
        </w:tc>
        <w:tc>
          <w:tcPr>
            <w:tcW w:w="1843"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500≤Y</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20000</w:t>
            </w:r>
          </w:p>
        </w:tc>
        <w:tc>
          <w:tcPr>
            <w:tcW w:w="1559"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100≤Y</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500</w:t>
            </w:r>
          </w:p>
        </w:tc>
        <w:tc>
          <w:tcPr>
            <w:tcW w:w="1004"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Y</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100</w:t>
            </w:r>
          </w:p>
        </w:tc>
      </w:tr>
      <w:tr>
        <w:tblPrEx>
          <w:shd w:val="clear" w:color="auto" w:fill="FFFFFF"/>
          <w:tblCellMar>
            <w:top w:w="0" w:type="dxa"/>
            <w:left w:w="108" w:type="dxa"/>
            <w:bottom w:w="0" w:type="dxa"/>
            <w:right w:w="108" w:type="dxa"/>
          </w:tblCellMar>
        </w:tblPrEx>
        <w:trPr>
          <w:trHeight w:val="330" w:hRule="atLeast"/>
        </w:trPr>
        <w:tc>
          <w:tcPr>
            <w:tcW w:w="2127" w:type="dxa"/>
            <w:vMerge w:val="restart"/>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hint="eastAsia" w:ascii="Helvetica" w:hAnsi="Helvetica" w:eastAsia="宋体" w:cs="Helvetica"/>
                <w:color w:val="auto"/>
                <w:kern w:val="0"/>
                <w:sz w:val="18"/>
                <w:szCs w:val="18"/>
                <w:highlight w:val="none"/>
              </w:rPr>
              <w:t>交通运输业</w:t>
            </w:r>
            <w:r>
              <w:rPr>
                <w:rFonts w:ascii="Helvetica" w:hAnsi="Helvetica" w:eastAsia="宋体" w:cs="Helvetica"/>
                <w:color w:val="auto"/>
                <w:kern w:val="0"/>
                <w:sz w:val="18"/>
                <w:szCs w:val="18"/>
                <w:highlight w:val="none"/>
              </w:rPr>
              <w:t xml:space="preserve"> *</w:t>
            </w:r>
          </w:p>
        </w:tc>
        <w:tc>
          <w:tcPr>
            <w:tcW w:w="1413"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hint="eastAsia" w:ascii="Helvetica" w:hAnsi="Helvetica" w:eastAsia="宋体" w:cs="Helvetica"/>
                <w:color w:val="auto"/>
                <w:kern w:val="0"/>
                <w:sz w:val="18"/>
                <w:szCs w:val="18"/>
                <w:highlight w:val="none"/>
              </w:rPr>
              <w:t>从业人员</w:t>
            </w:r>
            <w:r>
              <w:rPr>
                <w:rFonts w:ascii="Helvetica" w:hAnsi="Helvetica" w:eastAsia="宋体" w:cs="Helvetica"/>
                <w:color w:val="auto"/>
                <w:kern w:val="0"/>
                <w:sz w:val="18"/>
                <w:szCs w:val="18"/>
                <w:highlight w:val="none"/>
              </w:rPr>
              <w:t>(X)</w:t>
            </w:r>
          </w:p>
        </w:tc>
        <w:tc>
          <w:tcPr>
            <w:tcW w:w="714"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hint="eastAsia" w:ascii="Helvetica" w:hAnsi="Helvetica" w:eastAsia="宋体" w:cs="Helvetica"/>
                <w:color w:val="auto"/>
                <w:kern w:val="0"/>
                <w:sz w:val="18"/>
                <w:szCs w:val="18"/>
                <w:highlight w:val="none"/>
              </w:rPr>
              <w:t>人</w:t>
            </w:r>
          </w:p>
        </w:tc>
        <w:tc>
          <w:tcPr>
            <w:tcW w:w="1275"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X≥1000</w:t>
            </w:r>
          </w:p>
        </w:tc>
        <w:tc>
          <w:tcPr>
            <w:tcW w:w="1843"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300≤X</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1000</w:t>
            </w:r>
          </w:p>
        </w:tc>
        <w:tc>
          <w:tcPr>
            <w:tcW w:w="1559"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20≤X</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300</w:t>
            </w:r>
          </w:p>
        </w:tc>
        <w:tc>
          <w:tcPr>
            <w:tcW w:w="1004"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X</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20</w:t>
            </w:r>
          </w:p>
        </w:tc>
      </w:tr>
      <w:tr>
        <w:tblPrEx>
          <w:tblCellMar>
            <w:top w:w="0" w:type="dxa"/>
            <w:left w:w="108" w:type="dxa"/>
            <w:bottom w:w="0" w:type="dxa"/>
            <w:right w:w="108" w:type="dxa"/>
          </w:tblCellMar>
        </w:tblPrEx>
        <w:trPr>
          <w:trHeight w:val="330" w:hRule="atLeast"/>
        </w:trPr>
        <w:tc>
          <w:tcPr>
            <w:tcW w:w="0" w:type="auto"/>
            <w:vMerge w:val="continue"/>
            <w:tcBorders>
              <w:top w:val="single" w:color="auto" w:sz="6" w:space="0"/>
              <w:left w:val="single" w:color="auto" w:sz="6" w:space="0"/>
              <w:bottom w:val="single" w:color="auto" w:sz="6" w:space="0"/>
              <w:right w:val="single" w:color="auto" w:sz="6" w:space="0"/>
            </w:tcBorders>
            <w:shd w:val="clear" w:color="auto" w:fill="FFFFFF"/>
            <w:vAlign w:val="center"/>
          </w:tcPr>
          <w:p>
            <w:pPr>
              <w:widowControl/>
              <w:jc w:val="left"/>
              <w:rPr>
                <w:rFonts w:ascii="Helvetica" w:hAnsi="Helvetica" w:eastAsia="宋体" w:cs="Helvetica"/>
                <w:color w:val="auto"/>
                <w:kern w:val="0"/>
                <w:sz w:val="18"/>
                <w:szCs w:val="18"/>
                <w:highlight w:val="none"/>
              </w:rPr>
            </w:pPr>
          </w:p>
        </w:tc>
        <w:tc>
          <w:tcPr>
            <w:tcW w:w="1413"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hint="eastAsia" w:ascii="Helvetica" w:hAnsi="Helvetica" w:eastAsia="宋体" w:cs="Helvetica"/>
                <w:color w:val="auto"/>
                <w:kern w:val="0"/>
                <w:sz w:val="18"/>
                <w:szCs w:val="18"/>
                <w:highlight w:val="none"/>
              </w:rPr>
              <w:t>营业收入</w:t>
            </w:r>
            <w:r>
              <w:rPr>
                <w:rFonts w:ascii="Helvetica" w:hAnsi="Helvetica" w:eastAsia="宋体" w:cs="Helvetica"/>
                <w:color w:val="auto"/>
                <w:kern w:val="0"/>
                <w:sz w:val="18"/>
                <w:szCs w:val="18"/>
                <w:highlight w:val="none"/>
              </w:rPr>
              <w:t>(Y)</w:t>
            </w:r>
          </w:p>
        </w:tc>
        <w:tc>
          <w:tcPr>
            <w:tcW w:w="714"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hint="eastAsia" w:ascii="Helvetica" w:hAnsi="Helvetica" w:eastAsia="宋体" w:cs="Helvetica"/>
                <w:color w:val="auto"/>
                <w:kern w:val="0"/>
                <w:sz w:val="18"/>
                <w:szCs w:val="18"/>
                <w:highlight w:val="none"/>
              </w:rPr>
              <w:t>万元</w:t>
            </w:r>
          </w:p>
        </w:tc>
        <w:tc>
          <w:tcPr>
            <w:tcW w:w="1275"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Y≥30000</w:t>
            </w:r>
          </w:p>
        </w:tc>
        <w:tc>
          <w:tcPr>
            <w:tcW w:w="1843"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3000≤Y</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30000</w:t>
            </w:r>
          </w:p>
        </w:tc>
        <w:tc>
          <w:tcPr>
            <w:tcW w:w="1559"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200≤Y</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3000</w:t>
            </w:r>
          </w:p>
        </w:tc>
        <w:tc>
          <w:tcPr>
            <w:tcW w:w="1004"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Y</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200</w:t>
            </w:r>
          </w:p>
        </w:tc>
      </w:tr>
      <w:tr>
        <w:tblPrEx>
          <w:shd w:val="clear" w:color="auto" w:fill="FFFFFF"/>
          <w:tblCellMar>
            <w:top w:w="0" w:type="dxa"/>
            <w:left w:w="108" w:type="dxa"/>
            <w:bottom w:w="0" w:type="dxa"/>
            <w:right w:w="108" w:type="dxa"/>
          </w:tblCellMar>
        </w:tblPrEx>
        <w:trPr>
          <w:trHeight w:val="330" w:hRule="atLeast"/>
        </w:trPr>
        <w:tc>
          <w:tcPr>
            <w:tcW w:w="2127" w:type="dxa"/>
            <w:vMerge w:val="restart"/>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hint="eastAsia" w:ascii="Helvetica" w:hAnsi="Helvetica" w:eastAsia="宋体" w:cs="Helvetica"/>
                <w:color w:val="auto"/>
                <w:kern w:val="0"/>
                <w:sz w:val="18"/>
                <w:szCs w:val="18"/>
                <w:highlight w:val="none"/>
              </w:rPr>
              <w:t>仓储业</w:t>
            </w:r>
            <w:r>
              <w:rPr>
                <w:rFonts w:ascii="Helvetica" w:hAnsi="Helvetica" w:eastAsia="宋体" w:cs="Helvetica"/>
                <w:color w:val="auto"/>
                <w:kern w:val="0"/>
                <w:sz w:val="18"/>
                <w:szCs w:val="18"/>
                <w:highlight w:val="none"/>
              </w:rPr>
              <w:t>*</w:t>
            </w:r>
          </w:p>
        </w:tc>
        <w:tc>
          <w:tcPr>
            <w:tcW w:w="1413"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hint="eastAsia" w:ascii="Helvetica" w:hAnsi="Helvetica" w:eastAsia="宋体" w:cs="Helvetica"/>
                <w:color w:val="auto"/>
                <w:kern w:val="0"/>
                <w:sz w:val="18"/>
                <w:szCs w:val="18"/>
                <w:highlight w:val="none"/>
              </w:rPr>
              <w:t>从业人员</w:t>
            </w:r>
            <w:r>
              <w:rPr>
                <w:rFonts w:ascii="Helvetica" w:hAnsi="Helvetica" w:eastAsia="宋体" w:cs="Helvetica"/>
                <w:color w:val="auto"/>
                <w:kern w:val="0"/>
                <w:sz w:val="18"/>
                <w:szCs w:val="18"/>
                <w:highlight w:val="none"/>
              </w:rPr>
              <w:t>(X)</w:t>
            </w:r>
          </w:p>
        </w:tc>
        <w:tc>
          <w:tcPr>
            <w:tcW w:w="714"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hint="eastAsia" w:ascii="Helvetica" w:hAnsi="Helvetica" w:eastAsia="宋体" w:cs="Helvetica"/>
                <w:color w:val="auto"/>
                <w:kern w:val="0"/>
                <w:sz w:val="18"/>
                <w:szCs w:val="18"/>
                <w:highlight w:val="none"/>
              </w:rPr>
              <w:t>人</w:t>
            </w:r>
          </w:p>
        </w:tc>
        <w:tc>
          <w:tcPr>
            <w:tcW w:w="1275"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X≥200</w:t>
            </w:r>
          </w:p>
        </w:tc>
        <w:tc>
          <w:tcPr>
            <w:tcW w:w="1843"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100≤X</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200</w:t>
            </w:r>
          </w:p>
        </w:tc>
        <w:tc>
          <w:tcPr>
            <w:tcW w:w="1559"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20≤X</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100</w:t>
            </w:r>
          </w:p>
        </w:tc>
        <w:tc>
          <w:tcPr>
            <w:tcW w:w="1004"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X</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20</w:t>
            </w:r>
          </w:p>
        </w:tc>
      </w:tr>
      <w:tr>
        <w:tblPrEx>
          <w:tblCellMar>
            <w:top w:w="0" w:type="dxa"/>
            <w:left w:w="108" w:type="dxa"/>
            <w:bottom w:w="0" w:type="dxa"/>
            <w:right w:w="108" w:type="dxa"/>
          </w:tblCellMar>
        </w:tblPrEx>
        <w:trPr>
          <w:trHeight w:val="330" w:hRule="atLeast"/>
        </w:trPr>
        <w:tc>
          <w:tcPr>
            <w:tcW w:w="0" w:type="auto"/>
            <w:vMerge w:val="continue"/>
            <w:tcBorders>
              <w:top w:val="single" w:color="auto" w:sz="6" w:space="0"/>
              <w:left w:val="single" w:color="auto" w:sz="6" w:space="0"/>
              <w:bottom w:val="single" w:color="auto" w:sz="6" w:space="0"/>
              <w:right w:val="single" w:color="auto" w:sz="6" w:space="0"/>
            </w:tcBorders>
            <w:shd w:val="clear" w:color="auto" w:fill="FFFFFF"/>
            <w:vAlign w:val="center"/>
          </w:tcPr>
          <w:p>
            <w:pPr>
              <w:widowControl/>
              <w:jc w:val="left"/>
              <w:rPr>
                <w:rFonts w:ascii="Helvetica" w:hAnsi="Helvetica" w:eastAsia="宋体" w:cs="Helvetica"/>
                <w:color w:val="auto"/>
                <w:kern w:val="0"/>
                <w:sz w:val="18"/>
                <w:szCs w:val="18"/>
                <w:highlight w:val="none"/>
              </w:rPr>
            </w:pPr>
          </w:p>
        </w:tc>
        <w:tc>
          <w:tcPr>
            <w:tcW w:w="1413"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hint="eastAsia" w:ascii="Helvetica" w:hAnsi="Helvetica" w:eastAsia="宋体" w:cs="Helvetica"/>
                <w:color w:val="auto"/>
                <w:kern w:val="0"/>
                <w:sz w:val="18"/>
                <w:szCs w:val="18"/>
                <w:highlight w:val="none"/>
              </w:rPr>
              <w:t>营业收入</w:t>
            </w:r>
            <w:r>
              <w:rPr>
                <w:rFonts w:ascii="Helvetica" w:hAnsi="Helvetica" w:eastAsia="宋体" w:cs="Helvetica"/>
                <w:color w:val="auto"/>
                <w:kern w:val="0"/>
                <w:sz w:val="18"/>
                <w:szCs w:val="18"/>
                <w:highlight w:val="none"/>
              </w:rPr>
              <w:t>(Y)</w:t>
            </w:r>
          </w:p>
        </w:tc>
        <w:tc>
          <w:tcPr>
            <w:tcW w:w="714"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hint="eastAsia" w:ascii="Helvetica" w:hAnsi="Helvetica" w:eastAsia="宋体" w:cs="Helvetica"/>
                <w:color w:val="auto"/>
                <w:kern w:val="0"/>
                <w:sz w:val="18"/>
                <w:szCs w:val="18"/>
                <w:highlight w:val="none"/>
              </w:rPr>
              <w:t>万元</w:t>
            </w:r>
          </w:p>
        </w:tc>
        <w:tc>
          <w:tcPr>
            <w:tcW w:w="1275"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Y≥30000</w:t>
            </w:r>
          </w:p>
        </w:tc>
        <w:tc>
          <w:tcPr>
            <w:tcW w:w="1843"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1000≤Y</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30000</w:t>
            </w:r>
          </w:p>
        </w:tc>
        <w:tc>
          <w:tcPr>
            <w:tcW w:w="1559"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100≤Y</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1000</w:t>
            </w:r>
          </w:p>
        </w:tc>
        <w:tc>
          <w:tcPr>
            <w:tcW w:w="1004"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Y</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100</w:t>
            </w:r>
          </w:p>
        </w:tc>
      </w:tr>
      <w:tr>
        <w:tblPrEx>
          <w:shd w:val="clear" w:color="auto" w:fill="FFFFFF"/>
          <w:tblCellMar>
            <w:top w:w="0" w:type="dxa"/>
            <w:left w:w="108" w:type="dxa"/>
            <w:bottom w:w="0" w:type="dxa"/>
            <w:right w:w="108" w:type="dxa"/>
          </w:tblCellMar>
        </w:tblPrEx>
        <w:trPr>
          <w:trHeight w:val="330" w:hRule="atLeast"/>
        </w:trPr>
        <w:tc>
          <w:tcPr>
            <w:tcW w:w="2127" w:type="dxa"/>
            <w:vMerge w:val="restart"/>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hint="eastAsia" w:ascii="Helvetica" w:hAnsi="Helvetica" w:eastAsia="宋体" w:cs="Helvetica"/>
                <w:color w:val="auto"/>
                <w:kern w:val="0"/>
                <w:sz w:val="18"/>
                <w:szCs w:val="18"/>
                <w:highlight w:val="none"/>
              </w:rPr>
              <w:t>邮政业</w:t>
            </w:r>
          </w:p>
        </w:tc>
        <w:tc>
          <w:tcPr>
            <w:tcW w:w="1413"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hint="eastAsia" w:ascii="Helvetica" w:hAnsi="Helvetica" w:eastAsia="宋体" w:cs="Helvetica"/>
                <w:color w:val="auto"/>
                <w:kern w:val="0"/>
                <w:sz w:val="18"/>
                <w:szCs w:val="18"/>
                <w:highlight w:val="none"/>
              </w:rPr>
              <w:t>从业人员</w:t>
            </w:r>
            <w:r>
              <w:rPr>
                <w:rFonts w:ascii="Helvetica" w:hAnsi="Helvetica" w:eastAsia="宋体" w:cs="Helvetica"/>
                <w:color w:val="auto"/>
                <w:kern w:val="0"/>
                <w:sz w:val="18"/>
                <w:szCs w:val="18"/>
                <w:highlight w:val="none"/>
              </w:rPr>
              <w:t>(X)</w:t>
            </w:r>
          </w:p>
        </w:tc>
        <w:tc>
          <w:tcPr>
            <w:tcW w:w="714"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hint="eastAsia" w:ascii="Helvetica" w:hAnsi="Helvetica" w:eastAsia="宋体" w:cs="Helvetica"/>
                <w:color w:val="auto"/>
                <w:kern w:val="0"/>
                <w:sz w:val="18"/>
                <w:szCs w:val="18"/>
                <w:highlight w:val="none"/>
              </w:rPr>
              <w:t>人</w:t>
            </w:r>
          </w:p>
        </w:tc>
        <w:tc>
          <w:tcPr>
            <w:tcW w:w="1275"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X≥1000</w:t>
            </w:r>
          </w:p>
        </w:tc>
        <w:tc>
          <w:tcPr>
            <w:tcW w:w="1843"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300≤X</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1000</w:t>
            </w:r>
          </w:p>
        </w:tc>
        <w:tc>
          <w:tcPr>
            <w:tcW w:w="1559"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20≤X</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300</w:t>
            </w:r>
          </w:p>
        </w:tc>
        <w:tc>
          <w:tcPr>
            <w:tcW w:w="1004"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X</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20</w:t>
            </w:r>
          </w:p>
        </w:tc>
      </w:tr>
      <w:tr>
        <w:tblPrEx>
          <w:shd w:val="clear" w:color="auto" w:fill="FFFFFF"/>
          <w:tblCellMar>
            <w:top w:w="0" w:type="dxa"/>
            <w:left w:w="108" w:type="dxa"/>
            <w:bottom w:w="0" w:type="dxa"/>
            <w:right w:w="108" w:type="dxa"/>
          </w:tblCellMar>
        </w:tblPrEx>
        <w:trPr>
          <w:trHeight w:val="330" w:hRule="atLeast"/>
        </w:trPr>
        <w:tc>
          <w:tcPr>
            <w:tcW w:w="0" w:type="auto"/>
            <w:vMerge w:val="continue"/>
            <w:tcBorders>
              <w:top w:val="single" w:color="auto" w:sz="6" w:space="0"/>
              <w:left w:val="single" w:color="auto" w:sz="6" w:space="0"/>
              <w:bottom w:val="single" w:color="auto" w:sz="6" w:space="0"/>
              <w:right w:val="single" w:color="auto" w:sz="6" w:space="0"/>
            </w:tcBorders>
            <w:shd w:val="clear" w:color="auto" w:fill="FFFFFF"/>
            <w:vAlign w:val="center"/>
          </w:tcPr>
          <w:p>
            <w:pPr>
              <w:widowControl/>
              <w:jc w:val="left"/>
              <w:rPr>
                <w:rFonts w:ascii="Helvetica" w:hAnsi="Helvetica" w:eastAsia="宋体" w:cs="Helvetica"/>
                <w:color w:val="auto"/>
                <w:kern w:val="0"/>
                <w:sz w:val="18"/>
                <w:szCs w:val="18"/>
                <w:highlight w:val="none"/>
              </w:rPr>
            </w:pPr>
          </w:p>
        </w:tc>
        <w:tc>
          <w:tcPr>
            <w:tcW w:w="1413"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hint="eastAsia" w:ascii="Helvetica" w:hAnsi="Helvetica" w:eastAsia="宋体" w:cs="Helvetica"/>
                <w:color w:val="auto"/>
                <w:kern w:val="0"/>
                <w:sz w:val="18"/>
                <w:szCs w:val="18"/>
                <w:highlight w:val="none"/>
              </w:rPr>
              <w:t>营业收入</w:t>
            </w:r>
            <w:r>
              <w:rPr>
                <w:rFonts w:ascii="Helvetica" w:hAnsi="Helvetica" w:eastAsia="宋体" w:cs="Helvetica"/>
                <w:color w:val="auto"/>
                <w:kern w:val="0"/>
                <w:sz w:val="18"/>
                <w:szCs w:val="18"/>
                <w:highlight w:val="none"/>
              </w:rPr>
              <w:t>(Y)</w:t>
            </w:r>
          </w:p>
        </w:tc>
        <w:tc>
          <w:tcPr>
            <w:tcW w:w="714"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hint="eastAsia" w:ascii="Helvetica" w:hAnsi="Helvetica" w:eastAsia="宋体" w:cs="Helvetica"/>
                <w:color w:val="auto"/>
                <w:kern w:val="0"/>
                <w:sz w:val="18"/>
                <w:szCs w:val="18"/>
                <w:highlight w:val="none"/>
              </w:rPr>
              <w:t>万元</w:t>
            </w:r>
          </w:p>
        </w:tc>
        <w:tc>
          <w:tcPr>
            <w:tcW w:w="1275"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Y≥30000</w:t>
            </w:r>
          </w:p>
        </w:tc>
        <w:tc>
          <w:tcPr>
            <w:tcW w:w="1843"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2000≤Y</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30000</w:t>
            </w:r>
          </w:p>
        </w:tc>
        <w:tc>
          <w:tcPr>
            <w:tcW w:w="1559"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100≤Y</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2000</w:t>
            </w:r>
          </w:p>
        </w:tc>
        <w:tc>
          <w:tcPr>
            <w:tcW w:w="1004"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Y</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100</w:t>
            </w:r>
          </w:p>
        </w:tc>
      </w:tr>
      <w:tr>
        <w:tblPrEx>
          <w:shd w:val="clear" w:color="auto" w:fill="FFFFFF"/>
          <w:tblCellMar>
            <w:top w:w="0" w:type="dxa"/>
            <w:left w:w="108" w:type="dxa"/>
            <w:bottom w:w="0" w:type="dxa"/>
            <w:right w:w="108" w:type="dxa"/>
          </w:tblCellMar>
        </w:tblPrEx>
        <w:trPr>
          <w:trHeight w:val="330" w:hRule="atLeast"/>
        </w:trPr>
        <w:tc>
          <w:tcPr>
            <w:tcW w:w="2127" w:type="dxa"/>
            <w:vMerge w:val="restart"/>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hint="eastAsia" w:ascii="Helvetica" w:hAnsi="Helvetica" w:eastAsia="宋体" w:cs="Helvetica"/>
                <w:color w:val="auto"/>
                <w:kern w:val="0"/>
                <w:sz w:val="18"/>
                <w:szCs w:val="18"/>
                <w:highlight w:val="none"/>
              </w:rPr>
              <w:t>住宿业</w:t>
            </w:r>
          </w:p>
        </w:tc>
        <w:tc>
          <w:tcPr>
            <w:tcW w:w="1413"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hint="eastAsia" w:ascii="Helvetica" w:hAnsi="Helvetica" w:eastAsia="宋体" w:cs="Helvetica"/>
                <w:color w:val="auto"/>
                <w:kern w:val="0"/>
                <w:sz w:val="18"/>
                <w:szCs w:val="18"/>
                <w:highlight w:val="none"/>
              </w:rPr>
              <w:t>从业人员</w:t>
            </w:r>
            <w:r>
              <w:rPr>
                <w:rFonts w:ascii="Helvetica" w:hAnsi="Helvetica" w:eastAsia="宋体" w:cs="Helvetica"/>
                <w:color w:val="auto"/>
                <w:kern w:val="0"/>
                <w:sz w:val="18"/>
                <w:szCs w:val="18"/>
                <w:highlight w:val="none"/>
              </w:rPr>
              <w:t>(X)</w:t>
            </w:r>
          </w:p>
        </w:tc>
        <w:tc>
          <w:tcPr>
            <w:tcW w:w="714"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hint="eastAsia" w:ascii="Helvetica" w:hAnsi="Helvetica" w:eastAsia="宋体" w:cs="Helvetica"/>
                <w:color w:val="auto"/>
                <w:kern w:val="0"/>
                <w:sz w:val="18"/>
                <w:szCs w:val="18"/>
                <w:highlight w:val="none"/>
              </w:rPr>
              <w:t>人</w:t>
            </w:r>
          </w:p>
        </w:tc>
        <w:tc>
          <w:tcPr>
            <w:tcW w:w="1275"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X≥300</w:t>
            </w:r>
          </w:p>
        </w:tc>
        <w:tc>
          <w:tcPr>
            <w:tcW w:w="1843"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100≤X</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300</w:t>
            </w:r>
          </w:p>
        </w:tc>
        <w:tc>
          <w:tcPr>
            <w:tcW w:w="1559"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10≤X</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100</w:t>
            </w:r>
          </w:p>
        </w:tc>
        <w:tc>
          <w:tcPr>
            <w:tcW w:w="1004"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X</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10</w:t>
            </w:r>
          </w:p>
        </w:tc>
      </w:tr>
      <w:tr>
        <w:tblPrEx>
          <w:shd w:val="clear" w:color="auto" w:fill="FFFFFF"/>
          <w:tblCellMar>
            <w:top w:w="0" w:type="dxa"/>
            <w:left w:w="108" w:type="dxa"/>
            <w:bottom w:w="0" w:type="dxa"/>
            <w:right w:w="108" w:type="dxa"/>
          </w:tblCellMar>
        </w:tblPrEx>
        <w:trPr>
          <w:trHeight w:val="330" w:hRule="atLeast"/>
        </w:trPr>
        <w:tc>
          <w:tcPr>
            <w:tcW w:w="0" w:type="auto"/>
            <w:vMerge w:val="continue"/>
            <w:tcBorders>
              <w:top w:val="single" w:color="auto" w:sz="6" w:space="0"/>
              <w:left w:val="single" w:color="auto" w:sz="6" w:space="0"/>
              <w:bottom w:val="single" w:color="auto" w:sz="6" w:space="0"/>
              <w:right w:val="single" w:color="auto" w:sz="6" w:space="0"/>
            </w:tcBorders>
            <w:shd w:val="clear" w:color="auto" w:fill="FFFFFF"/>
            <w:vAlign w:val="center"/>
          </w:tcPr>
          <w:p>
            <w:pPr>
              <w:widowControl/>
              <w:jc w:val="left"/>
              <w:rPr>
                <w:rFonts w:ascii="Helvetica" w:hAnsi="Helvetica" w:eastAsia="宋体" w:cs="Helvetica"/>
                <w:color w:val="auto"/>
                <w:kern w:val="0"/>
                <w:sz w:val="18"/>
                <w:szCs w:val="18"/>
                <w:highlight w:val="none"/>
              </w:rPr>
            </w:pPr>
          </w:p>
        </w:tc>
        <w:tc>
          <w:tcPr>
            <w:tcW w:w="1413"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hint="eastAsia" w:ascii="Helvetica" w:hAnsi="Helvetica" w:eastAsia="宋体" w:cs="Helvetica"/>
                <w:color w:val="auto"/>
                <w:kern w:val="0"/>
                <w:sz w:val="18"/>
                <w:szCs w:val="18"/>
                <w:highlight w:val="none"/>
              </w:rPr>
              <w:t>营业收入</w:t>
            </w:r>
            <w:r>
              <w:rPr>
                <w:rFonts w:ascii="Helvetica" w:hAnsi="Helvetica" w:eastAsia="宋体" w:cs="Helvetica"/>
                <w:color w:val="auto"/>
                <w:kern w:val="0"/>
                <w:sz w:val="18"/>
                <w:szCs w:val="18"/>
                <w:highlight w:val="none"/>
              </w:rPr>
              <w:t>(Y)</w:t>
            </w:r>
          </w:p>
        </w:tc>
        <w:tc>
          <w:tcPr>
            <w:tcW w:w="714"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hint="eastAsia" w:ascii="Helvetica" w:hAnsi="Helvetica" w:eastAsia="宋体" w:cs="Helvetica"/>
                <w:color w:val="auto"/>
                <w:kern w:val="0"/>
                <w:sz w:val="18"/>
                <w:szCs w:val="18"/>
                <w:highlight w:val="none"/>
              </w:rPr>
              <w:t>万元</w:t>
            </w:r>
          </w:p>
        </w:tc>
        <w:tc>
          <w:tcPr>
            <w:tcW w:w="1275"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Y≥10000</w:t>
            </w:r>
          </w:p>
        </w:tc>
        <w:tc>
          <w:tcPr>
            <w:tcW w:w="1843"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2000≤Y</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10000</w:t>
            </w:r>
          </w:p>
        </w:tc>
        <w:tc>
          <w:tcPr>
            <w:tcW w:w="1559"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100≤Y</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2000</w:t>
            </w:r>
          </w:p>
        </w:tc>
        <w:tc>
          <w:tcPr>
            <w:tcW w:w="1004"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Y</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100</w:t>
            </w:r>
          </w:p>
        </w:tc>
      </w:tr>
      <w:tr>
        <w:tblPrEx>
          <w:shd w:val="clear" w:color="auto" w:fill="FFFFFF"/>
          <w:tblCellMar>
            <w:top w:w="0" w:type="dxa"/>
            <w:left w:w="108" w:type="dxa"/>
            <w:bottom w:w="0" w:type="dxa"/>
            <w:right w:w="108" w:type="dxa"/>
          </w:tblCellMar>
        </w:tblPrEx>
        <w:trPr>
          <w:trHeight w:val="330" w:hRule="atLeast"/>
        </w:trPr>
        <w:tc>
          <w:tcPr>
            <w:tcW w:w="2127" w:type="dxa"/>
            <w:vMerge w:val="restart"/>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hint="eastAsia" w:ascii="Helvetica" w:hAnsi="Helvetica" w:eastAsia="宋体" w:cs="Helvetica"/>
                <w:color w:val="auto"/>
                <w:kern w:val="0"/>
                <w:sz w:val="18"/>
                <w:szCs w:val="18"/>
                <w:highlight w:val="none"/>
              </w:rPr>
              <w:t>餐饮业</w:t>
            </w:r>
          </w:p>
        </w:tc>
        <w:tc>
          <w:tcPr>
            <w:tcW w:w="1413"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hint="eastAsia" w:ascii="Helvetica" w:hAnsi="Helvetica" w:eastAsia="宋体" w:cs="Helvetica"/>
                <w:color w:val="auto"/>
                <w:kern w:val="0"/>
                <w:sz w:val="18"/>
                <w:szCs w:val="18"/>
                <w:highlight w:val="none"/>
              </w:rPr>
              <w:t>从业人员</w:t>
            </w:r>
            <w:r>
              <w:rPr>
                <w:rFonts w:ascii="Helvetica" w:hAnsi="Helvetica" w:eastAsia="宋体" w:cs="Helvetica"/>
                <w:color w:val="auto"/>
                <w:kern w:val="0"/>
                <w:sz w:val="18"/>
                <w:szCs w:val="18"/>
                <w:highlight w:val="none"/>
              </w:rPr>
              <w:t>(X)</w:t>
            </w:r>
          </w:p>
        </w:tc>
        <w:tc>
          <w:tcPr>
            <w:tcW w:w="714"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hint="eastAsia" w:ascii="Helvetica" w:hAnsi="Helvetica" w:eastAsia="宋体" w:cs="Helvetica"/>
                <w:color w:val="auto"/>
                <w:kern w:val="0"/>
                <w:sz w:val="18"/>
                <w:szCs w:val="18"/>
                <w:highlight w:val="none"/>
              </w:rPr>
              <w:t>人</w:t>
            </w:r>
          </w:p>
        </w:tc>
        <w:tc>
          <w:tcPr>
            <w:tcW w:w="1275"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X≥300</w:t>
            </w:r>
          </w:p>
        </w:tc>
        <w:tc>
          <w:tcPr>
            <w:tcW w:w="1843"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100≤X</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300</w:t>
            </w:r>
          </w:p>
        </w:tc>
        <w:tc>
          <w:tcPr>
            <w:tcW w:w="1559"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10≤X</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100</w:t>
            </w:r>
          </w:p>
        </w:tc>
        <w:tc>
          <w:tcPr>
            <w:tcW w:w="1004"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X</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10</w:t>
            </w:r>
          </w:p>
        </w:tc>
      </w:tr>
      <w:tr>
        <w:tblPrEx>
          <w:shd w:val="clear" w:color="auto" w:fill="FFFFFF"/>
          <w:tblCellMar>
            <w:top w:w="0" w:type="dxa"/>
            <w:left w:w="108" w:type="dxa"/>
            <w:bottom w:w="0" w:type="dxa"/>
            <w:right w:w="108" w:type="dxa"/>
          </w:tblCellMar>
        </w:tblPrEx>
        <w:trPr>
          <w:trHeight w:val="330" w:hRule="atLeast"/>
        </w:trPr>
        <w:tc>
          <w:tcPr>
            <w:tcW w:w="0" w:type="auto"/>
            <w:vMerge w:val="continue"/>
            <w:tcBorders>
              <w:top w:val="single" w:color="auto" w:sz="6" w:space="0"/>
              <w:left w:val="single" w:color="auto" w:sz="6" w:space="0"/>
              <w:bottom w:val="single" w:color="auto" w:sz="6" w:space="0"/>
              <w:right w:val="single" w:color="auto" w:sz="6" w:space="0"/>
            </w:tcBorders>
            <w:shd w:val="clear" w:color="auto" w:fill="FFFFFF"/>
            <w:vAlign w:val="center"/>
          </w:tcPr>
          <w:p>
            <w:pPr>
              <w:widowControl/>
              <w:jc w:val="left"/>
              <w:rPr>
                <w:rFonts w:ascii="Helvetica" w:hAnsi="Helvetica" w:eastAsia="宋体" w:cs="Helvetica"/>
                <w:color w:val="auto"/>
                <w:kern w:val="0"/>
                <w:sz w:val="18"/>
                <w:szCs w:val="18"/>
                <w:highlight w:val="none"/>
              </w:rPr>
            </w:pPr>
          </w:p>
        </w:tc>
        <w:tc>
          <w:tcPr>
            <w:tcW w:w="1413"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hint="eastAsia" w:ascii="Helvetica" w:hAnsi="Helvetica" w:eastAsia="宋体" w:cs="Helvetica"/>
                <w:color w:val="auto"/>
                <w:kern w:val="0"/>
                <w:sz w:val="18"/>
                <w:szCs w:val="18"/>
                <w:highlight w:val="none"/>
              </w:rPr>
              <w:t>营业收入</w:t>
            </w:r>
            <w:r>
              <w:rPr>
                <w:rFonts w:ascii="Helvetica" w:hAnsi="Helvetica" w:eastAsia="宋体" w:cs="Helvetica"/>
                <w:color w:val="auto"/>
                <w:kern w:val="0"/>
                <w:sz w:val="18"/>
                <w:szCs w:val="18"/>
                <w:highlight w:val="none"/>
              </w:rPr>
              <w:t>(Y)</w:t>
            </w:r>
          </w:p>
        </w:tc>
        <w:tc>
          <w:tcPr>
            <w:tcW w:w="714"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hint="eastAsia" w:ascii="Helvetica" w:hAnsi="Helvetica" w:eastAsia="宋体" w:cs="Helvetica"/>
                <w:color w:val="auto"/>
                <w:kern w:val="0"/>
                <w:sz w:val="18"/>
                <w:szCs w:val="18"/>
                <w:highlight w:val="none"/>
              </w:rPr>
              <w:t>万元</w:t>
            </w:r>
          </w:p>
        </w:tc>
        <w:tc>
          <w:tcPr>
            <w:tcW w:w="1275"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Y≥10000</w:t>
            </w:r>
          </w:p>
        </w:tc>
        <w:tc>
          <w:tcPr>
            <w:tcW w:w="1843"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2000≤Y</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10000</w:t>
            </w:r>
          </w:p>
        </w:tc>
        <w:tc>
          <w:tcPr>
            <w:tcW w:w="1559"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100≤Y</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2000</w:t>
            </w:r>
          </w:p>
        </w:tc>
        <w:tc>
          <w:tcPr>
            <w:tcW w:w="1004"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Y</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100</w:t>
            </w:r>
          </w:p>
        </w:tc>
      </w:tr>
      <w:tr>
        <w:tblPrEx>
          <w:shd w:val="clear" w:color="auto" w:fill="FFFFFF"/>
          <w:tblCellMar>
            <w:top w:w="0" w:type="dxa"/>
            <w:left w:w="108" w:type="dxa"/>
            <w:bottom w:w="0" w:type="dxa"/>
            <w:right w:w="108" w:type="dxa"/>
          </w:tblCellMar>
        </w:tblPrEx>
        <w:trPr>
          <w:trHeight w:val="330" w:hRule="atLeast"/>
        </w:trPr>
        <w:tc>
          <w:tcPr>
            <w:tcW w:w="2127" w:type="dxa"/>
            <w:vMerge w:val="restart"/>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hint="eastAsia" w:ascii="Helvetica" w:hAnsi="Helvetica" w:eastAsia="宋体" w:cs="Helvetica"/>
                <w:color w:val="auto"/>
                <w:kern w:val="0"/>
                <w:sz w:val="18"/>
                <w:szCs w:val="18"/>
                <w:highlight w:val="none"/>
              </w:rPr>
              <w:t>信息传输业</w:t>
            </w:r>
            <w:r>
              <w:rPr>
                <w:rFonts w:ascii="Helvetica" w:hAnsi="Helvetica" w:eastAsia="宋体" w:cs="Helvetica"/>
                <w:color w:val="auto"/>
                <w:kern w:val="0"/>
                <w:sz w:val="18"/>
                <w:szCs w:val="18"/>
                <w:highlight w:val="none"/>
              </w:rPr>
              <w:t xml:space="preserve"> *</w:t>
            </w:r>
          </w:p>
        </w:tc>
        <w:tc>
          <w:tcPr>
            <w:tcW w:w="1413"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hint="eastAsia" w:ascii="Helvetica" w:hAnsi="Helvetica" w:eastAsia="宋体" w:cs="Helvetica"/>
                <w:color w:val="auto"/>
                <w:kern w:val="0"/>
                <w:sz w:val="18"/>
                <w:szCs w:val="18"/>
                <w:highlight w:val="none"/>
              </w:rPr>
              <w:t>从业人员</w:t>
            </w:r>
            <w:r>
              <w:rPr>
                <w:rFonts w:ascii="Helvetica" w:hAnsi="Helvetica" w:eastAsia="宋体" w:cs="Helvetica"/>
                <w:color w:val="auto"/>
                <w:kern w:val="0"/>
                <w:sz w:val="18"/>
                <w:szCs w:val="18"/>
                <w:highlight w:val="none"/>
              </w:rPr>
              <w:t>(X)</w:t>
            </w:r>
          </w:p>
        </w:tc>
        <w:tc>
          <w:tcPr>
            <w:tcW w:w="714"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hint="eastAsia" w:ascii="Helvetica" w:hAnsi="Helvetica" w:eastAsia="宋体" w:cs="Helvetica"/>
                <w:color w:val="auto"/>
                <w:kern w:val="0"/>
                <w:sz w:val="18"/>
                <w:szCs w:val="18"/>
                <w:highlight w:val="none"/>
              </w:rPr>
              <w:t>人</w:t>
            </w:r>
          </w:p>
        </w:tc>
        <w:tc>
          <w:tcPr>
            <w:tcW w:w="1275"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X≥2000</w:t>
            </w:r>
          </w:p>
        </w:tc>
        <w:tc>
          <w:tcPr>
            <w:tcW w:w="1843"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100≤X</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2000</w:t>
            </w:r>
          </w:p>
        </w:tc>
        <w:tc>
          <w:tcPr>
            <w:tcW w:w="1559"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10≤X</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100</w:t>
            </w:r>
          </w:p>
        </w:tc>
        <w:tc>
          <w:tcPr>
            <w:tcW w:w="1004"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X</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10</w:t>
            </w:r>
          </w:p>
        </w:tc>
      </w:tr>
      <w:tr>
        <w:tblPrEx>
          <w:shd w:val="clear" w:color="auto" w:fill="FFFFFF"/>
          <w:tblCellMar>
            <w:top w:w="0" w:type="dxa"/>
            <w:left w:w="108" w:type="dxa"/>
            <w:bottom w:w="0" w:type="dxa"/>
            <w:right w:w="108" w:type="dxa"/>
          </w:tblCellMar>
        </w:tblPrEx>
        <w:trPr>
          <w:trHeight w:val="330" w:hRule="atLeast"/>
        </w:trPr>
        <w:tc>
          <w:tcPr>
            <w:tcW w:w="0" w:type="auto"/>
            <w:vMerge w:val="continue"/>
            <w:tcBorders>
              <w:top w:val="single" w:color="auto" w:sz="6" w:space="0"/>
              <w:left w:val="single" w:color="auto" w:sz="6" w:space="0"/>
              <w:bottom w:val="single" w:color="auto" w:sz="6" w:space="0"/>
              <w:right w:val="single" w:color="auto" w:sz="6" w:space="0"/>
            </w:tcBorders>
            <w:shd w:val="clear" w:color="auto" w:fill="FFFFFF"/>
            <w:vAlign w:val="center"/>
          </w:tcPr>
          <w:p>
            <w:pPr>
              <w:widowControl/>
              <w:jc w:val="left"/>
              <w:rPr>
                <w:rFonts w:ascii="Helvetica" w:hAnsi="Helvetica" w:eastAsia="宋体" w:cs="Helvetica"/>
                <w:color w:val="auto"/>
                <w:kern w:val="0"/>
                <w:sz w:val="18"/>
                <w:szCs w:val="18"/>
                <w:highlight w:val="none"/>
              </w:rPr>
            </w:pPr>
          </w:p>
        </w:tc>
        <w:tc>
          <w:tcPr>
            <w:tcW w:w="1413"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hint="eastAsia" w:ascii="Helvetica" w:hAnsi="Helvetica" w:eastAsia="宋体" w:cs="Helvetica"/>
                <w:color w:val="auto"/>
                <w:kern w:val="0"/>
                <w:sz w:val="18"/>
                <w:szCs w:val="18"/>
                <w:highlight w:val="none"/>
              </w:rPr>
              <w:t>营业收入</w:t>
            </w:r>
            <w:r>
              <w:rPr>
                <w:rFonts w:ascii="Helvetica" w:hAnsi="Helvetica" w:eastAsia="宋体" w:cs="Helvetica"/>
                <w:color w:val="auto"/>
                <w:kern w:val="0"/>
                <w:sz w:val="18"/>
                <w:szCs w:val="18"/>
                <w:highlight w:val="none"/>
              </w:rPr>
              <w:t>(Y)</w:t>
            </w:r>
          </w:p>
        </w:tc>
        <w:tc>
          <w:tcPr>
            <w:tcW w:w="714"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hint="eastAsia" w:ascii="Helvetica" w:hAnsi="Helvetica" w:eastAsia="宋体" w:cs="Helvetica"/>
                <w:color w:val="auto"/>
                <w:kern w:val="0"/>
                <w:sz w:val="18"/>
                <w:szCs w:val="18"/>
                <w:highlight w:val="none"/>
              </w:rPr>
              <w:t>万元</w:t>
            </w:r>
          </w:p>
        </w:tc>
        <w:tc>
          <w:tcPr>
            <w:tcW w:w="1275"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Y≥100000</w:t>
            </w:r>
          </w:p>
        </w:tc>
        <w:tc>
          <w:tcPr>
            <w:tcW w:w="1843"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1000≤Y</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100000</w:t>
            </w:r>
          </w:p>
        </w:tc>
        <w:tc>
          <w:tcPr>
            <w:tcW w:w="1559"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100≤Y</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1000</w:t>
            </w:r>
          </w:p>
        </w:tc>
        <w:tc>
          <w:tcPr>
            <w:tcW w:w="1004"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Y</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100</w:t>
            </w:r>
          </w:p>
        </w:tc>
      </w:tr>
      <w:tr>
        <w:tblPrEx>
          <w:shd w:val="clear" w:color="auto" w:fill="FFFFFF"/>
          <w:tblCellMar>
            <w:top w:w="0" w:type="dxa"/>
            <w:left w:w="108" w:type="dxa"/>
            <w:bottom w:w="0" w:type="dxa"/>
            <w:right w:w="108" w:type="dxa"/>
          </w:tblCellMar>
        </w:tblPrEx>
        <w:trPr>
          <w:trHeight w:val="330" w:hRule="atLeast"/>
        </w:trPr>
        <w:tc>
          <w:tcPr>
            <w:tcW w:w="2127" w:type="dxa"/>
            <w:vMerge w:val="restart"/>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hint="eastAsia" w:ascii="Helvetica" w:hAnsi="Helvetica" w:eastAsia="宋体" w:cs="Helvetica"/>
                <w:color w:val="auto"/>
                <w:kern w:val="0"/>
                <w:sz w:val="18"/>
                <w:szCs w:val="18"/>
                <w:highlight w:val="none"/>
              </w:rPr>
              <w:t>软件和信息技术服务业</w:t>
            </w:r>
          </w:p>
        </w:tc>
        <w:tc>
          <w:tcPr>
            <w:tcW w:w="1413"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hint="eastAsia" w:ascii="Helvetica" w:hAnsi="Helvetica" w:eastAsia="宋体" w:cs="Helvetica"/>
                <w:color w:val="auto"/>
                <w:kern w:val="0"/>
                <w:sz w:val="18"/>
                <w:szCs w:val="18"/>
                <w:highlight w:val="none"/>
              </w:rPr>
              <w:t>从业人员</w:t>
            </w:r>
            <w:r>
              <w:rPr>
                <w:rFonts w:ascii="Helvetica" w:hAnsi="Helvetica" w:eastAsia="宋体" w:cs="Helvetica"/>
                <w:color w:val="auto"/>
                <w:kern w:val="0"/>
                <w:sz w:val="18"/>
                <w:szCs w:val="18"/>
                <w:highlight w:val="none"/>
              </w:rPr>
              <w:t>(X)</w:t>
            </w:r>
          </w:p>
        </w:tc>
        <w:tc>
          <w:tcPr>
            <w:tcW w:w="714"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hint="eastAsia" w:ascii="Helvetica" w:hAnsi="Helvetica" w:eastAsia="宋体" w:cs="Helvetica"/>
                <w:color w:val="auto"/>
                <w:kern w:val="0"/>
                <w:sz w:val="18"/>
                <w:szCs w:val="18"/>
                <w:highlight w:val="none"/>
              </w:rPr>
              <w:t>人</w:t>
            </w:r>
          </w:p>
        </w:tc>
        <w:tc>
          <w:tcPr>
            <w:tcW w:w="1275"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X≥300</w:t>
            </w:r>
          </w:p>
        </w:tc>
        <w:tc>
          <w:tcPr>
            <w:tcW w:w="1843"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100≤X</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300</w:t>
            </w:r>
          </w:p>
        </w:tc>
        <w:tc>
          <w:tcPr>
            <w:tcW w:w="1559"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10≤X</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100</w:t>
            </w:r>
          </w:p>
        </w:tc>
        <w:tc>
          <w:tcPr>
            <w:tcW w:w="1004"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X</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10</w:t>
            </w:r>
          </w:p>
        </w:tc>
      </w:tr>
      <w:tr>
        <w:tblPrEx>
          <w:shd w:val="clear" w:color="auto" w:fill="FFFFFF"/>
          <w:tblCellMar>
            <w:top w:w="0" w:type="dxa"/>
            <w:left w:w="108" w:type="dxa"/>
            <w:bottom w:w="0" w:type="dxa"/>
            <w:right w:w="108" w:type="dxa"/>
          </w:tblCellMar>
        </w:tblPrEx>
        <w:trPr>
          <w:trHeight w:val="330" w:hRule="atLeast"/>
        </w:trPr>
        <w:tc>
          <w:tcPr>
            <w:tcW w:w="0" w:type="auto"/>
            <w:vMerge w:val="continue"/>
            <w:tcBorders>
              <w:top w:val="single" w:color="auto" w:sz="6" w:space="0"/>
              <w:left w:val="single" w:color="auto" w:sz="6" w:space="0"/>
              <w:bottom w:val="single" w:color="auto" w:sz="6" w:space="0"/>
              <w:right w:val="single" w:color="auto" w:sz="6" w:space="0"/>
            </w:tcBorders>
            <w:shd w:val="clear" w:color="auto" w:fill="FFFFFF"/>
            <w:vAlign w:val="center"/>
          </w:tcPr>
          <w:p>
            <w:pPr>
              <w:widowControl/>
              <w:jc w:val="left"/>
              <w:rPr>
                <w:rFonts w:ascii="Helvetica" w:hAnsi="Helvetica" w:eastAsia="宋体" w:cs="Helvetica"/>
                <w:color w:val="auto"/>
                <w:kern w:val="0"/>
                <w:sz w:val="18"/>
                <w:szCs w:val="18"/>
                <w:highlight w:val="none"/>
              </w:rPr>
            </w:pPr>
          </w:p>
        </w:tc>
        <w:tc>
          <w:tcPr>
            <w:tcW w:w="1413"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hint="eastAsia" w:ascii="Helvetica" w:hAnsi="Helvetica" w:eastAsia="宋体" w:cs="Helvetica"/>
                <w:color w:val="auto"/>
                <w:kern w:val="0"/>
                <w:sz w:val="18"/>
                <w:szCs w:val="18"/>
                <w:highlight w:val="none"/>
              </w:rPr>
              <w:t>营业收入</w:t>
            </w:r>
            <w:r>
              <w:rPr>
                <w:rFonts w:ascii="Helvetica" w:hAnsi="Helvetica" w:eastAsia="宋体" w:cs="Helvetica"/>
                <w:color w:val="auto"/>
                <w:kern w:val="0"/>
                <w:sz w:val="18"/>
                <w:szCs w:val="18"/>
                <w:highlight w:val="none"/>
              </w:rPr>
              <w:t>(Y)</w:t>
            </w:r>
          </w:p>
        </w:tc>
        <w:tc>
          <w:tcPr>
            <w:tcW w:w="714"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hint="eastAsia" w:ascii="Helvetica" w:hAnsi="Helvetica" w:eastAsia="宋体" w:cs="Helvetica"/>
                <w:color w:val="auto"/>
                <w:kern w:val="0"/>
                <w:sz w:val="18"/>
                <w:szCs w:val="18"/>
                <w:highlight w:val="none"/>
              </w:rPr>
              <w:t>万元</w:t>
            </w:r>
          </w:p>
        </w:tc>
        <w:tc>
          <w:tcPr>
            <w:tcW w:w="1275"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Y≥10000</w:t>
            </w:r>
          </w:p>
        </w:tc>
        <w:tc>
          <w:tcPr>
            <w:tcW w:w="1843"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1000≤Y</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10000</w:t>
            </w:r>
          </w:p>
        </w:tc>
        <w:tc>
          <w:tcPr>
            <w:tcW w:w="1559"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50≤Y</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1000</w:t>
            </w:r>
          </w:p>
        </w:tc>
        <w:tc>
          <w:tcPr>
            <w:tcW w:w="1004"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Y</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50</w:t>
            </w:r>
          </w:p>
        </w:tc>
      </w:tr>
      <w:tr>
        <w:tblPrEx>
          <w:shd w:val="clear" w:color="auto" w:fill="FFFFFF"/>
          <w:tblCellMar>
            <w:top w:w="0" w:type="dxa"/>
            <w:left w:w="108" w:type="dxa"/>
            <w:bottom w:w="0" w:type="dxa"/>
            <w:right w:w="108" w:type="dxa"/>
          </w:tblCellMar>
        </w:tblPrEx>
        <w:trPr>
          <w:trHeight w:val="330" w:hRule="atLeast"/>
        </w:trPr>
        <w:tc>
          <w:tcPr>
            <w:tcW w:w="2127" w:type="dxa"/>
            <w:vMerge w:val="restart"/>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hint="eastAsia" w:ascii="Helvetica" w:hAnsi="Helvetica" w:eastAsia="宋体" w:cs="Helvetica"/>
                <w:color w:val="auto"/>
                <w:kern w:val="0"/>
                <w:sz w:val="18"/>
                <w:szCs w:val="18"/>
                <w:highlight w:val="none"/>
              </w:rPr>
              <w:t>房地产开发经营</w:t>
            </w:r>
          </w:p>
        </w:tc>
        <w:tc>
          <w:tcPr>
            <w:tcW w:w="1413"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hint="eastAsia" w:ascii="Helvetica" w:hAnsi="Helvetica" w:eastAsia="宋体" w:cs="Helvetica"/>
                <w:color w:val="auto"/>
                <w:kern w:val="0"/>
                <w:sz w:val="18"/>
                <w:szCs w:val="18"/>
                <w:highlight w:val="none"/>
              </w:rPr>
              <w:t>营业收入</w:t>
            </w:r>
            <w:r>
              <w:rPr>
                <w:rFonts w:ascii="Helvetica" w:hAnsi="Helvetica" w:eastAsia="宋体" w:cs="Helvetica"/>
                <w:color w:val="auto"/>
                <w:kern w:val="0"/>
                <w:sz w:val="18"/>
                <w:szCs w:val="18"/>
                <w:highlight w:val="none"/>
              </w:rPr>
              <w:t>(Y)</w:t>
            </w:r>
          </w:p>
        </w:tc>
        <w:tc>
          <w:tcPr>
            <w:tcW w:w="714"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hint="eastAsia" w:ascii="Helvetica" w:hAnsi="Helvetica" w:eastAsia="宋体" w:cs="Helvetica"/>
                <w:color w:val="auto"/>
                <w:kern w:val="0"/>
                <w:sz w:val="18"/>
                <w:szCs w:val="18"/>
                <w:highlight w:val="none"/>
              </w:rPr>
              <w:t>万元</w:t>
            </w:r>
          </w:p>
        </w:tc>
        <w:tc>
          <w:tcPr>
            <w:tcW w:w="1275"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Y≥200000</w:t>
            </w:r>
          </w:p>
        </w:tc>
        <w:tc>
          <w:tcPr>
            <w:tcW w:w="1843"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1000≤Y</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200000</w:t>
            </w:r>
          </w:p>
        </w:tc>
        <w:tc>
          <w:tcPr>
            <w:tcW w:w="1559"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100≤Y</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1000</w:t>
            </w:r>
          </w:p>
        </w:tc>
        <w:tc>
          <w:tcPr>
            <w:tcW w:w="1004"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Y</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100</w:t>
            </w:r>
          </w:p>
        </w:tc>
      </w:tr>
      <w:tr>
        <w:tblPrEx>
          <w:shd w:val="clear" w:color="auto" w:fill="FFFFFF"/>
          <w:tblCellMar>
            <w:top w:w="0" w:type="dxa"/>
            <w:left w:w="108" w:type="dxa"/>
            <w:bottom w:w="0" w:type="dxa"/>
            <w:right w:w="108" w:type="dxa"/>
          </w:tblCellMar>
        </w:tblPrEx>
        <w:trPr>
          <w:trHeight w:val="330" w:hRule="atLeast"/>
        </w:trPr>
        <w:tc>
          <w:tcPr>
            <w:tcW w:w="0" w:type="auto"/>
            <w:vMerge w:val="continue"/>
            <w:tcBorders>
              <w:top w:val="single" w:color="auto" w:sz="6" w:space="0"/>
              <w:left w:val="single" w:color="auto" w:sz="6" w:space="0"/>
              <w:bottom w:val="single" w:color="auto" w:sz="6" w:space="0"/>
              <w:right w:val="single" w:color="auto" w:sz="6" w:space="0"/>
            </w:tcBorders>
            <w:shd w:val="clear" w:color="auto" w:fill="FFFFFF"/>
            <w:vAlign w:val="center"/>
          </w:tcPr>
          <w:p>
            <w:pPr>
              <w:widowControl/>
              <w:jc w:val="left"/>
              <w:rPr>
                <w:rFonts w:ascii="Helvetica" w:hAnsi="Helvetica" w:eastAsia="宋体" w:cs="Helvetica"/>
                <w:color w:val="auto"/>
                <w:kern w:val="0"/>
                <w:sz w:val="18"/>
                <w:szCs w:val="18"/>
                <w:highlight w:val="none"/>
              </w:rPr>
            </w:pPr>
          </w:p>
        </w:tc>
        <w:tc>
          <w:tcPr>
            <w:tcW w:w="1413"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hint="eastAsia" w:ascii="Helvetica" w:hAnsi="Helvetica" w:eastAsia="宋体" w:cs="Helvetica"/>
                <w:color w:val="auto"/>
                <w:kern w:val="0"/>
                <w:sz w:val="18"/>
                <w:szCs w:val="18"/>
                <w:highlight w:val="none"/>
              </w:rPr>
              <w:t>资产总额</w:t>
            </w:r>
            <w:r>
              <w:rPr>
                <w:rFonts w:ascii="Helvetica" w:hAnsi="Helvetica" w:eastAsia="宋体" w:cs="Helvetica"/>
                <w:color w:val="auto"/>
                <w:kern w:val="0"/>
                <w:sz w:val="18"/>
                <w:szCs w:val="18"/>
                <w:highlight w:val="none"/>
              </w:rPr>
              <w:t>(Z)</w:t>
            </w:r>
          </w:p>
        </w:tc>
        <w:tc>
          <w:tcPr>
            <w:tcW w:w="714"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hint="eastAsia" w:ascii="Helvetica" w:hAnsi="Helvetica" w:eastAsia="宋体" w:cs="Helvetica"/>
                <w:color w:val="auto"/>
                <w:kern w:val="0"/>
                <w:sz w:val="18"/>
                <w:szCs w:val="18"/>
                <w:highlight w:val="none"/>
              </w:rPr>
              <w:t>万元</w:t>
            </w:r>
          </w:p>
        </w:tc>
        <w:tc>
          <w:tcPr>
            <w:tcW w:w="1275"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Z≥10000</w:t>
            </w:r>
          </w:p>
        </w:tc>
        <w:tc>
          <w:tcPr>
            <w:tcW w:w="1843"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5000≤Z</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10000</w:t>
            </w:r>
          </w:p>
        </w:tc>
        <w:tc>
          <w:tcPr>
            <w:tcW w:w="1559"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2000≤Z</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5000</w:t>
            </w:r>
          </w:p>
        </w:tc>
        <w:tc>
          <w:tcPr>
            <w:tcW w:w="1004"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Z</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2000</w:t>
            </w:r>
          </w:p>
        </w:tc>
      </w:tr>
      <w:tr>
        <w:tblPrEx>
          <w:shd w:val="clear" w:color="auto" w:fill="FFFFFF"/>
          <w:tblCellMar>
            <w:top w:w="0" w:type="dxa"/>
            <w:left w:w="108" w:type="dxa"/>
            <w:bottom w:w="0" w:type="dxa"/>
            <w:right w:w="108" w:type="dxa"/>
          </w:tblCellMar>
        </w:tblPrEx>
        <w:trPr>
          <w:trHeight w:val="330" w:hRule="atLeast"/>
        </w:trPr>
        <w:tc>
          <w:tcPr>
            <w:tcW w:w="2127" w:type="dxa"/>
            <w:vMerge w:val="restart"/>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hint="eastAsia" w:ascii="Helvetica" w:hAnsi="Helvetica" w:eastAsia="宋体" w:cs="Helvetica"/>
                <w:color w:val="auto"/>
                <w:kern w:val="0"/>
                <w:sz w:val="18"/>
                <w:szCs w:val="18"/>
                <w:highlight w:val="none"/>
              </w:rPr>
              <w:t>物业管理</w:t>
            </w:r>
          </w:p>
        </w:tc>
        <w:tc>
          <w:tcPr>
            <w:tcW w:w="1413"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hint="eastAsia" w:ascii="Helvetica" w:hAnsi="Helvetica" w:eastAsia="宋体" w:cs="Helvetica"/>
                <w:color w:val="auto"/>
                <w:kern w:val="0"/>
                <w:sz w:val="18"/>
                <w:szCs w:val="18"/>
                <w:highlight w:val="none"/>
              </w:rPr>
              <w:t>从业人员</w:t>
            </w:r>
            <w:r>
              <w:rPr>
                <w:rFonts w:ascii="Helvetica" w:hAnsi="Helvetica" w:eastAsia="宋体" w:cs="Helvetica"/>
                <w:color w:val="auto"/>
                <w:kern w:val="0"/>
                <w:sz w:val="18"/>
                <w:szCs w:val="18"/>
                <w:highlight w:val="none"/>
              </w:rPr>
              <w:t>(X)</w:t>
            </w:r>
          </w:p>
        </w:tc>
        <w:tc>
          <w:tcPr>
            <w:tcW w:w="714"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hint="eastAsia" w:ascii="Helvetica" w:hAnsi="Helvetica" w:eastAsia="宋体" w:cs="Helvetica"/>
                <w:color w:val="auto"/>
                <w:kern w:val="0"/>
                <w:sz w:val="18"/>
                <w:szCs w:val="18"/>
                <w:highlight w:val="none"/>
              </w:rPr>
              <w:t>人</w:t>
            </w:r>
          </w:p>
        </w:tc>
        <w:tc>
          <w:tcPr>
            <w:tcW w:w="1275"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X≥1000</w:t>
            </w:r>
          </w:p>
        </w:tc>
        <w:tc>
          <w:tcPr>
            <w:tcW w:w="1843"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300≤X</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1000</w:t>
            </w:r>
          </w:p>
        </w:tc>
        <w:tc>
          <w:tcPr>
            <w:tcW w:w="1559"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100≤X</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300</w:t>
            </w:r>
          </w:p>
        </w:tc>
        <w:tc>
          <w:tcPr>
            <w:tcW w:w="1004"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X</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100</w:t>
            </w:r>
          </w:p>
        </w:tc>
      </w:tr>
      <w:tr>
        <w:tblPrEx>
          <w:shd w:val="clear" w:color="auto" w:fill="FFFFFF"/>
          <w:tblCellMar>
            <w:top w:w="0" w:type="dxa"/>
            <w:left w:w="108" w:type="dxa"/>
            <w:bottom w:w="0" w:type="dxa"/>
            <w:right w:w="108" w:type="dxa"/>
          </w:tblCellMar>
        </w:tblPrEx>
        <w:trPr>
          <w:trHeight w:val="330" w:hRule="atLeast"/>
        </w:trPr>
        <w:tc>
          <w:tcPr>
            <w:tcW w:w="0" w:type="auto"/>
            <w:vMerge w:val="continue"/>
            <w:tcBorders>
              <w:top w:val="single" w:color="auto" w:sz="6" w:space="0"/>
              <w:left w:val="single" w:color="auto" w:sz="6" w:space="0"/>
              <w:bottom w:val="single" w:color="auto" w:sz="6" w:space="0"/>
              <w:right w:val="single" w:color="auto" w:sz="6" w:space="0"/>
            </w:tcBorders>
            <w:shd w:val="clear" w:color="auto" w:fill="FFFFFF"/>
            <w:vAlign w:val="center"/>
          </w:tcPr>
          <w:p>
            <w:pPr>
              <w:widowControl/>
              <w:jc w:val="left"/>
              <w:rPr>
                <w:rFonts w:ascii="Helvetica" w:hAnsi="Helvetica" w:eastAsia="宋体" w:cs="Helvetica"/>
                <w:color w:val="auto"/>
                <w:kern w:val="0"/>
                <w:sz w:val="18"/>
                <w:szCs w:val="18"/>
                <w:highlight w:val="none"/>
              </w:rPr>
            </w:pPr>
          </w:p>
        </w:tc>
        <w:tc>
          <w:tcPr>
            <w:tcW w:w="1413"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hint="eastAsia" w:ascii="Helvetica" w:hAnsi="Helvetica" w:eastAsia="宋体" w:cs="Helvetica"/>
                <w:color w:val="auto"/>
                <w:kern w:val="0"/>
                <w:sz w:val="18"/>
                <w:szCs w:val="18"/>
                <w:highlight w:val="none"/>
              </w:rPr>
              <w:t>营业收入</w:t>
            </w:r>
            <w:r>
              <w:rPr>
                <w:rFonts w:ascii="Helvetica" w:hAnsi="Helvetica" w:eastAsia="宋体" w:cs="Helvetica"/>
                <w:color w:val="auto"/>
                <w:kern w:val="0"/>
                <w:sz w:val="18"/>
                <w:szCs w:val="18"/>
                <w:highlight w:val="none"/>
              </w:rPr>
              <w:t>(Y)</w:t>
            </w:r>
          </w:p>
        </w:tc>
        <w:tc>
          <w:tcPr>
            <w:tcW w:w="714"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hint="eastAsia" w:ascii="Helvetica" w:hAnsi="Helvetica" w:eastAsia="宋体" w:cs="Helvetica"/>
                <w:color w:val="auto"/>
                <w:kern w:val="0"/>
                <w:sz w:val="18"/>
                <w:szCs w:val="18"/>
                <w:highlight w:val="none"/>
              </w:rPr>
              <w:t>万元</w:t>
            </w:r>
          </w:p>
        </w:tc>
        <w:tc>
          <w:tcPr>
            <w:tcW w:w="1275"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Y≥5000</w:t>
            </w:r>
          </w:p>
        </w:tc>
        <w:tc>
          <w:tcPr>
            <w:tcW w:w="1843"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1000≤Y</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5000</w:t>
            </w:r>
          </w:p>
        </w:tc>
        <w:tc>
          <w:tcPr>
            <w:tcW w:w="1559"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500≤Y</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1000</w:t>
            </w:r>
          </w:p>
        </w:tc>
        <w:tc>
          <w:tcPr>
            <w:tcW w:w="1004"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Y</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500</w:t>
            </w:r>
          </w:p>
        </w:tc>
      </w:tr>
      <w:tr>
        <w:tblPrEx>
          <w:shd w:val="clear" w:color="auto" w:fill="FFFFFF"/>
          <w:tblCellMar>
            <w:top w:w="0" w:type="dxa"/>
            <w:left w:w="108" w:type="dxa"/>
            <w:bottom w:w="0" w:type="dxa"/>
            <w:right w:w="108" w:type="dxa"/>
          </w:tblCellMar>
        </w:tblPrEx>
        <w:trPr>
          <w:trHeight w:val="330" w:hRule="atLeast"/>
        </w:trPr>
        <w:tc>
          <w:tcPr>
            <w:tcW w:w="2127" w:type="dxa"/>
            <w:vMerge w:val="restart"/>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hint="eastAsia" w:ascii="Helvetica" w:hAnsi="Helvetica" w:eastAsia="宋体" w:cs="Helvetica"/>
                <w:color w:val="auto"/>
                <w:kern w:val="0"/>
                <w:sz w:val="18"/>
                <w:szCs w:val="18"/>
                <w:highlight w:val="none"/>
              </w:rPr>
              <w:t>租赁和商务服务业</w:t>
            </w:r>
          </w:p>
        </w:tc>
        <w:tc>
          <w:tcPr>
            <w:tcW w:w="1413"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hint="eastAsia" w:ascii="Helvetica" w:hAnsi="Helvetica" w:eastAsia="宋体" w:cs="Helvetica"/>
                <w:color w:val="auto"/>
                <w:kern w:val="0"/>
                <w:sz w:val="18"/>
                <w:szCs w:val="18"/>
                <w:highlight w:val="none"/>
              </w:rPr>
              <w:t>从业人员</w:t>
            </w:r>
            <w:r>
              <w:rPr>
                <w:rFonts w:ascii="Helvetica" w:hAnsi="Helvetica" w:eastAsia="宋体" w:cs="Helvetica"/>
                <w:color w:val="auto"/>
                <w:kern w:val="0"/>
                <w:sz w:val="18"/>
                <w:szCs w:val="18"/>
                <w:highlight w:val="none"/>
              </w:rPr>
              <w:t>(X)</w:t>
            </w:r>
          </w:p>
        </w:tc>
        <w:tc>
          <w:tcPr>
            <w:tcW w:w="714"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hint="eastAsia" w:ascii="Helvetica" w:hAnsi="Helvetica" w:eastAsia="宋体" w:cs="Helvetica"/>
                <w:color w:val="auto"/>
                <w:kern w:val="0"/>
                <w:sz w:val="18"/>
                <w:szCs w:val="18"/>
                <w:highlight w:val="none"/>
              </w:rPr>
              <w:t>人</w:t>
            </w:r>
          </w:p>
        </w:tc>
        <w:tc>
          <w:tcPr>
            <w:tcW w:w="1275"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X≥300</w:t>
            </w:r>
          </w:p>
        </w:tc>
        <w:tc>
          <w:tcPr>
            <w:tcW w:w="1843"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100≤X</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300</w:t>
            </w:r>
          </w:p>
        </w:tc>
        <w:tc>
          <w:tcPr>
            <w:tcW w:w="1559"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10≤X</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100</w:t>
            </w:r>
          </w:p>
        </w:tc>
        <w:tc>
          <w:tcPr>
            <w:tcW w:w="1004"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X</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10</w:t>
            </w:r>
          </w:p>
        </w:tc>
      </w:tr>
      <w:tr>
        <w:tblPrEx>
          <w:shd w:val="clear" w:color="auto" w:fill="FFFFFF"/>
          <w:tblCellMar>
            <w:top w:w="0" w:type="dxa"/>
            <w:left w:w="108" w:type="dxa"/>
            <w:bottom w:w="0" w:type="dxa"/>
            <w:right w:w="108" w:type="dxa"/>
          </w:tblCellMar>
        </w:tblPrEx>
        <w:trPr>
          <w:trHeight w:val="330" w:hRule="atLeast"/>
        </w:trPr>
        <w:tc>
          <w:tcPr>
            <w:tcW w:w="0" w:type="auto"/>
            <w:vMerge w:val="continue"/>
            <w:tcBorders>
              <w:top w:val="single" w:color="auto" w:sz="6" w:space="0"/>
              <w:left w:val="single" w:color="auto" w:sz="6" w:space="0"/>
              <w:bottom w:val="single" w:color="auto" w:sz="6" w:space="0"/>
              <w:right w:val="single" w:color="auto" w:sz="6" w:space="0"/>
            </w:tcBorders>
            <w:shd w:val="clear" w:color="auto" w:fill="FFFFFF"/>
            <w:vAlign w:val="center"/>
          </w:tcPr>
          <w:p>
            <w:pPr>
              <w:widowControl/>
              <w:jc w:val="left"/>
              <w:rPr>
                <w:rFonts w:ascii="Helvetica" w:hAnsi="Helvetica" w:eastAsia="宋体" w:cs="Helvetica"/>
                <w:color w:val="auto"/>
                <w:kern w:val="0"/>
                <w:sz w:val="18"/>
                <w:szCs w:val="18"/>
                <w:highlight w:val="none"/>
              </w:rPr>
            </w:pPr>
          </w:p>
        </w:tc>
        <w:tc>
          <w:tcPr>
            <w:tcW w:w="1413"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hint="eastAsia" w:ascii="Helvetica" w:hAnsi="Helvetica" w:eastAsia="宋体" w:cs="Helvetica"/>
                <w:color w:val="auto"/>
                <w:kern w:val="0"/>
                <w:sz w:val="18"/>
                <w:szCs w:val="18"/>
                <w:highlight w:val="none"/>
              </w:rPr>
              <w:t>资产总额</w:t>
            </w:r>
            <w:r>
              <w:rPr>
                <w:rFonts w:ascii="Helvetica" w:hAnsi="Helvetica" w:eastAsia="宋体" w:cs="Helvetica"/>
                <w:color w:val="auto"/>
                <w:kern w:val="0"/>
                <w:sz w:val="18"/>
                <w:szCs w:val="18"/>
                <w:highlight w:val="none"/>
              </w:rPr>
              <w:t>(Z)</w:t>
            </w:r>
          </w:p>
        </w:tc>
        <w:tc>
          <w:tcPr>
            <w:tcW w:w="714"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hint="eastAsia" w:ascii="Helvetica" w:hAnsi="Helvetica" w:eastAsia="宋体" w:cs="Helvetica"/>
                <w:color w:val="auto"/>
                <w:kern w:val="0"/>
                <w:sz w:val="18"/>
                <w:szCs w:val="18"/>
                <w:highlight w:val="none"/>
              </w:rPr>
              <w:t>万元</w:t>
            </w:r>
          </w:p>
        </w:tc>
        <w:tc>
          <w:tcPr>
            <w:tcW w:w="1275"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Z≥120000</w:t>
            </w:r>
          </w:p>
        </w:tc>
        <w:tc>
          <w:tcPr>
            <w:tcW w:w="1843"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8000≤Z</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120000</w:t>
            </w:r>
          </w:p>
        </w:tc>
        <w:tc>
          <w:tcPr>
            <w:tcW w:w="1559"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100≤Z</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8000</w:t>
            </w:r>
          </w:p>
        </w:tc>
        <w:tc>
          <w:tcPr>
            <w:tcW w:w="1004"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Z</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100</w:t>
            </w:r>
          </w:p>
        </w:tc>
      </w:tr>
      <w:tr>
        <w:tblPrEx>
          <w:shd w:val="clear" w:color="auto" w:fill="FFFFFF"/>
          <w:tblCellMar>
            <w:top w:w="0" w:type="dxa"/>
            <w:left w:w="108" w:type="dxa"/>
            <w:bottom w:w="0" w:type="dxa"/>
            <w:right w:w="108" w:type="dxa"/>
          </w:tblCellMar>
        </w:tblPrEx>
        <w:trPr>
          <w:trHeight w:val="330" w:hRule="atLeast"/>
        </w:trPr>
        <w:tc>
          <w:tcPr>
            <w:tcW w:w="2127"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hint="eastAsia" w:ascii="Helvetica" w:hAnsi="Helvetica" w:eastAsia="宋体" w:cs="Helvetica"/>
                <w:color w:val="auto"/>
                <w:kern w:val="0"/>
                <w:sz w:val="18"/>
                <w:szCs w:val="18"/>
                <w:highlight w:val="none"/>
              </w:rPr>
              <w:t>其他未列明行业</w:t>
            </w:r>
            <w:r>
              <w:rPr>
                <w:rFonts w:ascii="Helvetica" w:hAnsi="Helvetica" w:eastAsia="宋体" w:cs="Helvetica"/>
                <w:color w:val="auto"/>
                <w:kern w:val="0"/>
                <w:sz w:val="18"/>
                <w:szCs w:val="18"/>
                <w:highlight w:val="none"/>
              </w:rPr>
              <w:t xml:space="preserve"> *</w:t>
            </w:r>
          </w:p>
        </w:tc>
        <w:tc>
          <w:tcPr>
            <w:tcW w:w="1413"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hint="eastAsia" w:ascii="Helvetica" w:hAnsi="Helvetica" w:eastAsia="宋体" w:cs="Helvetica"/>
                <w:color w:val="auto"/>
                <w:kern w:val="0"/>
                <w:sz w:val="18"/>
                <w:szCs w:val="18"/>
                <w:highlight w:val="none"/>
              </w:rPr>
              <w:t>从业人员</w:t>
            </w:r>
            <w:r>
              <w:rPr>
                <w:rFonts w:ascii="Helvetica" w:hAnsi="Helvetica" w:eastAsia="宋体" w:cs="Helvetica"/>
                <w:color w:val="auto"/>
                <w:kern w:val="0"/>
                <w:sz w:val="18"/>
                <w:szCs w:val="18"/>
                <w:highlight w:val="none"/>
              </w:rPr>
              <w:t>(X)</w:t>
            </w:r>
          </w:p>
        </w:tc>
        <w:tc>
          <w:tcPr>
            <w:tcW w:w="714"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hint="eastAsia" w:ascii="Helvetica" w:hAnsi="Helvetica" w:eastAsia="宋体" w:cs="Helvetica"/>
                <w:color w:val="auto"/>
                <w:kern w:val="0"/>
                <w:sz w:val="18"/>
                <w:szCs w:val="18"/>
                <w:highlight w:val="none"/>
              </w:rPr>
              <w:t>人</w:t>
            </w:r>
          </w:p>
        </w:tc>
        <w:tc>
          <w:tcPr>
            <w:tcW w:w="1275"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X≥300</w:t>
            </w:r>
          </w:p>
        </w:tc>
        <w:tc>
          <w:tcPr>
            <w:tcW w:w="1843"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100≤X</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300</w:t>
            </w:r>
          </w:p>
        </w:tc>
        <w:tc>
          <w:tcPr>
            <w:tcW w:w="1559"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10≤X</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100</w:t>
            </w:r>
          </w:p>
        </w:tc>
        <w:tc>
          <w:tcPr>
            <w:tcW w:w="1004" w:type="dxa"/>
            <w:tcBorders>
              <w:top w:val="single" w:color="auto" w:sz="6" w:space="0"/>
              <w:left w:val="single" w:color="auto" w:sz="6" w:space="0"/>
              <w:bottom w:val="single" w:color="auto" w:sz="6" w:space="0"/>
              <w:right w:val="single" w:color="auto" w:sz="6" w:space="0"/>
            </w:tcBorders>
            <w:shd w:val="clear" w:color="auto" w:fill="FFFFFF"/>
            <w:tcMar>
              <w:top w:w="30" w:type="dxa"/>
              <w:left w:w="150" w:type="dxa"/>
              <w:bottom w:w="30" w:type="dxa"/>
              <w:right w:w="150" w:type="dxa"/>
            </w:tcMar>
            <w:vAlign w:val="center"/>
          </w:tcPr>
          <w:p>
            <w:pPr>
              <w:widowControl/>
              <w:spacing w:line="340" w:lineRule="exact"/>
              <w:jc w:val="center"/>
              <w:rPr>
                <w:rFonts w:ascii="Helvetica" w:hAnsi="Helvetica" w:eastAsia="宋体" w:cs="Helvetica"/>
                <w:color w:val="auto"/>
                <w:kern w:val="0"/>
                <w:sz w:val="18"/>
                <w:szCs w:val="18"/>
                <w:highlight w:val="none"/>
              </w:rPr>
            </w:pPr>
            <w:r>
              <w:rPr>
                <w:rFonts w:ascii="Helvetica" w:hAnsi="Helvetica" w:eastAsia="宋体" w:cs="Helvetica"/>
                <w:color w:val="auto"/>
                <w:kern w:val="0"/>
                <w:sz w:val="18"/>
                <w:szCs w:val="18"/>
                <w:highlight w:val="none"/>
              </w:rPr>
              <w:t>X</w:t>
            </w:r>
            <w:r>
              <w:rPr>
                <w:rFonts w:hint="eastAsia" w:ascii="Helvetica" w:hAnsi="Helvetica" w:eastAsia="宋体" w:cs="Helvetica"/>
                <w:color w:val="auto"/>
                <w:kern w:val="0"/>
                <w:sz w:val="18"/>
                <w:szCs w:val="18"/>
                <w:highlight w:val="none"/>
              </w:rPr>
              <w:t>＜</w:t>
            </w:r>
            <w:r>
              <w:rPr>
                <w:rFonts w:ascii="Helvetica" w:hAnsi="Helvetica" w:eastAsia="宋体" w:cs="Helvetica"/>
                <w:color w:val="auto"/>
                <w:kern w:val="0"/>
                <w:sz w:val="18"/>
                <w:szCs w:val="18"/>
                <w:highlight w:val="none"/>
              </w:rPr>
              <w:t>10</w:t>
            </w:r>
          </w:p>
        </w:tc>
      </w:tr>
    </w:tbl>
    <w:p>
      <w:pPr>
        <w:widowControl/>
        <w:shd w:val="clear" w:color="auto" w:fill="FFFFFF"/>
        <w:spacing w:line="360" w:lineRule="exact"/>
        <w:jc w:val="left"/>
        <w:rPr>
          <w:rFonts w:ascii="Helvetica" w:hAnsi="Helvetica" w:eastAsia="宋体" w:cs="Helvetica"/>
          <w:color w:val="auto"/>
          <w:kern w:val="0"/>
          <w:szCs w:val="21"/>
          <w:highlight w:val="none"/>
        </w:rPr>
      </w:pPr>
      <w:r>
        <w:rPr>
          <w:rFonts w:hint="eastAsia" w:ascii="Helvetica" w:hAnsi="Helvetica" w:eastAsia="宋体" w:cs="Helvetica"/>
          <w:color w:val="auto"/>
          <w:kern w:val="0"/>
          <w:szCs w:val="21"/>
          <w:highlight w:val="none"/>
        </w:rPr>
        <w:t>说明：</w:t>
      </w:r>
    </w:p>
    <w:p>
      <w:pPr>
        <w:widowControl/>
        <w:shd w:val="clear" w:color="auto" w:fill="FFFFFF"/>
        <w:spacing w:line="360" w:lineRule="exact"/>
        <w:ind w:firstLine="480"/>
        <w:jc w:val="left"/>
        <w:rPr>
          <w:rFonts w:ascii="Helvetica" w:hAnsi="Helvetica" w:eastAsia="宋体" w:cs="Helvetica"/>
          <w:color w:val="auto"/>
          <w:kern w:val="0"/>
          <w:szCs w:val="21"/>
          <w:highlight w:val="none"/>
        </w:rPr>
      </w:pPr>
      <w:r>
        <w:rPr>
          <w:rFonts w:ascii="Helvetica" w:hAnsi="Helvetica" w:eastAsia="宋体" w:cs="Helvetica"/>
          <w:color w:val="auto"/>
          <w:kern w:val="0"/>
          <w:szCs w:val="21"/>
          <w:highlight w:val="none"/>
        </w:rPr>
        <w:t>1.</w:t>
      </w:r>
      <w:r>
        <w:rPr>
          <w:rFonts w:hint="eastAsia" w:ascii="Helvetica" w:hAnsi="Helvetica" w:eastAsia="宋体" w:cs="Helvetica"/>
          <w:color w:val="auto"/>
          <w:kern w:val="0"/>
          <w:szCs w:val="21"/>
          <w:highlight w:val="none"/>
        </w:rPr>
        <w:t>大型、中型和小型企业须同时满足所列指标的下限，否则下划一档；微型企业只须满足所列指标中的一项即可。</w:t>
      </w:r>
    </w:p>
    <w:p>
      <w:pPr>
        <w:widowControl/>
        <w:shd w:val="clear" w:color="auto" w:fill="FFFFFF"/>
        <w:spacing w:line="360" w:lineRule="exact"/>
        <w:ind w:firstLine="480"/>
        <w:jc w:val="left"/>
        <w:rPr>
          <w:rFonts w:ascii="Helvetica" w:hAnsi="Helvetica" w:eastAsia="宋体" w:cs="Helvetica"/>
          <w:color w:val="auto"/>
          <w:kern w:val="0"/>
          <w:szCs w:val="21"/>
          <w:highlight w:val="none"/>
        </w:rPr>
      </w:pPr>
      <w:r>
        <w:rPr>
          <w:rFonts w:ascii="Helvetica" w:hAnsi="Helvetica" w:eastAsia="宋体" w:cs="Helvetica"/>
          <w:color w:val="auto"/>
          <w:kern w:val="0"/>
          <w:szCs w:val="21"/>
          <w:highlight w:val="none"/>
        </w:rPr>
        <w:t>2.</w:t>
      </w:r>
      <w:r>
        <w:rPr>
          <w:rFonts w:hint="eastAsia" w:ascii="Helvetica" w:hAnsi="Helvetica" w:eastAsia="宋体" w:cs="Helvetica"/>
          <w:color w:val="auto"/>
          <w:kern w:val="0"/>
          <w:szCs w:val="21"/>
          <w:highlight w:val="none"/>
        </w:rPr>
        <w:t>附表中各行业的范围以《国民经济行业分类》（</w:t>
      </w:r>
      <w:r>
        <w:rPr>
          <w:rFonts w:ascii="Helvetica" w:hAnsi="Helvetica" w:eastAsia="宋体" w:cs="Helvetica"/>
          <w:color w:val="auto"/>
          <w:kern w:val="0"/>
          <w:szCs w:val="21"/>
          <w:highlight w:val="none"/>
        </w:rPr>
        <w:t>GB/T4754-2017</w:t>
      </w:r>
      <w:r>
        <w:rPr>
          <w:rFonts w:hint="eastAsia" w:ascii="Helvetica" w:hAnsi="Helvetica" w:eastAsia="宋体" w:cs="Helvetica"/>
          <w:color w:val="auto"/>
          <w:kern w:val="0"/>
          <w:szCs w:val="21"/>
          <w:highlight w:val="none"/>
        </w:rPr>
        <w:t>）为准。带</w:t>
      </w:r>
      <w:r>
        <w:rPr>
          <w:rFonts w:ascii="Helvetica" w:hAnsi="Helvetica" w:eastAsia="宋体" w:cs="Helvetica"/>
          <w:color w:val="auto"/>
          <w:kern w:val="0"/>
          <w:szCs w:val="21"/>
          <w:highlight w:val="none"/>
        </w:rPr>
        <w:t>*</w:t>
      </w:r>
      <w:r>
        <w:rPr>
          <w:rFonts w:hint="eastAsia" w:ascii="Helvetica" w:hAnsi="Helvetica" w:eastAsia="宋体" w:cs="Helvetica"/>
          <w:color w:val="auto"/>
          <w:kern w:val="0"/>
          <w:szCs w:val="21"/>
          <w:highlight w:val="none"/>
        </w:rPr>
        <w:t>的项为行业组合类别，其中，工业包括采矿业，制造业，电力、热力、燃气及水生产和供应业；交通运输业包括道路运输业，水上运输业，航空运输业，管道运输业，</w:t>
      </w:r>
      <w:r>
        <w:rPr>
          <w:color w:val="auto"/>
          <w:highlight w:val="none"/>
        </w:rPr>
        <w:fldChar w:fldCharType="begin"/>
      </w:r>
      <w:r>
        <w:rPr>
          <w:color w:val="auto"/>
          <w:highlight w:val="none"/>
        </w:rPr>
        <w:instrText xml:space="preserve"> HYPERLINK "https://baike.baidu.com/item/%E5%A4%9A%E5%BC%8F%E8%81%94%E8%BF%90/3342240?fromModule=lemma_inlink" \t "_blank" </w:instrText>
      </w:r>
      <w:r>
        <w:rPr>
          <w:color w:val="auto"/>
          <w:highlight w:val="none"/>
        </w:rPr>
        <w:fldChar w:fldCharType="separate"/>
      </w:r>
      <w:r>
        <w:rPr>
          <w:rFonts w:hint="eastAsia" w:ascii="Helvetica" w:hAnsi="Helvetica" w:eastAsia="宋体" w:cs="Helvetica"/>
          <w:color w:val="auto"/>
          <w:kern w:val="0"/>
          <w:szCs w:val="21"/>
          <w:highlight w:val="none"/>
          <w:u w:val="single"/>
        </w:rPr>
        <w:t>多式联运</w:t>
      </w:r>
      <w:r>
        <w:rPr>
          <w:rFonts w:hint="eastAsia" w:ascii="Helvetica" w:hAnsi="Helvetica" w:eastAsia="宋体" w:cs="Helvetica"/>
          <w:color w:val="auto"/>
          <w:kern w:val="0"/>
          <w:szCs w:val="21"/>
          <w:highlight w:val="none"/>
          <w:u w:val="single"/>
        </w:rPr>
        <w:fldChar w:fldCharType="end"/>
      </w:r>
      <w:r>
        <w:rPr>
          <w:rFonts w:hint="eastAsia" w:ascii="Helvetica" w:hAnsi="Helvetica" w:eastAsia="宋体" w:cs="Helvetica"/>
          <w:color w:val="auto"/>
          <w:kern w:val="0"/>
          <w:szCs w:val="21"/>
          <w:highlight w:val="none"/>
        </w:rPr>
        <w:t>和运输代理业、</w:t>
      </w:r>
      <w:r>
        <w:rPr>
          <w:color w:val="auto"/>
          <w:highlight w:val="none"/>
        </w:rPr>
        <w:fldChar w:fldCharType="begin"/>
      </w:r>
      <w:r>
        <w:rPr>
          <w:color w:val="auto"/>
          <w:highlight w:val="none"/>
        </w:rPr>
        <w:instrText xml:space="preserve"> HYPERLINK "https://baike.baidu.com/item/%E8%A3%85%E5%8D%B8%E6%90%AC%E8%BF%90/6511400?fromModule=lemma_inlink" \t "_blank" </w:instrText>
      </w:r>
      <w:r>
        <w:rPr>
          <w:color w:val="auto"/>
          <w:highlight w:val="none"/>
        </w:rPr>
        <w:fldChar w:fldCharType="separate"/>
      </w:r>
      <w:r>
        <w:rPr>
          <w:rFonts w:hint="eastAsia" w:ascii="Helvetica" w:hAnsi="Helvetica" w:eastAsia="宋体" w:cs="Helvetica"/>
          <w:color w:val="auto"/>
          <w:kern w:val="0"/>
          <w:szCs w:val="21"/>
          <w:highlight w:val="none"/>
          <w:u w:val="single"/>
        </w:rPr>
        <w:t>装卸搬运</w:t>
      </w:r>
      <w:r>
        <w:rPr>
          <w:rFonts w:hint="eastAsia" w:ascii="Helvetica" w:hAnsi="Helvetica" w:eastAsia="宋体" w:cs="Helvetica"/>
          <w:color w:val="auto"/>
          <w:kern w:val="0"/>
          <w:szCs w:val="21"/>
          <w:highlight w:val="none"/>
          <w:u w:val="single"/>
        </w:rPr>
        <w:fldChar w:fldCharType="end"/>
      </w:r>
      <w:r>
        <w:rPr>
          <w:rFonts w:hint="eastAsia" w:ascii="Helvetica" w:hAnsi="Helvetica" w:eastAsia="宋体" w:cs="Helvetica"/>
          <w:color w:val="auto"/>
          <w:kern w:val="0"/>
          <w:szCs w:val="21"/>
          <w:highlight w:val="none"/>
        </w:rPr>
        <w:t>，不包括铁路运输业；</w:t>
      </w:r>
      <w:r>
        <w:rPr>
          <w:color w:val="auto"/>
          <w:highlight w:val="none"/>
        </w:rPr>
        <w:fldChar w:fldCharType="begin"/>
      </w:r>
      <w:r>
        <w:rPr>
          <w:color w:val="auto"/>
          <w:highlight w:val="none"/>
        </w:rPr>
        <w:instrText xml:space="preserve"> HYPERLINK "https://baike.baidu.com/item/%E4%BB%93%E5%82%A8%E4%B8%9A/3487863?fromModule=lemma_inlink" \t "_blank" </w:instrText>
      </w:r>
      <w:r>
        <w:rPr>
          <w:color w:val="auto"/>
          <w:highlight w:val="none"/>
        </w:rPr>
        <w:fldChar w:fldCharType="separate"/>
      </w:r>
      <w:r>
        <w:rPr>
          <w:rFonts w:hint="eastAsia" w:ascii="Helvetica" w:hAnsi="Helvetica" w:eastAsia="宋体" w:cs="Helvetica"/>
          <w:color w:val="auto"/>
          <w:kern w:val="0"/>
          <w:szCs w:val="21"/>
          <w:highlight w:val="none"/>
          <w:u w:val="single"/>
        </w:rPr>
        <w:t>仓储业</w:t>
      </w:r>
      <w:r>
        <w:rPr>
          <w:rFonts w:hint="eastAsia" w:ascii="Helvetica" w:hAnsi="Helvetica" w:eastAsia="宋体" w:cs="Helvetica"/>
          <w:color w:val="auto"/>
          <w:kern w:val="0"/>
          <w:szCs w:val="21"/>
          <w:highlight w:val="none"/>
          <w:u w:val="single"/>
        </w:rPr>
        <w:fldChar w:fldCharType="end"/>
      </w:r>
      <w:r>
        <w:rPr>
          <w:rFonts w:hint="eastAsia" w:ascii="Helvetica" w:hAnsi="Helvetica" w:eastAsia="宋体" w:cs="Helvetica"/>
          <w:color w:val="auto"/>
          <w:kern w:val="0"/>
          <w:szCs w:val="21"/>
          <w:highlight w:val="none"/>
        </w:rPr>
        <w:t>包括通用仓储，低温仓储，危险品仓储，谷物、棉花等农产品仓储，中药材仓储和其他仓储业</w:t>
      </w:r>
      <w:r>
        <w:rPr>
          <w:rFonts w:ascii="Helvetica" w:hAnsi="Helvetica" w:eastAsia="宋体" w:cs="Helvetica"/>
          <w:color w:val="auto"/>
          <w:kern w:val="0"/>
          <w:szCs w:val="21"/>
          <w:highlight w:val="none"/>
        </w:rPr>
        <w:t>;</w:t>
      </w:r>
      <w:r>
        <w:rPr>
          <w:color w:val="auto"/>
          <w:highlight w:val="none"/>
        </w:rPr>
        <w:fldChar w:fldCharType="begin"/>
      </w:r>
      <w:r>
        <w:rPr>
          <w:color w:val="auto"/>
          <w:highlight w:val="none"/>
        </w:rPr>
        <w:instrText xml:space="preserve"> HYPERLINK "https://baike.baidu.com/item/%E4%BF%A1%E6%81%AF%E4%BC%A0%E8%BE%93%E4%B8%9A/61331990?fromModule=lemma_inlink" \t "_blank" </w:instrText>
      </w:r>
      <w:r>
        <w:rPr>
          <w:color w:val="auto"/>
          <w:highlight w:val="none"/>
        </w:rPr>
        <w:fldChar w:fldCharType="separate"/>
      </w:r>
      <w:r>
        <w:rPr>
          <w:rFonts w:hint="eastAsia" w:ascii="Helvetica" w:hAnsi="Helvetica" w:eastAsia="宋体" w:cs="Helvetica"/>
          <w:color w:val="auto"/>
          <w:kern w:val="0"/>
          <w:szCs w:val="21"/>
          <w:highlight w:val="none"/>
          <w:u w:val="single"/>
        </w:rPr>
        <w:t>信息传输业</w:t>
      </w:r>
      <w:r>
        <w:rPr>
          <w:rFonts w:hint="eastAsia" w:ascii="Helvetica" w:hAnsi="Helvetica" w:eastAsia="宋体" w:cs="Helvetica"/>
          <w:color w:val="auto"/>
          <w:kern w:val="0"/>
          <w:szCs w:val="21"/>
          <w:highlight w:val="none"/>
          <w:u w:val="single"/>
        </w:rPr>
        <w:fldChar w:fldCharType="end"/>
      </w:r>
      <w:r>
        <w:rPr>
          <w:rFonts w:hint="eastAsia" w:ascii="Helvetica" w:hAnsi="Helvetica" w:eastAsia="宋体" w:cs="Helvetica"/>
          <w:color w:val="auto"/>
          <w:kern w:val="0"/>
          <w:szCs w:val="21"/>
          <w:highlight w:val="none"/>
        </w:rPr>
        <w:t>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pPr>
        <w:widowControl/>
        <w:shd w:val="clear" w:color="auto" w:fill="FFFFFF"/>
        <w:spacing w:line="360" w:lineRule="exact"/>
        <w:ind w:firstLine="480"/>
        <w:jc w:val="left"/>
        <w:rPr>
          <w:rFonts w:ascii="Helvetica" w:hAnsi="Helvetica" w:eastAsia="宋体" w:cs="Helvetica"/>
          <w:color w:val="auto"/>
          <w:kern w:val="0"/>
          <w:szCs w:val="21"/>
          <w:highlight w:val="none"/>
        </w:rPr>
      </w:pPr>
      <w:r>
        <w:rPr>
          <w:rFonts w:ascii="Helvetica" w:hAnsi="Helvetica" w:eastAsia="宋体" w:cs="Helvetica"/>
          <w:color w:val="auto"/>
          <w:kern w:val="0"/>
          <w:szCs w:val="21"/>
          <w:highlight w:val="none"/>
        </w:rPr>
        <w:t>3.</w:t>
      </w:r>
      <w:r>
        <w:rPr>
          <w:rFonts w:hint="eastAsia" w:ascii="Helvetica" w:hAnsi="Helvetica" w:eastAsia="宋体" w:cs="Helvetica"/>
          <w:color w:val="auto"/>
          <w:kern w:val="0"/>
          <w:szCs w:val="21"/>
          <w:highlight w:val="none"/>
        </w:rPr>
        <w:t>企业划分指标以现行</w:t>
      </w:r>
      <w:r>
        <w:rPr>
          <w:color w:val="auto"/>
          <w:highlight w:val="none"/>
        </w:rPr>
        <w:fldChar w:fldCharType="begin"/>
      </w:r>
      <w:r>
        <w:rPr>
          <w:color w:val="auto"/>
          <w:highlight w:val="none"/>
        </w:rPr>
        <w:instrText xml:space="preserve"> HYPERLINK "https://baike.baidu.com/item/%E7%BB%9F%E8%AE%A1%E5%88%B6%E5%BA%A6/917165?fromModule=lemma_inlink" \t "_blank" </w:instrText>
      </w:r>
      <w:r>
        <w:rPr>
          <w:color w:val="auto"/>
          <w:highlight w:val="none"/>
        </w:rPr>
        <w:fldChar w:fldCharType="separate"/>
      </w:r>
      <w:r>
        <w:rPr>
          <w:rFonts w:hint="eastAsia" w:ascii="Helvetica" w:hAnsi="Helvetica" w:eastAsia="宋体" w:cs="Helvetica"/>
          <w:color w:val="auto"/>
          <w:kern w:val="0"/>
          <w:szCs w:val="21"/>
          <w:highlight w:val="none"/>
          <w:u w:val="single"/>
        </w:rPr>
        <w:t>统计制度</w:t>
      </w:r>
      <w:r>
        <w:rPr>
          <w:rFonts w:hint="eastAsia" w:ascii="Helvetica" w:hAnsi="Helvetica" w:eastAsia="宋体" w:cs="Helvetica"/>
          <w:color w:val="auto"/>
          <w:kern w:val="0"/>
          <w:szCs w:val="21"/>
          <w:highlight w:val="none"/>
          <w:u w:val="single"/>
        </w:rPr>
        <w:fldChar w:fldCharType="end"/>
      </w:r>
      <w:r>
        <w:rPr>
          <w:rFonts w:hint="eastAsia" w:ascii="Helvetica" w:hAnsi="Helvetica" w:eastAsia="宋体" w:cs="Helvetica"/>
          <w:color w:val="auto"/>
          <w:kern w:val="0"/>
          <w:szCs w:val="21"/>
          <w:highlight w:val="none"/>
        </w:rPr>
        <w:t>为准。（</w:t>
      </w:r>
      <w:r>
        <w:rPr>
          <w:rFonts w:ascii="Helvetica" w:hAnsi="Helvetica" w:eastAsia="宋体" w:cs="Helvetica"/>
          <w:color w:val="auto"/>
          <w:kern w:val="0"/>
          <w:szCs w:val="21"/>
          <w:highlight w:val="none"/>
        </w:rPr>
        <w:t>1</w:t>
      </w:r>
      <w:r>
        <w:rPr>
          <w:rFonts w:hint="eastAsia" w:ascii="Helvetica" w:hAnsi="Helvetica" w:eastAsia="宋体" w:cs="Helvetica"/>
          <w:color w:val="auto"/>
          <w:kern w:val="0"/>
          <w:szCs w:val="21"/>
          <w:highlight w:val="none"/>
        </w:rPr>
        <w:t>）从业人员，是指期末从业人员数，没有期末从业人员数的，采用全年平均人员数代替。（</w:t>
      </w:r>
      <w:r>
        <w:rPr>
          <w:rFonts w:ascii="Helvetica" w:hAnsi="Helvetica" w:eastAsia="宋体" w:cs="Helvetica"/>
          <w:color w:val="auto"/>
          <w:kern w:val="0"/>
          <w:szCs w:val="21"/>
          <w:highlight w:val="none"/>
        </w:rPr>
        <w:t>2</w:t>
      </w:r>
      <w:r>
        <w:rPr>
          <w:rFonts w:hint="eastAsia" w:ascii="Helvetica" w:hAnsi="Helvetica" w:eastAsia="宋体" w:cs="Helvetica"/>
          <w:color w:val="auto"/>
          <w:kern w:val="0"/>
          <w:szCs w:val="21"/>
          <w:highlight w:val="none"/>
        </w:rPr>
        <w:t>）</w:t>
      </w:r>
      <w:r>
        <w:rPr>
          <w:color w:val="auto"/>
          <w:highlight w:val="none"/>
        </w:rPr>
        <w:fldChar w:fldCharType="begin"/>
      </w:r>
      <w:r>
        <w:rPr>
          <w:color w:val="auto"/>
          <w:highlight w:val="none"/>
        </w:rPr>
        <w:instrText xml:space="preserve"> HYPERLINK "https://baike.baidu.com/item/%E8%90%A5%E4%B8%9A%E6%94%B6%E5%85%A5/5099832?fromModule=lemma_inlink" \t "_blank" </w:instrText>
      </w:r>
      <w:r>
        <w:rPr>
          <w:color w:val="auto"/>
          <w:highlight w:val="none"/>
        </w:rPr>
        <w:fldChar w:fldCharType="separate"/>
      </w:r>
      <w:r>
        <w:rPr>
          <w:rFonts w:hint="eastAsia" w:ascii="Helvetica" w:hAnsi="Helvetica" w:eastAsia="宋体" w:cs="Helvetica"/>
          <w:color w:val="auto"/>
          <w:kern w:val="0"/>
          <w:szCs w:val="21"/>
          <w:highlight w:val="none"/>
          <w:u w:val="single"/>
        </w:rPr>
        <w:t>营业收入</w:t>
      </w:r>
      <w:r>
        <w:rPr>
          <w:rFonts w:hint="eastAsia" w:ascii="Helvetica" w:hAnsi="Helvetica" w:eastAsia="宋体" w:cs="Helvetica"/>
          <w:color w:val="auto"/>
          <w:kern w:val="0"/>
          <w:szCs w:val="21"/>
          <w:highlight w:val="none"/>
          <w:u w:val="single"/>
        </w:rPr>
        <w:fldChar w:fldCharType="end"/>
      </w:r>
      <w:r>
        <w:rPr>
          <w:rFonts w:hint="eastAsia" w:ascii="Helvetica" w:hAnsi="Helvetica" w:eastAsia="宋体" w:cs="Helvetica"/>
          <w:color w:val="auto"/>
          <w:kern w:val="0"/>
          <w:szCs w:val="21"/>
          <w:highlight w:val="none"/>
        </w:rPr>
        <w:t>，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w:t>
      </w:r>
      <w:r>
        <w:rPr>
          <w:rFonts w:ascii="Helvetica" w:hAnsi="Helvetica" w:eastAsia="宋体" w:cs="Helvetica"/>
          <w:color w:val="auto"/>
          <w:kern w:val="0"/>
          <w:szCs w:val="21"/>
          <w:highlight w:val="none"/>
        </w:rPr>
        <w:t>3</w:t>
      </w:r>
      <w:r>
        <w:rPr>
          <w:rFonts w:hint="eastAsia" w:ascii="Helvetica" w:hAnsi="Helvetica" w:eastAsia="宋体" w:cs="Helvetica"/>
          <w:color w:val="auto"/>
          <w:kern w:val="0"/>
          <w:szCs w:val="21"/>
          <w:highlight w:val="none"/>
        </w:rPr>
        <w:t>）</w:t>
      </w:r>
      <w:r>
        <w:rPr>
          <w:color w:val="auto"/>
          <w:highlight w:val="none"/>
        </w:rPr>
        <w:fldChar w:fldCharType="begin"/>
      </w:r>
      <w:r>
        <w:rPr>
          <w:color w:val="auto"/>
          <w:highlight w:val="none"/>
        </w:rPr>
        <w:instrText xml:space="preserve"> HYPERLINK "https://baike.baidu.com/item/%E8%B5%84%E4%BA%A7%E6%80%BB%E9%A2%9D/716517?fromModule=lemma_inlink" \t "_blank" </w:instrText>
      </w:r>
      <w:r>
        <w:rPr>
          <w:color w:val="auto"/>
          <w:highlight w:val="none"/>
        </w:rPr>
        <w:fldChar w:fldCharType="separate"/>
      </w:r>
      <w:r>
        <w:rPr>
          <w:rFonts w:hint="eastAsia" w:ascii="Helvetica" w:hAnsi="Helvetica" w:eastAsia="宋体" w:cs="Helvetica"/>
          <w:color w:val="auto"/>
          <w:kern w:val="0"/>
          <w:szCs w:val="21"/>
          <w:highlight w:val="none"/>
          <w:u w:val="single"/>
        </w:rPr>
        <w:t>资产总额</w:t>
      </w:r>
      <w:r>
        <w:rPr>
          <w:rFonts w:hint="eastAsia" w:ascii="Helvetica" w:hAnsi="Helvetica" w:eastAsia="宋体" w:cs="Helvetica"/>
          <w:color w:val="auto"/>
          <w:kern w:val="0"/>
          <w:szCs w:val="21"/>
          <w:highlight w:val="none"/>
          <w:u w:val="single"/>
        </w:rPr>
        <w:fldChar w:fldCharType="end"/>
      </w:r>
      <w:r>
        <w:rPr>
          <w:rFonts w:hint="eastAsia" w:ascii="Helvetica" w:hAnsi="Helvetica" w:eastAsia="宋体" w:cs="Helvetica"/>
          <w:color w:val="auto"/>
          <w:kern w:val="0"/>
          <w:szCs w:val="21"/>
          <w:highlight w:val="none"/>
        </w:rPr>
        <w:t>，采用资产总计代替。</w:t>
      </w:r>
    </w:p>
    <w:bookmarkEnd w:id="212"/>
    <w:p>
      <w:pPr>
        <w:spacing w:line="400" w:lineRule="exact"/>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br w:type="page"/>
      </w:r>
    </w:p>
    <w:p>
      <w:pPr>
        <w:spacing w:line="440" w:lineRule="exact"/>
        <w:jc w:val="center"/>
        <w:rPr>
          <w:rFonts w:hint="eastAsia" w:ascii="仿宋_GB2312" w:hAnsi="宋体" w:eastAsia="仿宋_GB2312" w:cs="Courier New"/>
          <w:b/>
          <w:color w:val="auto"/>
          <w:kern w:val="0"/>
          <w:sz w:val="32"/>
          <w:szCs w:val="32"/>
          <w:highlight w:val="none"/>
        </w:rPr>
      </w:pPr>
      <w:r>
        <w:rPr>
          <w:rFonts w:hint="eastAsia" w:ascii="仿宋_GB2312" w:hAnsi="宋体" w:eastAsia="仿宋_GB2312" w:cs="Courier New"/>
          <w:b/>
          <w:color w:val="auto"/>
          <w:kern w:val="0"/>
          <w:sz w:val="32"/>
          <w:szCs w:val="32"/>
          <w:highlight w:val="none"/>
        </w:rPr>
        <w:t>残疾人福利性单位声明函</w:t>
      </w:r>
      <w:r>
        <w:rPr>
          <w:rFonts w:hint="eastAsia" w:ascii="仿宋_GB2312" w:hAnsi="Times New Roman" w:eastAsia="仿宋_GB2312" w:cs="Times New Roman"/>
          <w:bCs/>
          <w:color w:val="auto"/>
          <w:sz w:val="24"/>
          <w:szCs w:val="24"/>
          <w:highlight w:val="none"/>
        </w:rPr>
        <w:t>（格式）</w:t>
      </w:r>
    </w:p>
    <w:p>
      <w:pPr>
        <w:spacing w:line="400" w:lineRule="exact"/>
        <w:rPr>
          <w:rFonts w:ascii="Times New Roman" w:hAnsi="Times New Roman" w:eastAsia="宋体" w:cs="Times New Roman"/>
          <w:color w:val="auto"/>
          <w:szCs w:val="24"/>
          <w:highlight w:val="none"/>
        </w:rPr>
      </w:pPr>
    </w:p>
    <w:p>
      <w:pPr>
        <w:spacing w:line="660" w:lineRule="exact"/>
        <w:ind w:firstLine="420" w:firstLineChars="200"/>
        <w:rPr>
          <w:rFonts w:hint="eastAsia" w:ascii="宋体" w:hAnsi="宋体" w:eastAsia="宋体" w:cs="Courier New"/>
          <w:color w:val="auto"/>
          <w:kern w:val="0"/>
          <w:szCs w:val="21"/>
          <w:highlight w:val="none"/>
        </w:rPr>
      </w:pPr>
      <w:bookmarkStart w:id="213" w:name="_Hlk94193952"/>
      <w:r>
        <w:rPr>
          <w:rFonts w:hint="eastAsia" w:ascii="宋体" w:hAnsi="宋体" w:eastAsia="宋体" w:cs="Courier New"/>
          <w:color w:val="auto"/>
          <w:kern w:val="0"/>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提供服务），或者提供其他残疾人福利性单位制造的货物（不包括使用非残疾人福利性单位注册商标的货物）。</w:t>
      </w:r>
    </w:p>
    <w:p>
      <w:pPr>
        <w:spacing w:line="660" w:lineRule="exact"/>
        <w:ind w:firstLine="420" w:firstLineChars="200"/>
        <w:rPr>
          <w:rFonts w:hint="eastAsia" w:ascii="宋体" w:hAnsi="宋体" w:eastAsia="宋体" w:cs="Courier New"/>
          <w:color w:val="auto"/>
          <w:kern w:val="0"/>
          <w:szCs w:val="21"/>
          <w:highlight w:val="none"/>
        </w:rPr>
      </w:pPr>
      <w:r>
        <w:rPr>
          <w:rFonts w:hint="eastAsia" w:ascii="宋体" w:hAnsi="宋体" w:eastAsia="宋体" w:cs="Courier New"/>
          <w:color w:val="auto"/>
          <w:kern w:val="0"/>
          <w:szCs w:val="21"/>
          <w:highlight w:val="none"/>
        </w:rPr>
        <w:t>本单位对上述声明的真实性负责。如有虚假，将依法承担相应责任。</w:t>
      </w:r>
    </w:p>
    <w:p>
      <w:pPr>
        <w:spacing w:line="400" w:lineRule="exact"/>
        <w:rPr>
          <w:rFonts w:ascii="Times New Roman" w:hAnsi="Times New Roman" w:eastAsia="宋体" w:cs="Times New Roman"/>
          <w:color w:val="auto"/>
          <w:szCs w:val="21"/>
          <w:highlight w:val="none"/>
        </w:rPr>
      </w:pPr>
    </w:p>
    <w:p>
      <w:pPr>
        <w:spacing w:line="400" w:lineRule="exact"/>
        <w:rPr>
          <w:rFonts w:ascii="Times New Roman" w:hAnsi="Times New Roman" w:eastAsia="宋体" w:cs="Times New Roman"/>
          <w:color w:val="auto"/>
          <w:szCs w:val="21"/>
          <w:highlight w:val="none"/>
        </w:rPr>
      </w:pPr>
    </w:p>
    <w:p>
      <w:pPr>
        <w:spacing w:line="400" w:lineRule="exact"/>
        <w:rPr>
          <w:rFonts w:ascii="Times New Roman" w:hAnsi="Times New Roman" w:eastAsia="宋体" w:cs="Times New Roman"/>
          <w:color w:val="auto"/>
          <w:szCs w:val="21"/>
          <w:highlight w:val="none"/>
        </w:rPr>
      </w:pPr>
    </w:p>
    <w:p>
      <w:pPr>
        <w:spacing w:line="440" w:lineRule="exact"/>
        <w:ind w:firstLine="5250" w:firstLineChars="2500"/>
        <w:rPr>
          <w:rFonts w:hint="eastAsia" w:ascii="宋体" w:hAnsi="宋体" w:eastAsia="宋体" w:cs="Courier New"/>
          <w:color w:val="auto"/>
          <w:kern w:val="0"/>
          <w:szCs w:val="21"/>
          <w:highlight w:val="none"/>
        </w:rPr>
      </w:pPr>
      <w:r>
        <w:rPr>
          <w:rFonts w:hint="eastAsia" w:ascii="宋体" w:hAnsi="宋体" w:eastAsia="宋体" w:cs="Courier New"/>
          <w:color w:val="auto"/>
          <w:kern w:val="0"/>
          <w:szCs w:val="21"/>
          <w:highlight w:val="none"/>
        </w:rPr>
        <w:t>单位名称（盖章）：</w:t>
      </w:r>
      <w:r>
        <w:rPr>
          <w:rFonts w:hint="eastAsia" w:ascii="宋体" w:hAnsi="宋体" w:eastAsia="宋体" w:cs="Courier New"/>
          <w:color w:val="auto"/>
          <w:szCs w:val="21"/>
          <w:highlight w:val="none"/>
          <w:u w:val="single"/>
        </w:rPr>
        <w:t xml:space="preserve">              </w:t>
      </w:r>
    </w:p>
    <w:p>
      <w:pPr>
        <w:spacing w:line="440" w:lineRule="exact"/>
        <w:ind w:firstLine="5250" w:firstLineChars="2500"/>
        <w:rPr>
          <w:rFonts w:hint="eastAsia" w:ascii="宋体" w:hAnsi="宋体" w:eastAsia="宋体" w:cs="Courier New"/>
          <w:color w:val="auto"/>
          <w:szCs w:val="21"/>
          <w:highlight w:val="none"/>
          <w:u w:val="single"/>
        </w:rPr>
      </w:pPr>
      <w:r>
        <w:rPr>
          <w:rFonts w:hint="eastAsia" w:ascii="宋体" w:hAnsi="宋体" w:eastAsia="宋体" w:cs="Courier New"/>
          <w:color w:val="auto"/>
          <w:kern w:val="0"/>
          <w:szCs w:val="21"/>
          <w:highlight w:val="none"/>
        </w:rPr>
        <w:t>日  期：</w:t>
      </w:r>
      <w:r>
        <w:rPr>
          <w:rFonts w:hint="eastAsia" w:ascii="宋体" w:hAnsi="宋体" w:eastAsia="宋体" w:cs="Courier New"/>
          <w:color w:val="auto"/>
          <w:szCs w:val="21"/>
          <w:highlight w:val="none"/>
          <w:u w:val="single"/>
        </w:rPr>
        <w:t xml:space="preserve">                        </w:t>
      </w:r>
    </w:p>
    <w:bookmarkEnd w:id="213"/>
    <w:p>
      <w:pPr>
        <w:spacing w:line="440" w:lineRule="exact"/>
        <w:ind w:firstLine="4000" w:firstLineChars="1905"/>
        <w:rPr>
          <w:rFonts w:hint="eastAsia" w:ascii="宋体" w:hAnsi="宋体" w:eastAsia="宋体" w:cs="Courier New"/>
          <w:color w:val="auto"/>
          <w:szCs w:val="21"/>
          <w:highlight w:val="none"/>
          <w:u w:val="single"/>
        </w:rPr>
      </w:pPr>
    </w:p>
    <w:p>
      <w:pPr>
        <w:spacing w:line="360" w:lineRule="exact"/>
        <w:jc w:val="left"/>
        <w:rPr>
          <w:rFonts w:ascii="宋体" w:hAnsi="Courier New" w:eastAsia="宋体" w:cs="Courier New"/>
          <w:color w:val="auto"/>
          <w:szCs w:val="21"/>
          <w:highlight w:val="none"/>
          <w:u w:val="single"/>
        </w:rPr>
      </w:pPr>
    </w:p>
    <w:p>
      <w:pPr>
        <w:spacing w:line="360" w:lineRule="exact"/>
        <w:jc w:val="left"/>
        <w:rPr>
          <w:rFonts w:ascii="宋体" w:hAnsi="Courier New" w:eastAsia="宋体" w:cs="Courier New"/>
          <w:color w:val="auto"/>
          <w:szCs w:val="21"/>
          <w:highlight w:val="none"/>
          <w:u w:val="single"/>
        </w:rPr>
      </w:pPr>
    </w:p>
    <w:p>
      <w:pPr>
        <w:spacing w:line="360" w:lineRule="exact"/>
        <w:jc w:val="left"/>
        <w:rPr>
          <w:rFonts w:ascii="宋体" w:hAnsi="Courier New" w:eastAsia="宋体" w:cs="Courier New"/>
          <w:color w:val="auto"/>
          <w:szCs w:val="21"/>
          <w:highlight w:val="none"/>
          <w:u w:val="single"/>
        </w:rPr>
      </w:pPr>
    </w:p>
    <w:p>
      <w:pPr>
        <w:spacing w:line="360" w:lineRule="exact"/>
        <w:jc w:val="left"/>
        <w:rPr>
          <w:rFonts w:ascii="宋体" w:hAnsi="Courier New" w:eastAsia="宋体" w:cs="Courier New"/>
          <w:color w:val="auto"/>
          <w:szCs w:val="21"/>
          <w:highlight w:val="none"/>
          <w:u w:val="single"/>
        </w:rPr>
      </w:pPr>
    </w:p>
    <w:p>
      <w:pPr>
        <w:spacing w:line="360" w:lineRule="exact"/>
        <w:jc w:val="left"/>
        <w:rPr>
          <w:rFonts w:ascii="宋体" w:hAnsi="Courier New" w:eastAsia="宋体" w:cs="Courier New"/>
          <w:color w:val="auto"/>
          <w:szCs w:val="21"/>
          <w:highlight w:val="none"/>
          <w:u w:val="single"/>
        </w:rPr>
      </w:pPr>
    </w:p>
    <w:p>
      <w:pPr>
        <w:spacing w:line="360" w:lineRule="exact"/>
        <w:jc w:val="left"/>
        <w:rPr>
          <w:rFonts w:ascii="宋体" w:hAnsi="Courier New" w:eastAsia="宋体" w:cs="Courier New"/>
          <w:color w:val="auto"/>
          <w:szCs w:val="21"/>
          <w:highlight w:val="none"/>
          <w:u w:val="single"/>
        </w:rPr>
      </w:pPr>
    </w:p>
    <w:p>
      <w:pPr>
        <w:spacing w:line="360" w:lineRule="exact"/>
        <w:jc w:val="left"/>
        <w:rPr>
          <w:rFonts w:ascii="宋体" w:hAnsi="Courier New" w:eastAsia="宋体" w:cs="Courier New"/>
          <w:color w:val="auto"/>
          <w:szCs w:val="21"/>
          <w:highlight w:val="none"/>
          <w:u w:val="single"/>
        </w:rPr>
      </w:pPr>
    </w:p>
    <w:p>
      <w:pPr>
        <w:spacing w:line="360" w:lineRule="exact"/>
        <w:jc w:val="left"/>
        <w:rPr>
          <w:rFonts w:ascii="宋体" w:hAnsi="Courier New" w:eastAsia="宋体" w:cs="Courier New"/>
          <w:color w:val="auto"/>
          <w:szCs w:val="21"/>
          <w:highlight w:val="none"/>
          <w:u w:val="single"/>
        </w:rPr>
      </w:pPr>
    </w:p>
    <w:p>
      <w:pPr>
        <w:spacing w:line="360" w:lineRule="exact"/>
        <w:jc w:val="left"/>
        <w:rPr>
          <w:rFonts w:ascii="宋体" w:hAnsi="Courier New" w:eastAsia="宋体" w:cs="Courier New"/>
          <w:color w:val="auto"/>
          <w:szCs w:val="21"/>
          <w:highlight w:val="none"/>
          <w:u w:val="single"/>
        </w:rPr>
      </w:pPr>
    </w:p>
    <w:p>
      <w:pPr>
        <w:spacing w:line="360" w:lineRule="exact"/>
        <w:jc w:val="left"/>
        <w:rPr>
          <w:rFonts w:ascii="宋体" w:hAnsi="Courier New" w:eastAsia="宋体" w:cs="Courier New"/>
          <w:color w:val="auto"/>
          <w:szCs w:val="21"/>
          <w:highlight w:val="none"/>
          <w:u w:val="single"/>
        </w:rPr>
      </w:pPr>
    </w:p>
    <w:p>
      <w:pPr>
        <w:spacing w:line="360" w:lineRule="exact"/>
        <w:jc w:val="left"/>
        <w:rPr>
          <w:rFonts w:ascii="宋体" w:hAnsi="Courier New" w:eastAsia="宋体" w:cs="Courier New"/>
          <w:color w:val="auto"/>
          <w:szCs w:val="21"/>
          <w:highlight w:val="none"/>
          <w:u w:val="single"/>
        </w:rPr>
      </w:pPr>
    </w:p>
    <w:p>
      <w:pPr>
        <w:spacing w:line="360" w:lineRule="exact"/>
        <w:jc w:val="left"/>
        <w:rPr>
          <w:rFonts w:ascii="宋体" w:hAnsi="Courier New" w:eastAsia="宋体" w:cs="Courier New"/>
          <w:color w:val="auto"/>
          <w:szCs w:val="21"/>
          <w:highlight w:val="none"/>
          <w:u w:val="single"/>
        </w:rPr>
      </w:pPr>
    </w:p>
    <w:p>
      <w:pPr>
        <w:spacing w:line="360" w:lineRule="exact"/>
        <w:jc w:val="left"/>
        <w:rPr>
          <w:rFonts w:ascii="宋体" w:hAnsi="Courier New" w:eastAsia="宋体" w:cs="Courier New"/>
          <w:color w:val="auto"/>
          <w:szCs w:val="21"/>
          <w:highlight w:val="none"/>
          <w:u w:val="single"/>
        </w:rPr>
      </w:pPr>
    </w:p>
    <w:p>
      <w:pPr>
        <w:spacing w:line="360" w:lineRule="exact"/>
        <w:jc w:val="left"/>
        <w:rPr>
          <w:rFonts w:ascii="宋体" w:hAnsi="Courier New" w:eastAsia="宋体" w:cs="Courier New"/>
          <w:color w:val="auto"/>
          <w:szCs w:val="21"/>
          <w:highlight w:val="none"/>
          <w:u w:val="single"/>
        </w:rPr>
      </w:pPr>
    </w:p>
    <w:p>
      <w:pPr>
        <w:spacing w:line="360" w:lineRule="exact"/>
        <w:jc w:val="left"/>
        <w:rPr>
          <w:rFonts w:ascii="宋体" w:hAnsi="Courier New" w:eastAsia="宋体" w:cs="Courier New"/>
          <w:color w:val="auto"/>
          <w:szCs w:val="21"/>
          <w:highlight w:val="none"/>
          <w:u w:val="single"/>
        </w:rPr>
      </w:pPr>
    </w:p>
    <w:p>
      <w:pPr>
        <w:spacing w:line="360" w:lineRule="exact"/>
        <w:jc w:val="left"/>
        <w:rPr>
          <w:rFonts w:ascii="宋体" w:hAnsi="Courier New" w:eastAsia="宋体" w:cs="Courier New"/>
          <w:color w:val="auto"/>
          <w:szCs w:val="21"/>
          <w:highlight w:val="none"/>
          <w:u w:val="single"/>
        </w:rPr>
      </w:pPr>
    </w:p>
    <w:p>
      <w:pPr>
        <w:spacing w:line="360" w:lineRule="exact"/>
        <w:jc w:val="left"/>
        <w:rPr>
          <w:rFonts w:ascii="宋体" w:hAnsi="Courier New" w:eastAsia="宋体" w:cs="Courier New"/>
          <w:color w:val="auto"/>
          <w:szCs w:val="21"/>
          <w:highlight w:val="none"/>
          <w:u w:val="single"/>
        </w:rPr>
      </w:pPr>
    </w:p>
    <w:p>
      <w:pPr>
        <w:spacing w:line="260" w:lineRule="exact"/>
        <w:jc w:val="left"/>
        <w:rPr>
          <w:rFonts w:ascii="宋体" w:hAnsi="Courier New" w:eastAsia="宋体" w:cs="Courier New"/>
          <w:color w:val="auto"/>
          <w:sz w:val="18"/>
          <w:szCs w:val="18"/>
          <w:highlight w:val="none"/>
          <w:u w:val="single"/>
        </w:rPr>
      </w:pPr>
      <w:r>
        <w:rPr>
          <w:rFonts w:hint="eastAsia" w:ascii="宋体" w:hAnsi="Courier New" w:eastAsia="宋体" w:cs="Courier New"/>
          <w:color w:val="auto"/>
          <w:sz w:val="18"/>
          <w:szCs w:val="18"/>
          <w:highlight w:val="none"/>
          <w:u w:val="single"/>
        </w:rPr>
        <w:t xml:space="preserve">                        </w:t>
      </w:r>
    </w:p>
    <w:p>
      <w:pPr>
        <w:spacing w:line="260" w:lineRule="exact"/>
        <w:jc w:val="left"/>
        <w:rPr>
          <w:rFonts w:ascii="宋体" w:hAnsi="Courier New" w:eastAsia="宋体" w:cs="Courier New"/>
          <w:color w:val="auto"/>
          <w:sz w:val="18"/>
          <w:szCs w:val="18"/>
          <w:highlight w:val="none"/>
          <w:u w:val="single"/>
        </w:rPr>
      </w:pPr>
      <w:r>
        <w:rPr>
          <w:color w:val="auto"/>
          <w:highlight w:val="none"/>
        </w:rPr>
        <w:fldChar w:fldCharType="begin"/>
      </w:r>
      <w:r>
        <w:rPr>
          <w:color w:val="auto"/>
          <w:highlight w:val="none"/>
        </w:rPr>
        <w:instrText xml:space="preserve"> HYPERLINK "http://www.ccgp.gov.cn/zcfg/mof/201709/t20170904_8787205.htm" </w:instrText>
      </w:r>
      <w:r>
        <w:rPr>
          <w:color w:val="auto"/>
          <w:highlight w:val="none"/>
        </w:rPr>
        <w:fldChar w:fldCharType="separate"/>
      </w:r>
      <w:r>
        <w:rPr>
          <w:rFonts w:hint="eastAsia" w:ascii="宋体" w:hAnsi="Courier New" w:eastAsia="宋体" w:cs="Courier New"/>
          <w:color w:val="auto"/>
          <w:sz w:val="18"/>
          <w:szCs w:val="18"/>
          <w:highlight w:val="none"/>
          <w:u w:val="single"/>
        </w:rPr>
        <w:t>《财政部 民政部 中国残疾人联合会关于促进残疾人就业政府采购政策的通知》（财库〔2017〕141号）</w:t>
      </w:r>
      <w:r>
        <w:rPr>
          <w:rFonts w:hint="eastAsia" w:ascii="宋体" w:hAnsi="Courier New" w:eastAsia="宋体" w:cs="Courier New"/>
          <w:color w:val="auto"/>
          <w:sz w:val="18"/>
          <w:szCs w:val="18"/>
          <w:highlight w:val="none"/>
          <w:u w:val="single"/>
        </w:rPr>
        <w:fldChar w:fldCharType="end"/>
      </w:r>
    </w:p>
    <w:p>
      <w:pPr>
        <w:snapToGrid w:val="0"/>
        <w:spacing w:before="50" w:after="50" w:line="360" w:lineRule="exact"/>
        <w:ind w:right="-817" w:rightChars="-389"/>
        <w:rPr>
          <w:rFonts w:hint="eastAsia" w:ascii="宋体" w:hAnsi="宋体" w:eastAsia="宋体" w:cs="Times New Roman"/>
          <w:b/>
          <w:bCs/>
          <w:color w:val="auto"/>
          <w:sz w:val="32"/>
          <w:szCs w:val="32"/>
          <w:highlight w:val="none"/>
        </w:rPr>
      </w:pPr>
      <w:r>
        <w:rPr>
          <w:rFonts w:hint="eastAsia" w:ascii="宋体" w:hAnsi="宋体" w:eastAsia="宋体" w:cs="Times New Roman"/>
          <w:color w:val="auto"/>
          <w:szCs w:val="21"/>
          <w:highlight w:val="none"/>
        </w:rPr>
        <w:br w:type="page"/>
      </w:r>
      <w:r>
        <w:rPr>
          <w:rFonts w:hint="eastAsia" w:ascii="宋体" w:hAnsi="宋体" w:eastAsia="宋体" w:cs="Times New Roman"/>
          <w:b/>
          <w:bCs/>
          <w:color w:val="auto"/>
          <w:sz w:val="32"/>
          <w:szCs w:val="32"/>
          <w:highlight w:val="none"/>
        </w:rPr>
        <w:t>三、报价文件</w:t>
      </w:r>
    </w:p>
    <w:p>
      <w:pPr>
        <w:spacing w:line="400" w:lineRule="exact"/>
        <w:rPr>
          <w:rFonts w:ascii="Times New Roman" w:hAnsi="Times New Roman" w:eastAsia="宋体" w:cs="Times New Roman"/>
          <w:color w:val="auto"/>
          <w:szCs w:val="24"/>
          <w:highlight w:val="none"/>
        </w:rPr>
      </w:pPr>
    </w:p>
    <w:p>
      <w:pPr>
        <w:snapToGrid w:val="0"/>
        <w:spacing w:before="50" w:after="50" w:line="360" w:lineRule="exact"/>
        <w:jc w:val="center"/>
        <w:rPr>
          <w:rFonts w:hint="eastAsia" w:ascii="仿宋_GB2312" w:hAnsi="宋体" w:eastAsia="仿宋_GB2312" w:cs="Times New Roman"/>
          <w:b/>
          <w:color w:val="auto"/>
          <w:sz w:val="28"/>
          <w:szCs w:val="28"/>
          <w:highlight w:val="none"/>
        </w:rPr>
      </w:pPr>
      <w:r>
        <w:rPr>
          <w:rFonts w:hint="eastAsia" w:ascii="仿宋_GB2312" w:hAnsi="宋体" w:eastAsia="仿宋_GB2312" w:cs="Times New Roman"/>
          <w:b/>
          <w:color w:val="auto"/>
          <w:sz w:val="32"/>
          <w:szCs w:val="32"/>
          <w:highlight w:val="none"/>
        </w:rPr>
        <w:t>开标一览表</w:t>
      </w:r>
      <w:bookmarkStart w:id="214" w:name="_Hlk111729075"/>
      <w:r>
        <w:rPr>
          <w:rFonts w:hint="eastAsia" w:ascii="仿宋_GB2312" w:hAnsi="Times New Roman" w:eastAsia="仿宋_GB2312" w:cs="Times New Roman"/>
          <w:bCs/>
          <w:color w:val="auto"/>
          <w:sz w:val="24"/>
          <w:szCs w:val="24"/>
          <w:highlight w:val="none"/>
        </w:rPr>
        <w:t>（格式）</w:t>
      </w:r>
      <w:bookmarkEnd w:id="214"/>
    </w:p>
    <w:p>
      <w:pPr>
        <w:snapToGrid w:val="0"/>
        <w:spacing w:before="50" w:after="50" w:line="400" w:lineRule="exact"/>
        <w:ind w:firstLine="420" w:firstLineChars="200"/>
        <w:rPr>
          <w:rFonts w:hint="eastAsia" w:ascii="宋体" w:hAnsi="宋体" w:eastAsia="宋体" w:cs="Times New Roman"/>
          <w:color w:val="auto"/>
          <w:szCs w:val="21"/>
          <w:highlight w:val="none"/>
          <w:u w:val="single"/>
        </w:rPr>
      </w:pPr>
      <w:r>
        <w:rPr>
          <w:rFonts w:hint="eastAsia" w:ascii="宋体" w:hAnsi="宋体" w:eastAsia="宋体" w:cs="Times New Roman"/>
          <w:color w:val="auto"/>
          <w:szCs w:val="21"/>
          <w:highlight w:val="none"/>
        </w:rPr>
        <w:t>项目名称：</w:t>
      </w:r>
      <w:r>
        <w:rPr>
          <w:rFonts w:hint="eastAsia" w:ascii="宋体" w:hAnsi="宋体" w:eastAsia="宋体" w:cs="Times New Roman"/>
          <w:color w:val="auto"/>
          <w:szCs w:val="21"/>
          <w:highlight w:val="none"/>
          <w:u w:val="single"/>
        </w:rPr>
        <w:t xml:space="preserve">                          </w:t>
      </w:r>
    </w:p>
    <w:p>
      <w:pPr>
        <w:snapToGrid w:val="0"/>
        <w:spacing w:before="50" w:after="50"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项目编号：</w:t>
      </w:r>
      <w:r>
        <w:rPr>
          <w:rFonts w:hint="eastAsia" w:ascii="宋体" w:hAnsi="宋体" w:eastAsia="宋体" w:cs="Times New Roman"/>
          <w:color w:val="auto"/>
          <w:szCs w:val="21"/>
          <w:highlight w:val="none"/>
          <w:u w:val="single"/>
        </w:rPr>
        <w:t xml:space="preserve">                          </w:t>
      </w:r>
    </w:p>
    <w:tbl>
      <w:tblPr>
        <w:tblStyle w:val="49"/>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27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06" w:hRule="atLeast"/>
          <w:jc w:val="center"/>
        </w:trPr>
        <w:tc>
          <w:tcPr>
            <w:tcW w:w="9276"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报价（总价、元）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83" w:hRule="atLeast"/>
          <w:jc w:val="center"/>
        </w:trPr>
        <w:tc>
          <w:tcPr>
            <w:tcW w:w="9276"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ind w:firstLine="19" w:firstLineChars="10"/>
              <w:jc w:val="left"/>
              <w:rPr>
                <w:rFonts w:hint="eastAsia" w:ascii="宋体" w:hAnsi="宋体" w:eastAsia="宋体" w:cs="Times New Roman"/>
                <w:bCs/>
                <w:color w:val="auto"/>
                <w:szCs w:val="21"/>
                <w:highlight w:val="none"/>
                <w:u w:val="single"/>
              </w:rPr>
            </w:pPr>
            <w:r>
              <w:rPr>
                <w:rFonts w:hint="eastAsia" w:ascii="宋体" w:hAnsi="宋体" w:eastAsia="宋体" w:cs="Courier New"/>
                <w:color w:val="auto"/>
                <w:spacing w:val="-6"/>
                <w:szCs w:val="21"/>
                <w:highlight w:val="none"/>
              </w:rPr>
              <w:t>人民币大写：</w:t>
            </w:r>
            <w:r>
              <w:rPr>
                <w:rFonts w:hint="eastAsia" w:ascii="宋体" w:hAnsi="宋体" w:eastAsia="宋体" w:cs="Courier New"/>
                <w:color w:val="auto"/>
                <w:spacing w:val="-6"/>
                <w:szCs w:val="21"/>
                <w:highlight w:val="none"/>
                <w:u w:val="single"/>
              </w:rPr>
              <w:t xml:space="preserve">                                                      </w:t>
            </w:r>
            <w:r>
              <w:rPr>
                <w:rFonts w:hint="eastAsia" w:ascii="宋体" w:hAnsi="宋体" w:eastAsia="宋体" w:cs="Courier New"/>
                <w:color w:val="auto"/>
                <w:spacing w:val="-6"/>
                <w:szCs w:val="21"/>
                <w:highlight w:val="none"/>
              </w:rPr>
              <w:t>（￥</w:t>
            </w:r>
            <w:r>
              <w:rPr>
                <w:rFonts w:hint="eastAsia" w:ascii="宋体" w:hAnsi="宋体" w:eastAsia="宋体" w:cs="Courier New"/>
                <w:color w:val="auto"/>
                <w:spacing w:val="-6"/>
                <w:szCs w:val="21"/>
                <w:highlight w:val="none"/>
                <w:u w:val="single"/>
              </w:rPr>
              <w:t xml:space="preserve">                 元</w:t>
            </w:r>
            <w:r>
              <w:rPr>
                <w:rFonts w:hint="eastAsia" w:ascii="宋体" w:hAnsi="宋体" w:eastAsia="宋体" w:cs="Courier New"/>
                <w:color w:val="auto"/>
                <w:spacing w:val="-6"/>
                <w:szCs w:val="21"/>
                <w:highlight w:val="none"/>
              </w:rPr>
              <w:t>）</w:t>
            </w:r>
          </w:p>
        </w:tc>
      </w:tr>
    </w:tbl>
    <w:p>
      <w:pPr>
        <w:snapToGrid w:val="0"/>
        <w:spacing w:before="50" w:after="50" w:line="400" w:lineRule="exact"/>
        <w:ind w:left="105" w:leftChars="50" w:firstLine="315" w:firstLineChars="150"/>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1.所有价格均用人民币表示，单位为元，精确到个数位。</w:t>
      </w:r>
    </w:p>
    <w:p>
      <w:pPr>
        <w:snapToGrid w:val="0"/>
        <w:spacing w:before="50" w:after="50" w:line="400" w:lineRule="exact"/>
        <w:ind w:left="105" w:leftChars="50" w:firstLine="315" w:firstLineChars="150"/>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2.报价一经涂改，应在涂改处加盖公章或者由法定代表人或授权委托人签名或盖章，否则视为无效投标文件。</w:t>
      </w:r>
    </w:p>
    <w:p>
      <w:pPr>
        <w:snapToGrid w:val="0"/>
        <w:spacing w:before="50" w:after="50" w:line="400" w:lineRule="exact"/>
        <w:ind w:firstLine="420" w:firstLineChars="200"/>
        <w:rPr>
          <w:rFonts w:hint="eastAsia" w:ascii="宋体" w:hAnsi="宋体" w:eastAsia="宋体" w:cs="Times New Roman"/>
          <w:color w:val="auto"/>
          <w:szCs w:val="21"/>
          <w:highlight w:val="none"/>
        </w:rPr>
      </w:pPr>
      <w:bookmarkStart w:id="215" w:name="_Hlk90908484"/>
      <w:r>
        <w:rPr>
          <w:rFonts w:hint="eastAsia" w:ascii="宋体" w:hAnsi="宋体" w:eastAsia="宋体" w:cs="Times New Roman"/>
          <w:color w:val="auto"/>
          <w:szCs w:val="21"/>
          <w:highlight w:val="none"/>
        </w:rPr>
        <w:t>3.总报价为采购人指定地点的现场交货价，必须包括货物、货物标准附件、备品备件、专用工具、设备安装辅材、包装、运输、保险、安装、调试、税金、售后服务、技术培训费等所有成本费用。</w:t>
      </w:r>
    </w:p>
    <w:bookmarkEnd w:id="215"/>
    <w:p>
      <w:pPr>
        <w:snapToGrid w:val="0"/>
        <w:spacing w:before="50" w:after="50" w:line="350" w:lineRule="exact"/>
        <w:ind w:right="-817" w:rightChars="-389"/>
        <w:rPr>
          <w:rFonts w:hint="eastAsia" w:ascii="宋体" w:hAnsi="宋体" w:eastAsia="宋体" w:cs="Times New Roman"/>
          <w:color w:val="auto"/>
          <w:szCs w:val="21"/>
          <w:highlight w:val="none"/>
        </w:rPr>
      </w:pPr>
    </w:p>
    <w:p>
      <w:pPr>
        <w:snapToGrid w:val="0"/>
        <w:spacing w:before="50" w:after="50" w:line="350" w:lineRule="exact"/>
        <w:ind w:right="-817" w:rightChars="-389"/>
        <w:rPr>
          <w:rFonts w:hint="eastAsia" w:ascii="宋体" w:hAnsi="宋体" w:eastAsia="宋体" w:cs="Times New Roman"/>
          <w:color w:val="auto"/>
          <w:szCs w:val="21"/>
          <w:highlight w:val="none"/>
        </w:rPr>
      </w:pPr>
    </w:p>
    <w:p>
      <w:pPr>
        <w:snapToGrid w:val="0"/>
        <w:spacing w:before="50" w:after="50" w:line="350" w:lineRule="exact"/>
        <w:ind w:left="-2" w:leftChars="-1" w:right="-817" w:rightChars="-389" w:firstLine="3465" w:firstLineChars="165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法定代表人或授权代表（签名）：</w:t>
      </w:r>
      <w:r>
        <w:rPr>
          <w:rFonts w:hint="eastAsia" w:ascii="宋体" w:hAnsi="宋体" w:eastAsia="宋体" w:cs="Times New Roman"/>
          <w:color w:val="auto"/>
          <w:szCs w:val="21"/>
          <w:highlight w:val="none"/>
          <w:u w:val="single"/>
        </w:rPr>
        <w:t xml:space="preserve">                   </w:t>
      </w:r>
    </w:p>
    <w:p>
      <w:pPr>
        <w:snapToGrid w:val="0"/>
        <w:spacing w:before="50" w:after="50" w:line="350" w:lineRule="exact"/>
        <w:ind w:right="-817" w:rightChars="-389" w:firstLine="3465" w:firstLineChars="165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投标人（盖章）：</w:t>
      </w:r>
      <w:r>
        <w:rPr>
          <w:rFonts w:hint="eastAsia" w:ascii="宋体" w:hAnsi="宋体" w:eastAsia="宋体" w:cs="Times New Roman"/>
          <w:color w:val="auto"/>
          <w:szCs w:val="21"/>
          <w:highlight w:val="none"/>
          <w:u w:val="single"/>
        </w:rPr>
        <w:t xml:space="preserve">                        </w:t>
      </w:r>
    </w:p>
    <w:p>
      <w:pPr>
        <w:snapToGrid w:val="0"/>
        <w:spacing w:before="50" w:after="50" w:line="350" w:lineRule="exact"/>
        <w:ind w:right="-817" w:rightChars="-389" w:firstLine="3255" w:firstLineChars="155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日期：</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年</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月</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日</w:t>
      </w:r>
    </w:p>
    <w:p>
      <w:pPr>
        <w:snapToGrid w:val="0"/>
        <w:spacing w:before="50" w:after="50" w:line="350" w:lineRule="exact"/>
        <w:ind w:right="-817" w:rightChars="-389"/>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br w:type="page"/>
      </w:r>
    </w:p>
    <w:p>
      <w:pPr>
        <w:ind w:firstLine="0" w:firstLineChars="0"/>
        <w:jc w:val="center"/>
        <w:rPr>
          <w:rFonts w:hint="eastAsia" w:ascii="仿宋_GB2312" w:eastAsia="仿宋_GB2312"/>
          <w:b/>
          <w:bCs/>
          <w:color w:val="auto"/>
          <w:sz w:val="28"/>
          <w:szCs w:val="28"/>
          <w:highlight w:val="none"/>
        </w:rPr>
      </w:pPr>
      <w:r>
        <w:rPr>
          <w:rFonts w:hint="eastAsia" w:ascii="仿宋_GB2312" w:hAnsi="宋体" w:eastAsia="仿宋_GB2312" w:cs="Times New Roman"/>
          <w:b/>
          <w:color w:val="auto"/>
          <w:sz w:val="32"/>
          <w:szCs w:val="32"/>
          <w:highlight w:val="none"/>
        </w:rPr>
        <w:t>报价明细表</w:t>
      </w:r>
      <w:r>
        <w:rPr>
          <w:rFonts w:hint="eastAsia" w:ascii="仿宋_GB2312" w:eastAsia="仿宋_GB2312"/>
          <w:bCs/>
          <w:color w:val="auto"/>
          <w:sz w:val="24"/>
          <w:highlight w:val="none"/>
        </w:rPr>
        <w:t>（格式）</w:t>
      </w:r>
    </w:p>
    <w:p>
      <w:pPr>
        <w:ind w:firstLine="199" w:firstLineChars="95"/>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项目编号：</w:t>
      </w:r>
      <w:r>
        <w:rPr>
          <w:rFonts w:hint="eastAsia" w:ascii="宋体" w:hAnsi="宋体" w:eastAsia="宋体" w:cs="宋体"/>
          <w:color w:val="auto"/>
          <w:sz w:val="21"/>
          <w:szCs w:val="21"/>
          <w:highlight w:val="none"/>
          <w:u w:val="single"/>
        </w:rPr>
        <w:t xml:space="preserve">                     </w:t>
      </w:r>
    </w:p>
    <w:p>
      <w:pPr>
        <w:ind w:firstLine="210" w:firstLineChars="1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项目名称：</w:t>
      </w:r>
      <w:r>
        <w:rPr>
          <w:rFonts w:hint="eastAsia" w:ascii="宋体" w:hAnsi="宋体" w:eastAsia="宋体" w:cs="宋体"/>
          <w:color w:val="auto"/>
          <w:sz w:val="21"/>
          <w:szCs w:val="21"/>
          <w:highlight w:val="none"/>
          <w:u w:val="single"/>
        </w:rPr>
        <w:t xml:space="preserve">                     </w:t>
      </w:r>
    </w:p>
    <w:tbl>
      <w:tblPr>
        <w:tblStyle w:val="49"/>
        <w:tblW w:w="92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3899"/>
        <w:gridCol w:w="3685"/>
        <w:gridCol w:w="10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09" w:type="dxa"/>
            <w:noWrap w:val="0"/>
            <w:vAlign w:val="center"/>
          </w:tcPr>
          <w:p>
            <w:pPr>
              <w:widowControl/>
              <w:spacing w:line="240" w:lineRule="auto"/>
              <w:ind w:firstLine="0" w:firstLineChars="0"/>
              <w:jc w:val="center"/>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序号</w:t>
            </w:r>
          </w:p>
        </w:tc>
        <w:tc>
          <w:tcPr>
            <w:tcW w:w="3899" w:type="dxa"/>
            <w:noWrap w:val="0"/>
            <w:vAlign w:val="center"/>
          </w:tcPr>
          <w:p>
            <w:pPr>
              <w:widowControl/>
              <w:spacing w:line="240" w:lineRule="auto"/>
              <w:ind w:firstLine="0" w:firstLineChars="0"/>
              <w:jc w:val="center"/>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服务内容</w:t>
            </w:r>
          </w:p>
        </w:tc>
        <w:tc>
          <w:tcPr>
            <w:tcW w:w="3685" w:type="dxa"/>
            <w:noWrap w:val="0"/>
            <w:vAlign w:val="center"/>
          </w:tcPr>
          <w:p>
            <w:pPr>
              <w:widowControl/>
              <w:spacing w:line="240" w:lineRule="auto"/>
              <w:ind w:firstLine="0" w:firstLineChars="0"/>
              <w:jc w:val="center"/>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报价</w:t>
            </w:r>
          </w:p>
        </w:tc>
        <w:tc>
          <w:tcPr>
            <w:tcW w:w="1002" w:type="dxa"/>
            <w:noWrap w:val="0"/>
            <w:vAlign w:val="center"/>
          </w:tcPr>
          <w:p>
            <w:pPr>
              <w:widowControl/>
              <w:spacing w:line="240" w:lineRule="auto"/>
              <w:ind w:firstLine="0" w:firstLineChars="0"/>
              <w:jc w:val="center"/>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0" w:hRule="atLeast"/>
          <w:jc w:val="center"/>
        </w:trPr>
        <w:tc>
          <w:tcPr>
            <w:tcW w:w="709" w:type="dxa"/>
            <w:noWrap w:val="0"/>
            <w:vAlign w:val="center"/>
          </w:tcPr>
          <w:p>
            <w:pPr>
              <w:widowControl/>
              <w:spacing w:line="240" w:lineRule="auto"/>
              <w:ind w:firstLine="0" w:firstLine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c>
          <w:tcPr>
            <w:tcW w:w="3899" w:type="dxa"/>
            <w:noWrap w:val="0"/>
            <w:vAlign w:val="center"/>
          </w:tcPr>
          <w:p>
            <w:pPr>
              <w:widowControl/>
              <w:spacing w:line="240" w:lineRule="auto"/>
              <w:ind w:firstLine="0" w:firstLineChars="0"/>
              <w:jc w:val="center"/>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防城港市防城区妇幼保健院物业服务</w:t>
            </w:r>
          </w:p>
        </w:tc>
        <w:tc>
          <w:tcPr>
            <w:tcW w:w="3685" w:type="dxa"/>
            <w:noWrap w:val="0"/>
            <w:vAlign w:val="center"/>
          </w:tcPr>
          <w:p>
            <w:pPr>
              <w:widowControl/>
              <w:spacing w:line="500" w:lineRule="exact"/>
              <w:ind w:firstLine="0" w:firstLineChars="0"/>
              <w:jc w:val="center"/>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大写：</w:t>
            </w:r>
            <w:r>
              <w:rPr>
                <w:rFonts w:hint="eastAsia" w:ascii="宋体" w:hAnsi="宋体" w:eastAsia="宋体" w:cs="宋体"/>
                <w:color w:val="auto"/>
                <w:kern w:val="0"/>
                <w:sz w:val="21"/>
                <w:szCs w:val="21"/>
                <w:highlight w:val="none"/>
                <w:u w:val="single"/>
              </w:rPr>
              <w:t xml:space="preserve">                   元整</w:t>
            </w:r>
          </w:p>
          <w:p>
            <w:pPr>
              <w:widowControl/>
              <w:spacing w:line="500" w:lineRule="exact"/>
              <w:ind w:firstLine="210" w:firstLineChars="1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小写：</w:t>
            </w:r>
            <w:r>
              <w:rPr>
                <w:rFonts w:hint="eastAsia" w:ascii="宋体" w:hAnsi="宋体" w:eastAsia="宋体" w:cs="宋体"/>
                <w:color w:val="auto"/>
                <w:kern w:val="0"/>
                <w:sz w:val="21"/>
                <w:szCs w:val="21"/>
                <w:highlight w:val="none"/>
                <w:u w:val="single"/>
              </w:rPr>
              <w:t xml:space="preserve">￥                     </w:t>
            </w:r>
          </w:p>
        </w:tc>
        <w:tc>
          <w:tcPr>
            <w:tcW w:w="1002" w:type="dxa"/>
            <w:noWrap w:val="0"/>
            <w:vAlign w:val="center"/>
          </w:tcPr>
          <w:p>
            <w:pPr>
              <w:widowControl/>
              <w:spacing w:line="240" w:lineRule="auto"/>
              <w:ind w:firstLine="0" w:firstLineChars="0"/>
              <w:jc w:val="center"/>
              <w:rPr>
                <w:rFonts w:hint="eastAsia" w:ascii="宋体" w:hAnsi="宋体" w:eastAsia="宋体" w:cs="宋体"/>
                <w:color w:val="auto"/>
                <w:kern w:val="0"/>
                <w:sz w:val="21"/>
                <w:szCs w:val="21"/>
                <w:highlight w:val="none"/>
              </w:rPr>
            </w:pPr>
          </w:p>
        </w:tc>
      </w:tr>
    </w:tbl>
    <w:p>
      <w:pPr>
        <w:spacing w:line="440" w:lineRule="exact"/>
        <w:ind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注：1.所有价格均用人民币表示，单位为元，精确到个数位。</w:t>
      </w:r>
    </w:p>
    <w:p>
      <w:pPr>
        <w:spacing w:line="440" w:lineRule="exact"/>
        <w:ind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bCs/>
          <w:color w:val="auto"/>
          <w:sz w:val="21"/>
          <w:szCs w:val="21"/>
          <w:highlight w:val="none"/>
        </w:rPr>
        <w:t>2.</w:t>
      </w:r>
      <w:r>
        <w:rPr>
          <w:rFonts w:hint="eastAsia" w:ascii="宋体" w:hAnsi="宋体" w:eastAsia="宋体" w:cs="宋体"/>
          <w:color w:val="auto"/>
          <w:sz w:val="21"/>
          <w:szCs w:val="21"/>
          <w:highlight w:val="none"/>
        </w:rPr>
        <w:t>投标报价应包括为完成《项目需求》中所有服务内容所需要的所有费用，包含本项服务人员工资、加班费、社会保险费、定期体检等所有人员支出和管理服务费、税费，保洁工具耗材(保洁车、小毛巾、尘推、尘推罩、玻璃套装工具、毛头、刮条、撮斗、铲刀、拖把、扫把、铁钳、檀香、毛巾、毛刷、百洁布、洗洁精、洁厕剂、肥皂等)。不包含洗衣房洗涤用品的耗材和保洁使用的垃圾袋、利器盒、消毒剂、绿化养护的工具材料等所有费用的总和。</w:t>
      </w:r>
    </w:p>
    <w:p>
      <w:pPr>
        <w:spacing w:before="50" w:after="50" w:line="360" w:lineRule="exact"/>
        <w:ind w:firstLine="42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4.报价为全包价，以人民币为结算单位。在合同实施时，采购人将不予支付中标人没有列入的项目费用，并认为此项目的费用已包括在总报价中。采购人不再支付合同以外的其他费用。</w:t>
      </w:r>
    </w:p>
    <w:p>
      <w:pPr>
        <w:spacing w:line="240" w:lineRule="auto"/>
        <w:ind w:firstLine="0" w:firstLineChars="0"/>
        <w:rPr>
          <w:rFonts w:hint="eastAsia" w:ascii="宋体" w:hAnsi="宋体" w:eastAsia="宋体" w:cs="宋体"/>
          <w:color w:val="auto"/>
          <w:sz w:val="21"/>
          <w:szCs w:val="21"/>
          <w:highlight w:val="none"/>
        </w:rPr>
      </w:pPr>
    </w:p>
    <w:p>
      <w:pPr>
        <w:ind w:firstLine="0" w:firstLineChars="0"/>
        <w:rPr>
          <w:rFonts w:hint="eastAsia" w:ascii="宋体" w:hAnsi="宋体" w:eastAsia="宋体" w:cs="宋体"/>
          <w:color w:val="auto"/>
          <w:sz w:val="21"/>
          <w:szCs w:val="21"/>
          <w:highlight w:val="none"/>
        </w:rPr>
      </w:pPr>
    </w:p>
    <w:p>
      <w:pPr>
        <w:ind w:firstLine="0" w:firstLineChars="0"/>
        <w:rPr>
          <w:rFonts w:hint="eastAsia" w:ascii="宋体" w:hAnsi="宋体" w:eastAsia="宋体" w:cs="宋体"/>
          <w:color w:val="auto"/>
          <w:sz w:val="21"/>
          <w:szCs w:val="21"/>
          <w:highlight w:val="none"/>
        </w:rPr>
      </w:pPr>
    </w:p>
    <w:p>
      <w:pPr>
        <w:snapToGrid w:val="0"/>
        <w:spacing w:before="50" w:after="50" w:line="350" w:lineRule="exact"/>
        <w:ind w:left="-2" w:leftChars="-1" w:right="-817" w:rightChars="-389" w:firstLine="4095" w:firstLineChars="19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法定代表人或授权代表（签名）：</w:t>
      </w:r>
      <w:r>
        <w:rPr>
          <w:rFonts w:hint="eastAsia" w:ascii="宋体" w:hAnsi="宋体" w:eastAsia="宋体" w:cs="宋体"/>
          <w:color w:val="auto"/>
          <w:sz w:val="21"/>
          <w:szCs w:val="21"/>
          <w:highlight w:val="none"/>
          <w:u w:val="single"/>
        </w:rPr>
        <w:t xml:space="preserve">            </w:t>
      </w:r>
    </w:p>
    <w:p>
      <w:pPr>
        <w:snapToGrid w:val="0"/>
        <w:spacing w:before="50" w:after="50" w:line="350" w:lineRule="exact"/>
        <w:ind w:right="-817" w:rightChars="-389" w:firstLine="3465" w:firstLineChars="16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投标人（盖章）：</w:t>
      </w:r>
      <w:r>
        <w:rPr>
          <w:rFonts w:hint="eastAsia" w:ascii="宋体" w:hAnsi="宋体" w:eastAsia="宋体" w:cs="宋体"/>
          <w:color w:val="auto"/>
          <w:sz w:val="21"/>
          <w:szCs w:val="21"/>
          <w:highlight w:val="none"/>
          <w:u w:val="single"/>
        </w:rPr>
        <w:t xml:space="preserve">                        </w:t>
      </w:r>
    </w:p>
    <w:p>
      <w:pPr>
        <w:snapToGrid w:val="0"/>
        <w:spacing w:before="50" w:after="50" w:line="350" w:lineRule="exact"/>
        <w:ind w:right="-817" w:rightChars="-389" w:firstLine="3465" w:firstLineChars="16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pPr>
        <w:rPr>
          <w:rFonts w:hint="eastAsia"/>
          <w:color w:val="auto"/>
          <w:highlight w:val="none"/>
        </w:rPr>
      </w:pPr>
    </w:p>
    <w:sectPr>
      <w:pgSz w:w="11906" w:h="16838"/>
      <w:pgMar w:top="1440" w:right="1133" w:bottom="1440"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方正小标宋_GBK">
    <w:panose1 w:val="03000509000000000000"/>
    <w:charset w:val="86"/>
    <w:family w:val="script"/>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华文细黑">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Arial Narrow">
    <w:panose1 w:val="020B0606020202030204"/>
    <w:charset w:val="00"/>
    <w:family w:val="swiss"/>
    <w:pitch w:val="default"/>
    <w:sig w:usb0="00000287" w:usb1="00000800" w:usb2="00000000" w:usb3="00000000" w:csb0="2000009F" w:csb1="DFD70000"/>
  </w:font>
  <w:font w:name="inherit">
    <w:altName w:val="Times New Roman"/>
    <w:panose1 w:val="00000000000000000000"/>
    <w:charset w:val="00"/>
    <w:family w:val="roman"/>
    <w:pitch w:val="default"/>
    <w:sig w:usb0="00000000" w:usb1="00000000" w:usb2="00000000" w:usb3="00000000" w:csb0="00040001" w:csb1="00000000"/>
  </w:font>
  <w:font w:name="Verdana">
    <w:panose1 w:val="020B0604030504040204"/>
    <w:charset w:val="00"/>
    <w:family w:val="swiss"/>
    <w:pitch w:val="default"/>
    <w:sig w:usb0="A00006FF" w:usb1="4000205B" w:usb2="00000010" w:usb3="00000000" w:csb0="2000019F" w:csb1="00000000"/>
  </w:font>
  <w:font w:name="方正小标宋简体">
    <w:panose1 w:val="02010601030101010101"/>
    <w:charset w:val="86"/>
    <w:family w:val="auto"/>
    <w:pitch w:val="default"/>
    <w:sig w:usb0="00000001" w:usb1="080E0000" w:usb2="00000000" w:usb3="00000000" w:csb0="00040000" w:csb1="00000000"/>
  </w:font>
  <w:font w:name="Bosch Office Sans">
    <w:altName w:val="Segoe Print"/>
    <w:panose1 w:val="000000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隶书">
    <w:panose1 w:val="02010509060101010101"/>
    <w:charset w:val="86"/>
    <w:family w:val="modern"/>
    <w:pitch w:val="default"/>
    <w:sig w:usb0="00000001" w:usb1="080E0000" w:usb2="00000000" w:usb3="00000000" w:csb0="00040000" w:csb1="00000000"/>
  </w:font>
  <w:font w:name="Adobe 仿宋 Std R">
    <w:altName w:val="仿宋"/>
    <w:panose1 w:val="02020400000000000000"/>
    <w:charset w:val="86"/>
    <w:family w:val="roman"/>
    <w:pitch w:val="default"/>
    <w:sig w:usb0="00000000" w:usb1="00000000" w:usb2="00000016" w:usb3="00000000" w:csb0="00060007" w:csb1="00000000"/>
  </w:font>
  <w:font w:name="仿宋">
    <w:panose1 w:val="02010609060101010101"/>
    <w:charset w:val="86"/>
    <w:family w:val="auto"/>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3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DajL89NwIAAG8EAAAOAAAAAAAAAAEAIAAAAB8BAABkcnMvZTJvRG9jLnht&#10;bFBLBQYAAAAABgAGAFkBAADIBQAAAAA=&#10;">
              <v:fill on="f" focussize="0,0"/>
              <v:stroke on="f" weight="0.5pt"/>
              <v:imagedata o:title=""/>
              <o:lock v:ext="edit" aspectratio="f"/>
              <v:textbox inset="0mm,0mm,0mm,0mm" style="mso-fit-shape-to-text:t;">
                <w:txbxContent>
                  <w:p>
                    <w:pPr>
                      <w:pStyle w:val="33"/>
                    </w:pPr>
                    <w:r>
                      <w:fldChar w:fldCharType="begin"/>
                    </w:r>
                    <w:r>
                      <w:instrText xml:space="preserve"> PAGE  \* MERGEFORMAT </w:instrText>
                    </w:r>
                    <w:r>
                      <w:fldChar w:fldCharType="separate"/>
                    </w:r>
                    <w:r>
                      <w:t>1</w:t>
                    </w:r>
                    <w:r>
                      <w:fldChar w:fldCharType="end"/>
                    </w:r>
                  </w:p>
                </w:txbxContent>
              </v:textbox>
            </v:shape>
          </w:pict>
        </mc:Fallback>
      </mc:AlternateContent>
    </w:r>
  </w:p>
  <w:p>
    <w:pPr>
      <w:pStyle w:val="3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ind w:firstLine="540" w:firstLineChars="300"/>
      <w:jc w:val="both"/>
      <w:rPr>
        <w:rFonts w:hint="eastAsia" w:eastAsia="宋体"/>
        <w:u w:val="none"/>
        <w:lang w:val="en-US"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658A888"/>
    <w:multiLevelType w:val="singleLevel"/>
    <w:tmpl w:val="6658A888"/>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FjZmE0Zjc2ZDA5NmE1NTQ4Yzk4Zjk0N2Y4YTlhMjQifQ=="/>
    <w:docVar w:name="KSO_WPS_MARK_KEY" w:val="159f8505-7ef9-4b37-9335-f4f6ca369815"/>
  </w:docVars>
  <w:rsids>
    <w:rsidRoot w:val="00327D23"/>
    <w:rsid w:val="00042319"/>
    <w:rsid w:val="00043008"/>
    <w:rsid w:val="000A5A01"/>
    <w:rsid w:val="001A1DCB"/>
    <w:rsid w:val="001B230D"/>
    <w:rsid w:val="001F32E9"/>
    <w:rsid w:val="00285425"/>
    <w:rsid w:val="002A3A17"/>
    <w:rsid w:val="002F1A81"/>
    <w:rsid w:val="00327D23"/>
    <w:rsid w:val="003F0CE1"/>
    <w:rsid w:val="00583C78"/>
    <w:rsid w:val="005B08E4"/>
    <w:rsid w:val="005F184D"/>
    <w:rsid w:val="00600D16"/>
    <w:rsid w:val="006358C6"/>
    <w:rsid w:val="00663C0D"/>
    <w:rsid w:val="0066646B"/>
    <w:rsid w:val="006A4E63"/>
    <w:rsid w:val="006C7AA4"/>
    <w:rsid w:val="00730047"/>
    <w:rsid w:val="0076169E"/>
    <w:rsid w:val="00785D99"/>
    <w:rsid w:val="007A4EBA"/>
    <w:rsid w:val="00835CAA"/>
    <w:rsid w:val="00AB1141"/>
    <w:rsid w:val="00B74AD7"/>
    <w:rsid w:val="00BC198A"/>
    <w:rsid w:val="00BD3939"/>
    <w:rsid w:val="00BF3D27"/>
    <w:rsid w:val="00C576B0"/>
    <w:rsid w:val="00DB1056"/>
    <w:rsid w:val="00DC4E29"/>
    <w:rsid w:val="00DE56AD"/>
    <w:rsid w:val="00EB3B48"/>
    <w:rsid w:val="00F83060"/>
    <w:rsid w:val="00FE4A1A"/>
    <w:rsid w:val="029F6D57"/>
    <w:rsid w:val="0306395E"/>
    <w:rsid w:val="034557C5"/>
    <w:rsid w:val="046312D6"/>
    <w:rsid w:val="052E05FF"/>
    <w:rsid w:val="0756227F"/>
    <w:rsid w:val="081A7463"/>
    <w:rsid w:val="08493425"/>
    <w:rsid w:val="088F64F1"/>
    <w:rsid w:val="08A03E0D"/>
    <w:rsid w:val="08C81EB3"/>
    <w:rsid w:val="09AF7DD2"/>
    <w:rsid w:val="0A062796"/>
    <w:rsid w:val="0B110634"/>
    <w:rsid w:val="0D2158F8"/>
    <w:rsid w:val="10E3306C"/>
    <w:rsid w:val="13152237"/>
    <w:rsid w:val="1480055E"/>
    <w:rsid w:val="15126A9F"/>
    <w:rsid w:val="157335A6"/>
    <w:rsid w:val="15F2642C"/>
    <w:rsid w:val="16835763"/>
    <w:rsid w:val="177F0596"/>
    <w:rsid w:val="178E3C3D"/>
    <w:rsid w:val="184C22DB"/>
    <w:rsid w:val="19517DCA"/>
    <w:rsid w:val="1A311C41"/>
    <w:rsid w:val="1AB21F20"/>
    <w:rsid w:val="1B2A75D7"/>
    <w:rsid w:val="1B3230A7"/>
    <w:rsid w:val="1C061058"/>
    <w:rsid w:val="1C682D42"/>
    <w:rsid w:val="1D3C0E5B"/>
    <w:rsid w:val="1EA012FE"/>
    <w:rsid w:val="1F160AC9"/>
    <w:rsid w:val="20E81856"/>
    <w:rsid w:val="22AF61C7"/>
    <w:rsid w:val="25202C3C"/>
    <w:rsid w:val="26944AC6"/>
    <w:rsid w:val="26D45AE2"/>
    <w:rsid w:val="26E6133C"/>
    <w:rsid w:val="272D6626"/>
    <w:rsid w:val="27481983"/>
    <w:rsid w:val="28035E97"/>
    <w:rsid w:val="28597DF9"/>
    <w:rsid w:val="28F34543"/>
    <w:rsid w:val="2CF44A46"/>
    <w:rsid w:val="2E0D0ABB"/>
    <w:rsid w:val="2EAD0881"/>
    <w:rsid w:val="2F571B10"/>
    <w:rsid w:val="304A4B04"/>
    <w:rsid w:val="31F94B51"/>
    <w:rsid w:val="32121456"/>
    <w:rsid w:val="329A5BCC"/>
    <w:rsid w:val="32AC48B9"/>
    <w:rsid w:val="32CC40BA"/>
    <w:rsid w:val="35281527"/>
    <w:rsid w:val="363A5932"/>
    <w:rsid w:val="36C501EA"/>
    <w:rsid w:val="399310AD"/>
    <w:rsid w:val="3BA31357"/>
    <w:rsid w:val="3BDB64B6"/>
    <w:rsid w:val="3C194E4C"/>
    <w:rsid w:val="3CC13764"/>
    <w:rsid w:val="3D253D34"/>
    <w:rsid w:val="3DC62D32"/>
    <w:rsid w:val="3DE81F96"/>
    <w:rsid w:val="3F66433D"/>
    <w:rsid w:val="411B6FFB"/>
    <w:rsid w:val="423F33A8"/>
    <w:rsid w:val="441B65CB"/>
    <w:rsid w:val="44696D1C"/>
    <w:rsid w:val="46A334D0"/>
    <w:rsid w:val="46F87802"/>
    <w:rsid w:val="48C56192"/>
    <w:rsid w:val="492C1BFB"/>
    <w:rsid w:val="4958510A"/>
    <w:rsid w:val="49E665A2"/>
    <w:rsid w:val="4A314D53"/>
    <w:rsid w:val="4DF70F85"/>
    <w:rsid w:val="4E091525"/>
    <w:rsid w:val="4E30443F"/>
    <w:rsid w:val="4F425216"/>
    <w:rsid w:val="4FE61C32"/>
    <w:rsid w:val="4FEC1AD6"/>
    <w:rsid w:val="501E7035"/>
    <w:rsid w:val="50D24DF9"/>
    <w:rsid w:val="511D74F8"/>
    <w:rsid w:val="521E0493"/>
    <w:rsid w:val="5293023E"/>
    <w:rsid w:val="52AB1812"/>
    <w:rsid w:val="53DC46A3"/>
    <w:rsid w:val="546D0E3F"/>
    <w:rsid w:val="54A003F8"/>
    <w:rsid w:val="554072BC"/>
    <w:rsid w:val="56293EE0"/>
    <w:rsid w:val="56B26E83"/>
    <w:rsid w:val="57C77AC1"/>
    <w:rsid w:val="58A40196"/>
    <w:rsid w:val="5E42524D"/>
    <w:rsid w:val="5F4627B7"/>
    <w:rsid w:val="5F63775C"/>
    <w:rsid w:val="60792583"/>
    <w:rsid w:val="60A531A2"/>
    <w:rsid w:val="60CC2F2B"/>
    <w:rsid w:val="61396DD0"/>
    <w:rsid w:val="62AD05DD"/>
    <w:rsid w:val="64473FC7"/>
    <w:rsid w:val="68101630"/>
    <w:rsid w:val="691C4F7F"/>
    <w:rsid w:val="6A2720C1"/>
    <w:rsid w:val="6E633704"/>
    <w:rsid w:val="6FF238A3"/>
    <w:rsid w:val="711A2D14"/>
    <w:rsid w:val="71776B44"/>
    <w:rsid w:val="72426149"/>
    <w:rsid w:val="72BB1F0C"/>
    <w:rsid w:val="72DC6E9B"/>
    <w:rsid w:val="738A4F1A"/>
    <w:rsid w:val="73A00BEE"/>
    <w:rsid w:val="73B203A5"/>
    <w:rsid w:val="73EA6518"/>
    <w:rsid w:val="759F50DE"/>
    <w:rsid w:val="7635037C"/>
    <w:rsid w:val="768B1F49"/>
    <w:rsid w:val="77355AB8"/>
    <w:rsid w:val="77CD570B"/>
    <w:rsid w:val="78054B5D"/>
    <w:rsid w:val="796E58C6"/>
    <w:rsid w:val="79B87874"/>
    <w:rsid w:val="7A0A69A5"/>
    <w:rsid w:val="7DF35615"/>
    <w:rsid w:val="7EFF49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99" w:name="heading 7"/>
    <w:lsdException w:qFormat="1" w:uiPriority="99" w:name="heading 8"/>
    <w:lsdException w:qFormat="1" w:uiPriority="99" w:name="heading 9"/>
    <w:lsdException w:qFormat="1"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nhideWhenUsed="0" w:uiPriority="0" w:semiHidden="0" w:name="toc 2"/>
    <w:lsdException w:qFormat="1" w:uiPriority="99" w:name="toc 3"/>
    <w:lsdException w:qFormat="1" w:uiPriority="99" w:name="toc 4"/>
    <w:lsdException w:qFormat="1" w:uiPriority="99" w:name="toc 5"/>
    <w:lsdException w:qFormat="1" w:uiPriority="99" w:name="toc 6"/>
    <w:lsdException w:qFormat="1" w:uiPriority="99" w:name="toc 7"/>
    <w:lsdException w:qFormat="1" w:uiPriority="99" w:name="toc 8"/>
    <w:lsdException w:qFormat="1" w:uiPriority="99" w:name="toc 9"/>
    <w:lsdException w:qFormat="1"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99" w:name="caption"/>
    <w:lsdException w:uiPriority="99" w:name="table of figures"/>
    <w:lsdException w:uiPriority="99" w:name="envelope address"/>
    <w:lsdException w:uiPriority="99" w:name="envelope return"/>
    <w:lsdException w:qFormat="1" w:uiPriority="0" w:name="footnote reference"/>
    <w:lsdException w:qFormat="1" w:uiPriority="99" w:name="annotation reference"/>
    <w:lsdException w:uiPriority="99" w:name="line number"/>
    <w:lsdException w:uiPriority="99" w:name="page number"/>
    <w:lsdException w:qFormat="1" w:uiPriority="0" w:name="endnote reference"/>
    <w:lsdException w:qFormat="1" w:uiPriority="99" w:name="endnote text"/>
    <w:lsdException w:qFormat="1" w:uiPriority="0" w:name="table of authorities"/>
    <w:lsdException w:uiPriority="99" w:name="macro"/>
    <w:lsdException w:uiPriority="99" w:name="toa heading"/>
    <w:lsdException w:qFormat="1" w:uiPriority="99" w:name="List"/>
    <w:lsdException w:uiPriority="99" w:name="List Bullet"/>
    <w:lsdException w:qFormat="1" w:uiPriority="99" w:name="List Number"/>
    <w:lsdException w:qFormat="1"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qFormat="1"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name="Default Paragraph Font"/>
    <w:lsdException w:qFormat="1"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99"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qFormat="1" w:uiPriority="99" w:name="Body Text 2"/>
    <w:lsdException w:qFormat="1" w:uiPriority="99" w:name="Body Text 3"/>
    <w:lsdException w:qFormat="1" w:uiPriority="99" w:name="Body Text Indent 2"/>
    <w:lsdException w:qFormat="1" w:uiPriority="99" w:name="Body Text Indent 3"/>
    <w:lsdException w:qFormat="1" w:unhideWhenUsed="0" w:uiPriority="0" w:semiHidden="0" w:name="Block Text"/>
    <w:lsdException w:qFormat="1" w:uiPriority="99" w:semiHidden="0" w:name="Hyperlink"/>
    <w:lsdException w:qFormat="1" w:uiPriority="0" w:name="FollowedHyperlink"/>
    <w:lsdException w:qFormat="1" w:unhideWhenUsed="0" w:uiPriority="22" w:semiHidden="0" w:name="Strong"/>
    <w:lsdException w:qFormat="1" w:unhideWhenUsed="0" w:uiPriority="0" w:semiHidden="0" w:name="Emphasis"/>
    <w:lsdException w:qFormat="1" w:uiPriority="99" w:name="Document Map"/>
    <w:lsdException w:qFormat="1" w:uiPriority="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0"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link w:val="318"/>
    <w:qFormat/>
    <w:uiPriority w:val="9"/>
    <w:pPr>
      <w:keepNext/>
      <w:keepLines/>
      <w:spacing w:before="340" w:after="330" w:line="576" w:lineRule="auto"/>
      <w:ind w:firstLine="200" w:firstLineChars="200"/>
      <w:jc w:val="center"/>
      <w:outlineLvl w:val="0"/>
    </w:pPr>
    <w:rPr>
      <w:rFonts w:ascii="Times New Roman" w:hAnsi="Times New Roman" w:eastAsia="仿宋_GB2312" w:cs="Times New Roman"/>
      <w:b/>
      <w:bCs/>
      <w:kern w:val="44"/>
      <w:sz w:val="44"/>
      <w:szCs w:val="44"/>
    </w:rPr>
  </w:style>
  <w:style w:type="paragraph" w:styleId="4">
    <w:name w:val="heading 2"/>
    <w:basedOn w:val="1"/>
    <w:next w:val="1"/>
    <w:link w:val="63"/>
    <w:semiHidden/>
    <w:unhideWhenUsed/>
    <w:qFormat/>
    <w:uiPriority w:val="0"/>
    <w:pPr>
      <w:keepNext/>
      <w:keepLines/>
      <w:spacing w:before="260" w:after="260" w:line="415" w:lineRule="auto"/>
      <w:ind w:firstLine="200" w:firstLineChars="200"/>
      <w:outlineLvl w:val="1"/>
    </w:pPr>
    <w:rPr>
      <w:rFonts w:ascii="Arial" w:hAnsi="Arial" w:eastAsia="黑体" w:cs="Times New Roman"/>
      <w:b/>
      <w:bCs/>
      <w:sz w:val="32"/>
      <w:szCs w:val="32"/>
    </w:rPr>
  </w:style>
  <w:style w:type="paragraph" w:styleId="5">
    <w:name w:val="heading 3"/>
    <w:basedOn w:val="1"/>
    <w:next w:val="1"/>
    <w:link w:val="64"/>
    <w:semiHidden/>
    <w:unhideWhenUsed/>
    <w:qFormat/>
    <w:uiPriority w:val="0"/>
    <w:pPr>
      <w:keepNext/>
      <w:keepLines/>
      <w:spacing w:before="260" w:after="260" w:line="415" w:lineRule="auto"/>
      <w:ind w:firstLine="200" w:firstLineChars="200"/>
      <w:outlineLvl w:val="2"/>
    </w:pPr>
    <w:rPr>
      <w:rFonts w:ascii="宋体" w:hAnsi="Courier New" w:eastAsia="宋体" w:cs="宋体"/>
      <w:b/>
      <w:bCs/>
      <w:sz w:val="32"/>
      <w:szCs w:val="32"/>
    </w:rPr>
  </w:style>
  <w:style w:type="paragraph" w:styleId="6">
    <w:name w:val="heading 4"/>
    <w:basedOn w:val="1"/>
    <w:next w:val="1"/>
    <w:link w:val="65"/>
    <w:semiHidden/>
    <w:unhideWhenUsed/>
    <w:qFormat/>
    <w:uiPriority w:val="0"/>
    <w:pPr>
      <w:keepNext/>
      <w:keepLines/>
      <w:spacing w:before="280" w:after="290" w:line="374" w:lineRule="auto"/>
      <w:ind w:firstLine="200" w:firstLineChars="200"/>
      <w:outlineLvl w:val="3"/>
    </w:pPr>
    <w:rPr>
      <w:rFonts w:ascii="Arial" w:hAnsi="Arial" w:eastAsia="黑体" w:cs="Times New Roman"/>
      <w:b/>
      <w:bCs/>
      <w:sz w:val="28"/>
      <w:szCs w:val="28"/>
    </w:rPr>
  </w:style>
  <w:style w:type="paragraph" w:styleId="7">
    <w:name w:val="heading 5"/>
    <w:basedOn w:val="1"/>
    <w:next w:val="8"/>
    <w:link w:val="66"/>
    <w:semiHidden/>
    <w:unhideWhenUsed/>
    <w:qFormat/>
    <w:uiPriority w:val="0"/>
    <w:pPr>
      <w:keepNext/>
      <w:keepLines/>
      <w:spacing w:before="280" w:after="290" w:line="374" w:lineRule="auto"/>
      <w:ind w:firstLine="200" w:firstLineChars="200"/>
      <w:outlineLvl w:val="4"/>
    </w:pPr>
    <w:rPr>
      <w:rFonts w:ascii="Times New Roman" w:hAnsi="Times New Roman" w:eastAsia="宋体" w:cs="Times New Roman"/>
      <w:b/>
      <w:sz w:val="28"/>
      <w:szCs w:val="24"/>
    </w:rPr>
  </w:style>
  <w:style w:type="paragraph" w:styleId="9">
    <w:name w:val="heading 6"/>
    <w:basedOn w:val="1"/>
    <w:next w:val="8"/>
    <w:link w:val="67"/>
    <w:semiHidden/>
    <w:unhideWhenUsed/>
    <w:qFormat/>
    <w:uiPriority w:val="0"/>
    <w:pPr>
      <w:keepNext/>
      <w:keepLines/>
      <w:spacing w:before="240" w:after="64" w:line="319" w:lineRule="auto"/>
      <w:ind w:firstLine="200" w:firstLineChars="200"/>
      <w:outlineLvl w:val="5"/>
    </w:pPr>
    <w:rPr>
      <w:rFonts w:ascii="Arial" w:hAnsi="Arial" w:eastAsia="黑体" w:cs="Times New Roman"/>
      <w:b/>
      <w:sz w:val="24"/>
      <w:szCs w:val="24"/>
    </w:rPr>
  </w:style>
  <w:style w:type="paragraph" w:styleId="10">
    <w:name w:val="heading 7"/>
    <w:basedOn w:val="1"/>
    <w:next w:val="8"/>
    <w:link w:val="68"/>
    <w:semiHidden/>
    <w:unhideWhenUsed/>
    <w:qFormat/>
    <w:uiPriority w:val="99"/>
    <w:pPr>
      <w:keepNext/>
      <w:keepLines/>
      <w:spacing w:before="240" w:after="64" w:line="319" w:lineRule="auto"/>
      <w:ind w:firstLine="200" w:firstLineChars="200"/>
      <w:outlineLvl w:val="6"/>
    </w:pPr>
    <w:rPr>
      <w:rFonts w:ascii="Times New Roman" w:hAnsi="Times New Roman" w:eastAsia="宋体" w:cs="Times New Roman"/>
      <w:b/>
      <w:sz w:val="24"/>
      <w:szCs w:val="24"/>
    </w:rPr>
  </w:style>
  <w:style w:type="paragraph" w:styleId="11">
    <w:name w:val="heading 8"/>
    <w:basedOn w:val="1"/>
    <w:next w:val="8"/>
    <w:link w:val="69"/>
    <w:semiHidden/>
    <w:unhideWhenUsed/>
    <w:qFormat/>
    <w:uiPriority w:val="99"/>
    <w:pPr>
      <w:keepNext/>
      <w:keepLines/>
      <w:spacing w:before="240" w:after="64" w:line="319" w:lineRule="auto"/>
      <w:ind w:firstLine="200" w:firstLineChars="200"/>
      <w:outlineLvl w:val="7"/>
    </w:pPr>
    <w:rPr>
      <w:rFonts w:ascii="Arial" w:hAnsi="Arial" w:eastAsia="黑体" w:cs="Times New Roman"/>
      <w:sz w:val="24"/>
      <w:szCs w:val="24"/>
    </w:rPr>
  </w:style>
  <w:style w:type="paragraph" w:styleId="12">
    <w:name w:val="heading 9"/>
    <w:basedOn w:val="1"/>
    <w:next w:val="8"/>
    <w:link w:val="70"/>
    <w:semiHidden/>
    <w:unhideWhenUsed/>
    <w:qFormat/>
    <w:uiPriority w:val="99"/>
    <w:pPr>
      <w:keepNext/>
      <w:keepLines/>
      <w:spacing w:before="240" w:after="64" w:line="319" w:lineRule="auto"/>
      <w:ind w:firstLine="200" w:firstLineChars="200"/>
      <w:outlineLvl w:val="8"/>
    </w:pPr>
    <w:rPr>
      <w:rFonts w:ascii="Arial" w:hAnsi="Arial" w:eastAsia="黑体" w:cs="Times New Roman"/>
      <w:szCs w:val="24"/>
    </w:rPr>
  </w:style>
  <w:style w:type="character" w:default="1" w:styleId="52">
    <w:name w:val="Default Paragraph Font"/>
    <w:semiHidden/>
    <w:unhideWhenUsed/>
    <w:qFormat/>
    <w:uiPriority w:val="1"/>
  </w:style>
  <w:style w:type="table" w:default="1" w:styleId="49">
    <w:name w:val="Normal Table"/>
    <w:semiHidden/>
    <w:unhideWhenUsed/>
    <w:qFormat/>
    <w:uiPriority w:val="99"/>
    <w:tblPr>
      <w:tblCellMar>
        <w:top w:w="0" w:type="dxa"/>
        <w:left w:w="108" w:type="dxa"/>
        <w:bottom w:w="0" w:type="dxa"/>
        <w:right w:w="108" w:type="dxa"/>
      </w:tblCellMar>
    </w:tblPr>
  </w:style>
  <w:style w:type="paragraph" w:styleId="2">
    <w:name w:val="table of authorities"/>
    <w:basedOn w:val="1"/>
    <w:next w:val="1"/>
    <w:link w:val="79"/>
    <w:semiHidden/>
    <w:unhideWhenUsed/>
    <w:qFormat/>
    <w:uiPriority w:val="0"/>
    <w:pPr>
      <w:ind w:left="420" w:leftChars="200"/>
    </w:pPr>
    <w:rPr>
      <w:szCs w:val="24"/>
    </w:rPr>
  </w:style>
  <w:style w:type="paragraph" w:styleId="8">
    <w:name w:val="Normal Indent"/>
    <w:basedOn w:val="1"/>
    <w:link w:val="75"/>
    <w:semiHidden/>
    <w:unhideWhenUsed/>
    <w:qFormat/>
    <w:uiPriority w:val="99"/>
    <w:pPr>
      <w:spacing w:line="400" w:lineRule="exact"/>
      <w:ind w:firstLine="420" w:firstLineChars="200"/>
    </w:pPr>
    <w:rPr>
      <w:rFonts w:ascii="Times New Roman" w:hAnsi="Times New Roman" w:eastAsia="宋体" w:cs="Times New Roman"/>
      <w:szCs w:val="20"/>
    </w:rPr>
  </w:style>
  <w:style w:type="paragraph" w:styleId="13">
    <w:name w:val="toc 7"/>
    <w:basedOn w:val="1"/>
    <w:next w:val="1"/>
    <w:semiHidden/>
    <w:unhideWhenUsed/>
    <w:qFormat/>
    <w:uiPriority w:val="99"/>
    <w:pPr>
      <w:spacing w:line="360" w:lineRule="auto"/>
      <w:ind w:left="1440" w:firstLine="200" w:firstLineChars="200"/>
      <w:jc w:val="left"/>
    </w:pPr>
    <w:rPr>
      <w:rFonts w:ascii="Calibri" w:hAnsi="Calibri" w:eastAsia="宋体" w:cs="Times New Roman"/>
      <w:sz w:val="20"/>
      <w:szCs w:val="20"/>
    </w:rPr>
  </w:style>
  <w:style w:type="paragraph" w:styleId="14">
    <w:name w:val="List Number"/>
    <w:basedOn w:val="1"/>
    <w:semiHidden/>
    <w:unhideWhenUsed/>
    <w:qFormat/>
    <w:uiPriority w:val="99"/>
    <w:pPr>
      <w:widowControl/>
      <w:tabs>
        <w:tab w:val="left" w:pos="454"/>
        <w:tab w:val="left" w:pos="720"/>
        <w:tab w:val="left" w:pos="840"/>
      </w:tabs>
      <w:spacing w:afterLines="50" w:line="400" w:lineRule="exact"/>
      <w:ind w:left="454" w:hanging="284" w:firstLineChars="200"/>
      <w:jc w:val="left"/>
    </w:pPr>
    <w:rPr>
      <w:rFonts w:ascii="Times New Roman" w:hAnsi="Times New Roman" w:eastAsia="宋体" w:cs="Times New Roman"/>
      <w:kern w:val="0"/>
      <w:sz w:val="24"/>
      <w:szCs w:val="20"/>
    </w:rPr>
  </w:style>
  <w:style w:type="paragraph" w:styleId="15">
    <w:name w:val="caption"/>
    <w:basedOn w:val="1"/>
    <w:next w:val="1"/>
    <w:semiHidden/>
    <w:unhideWhenUsed/>
    <w:qFormat/>
    <w:uiPriority w:val="99"/>
    <w:pPr>
      <w:spacing w:before="152" w:after="160" w:line="400" w:lineRule="exact"/>
      <w:ind w:firstLine="200" w:firstLineChars="200"/>
    </w:pPr>
    <w:rPr>
      <w:rFonts w:ascii="Arial" w:hAnsi="Arial" w:eastAsia="黑体" w:cs="Arial"/>
      <w:sz w:val="20"/>
      <w:szCs w:val="20"/>
    </w:rPr>
  </w:style>
  <w:style w:type="paragraph" w:styleId="16">
    <w:name w:val="Document Map"/>
    <w:basedOn w:val="1"/>
    <w:link w:val="90"/>
    <w:semiHidden/>
    <w:unhideWhenUsed/>
    <w:qFormat/>
    <w:uiPriority w:val="99"/>
    <w:pPr>
      <w:shd w:val="clear" w:color="auto" w:fill="000080"/>
      <w:spacing w:line="400" w:lineRule="exact"/>
      <w:ind w:firstLine="200" w:firstLineChars="200"/>
    </w:pPr>
    <w:rPr>
      <w:rFonts w:ascii="Times New Roman" w:hAnsi="Times New Roman" w:eastAsia="宋体" w:cs="Times New Roman"/>
      <w:szCs w:val="24"/>
    </w:rPr>
  </w:style>
  <w:style w:type="paragraph" w:styleId="17">
    <w:name w:val="annotation text"/>
    <w:basedOn w:val="1"/>
    <w:link w:val="77"/>
    <w:semiHidden/>
    <w:unhideWhenUsed/>
    <w:qFormat/>
    <w:uiPriority w:val="99"/>
    <w:pPr>
      <w:spacing w:line="400" w:lineRule="exact"/>
      <w:ind w:firstLine="200" w:firstLineChars="200"/>
      <w:jc w:val="left"/>
    </w:pPr>
    <w:rPr>
      <w:rFonts w:ascii="Times New Roman" w:hAnsi="Times New Roman" w:eastAsia="宋体" w:cs="Times New Roman"/>
      <w:szCs w:val="24"/>
    </w:rPr>
  </w:style>
  <w:style w:type="paragraph" w:styleId="18">
    <w:name w:val="Body Text 3"/>
    <w:basedOn w:val="1"/>
    <w:link w:val="87"/>
    <w:semiHidden/>
    <w:unhideWhenUsed/>
    <w:qFormat/>
    <w:uiPriority w:val="99"/>
    <w:pPr>
      <w:spacing w:line="500" w:lineRule="exact"/>
      <w:ind w:firstLine="200" w:firstLineChars="200"/>
    </w:pPr>
    <w:rPr>
      <w:rFonts w:ascii="Times New Roman" w:hAnsi="Times New Roman" w:eastAsia="宋体" w:cs="Times New Roman"/>
      <w:b/>
      <w:bCs/>
      <w:sz w:val="24"/>
      <w:szCs w:val="24"/>
    </w:rPr>
  </w:style>
  <w:style w:type="paragraph" w:styleId="19">
    <w:name w:val="Body Text"/>
    <w:basedOn w:val="1"/>
    <w:next w:val="20"/>
    <w:link w:val="82"/>
    <w:semiHidden/>
    <w:unhideWhenUsed/>
    <w:qFormat/>
    <w:uiPriority w:val="99"/>
    <w:pPr>
      <w:spacing w:line="380" w:lineRule="exact"/>
      <w:ind w:firstLine="200" w:firstLineChars="200"/>
    </w:pPr>
    <w:rPr>
      <w:rFonts w:ascii="Times New Roman" w:hAnsi="Times New Roman" w:eastAsia="宋体" w:cs="Times New Roman"/>
      <w:sz w:val="24"/>
      <w:szCs w:val="24"/>
    </w:rPr>
  </w:style>
  <w:style w:type="paragraph" w:styleId="20">
    <w:name w:val="toc 2"/>
    <w:basedOn w:val="1"/>
    <w:next w:val="1"/>
    <w:qFormat/>
    <w:uiPriority w:val="0"/>
    <w:pPr>
      <w:ind w:left="200" w:leftChars="200"/>
    </w:pPr>
  </w:style>
  <w:style w:type="paragraph" w:styleId="21">
    <w:name w:val="Body Text Indent"/>
    <w:basedOn w:val="1"/>
    <w:link w:val="83"/>
    <w:semiHidden/>
    <w:unhideWhenUsed/>
    <w:qFormat/>
    <w:uiPriority w:val="99"/>
    <w:pPr>
      <w:spacing w:line="400" w:lineRule="exact"/>
      <w:ind w:firstLine="830" w:firstLineChars="352"/>
    </w:pPr>
    <w:rPr>
      <w:rFonts w:ascii="仿宋_GB2312" w:hAnsi="Times New Roman" w:eastAsia="仿宋_GB2312" w:cs="Times New Roman"/>
      <w:sz w:val="32"/>
      <w:szCs w:val="20"/>
    </w:rPr>
  </w:style>
  <w:style w:type="paragraph" w:styleId="22">
    <w:name w:val="List Number 3"/>
    <w:basedOn w:val="1"/>
    <w:semiHidden/>
    <w:unhideWhenUsed/>
    <w:qFormat/>
    <w:uiPriority w:val="99"/>
    <w:pPr>
      <w:tabs>
        <w:tab w:val="left" w:pos="360"/>
      </w:tabs>
      <w:spacing w:line="400" w:lineRule="exact"/>
      <w:ind w:left="360" w:hanging="360" w:firstLineChars="200"/>
    </w:pPr>
    <w:rPr>
      <w:rFonts w:ascii="Times New Roman" w:hAnsi="Times New Roman" w:eastAsia="宋体" w:cs="Times New Roman"/>
      <w:szCs w:val="24"/>
    </w:rPr>
  </w:style>
  <w:style w:type="paragraph" w:styleId="23">
    <w:name w:val="List 2"/>
    <w:basedOn w:val="1"/>
    <w:semiHidden/>
    <w:unhideWhenUsed/>
    <w:qFormat/>
    <w:uiPriority w:val="99"/>
    <w:pPr>
      <w:spacing w:line="400" w:lineRule="exact"/>
      <w:ind w:left="100" w:leftChars="200" w:hanging="200" w:hangingChars="200"/>
    </w:pPr>
    <w:rPr>
      <w:rFonts w:ascii="Times New Roman" w:hAnsi="Times New Roman" w:eastAsia="宋体" w:cs="Times New Roman"/>
      <w:sz w:val="28"/>
      <w:szCs w:val="24"/>
    </w:rPr>
  </w:style>
  <w:style w:type="paragraph" w:styleId="24">
    <w:name w:val="Block Text"/>
    <w:basedOn w:val="1"/>
    <w:qFormat/>
    <w:uiPriority w:val="0"/>
    <w:pPr>
      <w:adjustRightInd w:val="0"/>
      <w:ind w:left="420" w:right="33"/>
      <w:jc w:val="left"/>
      <w:textAlignment w:val="baseline"/>
    </w:pPr>
    <w:rPr>
      <w:kern w:val="0"/>
      <w:sz w:val="24"/>
      <w:szCs w:val="20"/>
    </w:rPr>
  </w:style>
  <w:style w:type="paragraph" w:styleId="25">
    <w:name w:val="toc 5"/>
    <w:basedOn w:val="1"/>
    <w:next w:val="1"/>
    <w:semiHidden/>
    <w:unhideWhenUsed/>
    <w:qFormat/>
    <w:uiPriority w:val="99"/>
    <w:pPr>
      <w:spacing w:line="360" w:lineRule="auto"/>
      <w:ind w:left="960" w:firstLine="200" w:firstLineChars="200"/>
      <w:jc w:val="left"/>
    </w:pPr>
    <w:rPr>
      <w:rFonts w:ascii="Calibri" w:hAnsi="Calibri" w:eastAsia="宋体" w:cs="Times New Roman"/>
      <w:sz w:val="20"/>
      <w:szCs w:val="20"/>
    </w:rPr>
  </w:style>
  <w:style w:type="paragraph" w:styleId="26">
    <w:name w:val="toc 3"/>
    <w:basedOn w:val="1"/>
    <w:next w:val="1"/>
    <w:semiHidden/>
    <w:unhideWhenUsed/>
    <w:qFormat/>
    <w:uiPriority w:val="99"/>
    <w:pPr>
      <w:spacing w:line="400" w:lineRule="exact"/>
      <w:ind w:left="840" w:leftChars="400" w:firstLine="200" w:firstLineChars="200"/>
    </w:pPr>
    <w:rPr>
      <w:rFonts w:ascii="Times New Roman" w:hAnsi="Times New Roman" w:eastAsia="宋体" w:cs="Times New Roman"/>
      <w:szCs w:val="24"/>
    </w:rPr>
  </w:style>
  <w:style w:type="paragraph" w:styleId="27">
    <w:name w:val="Plain Text"/>
    <w:basedOn w:val="1"/>
    <w:next w:val="6"/>
    <w:link w:val="91"/>
    <w:semiHidden/>
    <w:unhideWhenUsed/>
    <w:qFormat/>
    <w:uiPriority w:val="0"/>
    <w:pPr>
      <w:spacing w:line="400" w:lineRule="exact"/>
      <w:ind w:firstLine="200" w:firstLineChars="200"/>
    </w:pPr>
    <w:rPr>
      <w:rFonts w:ascii="宋体" w:hAnsi="Courier New" w:eastAsia="宋体" w:cs="Courier New"/>
      <w:szCs w:val="21"/>
    </w:rPr>
  </w:style>
  <w:style w:type="paragraph" w:styleId="28">
    <w:name w:val="toc 8"/>
    <w:basedOn w:val="1"/>
    <w:next w:val="1"/>
    <w:semiHidden/>
    <w:unhideWhenUsed/>
    <w:qFormat/>
    <w:uiPriority w:val="99"/>
    <w:pPr>
      <w:spacing w:line="360" w:lineRule="auto"/>
      <w:ind w:left="1680" w:firstLine="200" w:firstLineChars="200"/>
      <w:jc w:val="left"/>
    </w:pPr>
    <w:rPr>
      <w:rFonts w:ascii="Calibri" w:hAnsi="Calibri" w:eastAsia="宋体" w:cs="Times New Roman"/>
      <w:sz w:val="20"/>
      <w:szCs w:val="20"/>
    </w:rPr>
  </w:style>
  <w:style w:type="paragraph" w:styleId="29">
    <w:name w:val="Date"/>
    <w:basedOn w:val="1"/>
    <w:next w:val="1"/>
    <w:link w:val="85"/>
    <w:semiHidden/>
    <w:unhideWhenUsed/>
    <w:qFormat/>
    <w:uiPriority w:val="99"/>
    <w:pPr>
      <w:spacing w:line="400" w:lineRule="exact"/>
      <w:ind w:left="100" w:leftChars="2500" w:firstLine="200" w:firstLineChars="200"/>
    </w:pPr>
    <w:rPr>
      <w:rFonts w:ascii="宋体" w:hAnsi="Courier New" w:eastAsia="宋体" w:cs="Courier New"/>
      <w:szCs w:val="21"/>
    </w:rPr>
  </w:style>
  <w:style w:type="paragraph" w:styleId="30">
    <w:name w:val="Body Text Indent 2"/>
    <w:basedOn w:val="1"/>
    <w:link w:val="88"/>
    <w:semiHidden/>
    <w:unhideWhenUsed/>
    <w:qFormat/>
    <w:uiPriority w:val="99"/>
    <w:pPr>
      <w:spacing w:line="400" w:lineRule="exact"/>
      <w:ind w:firstLine="630" w:firstLineChars="200"/>
    </w:pPr>
    <w:rPr>
      <w:rFonts w:ascii="Times New Roman" w:hAnsi="Times New Roman" w:eastAsia="宋体" w:cs="Times New Roman"/>
      <w:sz w:val="32"/>
      <w:szCs w:val="20"/>
    </w:rPr>
  </w:style>
  <w:style w:type="paragraph" w:styleId="31">
    <w:name w:val="endnote text"/>
    <w:basedOn w:val="1"/>
    <w:link w:val="78"/>
    <w:semiHidden/>
    <w:unhideWhenUsed/>
    <w:qFormat/>
    <w:uiPriority w:val="99"/>
    <w:pPr>
      <w:snapToGrid w:val="0"/>
      <w:spacing w:line="480" w:lineRule="exact"/>
      <w:ind w:firstLine="200" w:firstLineChars="200"/>
      <w:jc w:val="left"/>
    </w:pPr>
    <w:rPr>
      <w:rFonts w:ascii="微软雅黑" w:hAnsi="微软雅黑" w:eastAsia="微软雅黑" w:cs="Times New Roman"/>
      <w:kern w:val="0"/>
      <w:sz w:val="20"/>
      <w:szCs w:val="20"/>
    </w:rPr>
  </w:style>
  <w:style w:type="paragraph" w:styleId="32">
    <w:name w:val="Balloon Text"/>
    <w:basedOn w:val="1"/>
    <w:link w:val="94"/>
    <w:semiHidden/>
    <w:unhideWhenUsed/>
    <w:qFormat/>
    <w:uiPriority w:val="99"/>
    <w:pPr>
      <w:spacing w:line="400" w:lineRule="exact"/>
      <w:ind w:firstLine="200" w:firstLineChars="200"/>
    </w:pPr>
    <w:rPr>
      <w:rFonts w:ascii="Times New Roman" w:hAnsi="Times New Roman" w:eastAsia="宋体" w:cs="Times New Roman"/>
      <w:sz w:val="18"/>
      <w:szCs w:val="18"/>
    </w:rPr>
  </w:style>
  <w:style w:type="paragraph" w:styleId="33">
    <w:name w:val="footer"/>
    <w:basedOn w:val="1"/>
    <w:link w:val="61"/>
    <w:unhideWhenUsed/>
    <w:qFormat/>
    <w:uiPriority w:val="99"/>
    <w:pPr>
      <w:tabs>
        <w:tab w:val="center" w:pos="4153"/>
        <w:tab w:val="right" w:pos="8306"/>
      </w:tabs>
      <w:snapToGrid w:val="0"/>
      <w:jc w:val="left"/>
    </w:pPr>
    <w:rPr>
      <w:sz w:val="18"/>
      <w:szCs w:val="18"/>
    </w:rPr>
  </w:style>
  <w:style w:type="paragraph" w:styleId="34">
    <w:name w:val="header"/>
    <w:basedOn w:val="1"/>
    <w:link w:val="60"/>
    <w:unhideWhenUsed/>
    <w:qFormat/>
    <w:uiPriority w:val="99"/>
    <w:pPr>
      <w:tabs>
        <w:tab w:val="center" w:pos="4153"/>
        <w:tab w:val="right" w:pos="8306"/>
      </w:tabs>
      <w:snapToGrid w:val="0"/>
      <w:jc w:val="center"/>
    </w:pPr>
    <w:rPr>
      <w:sz w:val="18"/>
      <w:szCs w:val="18"/>
    </w:rPr>
  </w:style>
  <w:style w:type="paragraph" w:styleId="35">
    <w:name w:val="toc 1"/>
    <w:basedOn w:val="1"/>
    <w:next w:val="1"/>
    <w:link w:val="73"/>
    <w:unhideWhenUsed/>
    <w:qFormat/>
    <w:uiPriority w:val="39"/>
    <w:rPr>
      <w:szCs w:val="24"/>
    </w:rPr>
  </w:style>
  <w:style w:type="paragraph" w:styleId="36">
    <w:name w:val="toc 4"/>
    <w:basedOn w:val="1"/>
    <w:next w:val="1"/>
    <w:semiHidden/>
    <w:unhideWhenUsed/>
    <w:qFormat/>
    <w:uiPriority w:val="99"/>
    <w:pPr>
      <w:spacing w:line="360" w:lineRule="auto"/>
      <w:ind w:left="720" w:firstLine="200" w:firstLineChars="200"/>
      <w:jc w:val="left"/>
    </w:pPr>
    <w:rPr>
      <w:rFonts w:ascii="Calibri" w:hAnsi="Calibri" w:eastAsia="宋体" w:cs="Times New Roman"/>
      <w:sz w:val="20"/>
      <w:szCs w:val="20"/>
    </w:rPr>
  </w:style>
  <w:style w:type="paragraph" w:styleId="37">
    <w:name w:val="Subtitle"/>
    <w:basedOn w:val="1"/>
    <w:next w:val="1"/>
    <w:link w:val="84"/>
    <w:qFormat/>
    <w:uiPriority w:val="99"/>
    <w:pPr>
      <w:widowControl/>
      <w:spacing w:after="200" w:line="276" w:lineRule="auto"/>
      <w:ind w:firstLine="200" w:firstLineChars="200"/>
      <w:jc w:val="left"/>
    </w:pPr>
    <w:rPr>
      <w:rFonts w:ascii="Cambria" w:hAnsi="Cambria" w:eastAsia="宋体" w:cs="Times New Roman"/>
      <w:i/>
      <w:iCs/>
      <w:color w:val="4F81BD"/>
      <w:spacing w:val="15"/>
      <w:kern w:val="0"/>
      <w:sz w:val="20"/>
      <w:szCs w:val="20"/>
    </w:rPr>
  </w:style>
  <w:style w:type="paragraph" w:styleId="38">
    <w:name w:val="List"/>
    <w:basedOn w:val="1"/>
    <w:semiHidden/>
    <w:unhideWhenUsed/>
    <w:qFormat/>
    <w:uiPriority w:val="99"/>
    <w:pPr>
      <w:spacing w:line="400" w:lineRule="exact"/>
      <w:ind w:left="200" w:hanging="200" w:hangingChars="200"/>
    </w:pPr>
    <w:rPr>
      <w:rFonts w:ascii="Times New Roman" w:hAnsi="Times New Roman" w:eastAsia="宋体" w:cs="Times New Roman"/>
      <w:sz w:val="28"/>
      <w:szCs w:val="24"/>
    </w:rPr>
  </w:style>
  <w:style w:type="paragraph" w:styleId="39">
    <w:name w:val="footnote text"/>
    <w:basedOn w:val="1"/>
    <w:link w:val="76"/>
    <w:semiHidden/>
    <w:unhideWhenUsed/>
    <w:qFormat/>
    <w:uiPriority w:val="99"/>
    <w:pPr>
      <w:snapToGrid w:val="0"/>
      <w:spacing w:afterLines="50" w:line="360" w:lineRule="auto"/>
      <w:ind w:firstLine="200" w:firstLineChars="200"/>
      <w:jc w:val="left"/>
    </w:pPr>
    <w:rPr>
      <w:rFonts w:ascii="Arial" w:hAnsi="Arial" w:eastAsia="宋体" w:cs="Arial"/>
      <w:kern w:val="0"/>
      <w:sz w:val="18"/>
      <w:szCs w:val="18"/>
    </w:rPr>
  </w:style>
  <w:style w:type="paragraph" w:styleId="40">
    <w:name w:val="toc 6"/>
    <w:basedOn w:val="1"/>
    <w:next w:val="1"/>
    <w:semiHidden/>
    <w:unhideWhenUsed/>
    <w:qFormat/>
    <w:uiPriority w:val="99"/>
    <w:pPr>
      <w:spacing w:line="360" w:lineRule="auto"/>
      <w:ind w:left="1200" w:firstLine="200" w:firstLineChars="200"/>
      <w:jc w:val="left"/>
    </w:pPr>
    <w:rPr>
      <w:rFonts w:ascii="Calibri" w:hAnsi="Calibri" w:eastAsia="宋体" w:cs="Times New Roman"/>
      <w:sz w:val="20"/>
      <w:szCs w:val="20"/>
    </w:rPr>
  </w:style>
  <w:style w:type="paragraph" w:styleId="41">
    <w:name w:val="Body Text Indent 3"/>
    <w:basedOn w:val="1"/>
    <w:link w:val="89"/>
    <w:semiHidden/>
    <w:unhideWhenUsed/>
    <w:qFormat/>
    <w:uiPriority w:val="99"/>
    <w:pPr>
      <w:spacing w:after="120" w:line="400" w:lineRule="exact"/>
      <w:ind w:left="420" w:leftChars="200" w:firstLine="200" w:firstLineChars="200"/>
    </w:pPr>
    <w:rPr>
      <w:rFonts w:ascii="Times New Roman" w:hAnsi="Times New Roman" w:eastAsia="宋体" w:cs="Times New Roman"/>
      <w:sz w:val="16"/>
      <w:szCs w:val="16"/>
    </w:rPr>
  </w:style>
  <w:style w:type="paragraph" w:styleId="42">
    <w:name w:val="toc 9"/>
    <w:basedOn w:val="1"/>
    <w:next w:val="1"/>
    <w:semiHidden/>
    <w:unhideWhenUsed/>
    <w:qFormat/>
    <w:uiPriority w:val="99"/>
    <w:pPr>
      <w:tabs>
        <w:tab w:val="right" w:leader="dot" w:pos="9185"/>
      </w:tabs>
      <w:spacing w:line="420" w:lineRule="exact"/>
      <w:ind w:firstLine="422" w:firstLineChars="200"/>
      <w:jc w:val="left"/>
      <w:outlineLvl w:val="0"/>
    </w:pPr>
    <w:rPr>
      <w:rFonts w:ascii="Times New Roman" w:hAnsi="Times New Roman" w:eastAsia="宋体" w:cs="Times New Roman"/>
      <w:b/>
      <w:szCs w:val="24"/>
    </w:rPr>
  </w:style>
  <w:style w:type="paragraph" w:styleId="43">
    <w:name w:val="Body Text 2"/>
    <w:basedOn w:val="1"/>
    <w:link w:val="86"/>
    <w:semiHidden/>
    <w:unhideWhenUsed/>
    <w:qFormat/>
    <w:uiPriority w:val="99"/>
    <w:pPr>
      <w:spacing w:after="120" w:line="480" w:lineRule="auto"/>
      <w:ind w:firstLine="200" w:firstLineChars="200"/>
    </w:pPr>
    <w:rPr>
      <w:rFonts w:ascii="Times New Roman" w:hAnsi="Times New Roman" w:eastAsia="宋体" w:cs="Times New Roman"/>
      <w:szCs w:val="24"/>
    </w:rPr>
  </w:style>
  <w:style w:type="paragraph" w:styleId="44">
    <w:name w:val="HTML Preformatted"/>
    <w:basedOn w:val="1"/>
    <w:link w:val="71"/>
    <w:semiHidden/>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200" w:firstLineChars="200"/>
      <w:jc w:val="left"/>
    </w:pPr>
    <w:rPr>
      <w:rFonts w:ascii="Arial" w:hAnsi="Arial" w:eastAsia="宋体" w:cs="Arial"/>
      <w:kern w:val="0"/>
      <w:sz w:val="20"/>
      <w:szCs w:val="20"/>
    </w:rPr>
  </w:style>
  <w:style w:type="paragraph" w:styleId="45">
    <w:name w:val="Normal (Web)"/>
    <w:basedOn w:val="1"/>
    <w:semiHidden/>
    <w:unhideWhenUsed/>
    <w:qFormat/>
    <w:uiPriority w:val="99"/>
    <w:pPr>
      <w:widowControl/>
      <w:spacing w:before="100" w:beforeAutospacing="1" w:after="100" w:afterAutospacing="1" w:line="400" w:lineRule="exact"/>
      <w:ind w:firstLine="200" w:firstLineChars="200"/>
      <w:jc w:val="left"/>
    </w:pPr>
    <w:rPr>
      <w:rFonts w:ascii="宋体" w:hAnsi="宋体" w:eastAsia="宋体" w:cs="Times New Roman"/>
      <w:kern w:val="0"/>
      <w:sz w:val="24"/>
      <w:szCs w:val="24"/>
    </w:rPr>
  </w:style>
  <w:style w:type="paragraph" w:styleId="46">
    <w:name w:val="index 1"/>
    <w:basedOn w:val="1"/>
    <w:next w:val="1"/>
    <w:semiHidden/>
    <w:unhideWhenUsed/>
    <w:qFormat/>
    <w:uiPriority w:val="99"/>
    <w:pPr>
      <w:spacing w:line="400" w:lineRule="exact"/>
      <w:ind w:firstLine="200" w:firstLineChars="200"/>
    </w:pPr>
    <w:rPr>
      <w:rFonts w:ascii="Times New Roman" w:hAnsi="Times New Roman" w:eastAsia="宋体" w:cs="Times New Roman"/>
      <w:szCs w:val="24"/>
    </w:rPr>
  </w:style>
  <w:style w:type="paragraph" w:styleId="47">
    <w:name w:val="Title"/>
    <w:basedOn w:val="1"/>
    <w:next w:val="1"/>
    <w:link w:val="81"/>
    <w:qFormat/>
    <w:uiPriority w:val="99"/>
    <w:pPr>
      <w:spacing w:line="300" w:lineRule="auto"/>
      <w:ind w:left="100" w:leftChars="100" w:right="100" w:rightChars="100" w:firstLine="200" w:firstLineChars="200"/>
      <w:jc w:val="left"/>
      <w:outlineLvl w:val="0"/>
    </w:pPr>
    <w:rPr>
      <w:rFonts w:ascii="Cambria" w:hAnsi="Cambria" w:eastAsia="方正小标宋_GBK" w:cs="Times New Roman"/>
      <w:b/>
      <w:bCs/>
      <w:kern w:val="0"/>
      <w:sz w:val="44"/>
      <w:szCs w:val="32"/>
    </w:rPr>
  </w:style>
  <w:style w:type="paragraph" w:styleId="48">
    <w:name w:val="annotation subject"/>
    <w:basedOn w:val="17"/>
    <w:next w:val="17"/>
    <w:link w:val="93"/>
    <w:semiHidden/>
    <w:unhideWhenUsed/>
    <w:qFormat/>
    <w:uiPriority w:val="99"/>
    <w:rPr>
      <w:b/>
      <w:bCs/>
    </w:rPr>
  </w:style>
  <w:style w:type="table" w:styleId="50">
    <w:name w:val="Table Grid"/>
    <w:basedOn w:val="49"/>
    <w:qFormat/>
    <w:uiPriority w:val="0"/>
    <w:rPr>
      <w:rFonts w:ascii="Times New Roman" w:hAnsi="Times New Roman" w:eastAsia="宋体" w:cs="Times New Roman"/>
      <w:kern w:val="0"/>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51">
    <w:name w:val="Table Theme"/>
    <w:basedOn w:val="49"/>
    <w:semiHidden/>
    <w:unhideWhenUsed/>
    <w:qFormat/>
    <w:uiPriority w:val="0"/>
    <w:pPr>
      <w:widowControl w:val="0"/>
      <w:spacing w:line="400" w:lineRule="exact"/>
      <w:ind w:firstLine="200" w:firstLineChars="20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3">
    <w:name w:val="Strong"/>
    <w:basedOn w:val="52"/>
    <w:qFormat/>
    <w:uiPriority w:val="22"/>
    <w:rPr>
      <w:b/>
    </w:rPr>
  </w:style>
  <w:style w:type="character" w:styleId="54">
    <w:name w:val="endnote reference"/>
    <w:semiHidden/>
    <w:unhideWhenUsed/>
    <w:qFormat/>
    <w:uiPriority w:val="0"/>
    <w:rPr>
      <w:vertAlign w:val="superscript"/>
    </w:rPr>
  </w:style>
  <w:style w:type="character" w:styleId="55">
    <w:name w:val="FollowedHyperlink"/>
    <w:semiHidden/>
    <w:unhideWhenUsed/>
    <w:qFormat/>
    <w:uiPriority w:val="0"/>
    <w:rPr>
      <w:color w:val="800080"/>
      <w:u w:val="single"/>
    </w:rPr>
  </w:style>
  <w:style w:type="character" w:styleId="56">
    <w:name w:val="Emphasis"/>
    <w:qFormat/>
    <w:uiPriority w:val="0"/>
    <w:rPr>
      <w:color w:val="CC0033"/>
    </w:rPr>
  </w:style>
  <w:style w:type="character" w:styleId="57">
    <w:name w:val="Hyperlink"/>
    <w:unhideWhenUsed/>
    <w:qFormat/>
    <w:uiPriority w:val="99"/>
    <w:rPr>
      <w:color w:val="0000FF"/>
      <w:u w:val="single"/>
    </w:rPr>
  </w:style>
  <w:style w:type="character" w:styleId="58">
    <w:name w:val="annotation reference"/>
    <w:semiHidden/>
    <w:unhideWhenUsed/>
    <w:qFormat/>
    <w:uiPriority w:val="99"/>
    <w:rPr>
      <w:sz w:val="21"/>
      <w:szCs w:val="21"/>
    </w:rPr>
  </w:style>
  <w:style w:type="character" w:styleId="59">
    <w:name w:val="footnote reference"/>
    <w:semiHidden/>
    <w:unhideWhenUsed/>
    <w:qFormat/>
    <w:uiPriority w:val="0"/>
    <w:rPr>
      <w:vertAlign w:val="superscript"/>
    </w:rPr>
  </w:style>
  <w:style w:type="character" w:customStyle="1" w:styleId="60">
    <w:name w:val="页眉 字符"/>
    <w:basedOn w:val="52"/>
    <w:link w:val="34"/>
    <w:qFormat/>
    <w:uiPriority w:val="99"/>
    <w:rPr>
      <w:sz w:val="18"/>
      <w:szCs w:val="18"/>
    </w:rPr>
  </w:style>
  <w:style w:type="character" w:customStyle="1" w:styleId="61">
    <w:name w:val="页脚 字符"/>
    <w:basedOn w:val="52"/>
    <w:link w:val="33"/>
    <w:qFormat/>
    <w:uiPriority w:val="99"/>
    <w:rPr>
      <w:sz w:val="18"/>
      <w:szCs w:val="18"/>
    </w:rPr>
  </w:style>
  <w:style w:type="character" w:customStyle="1" w:styleId="62">
    <w:name w:val="标题 1 字符"/>
    <w:basedOn w:val="52"/>
    <w:link w:val="3"/>
    <w:qFormat/>
    <w:uiPriority w:val="9"/>
    <w:rPr>
      <w:rFonts w:ascii="Times New Roman" w:hAnsi="Times New Roman" w:eastAsia="仿宋_GB2312" w:cs="Times New Roman"/>
      <w:b/>
      <w:bCs/>
      <w:kern w:val="44"/>
      <w:sz w:val="44"/>
      <w:szCs w:val="44"/>
    </w:rPr>
  </w:style>
  <w:style w:type="character" w:customStyle="1" w:styleId="63">
    <w:name w:val="标题 2 字符"/>
    <w:basedOn w:val="52"/>
    <w:link w:val="4"/>
    <w:semiHidden/>
    <w:qFormat/>
    <w:uiPriority w:val="0"/>
    <w:rPr>
      <w:rFonts w:ascii="Arial" w:hAnsi="Arial" w:eastAsia="黑体" w:cs="Times New Roman"/>
      <w:b/>
      <w:bCs/>
      <w:sz w:val="32"/>
      <w:szCs w:val="32"/>
    </w:rPr>
  </w:style>
  <w:style w:type="character" w:customStyle="1" w:styleId="64">
    <w:name w:val="标题 3 字符"/>
    <w:basedOn w:val="52"/>
    <w:link w:val="5"/>
    <w:semiHidden/>
    <w:qFormat/>
    <w:uiPriority w:val="0"/>
    <w:rPr>
      <w:rFonts w:ascii="宋体" w:hAnsi="Courier New" w:eastAsia="宋体" w:cs="宋体"/>
      <w:b/>
      <w:bCs/>
      <w:sz w:val="32"/>
      <w:szCs w:val="32"/>
    </w:rPr>
  </w:style>
  <w:style w:type="character" w:customStyle="1" w:styleId="65">
    <w:name w:val="标题 4 字符"/>
    <w:basedOn w:val="52"/>
    <w:link w:val="6"/>
    <w:semiHidden/>
    <w:qFormat/>
    <w:uiPriority w:val="0"/>
    <w:rPr>
      <w:rFonts w:ascii="Arial" w:hAnsi="Arial" w:eastAsia="黑体" w:cs="Times New Roman"/>
      <w:b/>
      <w:bCs/>
      <w:sz w:val="28"/>
      <w:szCs w:val="28"/>
    </w:rPr>
  </w:style>
  <w:style w:type="character" w:customStyle="1" w:styleId="66">
    <w:name w:val="标题 5 字符"/>
    <w:basedOn w:val="52"/>
    <w:link w:val="7"/>
    <w:semiHidden/>
    <w:qFormat/>
    <w:uiPriority w:val="0"/>
    <w:rPr>
      <w:rFonts w:ascii="Times New Roman" w:hAnsi="Times New Roman" w:eastAsia="宋体" w:cs="Times New Roman"/>
      <w:b/>
      <w:sz w:val="28"/>
      <w:szCs w:val="24"/>
    </w:rPr>
  </w:style>
  <w:style w:type="character" w:customStyle="1" w:styleId="67">
    <w:name w:val="标题 6 字符"/>
    <w:basedOn w:val="52"/>
    <w:link w:val="9"/>
    <w:semiHidden/>
    <w:qFormat/>
    <w:uiPriority w:val="0"/>
    <w:rPr>
      <w:rFonts w:ascii="Arial" w:hAnsi="Arial" w:eastAsia="黑体" w:cs="Times New Roman"/>
      <w:b/>
      <w:sz w:val="24"/>
      <w:szCs w:val="24"/>
    </w:rPr>
  </w:style>
  <w:style w:type="character" w:customStyle="1" w:styleId="68">
    <w:name w:val="标题 7 字符"/>
    <w:basedOn w:val="52"/>
    <w:link w:val="10"/>
    <w:semiHidden/>
    <w:qFormat/>
    <w:uiPriority w:val="99"/>
    <w:rPr>
      <w:rFonts w:ascii="Times New Roman" w:hAnsi="Times New Roman" w:eastAsia="宋体" w:cs="Times New Roman"/>
      <w:b/>
      <w:sz w:val="24"/>
      <w:szCs w:val="24"/>
    </w:rPr>
  </w:style>
  <w:style w:type="character" w:customStyle="1" w:styleId="69">
    <w:name w:val="标题 8 字符"/>
    <w:basedOn w:val="52"/>
    <w:link w:val="11"/>
    <w:semiHidden/>
    <w:qFormat/>
    <w:uiPriority w:val="99"/>
    <w:rPr>
      <w:rFonts w:ascii="Arial" w:hAnsi="Arial" w:eastAsia="黑体" w:cs="Times New Roman"/>
      <w:sz w:val="24"/>
      <w:szCs w:val="24"/>
    </w:rPr>
  </w:style>
  <w:style w:type="character" w:customStyle="1" w:styleId="70">
    <w:name w:val="标题 9 字符"/>
    <w:basedOn w:val="52"/>
    <w:link w:val="12"/>
    <w:semiHidden/>
    <w:qFormat/>
    <w:uiPriority w:val="99"/>
    <w:rPr>
      <w:rFonts w:ascii="Arial" w:hAnsi="Arial" w:eastAsia="黑体" w:cs="Times New Roman"/>
      <w:szCs w:val="24"/>
    </w:rPr>
  </w:style>
  <w:style w:type="character" w:customStyle="1" w:styleId="71">
    <w:name w:val="HTML 预设格式 字符"/>
    <w:basedOn w:val="52"/>
    <w:link w:val="44"/>
    <w:semiHidden/>
    <w:qFormat/>
    <w:uiPriority w:val="0"/>
    <w:rPr>
      <w:rFonts w:ascii="Arial" w:hAnsi="Arial" w:eastAsia="宋体" w:cs="Arial"/>
      <w:kern w:val="0"/>
      <w:sz w:val="20"/>
      <w:szCs w:val="20"/>
    </w:rPr>
  </w:style>
  <w:style w:type="paragraph" w:customStyle="1" w:styleId="72">
    <w:name w:val="msonormal"/>
    <w:basedOn w:val="1"/>
    <w:qFormat/>
    <w:uiPriority w:val="99"/>
    <w:pPr>
      <w:widowControl/>
      <w:spacing w:before="100" w:beforeAutospacing="1" w:after="100" w:afterAutospacing="1" w:line="400" w:lineRule="exact"/>
      <w:ind w:firstLine="200" w:firstLineChars="200"/>
      <w:jc w:val="left"/>
    </w:pPr>
    <w:rPr>
      <w:rFonts w:ascii="宋体" w:hAnsi="宋体" w:eastAsia="宋体" w:cs="Times New Roman"/>
      <w:kern w:val="0"/>
      <w:sz w:val="24"/>
      <w:szCs w:val="24"/>
    </w:rPr>
  </w:style>
  <w:style w:type="character" w:customStyle="1" w:styleId="73">
    <w:name w:val="TOC 1 字符"/>
    <w:link w:val="35"/>
    <w:semiHidden/>
    <w:qFormat/>
    <w:locked/>
    <w:uiPriority w:val="0"/>
    <w:rPr>
      <w:szCs w:val="24"/>
    </w:rPr>
  </w:style>
  <w:style w:type="paragraph" w:customStyle="1" w:styleId="74">
    <w:name w:val="TOC 11"/>
    <w:basedOn w:val="1"/>
    <w:next w:val="1"/>
    <w:semiHidden/>
    <w:unhideWhenUsed/>
    <w:qFormat/>
    <w:uiPriority w:val="0"/>
    <w:pPr>
      <w:spacing w:line="400" w:lineRule="exact"/>
      <w:ind w:firstLine="200" w:firstLineChars="200"/>
    </w:pPr>
    <w:rPr>
      <w:szCs w:val="24"/>
    </w:rPr>
  </w:style>
  <w:style w:type="character" w:customStyle="1" w:styleId="75">
    <w:name w:val="正文缩进 字符"/>
    <w:link w:val="8"/>
    <w:semiHidden/>
    <w:qFormat/>
    <w:locked/>
    <w:uiPriority w:val="99"/>
    <w:rPr>
      <w:rFonts w:ascii="Times New Roman" w:hAnsi="Times New Roman" w:eastAsia="宋体" w:cs="Times New Roman"/>
      <w:szCs w:val="20"/>
    </w:rPr>
  </w:style>
  <w:style w:type="character" w:customStyle="1" w:styleId="76">
    <w:name w:val="脚注文本 字符"/>
    <w:basedOn w:val="52"/>
    <w:link w:val="39"/>
    <w:semiHidden/>
    <w:qFormat/>
    <w:uiPriority w:val="99"/>
    <w:rPr>
      <w:rFonts w:ascii="Arial" w:hAnsi="Arial" w:eastAsia="宋体" w:cs="Arial"/>
      <w:kern w:val="0"/>
      <w:sz w:val="18"/>
      <w:szCs w:val="18"/>
    </w:rPr>
  </w:style>
  <w:style w:type="character" w:customStyle="1" w:styleId="77">
    <w:name w:val="批注文字 字符"/>
    <w:basedOn w:val="52"/>
    <w:link w:val="17"/>
    <w:semiHidden/>
    <w:qFormat/>
    <w:uiPriority w:val="99"/>
    <w:rPr>
      <w:rFonts w:ascii="Times New Roman" w:hAnsi="Times New Roman" w:eastAsia="宋体" w:cs="Times New Roman"/>
      <w:szCs w:val="24"/>
    </w:rPr>
  </w:style>
  <w:style w:type="character" w:customStyle="1" w:styleId="78">
    <w:name w:val="尾注文本 字符"/>
    <w:basedOn w:val="52"/>
    <w:link w:val="31"/>
    <w:semiHidden/>
    <w:qFormat/>
    <w:uiPriority w:val="99"/>
    <w:rPr>
      <w:rFonts w:ascii="微软雅黑" w:hAnsi="微软雅黑" w:eastAsia="微软雅黑" w:cs="Times New Roman"/>
      <w:kern w:val="0"/>
      <w:sz w:val="20"/>
      <w:szCs w:val="20"/>
    </w:rPr>
  </w:style>
  <w:style w:type="character" w:customStyle="1" w:styleId="79">
    <w:name w:val="引文目录 字符"/>
    <w:link w:val="2"/>
    <w:semiHidden/>
    <w:qFormat/>
    <w:locked/>
    <w:uiPriority w:val="0"/>
    <w:rPr>
      <w:szCs w:val="24"/>
    </w:rPr>
  </w:style>
  <w:style w:type="paragraph" w:customStyle="1" w:styleId="80">
    <w:name w:val="引文目录1"/>
    <w:basedOn w:val="1"/>
    <w:next w:val="1"/>
    <w:semiHidden/>
    <w:unhideWhenUsed/>
    <w:qFormat/>
    <w:uiPriority w:val="0"/>
    <w:pPr>
      <w:spacing w:line="400" w:lineRule="exact"/>
      <w:ind w:left="420" w:leftChars="200" w:firstLine="200" w:firstLineChars="200"/>
    </w:pPr>
    <w:rPr>
      <w:szCs w:val="24"/>
    </w:rPr>
  </w:style>
  <w:style w:type="character" w:customStyle="1" w:styleId="81">
    <w:name w:val="标题 字符"/>
    <w:basedOn w:val="52"/>
    <w:link w:val="47"/>
    <w:qFormat/>
    <w:uiPriority w:val="99"/>
    <w:rPr>
      <w:rFonts w:ascii="Cambria" w:hAnsi="Cambria" w:eastAsia="方正小标宋_GBK" w:cs="Times New Roman"/>
      <w:b/>
      <w:bCs/>
      <w:kern w:val="0"/>
      <w:sz w:val="44"/>
      <w:szCs w:val="32"/>
    </w:rPr>
  </w:style>
  <w:style w:type="character" w:customStyle="1" w:styleId="82">
    <w:name w:val="正文文本 字符"/>
    <w:basedOn w:val="52"/>
    <w:link w:val="19"/>
    <w:semiHidden/>
    <w:qFormat/>
    <w:uiPriority w:val="99"/>
    <w:rPr>
      <w:rFonts w:ascii="Times New Roman" w:hAnsi="Times New Roman" w:eastAsia="宋体" w:cs="Times New Roman"/>
      <w:sz w:val="24"/>
      <w:szCs w:val="24"/>
    </w:rPr>
  </w:style>
  <w:style w:type="character" w:customStyle="1" w:styleId="83">
    <w:name w:val="正文文本缩进 字符"/>
    <w:basedOn w:val="52"/>
    <w:link w:val="21"/>
    <w:semiHidden/>
    <w:qFormat/>
    <w:uiPriority w:val="99"/>
    <w:rPr>
      <w:rFonts w:ascii="仿宋_GB2312" w:hAnsi="Times New Roman" w:eastAsia="仿宋_GB2312" w:cs="Times New Roman"/>
      <w:sz w:val="32"/>
      <w:szCs w:val="20"/>
    </w:rPr>
  </w:style>
  <w:style w:type="character" w:customStyle="1" w:styleId="84">
    <w:name w:val="副标题 字符"/>
    <w:basedOn w:val="52"/>
    <w:link w:val="37"/>
    <w:qFormat/>
    <w:uiPriority w:val="99"/>
    <w:rPr>
      <w:rFonts w:ascii="Cambria" w:hAnsi="Cambria" w:eastAsia="宋体" w:cs="Times New Roman"/>
      <w:i/>
      <w:iCs/>
      <w:color w:val="4F81BD"/>
      <w:spacing w:val="15"/>
      <w:kern w:val="0"/>
      <w:sz w:val="20"/>
      <w:szCs w:val="20"/>
    </w:rPr>
  </w:style>
  <w:style w:type="character" w:customStyle="1" w:styleId="85">
    <w:name w:val="日期 字符"/>
    <w:basedOn w:val="52"/>
    <w:link w:val="29"/>
    <w:semiHidden/>
    <w:qFormat/>
    <w:uiPriority w:val="99"/>
    <w:rPr>
      <w:rFonts w:ascii="宋体" w:hAnsi="Courier New" w:eastAsia="宋体" w:cs="Courier New"/>
      <w:szCs w:val="21"/>
    </w:rPr>
  </w:style>
  <w:style w:type="character" w:customStyle="1" w:styleId="86">
    <w:name w:val="正文文本 2 字符"/>
    <w:basedOn w:val="52"/>
    <w:link w:val="43"/>
    <w:semiHidden/>
    <w:qFormat/>
    <w:uiPriority w:val="99"/>
    <w:rPr>
      <w:rFonts w:ascii="Times New Roman" w:hAnsi="Times New Roman" w:eastAsia="宋体" w:cs="Times New Roman"/>
      <w:szCs w:val="24"/>
    </w:rPr>
  </w:style>
  <w:style w:type="character" w:customStyle="1" w:styleId="87">
    <w:name w:val="正文文本 3 字符"/>
    <w:basedOn w:val="52"/>
    <w:link w:val="18"/>
    <w:semiHidden/>
    <w:qFormat/>
    <w:uiPriority w:val="99"/>
    <w:rPr>
      <w:rFonts w:ascii="Times New Roman" w:hAnsi="Times New Roman" w:eastAsia="宋体" w:cs="Times New Roman"/>
      <w:b/>
      <w:bCs/>
      <w:sz w:val="24"/>
      <w:szCs w:val="24"/>
    </w:rPr>
  </w:style>
  <w:style w:type="character" w:customStyle="1" w:styleId="88">
    <w:name w:val="正文文本缩进 2 字符"/>
    <w:basedOn w:val="52"/>
    <w:link w:val="30"/>
    <w:semiHidden/>
    <w:qFormat/>
    <w:uiPriority w:val="99"/>
    <w:rPr>
      <w:rFonts w:ascii="Times New Roman" w:hAnsi="Times New Roman" w:eastAsia="宋体" w:cs="Times New Roman"/>
      <w:sz w:val="32"/>
      <w:szCs w:val="20"/>
    </w:rPr>
  </w:style>
  <w:style w:type="character" w:customStyle="1" w:styleId="89">
    <w:name w:val="正文文本缩进 3 字符"/>
    <w:basedOn w:val="52"/>
    <w:link w:val="41"/>
    <w:semiHidden/>
    <w:qFormat/>
    <w:uiPriority w:val="99"/>
    <w:rPr>
      <w:rFonts w:ascii="Times New Roman" w:hAnsi="Times New Roman" w:eastAsia="宋体" w:cs="Times New Roman"/>
      <w:sz w:val="16"/>
      <w:szCs w:val="16"/>
    </w:rPr>
  </w:style>
  <w:style w:type="character" w:customStyle="1" w:styleId="90">
    <w:name w:val="文档结构图 字符"/>
    <w:basedOn w:val="52"/>
    <w:link w:val="16"/>
    <w:semiHidden/>
    <w:qFormat/>
    <w:uiPriority w:val="99"/>
    <w:rPr>
      <w:rFonts w:ascii="Times New Roman" w:hAnsi="Times New Roman" w:eastAsia="宋体" w:cs="Times New Roman"/>
      <w:szCs w:val="24"/>
      <w:shd w:val="clear" w:color="auto" w:fill="000080"/>
    </w:rPr>
  </w:style>
  <w:style w:type="character" w:customStyle="1" w:styleId="91">
    <w:name w:val="纯文本 字符1"/>
    <w:link w:val="27"/>
    <w:semiHidden/>
    <w:qFormat/>
    <w:locked/>
    <w:uiPriority w:val="0"/>
    <w:rPr>
      <w:rFonts w:ascii="宋体" w:hAnsi="Courier New" w:eastAsia="宋体" w:cs="Courier New"/>
      <w:szCs w:val="21"/>
    </w:rPr>
  </w:style>
  <w:style w:type="character" w:customStyle="1" w:styleId="92">
    <w:name w:val="纯文本 字符"/>
    <w:basedOn w:val="52"/>
    <w:semiHidden/>
    <w:qFormat/>
    <w:uiPriority w:val="0"/>
    <w:rPr>
      <w:rFonts w:hAnsi="Courier New" w:cs="Courier New" w:asciiTheme="minorEastAsia"/>
    </w:rPr>
  </w:style>
  <w:style w:type="character" w:customStyle="1" w:styleId="93">
    <w:name w:val="批注主题 字符"/>
    <w:basedOn w:val="77"/>
    <w:link w:val="48"/>
    <w:semiHidden/>
    <w:qFormat/>
    <w:uiPriority w:val="99"/>
    <w:rPr>
      <w:rFonts w:ascii="Times New Roman" w:hAnsi="Times New Roman" w:eastAsia="宋体" w:cs="Times New Roman"/>
      <w:b/>
      <w:bCs/>
      <w:szCs w:val="24"/>
    </w:rPr>
  </w:style>
  <w:style w:type="character" w:customStyle="1" w:styleId="94">
    <w:name w:val="批注框文本 字符"/>
    <w:basedOn w:val="52"/>
    <w:link w:val="32"/>
    <w:semiHidden/>
    <w:qFormat/>
    <w:uiPriority w:val="99"/>
    <w:rPr>
      <w:rFonts w:ascii="Times New Roman" w:hAnsi="Times New Roman" w:eastAsia="宋体" w:cs="Times New Roman"/>
      <w:sz w:val="18"/>
      <w:szCs w:val="18"/>
    </w:rPr>
  </w:style>
  <w:style w:type="character" w:customStyle="1" w:styleId="95">
    <w:name w:val="列表段落 字符"/>
    <w:link w:val="96"/>
    <w:qFormat/>
    <w:locked/>
    <w:uiPriority w:val="0"/>
    <w:rPr>
      <w:szCs w:val="24"/>
    </w:rPr>
  </w:style>
  <w:style w:type="paragraph" w:styleId="96">
    <w:name w:val="List Paragraph"/>
    <w:basedOn w:val="1"/>
    <w:link w:val="95"/>
    <w:qFormat/>
    <w:uiPriority w:val="0"/>
    <w:pPr>
      <w:ind w:firstLine="420" w:firstLineChars="200"/>
    </w:pPr>
    <w:rPr>
      <w:szCs w:val="24"/>
    </w:rPr>
  </w:style>
  <w:style w:type="paragraph" w:customStyle="1" w:styleId="97">
    <w:name w:val="列表段落1"/>
    <w:basedOn w:val="1"/>
    <w:next w:val="96"/>
    <w:qFormat/>
    <w:uiPriority w:val="0"/>
    <w:pPr>
      <w:spacing w:line="400" w:lineRule="exact"/>
      <w:ind w:firstLine="420" w:firstLineChars="200"/>
    </w:pPr>
    <w:rPr>
      <w:szCs w:val="24"/>
    </w:rPr>
  </w:style>
  <w:style w:type="character" w:customStyle="1" w:styleId="98">
    <w:name w:val="GTA标题5 Char"/>
    <w:link w:val="99"/>
    <w:qFormat/>
    <w:locked/>
    <w:uiPriority w:val="0"/>
    <w:rPr>
      <w:rFonts w:ascii="Arial" w:hAnsi="Arial" w:eastAsia="楷体_GB2312" w:cs="Arial"/>
      <w:b/>
      <w:bCs/>
      <w:szCs w:val="21"/>
    </w:rPr>
  </w:style>
  <w:style w:type="paragraph" w:customStyle="1" w:styleId="99">
    <w:name w:val="GTA标题5"/>
    <w:basedOn w:val="7"/>
    <w:link w:val="98"/>
    <w:qFormat/>
    <w:uiPriority w:val="0"/>
    <w:pPr>
      <w:tabs>
        <w:tab w:val="left" w:pos="360"/>
      </w:tabs>
      <w:spacing w:before="0" w:beforeLines="75" w:after="0" w:afterLines="50" w:line="360" w:lineRule="auto"/>
      <w:ind w:left="360" w:hanging="360"/>
    </w:pPr>
    <w:rPr>
      <w:rFonts w:ascii="Arial" w:hAnsi="Arial" w:eastAsia="楷体_GB2312" w:cs="Arial"/>
      <w:bCs/>
      <w:sz w:val="21"/>
      <w:szCs w:val="21"/>
    </w:rPr>
  </w:style>
  <w:style w:type="character" w:customStyle="1" w:styleId="100">
    <w:name w:val="GTA标题2 Char Char"/>
    <w:link w:val="101"/>
    <w:qFormat/>
    <w:locked/>
    <w:uiPriority w:val="0"/>
    <w:rPr>
      <w:rFonts w:ascii="Arial" w:hAnsi="Arial" w:eastAsia="黑体" w:cs="Arial"/>
      <w:b/>
      <w:bCs/>
      <w:color w:val="000000"/>
      <w:sz w:val="30"/>
      <w:szCs w:val="30"/>
    </w:rPr>
  </w:style>
  <w:style w:type="paragraph" w:customStyle="1" w:styleId="101">
    <w:name w:val="GTA标题2"/>
    <w:basedOn w:val="4"/>
    <w:link w:val="100"/>
    <w:qFormat/>
    <w:uiPriority w:val="0"/>
    <w:pPr>
      <w:tabs>
        <w:tab w:val="left" w:pos="840"/>
      </w:tabs>
      <w:adjustRightInd w:val="0"/>
      <w:snapToGrid w:val="0"/>
      <w:spacing w:before="0" w:beforeLines="175" w:after="0" w:afterLines="150" w:line="420" w:lineRule="auto"/>
      <w:ind w:left="840"/>
    </w:pPr>
    <w:rPr>
      <w:rFonts w:cs="Arial"/>
      <w:color w:val="000000"/>
      <w:sz w:val="30"/>
      <w:szCs w:val="30"/>
    </w:rPr>
  </w:style>
  <w:style w:type="character" w:customStyle="1" w:styleId="102">
    <w:name w:val="GTA正文-1 Char"/>
    <w:link w:val="103"/>
    <w:qFormat/>
    <w:locked/>
    <w:uiPriority w:val="0"/>
    <w:rPr>
      <w:rFonts w:ascii="Arial" w:hAnsi="Arial" w:cs="Arial"/>
    </w:rPr>
  </w:style>
  <w:style w:type="paragraph" w:customStyle="1" w:styleId="103">
    <w:name w:val="GTA正文-1"/>
    <w:basedOn w:val="1"/>
    <w:link w:val="102"/>
    <w:qFormat/>
    <w:uiPriority w:val="0"/>
    <w:pPr>
      <w:spacing w:beforeLines="50" w:afterLines="50" w:line="480" w:lineRule="exact"/>
      <w:ind w:firstLine="200" w:firstLineChars="200"/>
    </w:pPr>
    <w:rPr>
      <w:rFonts w:ascii="Arial" w:hAnsi="Arial" w:cs="Arial"/>
    </w:rPr>
  </w:style>
  <w:style w:type="character" w:customStyle="1" w:styleId="104">
    <w:name w:val="GTA标题1 Char"/>
    <w:link w:val="105"/>
    <w:qFormat/>
    <w:locked/>
    <w:uiPriority w:val="0"/>
    <w:rPr>
      <w:rFonts w:ascii="Arial" w:hAnsi="Arial" w:eastAsia="黑体" w:cs="Arial"/>
      <w:bCs/>
      <w:kern w:val="44"/>
      <w:sz w:val="44"/>
      <w:szCs w:val="44"/>
    </w:rPr>
  </w:style>
  <w:style w:type="paragraph" w:customStyle="1" w:styleId="105">
    <w:name w:val="GTA标题1"/>
    <w:basedOn w:val="3"/>
    <w:link w:val="104"/>
    <w:qFormat/>
    <w:uiPriority w:val="0"/>
    <w:pPr>
      <w:tabs>
        <w:tab w:val="left" w:pos="360"/>
      </w:tabs>
      <w:spacing w:before="0" w:beforeLines="200" w:after="0" w:afterLines="150" w:line="480" w:lineRule="auto"/>
      <w:ind w:left="360" w:hanging="360"/>
      <w:jc w:val="both"/>
    </w:pPr>
    <w:rPr>
      <w:rFonts w:ascii="Arial" w:hAnsi="Arial" w:eastAsia="黑体" w:cs="Arial"/>
      <w:b w:val="0"/>
    </w:rPr>
  </w:style>
  <w:style w:type="character" w:customStyle="1" w:styleId="106">
    <w:name w:val="GTA标题3 Char Char"/>
    <w:link w:val="107"/>
    <w:qFormat/>
    <w:locked/>
    <w:uiPriority w:val="0"/>
    <w:rPr>
      <w:rFonts w:ascii="Arial" w:hAnsi="Arial" w:eastAsia="黑体" w:cs="Arial"/>
      <w:b/>
      <w:bCs/>
      <w:color w:val="000000"/>
      <w:lang w:val="zh-CN"/>
    </w:rPr>
  </w:style>
  <w:style w:type="paragraph" w:customStyle="1" w:styleId="107">
    <w:name w:val="GTA标题3"/>
    <w:basedOn w:val="5"/>
    <w:link w:val="106"/>
    <w:qFormat/>
    <w:uiPriority w:val="0"/>
    <w:pPr>
      <w:tabs>
        <w:tab w:val="left" w:pos="1260"/>
      </w:tabs>
      <w:adjustRightInd w:val="0"/>
      <w:snapToGrid w:val="0"/>
      <w:spacing w:before="0" w:beforeLines="150" w:after="0" w:afterLines="125" w:line="360" w:lineRule="auto"/>
      <w:ind w:left="1260" w:hanging="420"/>
    </w:pPr>
    <w:rPr>
      <w:rFonts w:ascii="Arial" w:hAnsi="Arial" w:eastAsia="黑体" w:cs="Arial"/>
      <w:color w:val="000000"/>
      <w:sz w:val="21"/>
      <w:szCs w:val="22"/>
      <w:lang w:val="zh-CN"/>
    </w:rPr>
  </w:style>
  <w:style w:type="character" w:customStyle="1" w:styleId="108">
    <w:name w:val="图注1 Char"/>
    <w:link w:val="109"/>
    <w:qFormat/>
    <w:locked/>
    <w:uiPriority w:val="0"/>
    <w:rPr>
      <w:rFonts w:ascii="Cambria" w:hAnsi="Cambria"/>
    </w:rPr>
  </w:style>
  <w:style w:type="paragraph" w:customStyle="1" w:styleId="109">
    <w:name w:val="图注1"/>
    <w:basedOn w:val="1"/>
    <w:link w:val="108"/>
    <w:qFormat/>
    <w:uiPriority w:val="0"/>
    <w:pPr>
      <w:tabs>
        <w:tab w:val="left" w:pos="1140"/>
      </w:tabs>
      <w:spacing w:afterLines="20" w:line="300" w:lineRule="auto"/>
      <w:ind w:left="1140" w:hanging="360" w:firstLineChars="200"/>
      <w:jc w:val="center"/>
    </w:pPr>
    <w:rPr>
      <w:rFonts w:ascii="Cambria" w:hAnsi="Cambria"/>
    </w:rPr>
  </w:style>
  <w:style w:type="character" w:customStyle="1" w:styleId="110">
    <w:name w:val="GTA标题4 Char Char"/>
    <w:link w:val="111"/>
    <w:qFormat/>
    <w:locked/>
    <w:uiPriority w:val="0"/>
    <w:rPr>
      <w:rFonts w:ascii="Arial" w:hAnsi="Arial" w:eastAsia="仿宋_GB2312" w:cs="Arial"/>
      <w:b/>
      <w:bCs/>
      <w:color w:val="0070C0"/>
    </w:rPr>
  </w:style>
  <w:style w:type="paragraph" w:customStyle="1" w:styleId="111">
    <w:name w:val="GTA标题4"/>
    <w:basedOn w:val="6"/>
    <w:link w:val="110"/>
    <w:qFormat/>
    <w:uiPriority w:val="0"/>
    <w:pPr>
      <w:tabs>
        <w:tab w:val="left" w:pos="1680"/>
      </w:tabs>
      <w:adjustRightInd w:val="0"/>
      <w:snapToGrid w:val="0"/>
      <w:spacing w:before="0" w:beforeLines="100" w:after="0" w:afterLines="75" w:line="360" w:lineRule="auto"/>
      <w:ind w:left="1680"/>
    </w:pPr>
    <w:rPr>
      <w:rFonts w:eastAsia="仿宋_GB2312" w:cs="Arial"/>
      <w:color w:val="0070C0"/>
      <w:sz w:val="21"/>
      <w:szCs w:val="22"/>
    </w:rPr>
  </w:style>
  <w:style w:type="character" w:customStyle="1" w:styleId="112">
    <w:name w:val="无间隔字符"/>
    <w:link w:val="113"/>
    <w:qFormat/>
    <w:locked/>
    <w:uiPriority w:val="99"/>
    <w:rPr>
      <w:rFonts w:ascii="Cambria" w:hAnsi="Cambria"/>
    </w:rPr>
  </w:style>
  <w:style w:type="paragraph" w:customStyle="1" w:styleId="113">
    <w:name w:val="无间隔1"/>
    <w:link w:val="112"/>
    <w:qFormat/>
    <w:uiPriority w:val="99"/>
    <w:pPr>
      <w:widowControl w:val="0"/>
      <w:spacing w:line="400" w:lineRule="exact"/>
      <w:ind w:firstLine="200" w:firstLineChars="200"/>
      <w:jc w:val="both"/>
    </w:pPr>
    <w:rPr>
      <w:rFonts w:ascii="Cambria" w:hAnsi="Cambria" w:eastAsiaTheme="minorEastAsia" w:cstheme="minorBidi"/>
      <w:kern w:val="2"/>
      <w:sz w:val="21"/>
      <w:szCs w:val="22"/>
      <w:lang w:val="en-US" w:eastAsia="zh-CN" w:bidi="ar-SA"/>
    </w:rPr>
  </w:style>
  <w:style w:type="character" w:customStyle="1" w:styleId="114">
    <w:name w:val="GTA正文-2 Char"/>
    <w:link w:val="115"/>
    <w:qFormat/>
    <w:locked/>
    <w:uiPriority w:val="0"/>
    <w:rPr>
      <w:rFonts w:ascii="Arial" w:hAnsi="Arial" w:eastAsia="华文细黑" w:cs="Arial"/>
    </w:rPr>
  </w:style>
  <w:style w:type="paragraph" w:customStyle="1" w:styleId="115">
    <w:name w:val="GTA正文-2"/>
    <w:basedOn w:val="103"/>
    <w:link w:val="114"/>
    <w:qFormat/>
    <w:uiPriority w:val="0"/>
    <w:pPr>
      <w:snapToGrid w:val="0"/>
      <w:spacing w:line="360" w:lineRule="auto"/>
      <w:ind w:firstLine="480"/>
    </w:pPr>
    <w:rPr>
      <w:rFonts w:eastAsia="华文细黑"/>
    </w:rPr>
  </w:style>
  <w:style w:type="character" w:customStyle="1" w:styleId="116">
    <w:name w:val="03 Char"/>
    <w:link w:val="117"/>
    <w:qFormat/>
    <w:locked/>
    <w:uiPriority w:val="0"/>
    <w:rPr>
      <w:rFonts w:ascii="仿宋_GB2312" w:eastAsia="仿宋_GB2312"/>
      <w:b/>
      <w:sz w:val="28"/>
    </w:rPr>
  </w:style>
  <w:style w:type="paragraph" w:customStyle="1" w:styleId="117">
    <w:name w:val="03"/>
    <w:basedOn w:val="1"/>
    <w:link w:val="116"/>
    <w:qFormat/>
    <w:uiPriority w:val="0"/>
    <w:pPr>
      <w:adjustRightInd w:val="0"/>
      <w:snapToGrid w:val="0"/>
      <w:spacing w:line="440" w:lineRule="exact"/>
      <w:ind w:firstLine="424" w:firstLineChars="151"/>
    </w:pPr>
    <w:rPr>
      <w:rFonts w:ascii="仿宋_GB2312" w:eastAsia="仿宋_GB2312"/>
      <w:b/>
      <w:sz w:val="28"/>
    </w:rPr>
  </w:style>
  <w:style w:type="character" w:customStyle="1" w:styleId="118">
    <w:name w:val="1ji Char"/>
    <w:link w:val="119"/>
    <w:qFormat/>
    <w:locked/>
    <w:uiPriority w:val="0"/>
    <w:rPr>
      <w:rFonts w:ascii="宋体" w:hAnsi="宋体" w:eastAsia="仿宋_GB2312"/>
      <w:b/>
      <w:bCs/>
      <w:kern w:val="44"/>
      <w:sz w:val="36"/>
      <w:szCs w:val="44"/>
    </w:rPr>
  </w:style>
  <w:style w:type="paragraph" w:customStyle="1" w:styleId="119">
    <w:name w:val="1ji"/>
    <w:basedOn w:val="3"/>
    <w:link w:val="118"/>
    <w:qFormat/>
    <w:uiPriority w:val="0"/>
    <w:pPr>
      <w:keepLines w:val="0"/>
      <w:widowControl/>
      <w:spacing w:before="0" w:after="0" w:line="240" w:lineRule="auto"/>
    </w:pPr>
    <w:rPr>
      <w:rFonts w:ascii="宋体" w:hAnsi="宋体" w:cstheme="minorBidi"/>
      <w:sz w:val="36"/>
    </w:rPr>
  </w:style>
  <w:style w:type="character" w:customStyle="1" w:styleId="120">
    <w:name w:val="浅色网格 - 强调文字颜色 3 Char"/>
    <w:link w:val="121"/>
    <w:qFormat/>
    <w:locked/>
    <w:uiPriority w:val="0"/>
    <w:rPr>
      <w:rFonts w:ascii="Calibri" w:hAnsi="Calibri" w:cs="Calibri"/>
    </w:rPr>
  </w:style>
  <w:style w:type="paragraph" w:customStyle="1" w:styleId="121">
    <w:name w:val="浅色网格 - 强调文字颜色 31"/>
    <w:basedOn w:val="1"/>
    <w:link w:val="120"/>
    <w:qFormat/>
    <w:uiPriority w:val="0"/>
    <w:pPr>
      <w:spacing w:line="400" w:lineRule="exact"/>
      <w:ind w:firstLine="420" w:firstLineChars="200"/>
    </w:pPr>
    <w:rPr>
      <w:rFonts w:ascii="Calibri" w:hAnsi="Calibri" w:cs="Calibri"/>
    </w:rPr>
  </w:style>
  <w:style w:type="character" w:customStyle="1" w:styleId="122">
    <w:name w:val="List Paragraph Char"/>
    <w:link w:val="123"/>
    <w:qFormat/>
    <w:locked/>
    <w:uiPriority w:val="0"/>
    <w:rPr>
      <w:rFonts w:ascii="Calibri" w:hAnsi="Calibri" w:cs="Calibri"/>
    </w:rPr>
  </w:style>
  <w:style w:type="paragraph" w:customStyle="1" w:styleId="123">
    <w:name w:val="列出段落1"/>
    <w:basedOn w:val="1"/>
    <w:link w:val="122"/>
    <w:qFormat/>
    <w:uiPriority w:val="0"/>
    <w:pPr>
      <w:spacing w:line="400" w:lineRule="exact"/>
      <w:ind w:firstLine="420" w:firstLineChars="200"/>
    </w:pPr>
    <w:rPr>
      <w:rFonts w:ascii="Calibri" w:hAnsi="Calibri" w:cs="Calibri"/>
    </w:rPr>
  </w:style>
  <w:style w:type="character" w:customStyle="1" w:styleId="124">
    <w:name w:val="明显引用字符"/>
    <w:link w:val="125"/>
    <w:qFormat/>
    <w:locked/>
    <w:uiPriority w:val="0"/>
    <w:rPr>
      <w:rFonts w:ascii="Arial" w:hAnsi="Arial" w:cs="Arial"/>
      <w:b/>
      <w:bCs/>
      <w:i/>
      <w:iCs/>
      <w:color w:val="4F81BD"/>
    </w:rPr>
  </w:style>
  <w:style w:type="paragraph" w:customStyle="1" w:styleId="125">
    <w:name w:val="明显引用1"/>
    <w:basedOn w:val="1"/>
    <w:next w:val="1"/>
    <w:link w:val="124"/>
    <w:qFormat/>
    <w:uiPriority w:val="0"/>
    <w:pPr>
      <w:pBdr>
        <w:bottom w:val="single" w:color="4F81BD" w:sz="4" w:space="4"/>
      </w:pBdr>
      <w:spacing w:before="200" w:line="360" w:lineRule="auto"/>
      <w:ind w:left="936" w:right="936" w:firstLine="200" w:firstLineChars="200"/>
      <w:jc w:val="left"/>
    </w:pPr>
    <w:rPr>
      <w:rFonts w:ascii="Arial" w:hAnsi="Arial" w:cs="Arial"/>
      <w:b/>
      <w:bCs/>
      <w:i/>
      <w:iCs/>
      <w:color w:val="4F81BD"/>
    </w:rPr>
  </w:style>
  <w:style w:type="character" w:customStyle="1" w:styleId="126">
    <w:name w:val="OK Char1"/>
    <w:link w:val="127"/>
    <w:qFormat/>
    <w:locked/>
    <w:uiPriority w:val="0"/>
    <w:rPr>
      <w:rFonts w:ascii="宋体" w:hAnsi="宋体" w:eastAsia="宋体"/>
      <w:bCs/>
    </w:rPr>
  </w:style>
  <w:style w:type="paragraph" w:customStyle="1" w:styleId="127">
    <w:name w:val="OK"/>
    <w:basedOn w:val="1"/>
    <w:link w:val="126"/>
    <w:qFormat/>
    <w:uiPriority w:val="0"/>
    <w:pPr>
      <w:spacing w:line="400" w:lineRule="exact"/>
      <w:ind w:firstLine="200" w:firstLineChars="200"/>
      <w:jc w:val="left"/>
    </w:pPr>
    <w:rPr>
      <w:rFonts w:ascii="宋体" w:hAnsi="宋体" w:eastAsia="宋体"/>
      <w:bCs/>
    </w:rPr>
  </w:style>
  <w:style w:type="paragraph" w:customStyle="1" w:styleId="128">
    <w:name w:val="xl145"/>
    <w:basedOn w:val="1"/>
    <w:qFormat/>
    <w:uiPriority w:val="99"/>
    <w:pPr>
      <w:widowControl/>
      <w:pBdr>
        <w:left w:val="single" w:color="auto" w:sz="4" w:space="0"/>
        <w:right w:val="single" w:color="auto" w:sz="4" w:space="0"/>
      </w:pBdr>
      <w:spacing w:before="100" w:beforeAutospacing="1" w:after="100" w:afterAutospacing="1" w:line="400" w:lineRule="exact"/>
      <w:ind w:firstLine="200" w:firstLineChars="200"/>
      <w:jc w:val="center"/>
    </w:pPr>
    <w:rPr>
      <w:rFonts w:ascii="宋体" w:hAnsi="宋体" w:eastAsia="宋体" w:cs="宋体"/>
      <w:kern w:val="0"/>
      <w:sz w:val="24"/>
      <w:szCs w:val="24"/>
    </w:rPr>
  </w:style>
  <w:style w:type="paragraph" w:customStyle="1" w:styleId="129">
    <w:name w:val="xl92"/>
    <w:basedOn w:val="1"/>
    <w:qFormat/>
    <w:uiPriority w:val="99"/>
    <w:pPr>
      <w:widowControl/>
      <w:pBdr>
        <w:bottom w:val="single" w:color="auto" w:sz="8" w:space="0"/>
      </w:pBdr>
      <w:spacing w:before="100" w:beforeAutospacing="1" w:after="100" w:afterAutospacing="1" w:line="400" w:lineRule="exact"/>
      <w:ind w:firstLine="200" w:firstLineChars="200"/>
      <w:jc w:val="left"/>
    </w:pPr>
    <w:rPr>
      <w:rFonts w:ascii="宋体" w:hAnsi="宋体" w:eastAsia="宋体" w:cs="宋体"/>
      <w:kern w:val="0"/>
      <w:szCs w:val="21"/>
    </w:rPr>
  </w:style>
  <w:style w:type="paragraph" w:customStyle="1" w:styleId="130">
    <w:name w:val="5 Char Char Char Char Char Char Char Char Char Char"/>
    <w:basedOn w:val="1"/>
    <w:qFormat/>
    <w:uiPriority w:val="99"/>
    <w:pPr>
      <w:spacing w:line="400" w:lineRule="exact"/>
      <w:ind w:firstLine="200" w:firstLineChars="200"/>
    </w:pPr>
    <w:rPr>
      <w:rFonts w:ascii="Times New Roman" w:hAnsi="Times New Roman" w:eastAsia="宋体" w:cs="Times New Roman"/>
      <w:szCs w:val="24"/>
    </w:rPr>
  </w:style>
  <w:style w:type="paragraph" w:customStyle="1" w:styleId="131">
    <w:name w:val="xl64"/>
    <w:basedOn w:val="1"/>
    <w:qFormat/>
    <w:uiPriority w:val="99"/>
    <w:pPr>
      <w:widowControl/>
      <w:spacing w:before="100" w:beforeAutospacing="1" w:after="100" w:afterAutospacing="1" w:line="400" w:lineRule="exact"/>
      <w:ind w:firstLine="200" w:firstLineChars="200"/>
      <w:jc w:val="center"/>
    </w:pPr>
    <w:rPr>
      <w:rFonts w:ascii="宋体" w:hAnsi="宋体" w:eastAsia="宋体" w:cs="宋体"/>
      <w:kern w:val="0"/>
      <w:sz w:val="24"/>
      <w:szCs w:val="24"/>
    </w:rPr>
  </w:style>
  <w:style w:type="paragraph" w:customStyle="1" w:styleId="132">
    <w:name w:val="p0"/>
    <w:basedOn w:val="1"/>
    <w:qFormat/>
    <w:uiPriority w:val="99"/>
    <w:pPr>
      <w:widowControl/>
      <w:spacing w:line="400" w:lineRule="exact"/>
      <w:ind w:firstLine="200" w:firstLineChars="200"/>
      <w:jc w:val="left"/>
    </w:pPr>
    <w:rPr>
      <w:rFonts w:ascii="Times New Roman" w:hAnsi="Times New Roman" w:eastAsia="宋体" w:cs="Times New Roman"/>
      <w:kern w:val="0"/>
      <w:sz w:val="20"/>
      <w:szCs w:val="20"/>
    </w:rPr>
  </w:style>
  <w:style w:type="paragraph" w:customStyle="1" w:styleId="133">
    <w:name w:val="样式 标题 2 + 宋体"/>
    <w:basedOn w:val="4"/>
    <w:qFormat/>
    <w:uiPriority w:val="99"/>
    <w:pPr>
      <w:jc w:val="center"/>
    </w:pPr>
    <w:rPr>
      <w:rFonts w:ascii="宋体" w:hAnsi="宋体" w:eastAsia="宋体"/>
      <w:kern w:val="0"/>
    </w:rPr>
  </w:style>
  <w:style w:type="paragraph" w:customStyle="1" w:styleId="134">
    <w:name w:val="Char Char Char Char Char Char Char"/>
    <w:basedOn w:val="1"/>
    <w:qFormat/>
    <w:uiPriority w:val="99"/>
    <w:pPr>
      <w:spacing w:line="400" w:lineRule="exact"/>
      <w:ind w:firstLine="200" w:firstLineChars="200"/>
    </w:pPr>
    <w:rPr>
      <w:rFonts w:ascii="Times New Roman" w:hAnsi="Times New Roman" w:eastAsia="宋体" w:cs="Times New Roman"/>
      <w:szCs w:val="24"/>
    </w:rPr>
  </w:style>
  <w:style w:type="paragraph" w:customStyle="1" w:styleId="135">
    <w:name w:val="xl14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400" w:lineRule="exact"/>
      <w:ind w:firstLine="200" w:firstLineChars="200"/>
      <w:jc w:val="center"/>
    </w:pPr>
    <w:rPr>
      <w:rFonts w:ascii="宋体" w:hAnsi="宋体" w:eastAsia="宋体" w:cs="宋体"/>
      <w:b/>
      <w:bCs/>
      <w:color w:val="FF0000"/>
      <w:kern w:val="0"/>
      <w:szCs w:val="21"/>
    </w:rPr>
  </w:style>
  <w:style w:type="paragraph" w:customStyle="1" w:styleId="136">
    <w:name w:val="xl13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400" w:lineRule="exact"/>
      <w:ind w:firstLine="200" w:firstLineChars="200"/>
      <w:jc w:val="left"/>
    </w:pPr>
    <w:rPr>
      <w:rFonts w:ascii="宋体" w:hAnsi="宋体" w:eastAsia="宋体" w:cs="宋体"/>
      <w:color w:val="000000"/>
      <w:kern w:val="0"/>
      <w:sz w:val="18"/>
      <w:szCs w:val="18"/>
    </w:rPr>
  </w:style>
  <w:style w:type="paragraph" w:customStyle="1" w:styleId="137">
    <w:name w:val="Char Char1 Char Char Char Char"/>
    <w:basedOn w:val="16"/>
    <w:qFormat/>
    <w:uiPriority w:val="99"/>
    <w:rPr>
      <w:rFonts w:ascii="Tahoma" w:hAnsi="Tahoma"/>
      <w:sz w:val="24"/>
    </w:rPr>
  </w:style>
  <w:style w:type="paragraph" w:customStyle="1" w:styleId="138">
    <w:name w:val="xl116"/>
    <w:basedOn w:val="1"/>
    <w:qFormat/>
    <w:uiPriority w:val="99"/>
    <w:pPr>
      <w:widowControl/>
      <w:pBdr>
        <w:left w:val="single" w:color="auto" w:sz="4" w:space="0"/>
        <w:right w:val="single" w:color="auto" w:sz="4" w:space="0"/>
      </w:pBdr>
      <w:spacing w:before="100" w:beforeAutospacing="1" w:after="100" w:afterAutospacing="1" w:line="400" w:lineRule="exact"/>
      <w:ind w:firstLine="200" w:firstLineChars="200"/>
      <w:jc w:val="center"/>
    </w:pPr>
    <w:rPr>
      <w:rFonts w:ascii="宋体" w:hAnsi="宋体" w:eastAsia="宋体" w:cs="宋体"/>
      <w:color w:val="000000"/>
      <w:kern w:val="0"/>
      <w:sz w:val="20"/>
      <w:szCs w:val="20"/>
    </w:rPr>
  </w:style>
  <w:style w:type="paragraph" w:customStyle="1" w:styleId="139">
    <w:name w:val="文档正文"/>
    <w:basedOn w:val="1"/>
    <w:qFormat/>
    <w:uiPriority w:val="99"/>
    <w:pPr>
      <w:autoSpaceDE w:val="0"/>
      <w:autoSpaceDN w:val="0"/>
      <w:adjustRightInd w:val="0"/>
      <w:spacing w:line="240" w:lineRule="atLeast"/>
      <w:ind w:firstLine="567" w:firstLineChars="200"/>
    </w:pPr>
    <w:rPr>
      <w:rFonts w:ascii="Arial Narrow" w:hAnsi="Arial Narrow" w:eastAsia="宋体" w:cs="Arial"/>
      <w:sz w:val="24"/>
      <w:szCs w:val="24"/>
      <w:lang w:val="zh-CN"/>
    </w:rPr>
  </w:style>
  <w:style w:type="paragraph" w:customStyle="1" w:styleId="140">
    <w:name w:val="表格文字"/>
    <w:basedOn w:val="21"/>
    <w:next w:val="19"/>
    <w:qFormat/>
    <w:uiPriority w:val="99"/>
    <w:pPr>
      <w:spacing w:before="25" w:after="25" w:line="400" w:lineRule="exact"/>
      <w:ind w:firstLine="200" w:firstLineChars="200"/>
      <w:jc w:val="left"/>
    </w:pPr>
    <w:rPr>
      <w:rFonts w:ascii="Times New Roman" w:hAnsi="Times New Roman" w:eastAsia="宋体" w:cs="Times New Roman"/>
      <w:bCs/>
      <w:spacing w:val="10"/>
      <w:kern w:val="0"/>
      <w:sz w:val="24"/>
      <w:szCs w:val="20"/>
    </w:rPr>
  </w:style>
  <w:style w:type="paragraph" w:customStyle="1" w:styleId="141">
    <w:name w:val="xl94"/>
    <w:basedOn w:val="1"/>
    <w:qFormat/>
    <w:uiPriority w:val="99"/>
    <w:pPr>
      <w:widowControl/>
      <w:spacing w:before="100" w:beforeAutospacing="1" w:after="100" w:afterAutospacing="1" w:line="400" w:lineRule="exact"/>
      <w:ind w:firstLine="200" w:firstLineChars="200"/>
      <w:jc w:val="left"/>
    </w:pPr>
    <w:rPr>
      <w:rFonts w:ascii="宋体" w:hAnsi="宋体" w:eastAsia="宋体" w:cs="宋体"/>
      <w:kern w:val="0"/>
      <w:sz w:val="20"/>
      <w:szCs w:val="20"/>
    </w:rPr>
  </w:style>
  <w:style w:type="paragraph" w:customStyle="1" w:styleId="142">
    <w:name w:val="msonormalcxspmiddle"/>
    <w:basedOn w:val="1"/>
    <w:qFormat/>
    <w:uiPriority w:val="99"/>
    <w:pPr>
      <w:widowControl/>
      <w:spacing w:line="315" w:lineRule="atLeast"/>
      <w:ind w:firstLine="200" w:firstLineChars="200"/>
      <w:jc w:val="left"/>
    </w:pPr>
    <w:rPr>
      <w:rFonts w:ascii="inherit" w:hAnsi="inherit" w:eastAsia="微软雅黑" w:cs="宋体"/>
      <w:color w:val="323232"/>
      <w:kern w:val="0"/>
      <w:sz w:val="18"/>
      <w:szCs w:val="18"/>
    </w:rPr>
  </w:style>
  <w:style w:type="paragraph" w:customStyle="1" w:styleId="143">
    <w:name w:val="pic-info"/>
    <w:basedOn w:val="1"/>
    <w:qFormat/>
    <w:uiPriority w:val="99"/>
    <w:pPr>
      <w:widowControl/>
      <w:spacing w:before="100" w:beforeAutospacing="1" w:after="100" w:afterAutospacing="1" w:line="480" w:lineRule="exact"/>
      <w:ind w:firstLine="200" w:firstLineChars="200"/>
      <w:jc w:val="left"/>
    </w:pPr>
    <w:rPr>
      <w:rFonts w:ascii="宋体" w:hAnsi="宋体" w:eastAsia="微软雅黑" w:cs="宋体"/>
      <w:kern w:val="0"/>
      <w:sz w:val="24"/>
      <w:szCs w:val="24"/>
    </w:rPr>
  </w:style>
  <w:style w:type="paragraph" w:customStyle="1" w:styleId="144">
    <w:name w:val="xl111"/>
    <w:basedOn w:val="1"/>
    <w:qFormat/>
    <w:uiPriority w:val="99"/>
    <w:pPr>
      <w:widowControl/>
      <w:pBdr>
        <w:left w:val="single" w:color="auto" w:sz="4" w:space="0"/>
        <w:bottom w:val="single" w:color="auto" w:sz="4" w:space="0"/>
        <w:right w:val="single" w:color="auto" w:sz="4" w:space="0"/>
      </w:pBdr>
      <w:spacing w:before="100" w:beforeAutospacing="1" w:after="100" w:afterAutospacing="1" w:line="400" w:lineRule="exact"/>
      <w:ind w:firstLine="200" w:firstLineChars="200"/>
      <w:jc w:val="center"/>
    </w:pPr>
    <w:rPr>
      <w:rFonts w:ascii="宋体" w:hAnsi="宋体" w:eastAsia="宋体" w:cs="宋体"/>
      <w:color w:val="000000"/>
      <w:kern w:val="0"/>
      <w:szCs w:val="21"/>
    </w:rPr>
  </w:style>
  <w:style w:type="paragraph" w:customStyle="1" w:styleId="145">
    <w:name w:val="xl7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400" w:lineRule="exact"/>
      <w:ind w:firstLine="200" w:firstLineChars="200"/>
      <w:jc w:val="center"/>
    </w:pPr>
    <w:rPr>
      <w:rFonts w:ascii="宋体" w:hAnsi="宋体" w:eastAsia="宋体" w:cs="宋体"/>
      <w:kern w:val="0"/>
      <w:sz w:val="22"/>
    </w:rPr>
  </w:style>
  <w:style w:type="paragraph" w:customStyle="1" w:styleId="146">
    <w:name w:val="xl26"/>
    <w:basedOn w:val="1"/>
    <w:qFormat/>
    <w:uiPriority w:val="99"/>
    <w:pPr>
      <w:widowControl/>
      <w:pBdr>
        <w:left w:val="single" w:color="auto" w:sz="4" w:space="0"/>
        <w:bottom w:val="single" w:color="auto" w:sz="4" w:space="0"/>
        <w:right w:val="single" w:color="auto" w:sz="4" w:space="0"/>
      </w:pBdr>
      <w:spacing w:before="100" w:beforeAutospacing="1" w:after="100" w:afterAutospacing="1" w:line="400" w:lineRule="exact"/>
      <w:ind w:firstLine="200" w:firstLineChars="200"/>
    </w:pPr>
    <w:rPr>
      <w:rFonts w:ascii="Times New Roman" w:hAnsi="Times New Roman" w:eastAsia="宋体" w:cs="Times New Roman"/>
      <w:kern w:val="0"/>
      <w:szCs w:val="21"/>
    </w:rPr>
  </w:style>
  <w:style w:type="paragraph" w:customStyle="1" w:styleId="147">
    <w:name w:val="xl13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400" w:lineRule="exact"/>
      <w:ind w:firstLine="200" w:firstLineChars="200"/>
      <w:jc w:val="center"/>
    </w:pPr>
    <w:rPr>
      <w:rFonts w:ascii="宋体" w:hAnsi="宋体" w:eastAsia="宋体" w:cs="宋体"/>
      <w:color w:val="000000"/>
      <w:kern w:val="0"/>
      <w:sz w:val="18"/>
      <w:szCs w:val="18"/>
    </w:rPr>
  </w:style>
  <w:style w:type="paragraph" w:customStyle="1" w:styleId="148">
    <w:name w:val="xl10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400" w:lineRule="exact"/>
      <w:ind w:firstLine="200" w:firstLineChars="200"/>
      <w:jc w:val="center"/>
    </w:pPr>
    <w:rPr>
      <w:rFonts w:ascii="宋体" w:hAnsi="宋体" w:eastAsia="宋体" w:cs="宋体"/>
      <w:color w:val="FF0000"/>
      <w:kern w:val="0"/>
      <w:szCs w:val="21"/>
    </w:rPr>
  </w:style>
  <w:style w:type="paragraph" w:customStyle="1" w:styleId="149">
    <w:name w:val="xl8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400" w:lineRule="exact"/>
      <w:ind w:firstLine="200" w:firstLineChars="200"/>
      <w:jc w:val="left"/>
    </w:pPr>
    <w:rPr>
      <w:rFonts w:ascii="宋体" w:hAnsi="宋体" w:eastAsia="宋体" w:cs="宋体"/>
      <w:color w:val="000000"/>
      <w:kern w:val="0"/>
      <w:szCs w:val="21"/>
    </w:rPr>
  </w:style>
  <w:style w:type="paragraph" w:customStyle="1" w:styleId="150">
    <w:name w:val="Char Char Char Char Char Char Char Char Char Char"/>
    <w:basedOn w:val="1"/>
    <w:qFormat/>
    <w:uiPriority w:val="99"/>
    <w:pPr>
      <w:tabs>
        <w:tab w:val="left" w:pos="360"/>
      </w:tabs>
      <w:spacing w:line="400" w:lineRule="exact"/>
      <w:ind w:left="360" w:hanging="360" w:hangingChars="200"/>
    </w:pPr>
    <w:rPr>
      <w:rFonts w:ascii="Times New Roman" w:hAnsi="Times New Roman" w:eastAsia="宋体" w:cs="Times New Roman"/>
      <w:szCs w:val="20"/>
    </w:rPr>
  </w:style>
  <w:style w:type="paragraph" w:customStyle="1" w:styleId="151">
    <w:name w:val="表内文字"/>
    <w:basedOn w:val="1"/>
    <w:qFormat/>
    <w:uiPriority w:val="99"/>
    <w:pPr>
      <w:snapToGrid w:val="0"/>
      <w:spacing w:before="50" w:after="50" w:line="400" w:lineRule="exact"/>
      <w:ind w:firstLine="200" w:firstLineChars="200"/>
      <w:jc w:val="center"/>
    </w:pPr>
    <w:rPr>
      <w:rFonts w:ascii="仿宋_GB2312" w:hAnsi="宋体" w:eastAsia="仿宋_GB2312" w:cs="Times New Roman"/>
      <w:b/>
      <w:color w:val="000000"/>
      <w:sz w:val="32"/>
      <w:szCs w:val="32"/>
    </w:rPr>
  </w:style>
  <w:style w:type="paragraph" w:customStyle="1" w:styleId="152">
    <w:name w:val="xl7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400" w:lineRule="exact"/>
      <w:ind w:firstLine="200" w:firstLineChars="200"/>
      <w:jc w:val="left"/>
    </w:pPr>
    <w:rPr>
      <w:rFonts w:ascii="宋体" w:hAnsi="宋体" w:eastAsia="宋体" w:cs="宋体"/>
      <w:color w:val="000000"/>
      <w:kern w:val="0"/>
      <w:sz w:val="20"/>
      <w:szCs w:val="20"/>
    </w:rPr>
  </w:style>
  <w:style w:type="paragraph" w:customStyle="1" w:styleId="153">
    <w:name w:val="Default"/>
    <w:qFormat/>
    <w:uiPriority w:val="99"/>
    <w:pPr>
      <w:widowControl w:val="0"/>
      <w:autoSpaceDE w:val="0"/>
      <w:autoSpaceDN w:val="0"/>
      <w:adjustRightInd w:val="0"/>
      <w:spacing w:line="400" w:lineRule="exact"/>
      <w:ind w:firstLine="200" w:firstLineChars="200"/>
      <w:jc w:val="both"/>
    </w:pPr>
    <w:rPr>
      <w:rFonts w:ascii="宋体" w:hAnsi="Calibri" w:eastAsia="宋体" w:cs="宋体"/>
      <w:color w:val="000000"/>
      <w:kern w:val="0"/>
      <w:sz w:val="24"/>
      <w:szCs w:val="24"/>
      <w:lang w:val="en-US" w:eastAsia="zh-CN" w:bidi="ar-SA"/>
    </w:rPr>
  </w:style>
  <w:style w:type="paragraph" w:customStyle="1" w:styleId="154">
    <w:name w:val="xl12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400" w:lineRule="exact"/>
      <w:ind w:firstLine="200" w:firstLineChars="200"/>
    </w:pPr>
    <w:rPr>
      <w:rFonts w:ascii="宋体" w:hAnsi="宋体" w:eastAsia="宋体" w:cs="宋体"/>
      <w:color w:val="000000"/>
      <w:kern w:val="0"/>
      <w:szCs w:val="21"/>
    </w:rPr>
  </w:style>
  <w:style w:type="paragraph" w:customStyle="1" w:styleId="155">
    <w:name w:val="xl124"/>
    <w:basedOn w:val="1"/>
    <w:qFormat/>
    <w:uiPriority w:val="99"/>
    <w:pPr>
      <w:widowControl/>
      <w:pBdr>
        <w:left w:val="single" w:color="auto" w:sz="4" w:space="0"/>
        <w:bottom w:val="single" w:color="auto" w:sz="4" w:space="0"/>
        <w:right w:val="single" w:color="auto" w:sz="4" w:space="0"/>
      </w:pBdr>
      <w:spacing w:before="100" w:beforeAutospacing="1" w:after="100" w:afterAutospacing="1" w:line="400" w:lineRule="exact"/>
      <w:ind w:firstLine="200" w:firstLineChars="200"/>
      <w:jc w:val="center"/>
    </w:pPr>
    <w:rPr>
      <w:rFonts w:ascii="宋体" w:hAnsi="宋体" w:eastAsia="宋体" w:cs="宋体"/>
      <w:kern w:val="0"/>
      <w:sz w:val="24"/>
      <w:szCs w:val="24"/>
    </w:rPr>
  </w:style>
  <w:style w:type="paragraph" w:customStyle="1" w:styleId="156">
    <w:name w:val="Char Char Char1 Char"/>
    <w:basedOn w:val="1"/>
    <w:qFormat/>
    <w:uiPriority w:val="99"/>
    <w:pPr>
      <w:spacing w:line="400" w:lineRule="exact"/>
      <w:ind w:firstLine="200" w:firstLineChars="200"/>
    </w:pPr>
    <w:rPr>
      <w:rFonts w:ascii="Calibri" w:hAnsi="Calibri" w:eastAsia="宋体" w:cs="Times New Roman"/>
    </w:rPr>
  </w:style>
  <w:style w:type="paragraph" w:customStyle="1" w:styleId="157">
    <w:name w:val="xl10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400" w:lineRule="exact"/>
      <w:ind w:firstLine="200" w:firstLineChars="200"/>
      <w:jc w:val="left"/>
    </w:pPr>
    <w:rPr>
      <w:rFonts w:ascii="宋体" w:hAnsi="宋体" w:eastAsia="宋体" w:cs="宋体"/>
      <w:color w:val="000000"/>
      <w:kern w:val="0"/>
      <w:szCs w:val="21"/>
    </w:rPr>
  </w:style>
  <w:style w:type="paragraph" w:customStyle="1" w:styleId="158">
    <w:name w:val="xl7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400" w:lineRule="exact"/>
      <w:ind w:firstLine="200" w:firstLineChars="200"/>
      <w:jc w:val="center"/>
    </w:pPr>
    <w:rPr>
      <w:rFonts w:ascii="宋体" w:hAnsi="宋体" w:eastAsia="宋体" w:cs="宋体"/>
      <w:kern w:val="0"/>
      <w:sz w:val="24"/>
      <w:szCs w:val="24"/>
    </w:rPr>
  </w:style>
  <w:style w:type="paragraph" w:customStyle="1" w:styleId="159">
    <w:name w:val="Char"/>
    <w:basedOn w:val="16"/>
    <w:qFormat/>
    <w:uiPriority w:val="99"/>
    <w:pPr>
      <w:widowControl/>
      <w:ind w:firstLine="454"/>
      <w:jc w:val="left"/>
    </w:pPr>
    <w:rPr>
      <w:rFonts w:ascii="Tahoma" w:hAnsi="Tahoma" w:cs="宋体"/>
      <w:kern w:val="0"/>
      <w:sz w:val="24"/>
      <w:szCs w:val="20"/>
    </w:rPr>
  </w:style>
  <w:style w:type="paragraph" w:customStyle="1" w:styleId="160">
    <w:name w:val="xl75"/>
    <w:basedOn w:val="1"/>
    <w:qFormat/>
    <w:uiPriority w:val="99"/>
    <w:pPr>
      <w:widowControl/>
      <w:spacing w:before="100" w:beforeAutospacing="1" w:after="100" w:afterAutospacing="1" w:line="400" w:lineRule="exact"/>
      <w:ind w:firstLine="200" w:firstLineChars="200"/>
      <w:jc w:val="left"/>
    </w:pPr>
    <w:rPr>
      <w:rFonts w:ascii="宋体" w:hAnsi="宋体" w:eastAsia="宋体" w:cs="宋体"/>
      <w:color w:val="000000"/>
      <w:kern w:val="0"/>
      <w:szCs w:val="21"/>
    </w:rPr>
  </w:style>
  <w:style w:type="paragraph" w:customStyle="1" w:styleId="161">
    <w:name w:val="_Style 2"/>
    <w:basedOn w:val="1"/>
    <w:qFormat/>
    <w:uiPriority w:val="99"/>
    <w:pPr>
      <w:spacing w:line="400" w:lineRule="exact"/>
      <w:ind w:firstLine="420" w:firstLineChars="200"/>
    </w:pPr>
    <w:rPr>
      <w:rFonts w:ascii="Times New Roman" w:hAnsi="Times New Roman" w:eastAsia="宋体" w:cs="Times New Roman"/>
      <w:szCs w:val="24"/>
    </w:rPr>
  </w:style>
  <w:style w:type="paragraph" w:customStyle="1" w:styleId="162">
    <w:name w:val="xl113"/>
    <w:basedOn w:val="1"/>
    <w:qFormat/>
    <w:uiPriority w:val="99"/>
    <w:pPr>
      <w:widowControl/>
      <w:pBdr>
        <w:left w:val="single" w:color="auto" w:sz="4" w:space="0"/>
        <w:right w:val="single" w:color="auto" w:sz="4" w:space="0"/>
      </w:pBdr>
      <w:spacing w:before="100" w:beforeAutospacing="1" w:after="100" w:afterAutospacing="1" w:line="400" w:lineRule="exact"/>
      <w:ind w:firstLine="200" w:firstLineChars="200"/>
      <w:jc w:val="center"/>
    </w:pPr>
    <w:rPr>
      <w:rFonts w:ascii="宋体" w:hAnsi="宋体" w:eastAsia="宋体" w:cs="宋体"/>
      <w:color w:val="FF0000"/>
      <w:kern w:val="0"/>
      <w:szCs w:val="21"/>
    </w:rPr>
  </w:style>
  <w:style w:type="paragraph" w:customStyle="1" w:styleId="163">
    <w:name w:val="xl89"/>
    <w:basedOn w:val="1"/>
    <w:qFormat/>
    <w:uiPriority w:val="99"/>
    <w:pPr>
      <w:widowControl/>
      <w:spacing w:before="100" w:beforeAutospacing="1" w:after="100" w:afterAutospacing="1" w:line="400" w:lineRule="exact"/>
      <w:ind w:firstLine="200" w:firstLineChars="200"/>
      <w:jc w:val="left"/>
    </w:pPr>
    <w:rPr>
      <w:rFonts w:ascii="宋体" w:hAnsi="宋体" w:eastAsia="宋体" w:cs="宋体"/>
      <w:kern w:val="0"/>
      <w:szCs w:val="21"/>
    </w:rPr>
  </w:style>
  <w:style w:type="paragraph" w:customStyle="1" w:styleId="164">
    <w:name w:val="xl107"/>
    <w:basedOn w:val="1"/>
    <w:qFormat/>
    <w:uiPriority w:val="99"/>
    <w:pPr>
      <w:widowControl/>
      <w:pBdr>
        <w:top w:val="single" w:color="auto" w:sz="4" w:space="0"/>
        <w:bottom w:val="single" w:color="auto" w:sz="4" w:space="0"/>
        <w:right w:val="single" w:color="auto" w:sz="4" w:space="0"/>
      </w:pBdr>
      <w:spacing w:before="100" w:beforeAutospacing="1" w:after="100" w:afterAutospacing="1" w:line="400" w:lineRule="exact"/>
      <w:ind w:firstLine="200" w:firstLineChars="200"/>
      <w:jc w:val="center"/>
    </w:pPr>
    <w:rPr>
      <w:rFonts w:ascii="宋体" w:hAnsi="宋体" w:eastAsia="宋体" w:cs="宋体"/>
      <w:color w:val="FF0000"/>
      <w:kern w:val="0"/>
      <w:szCs w:val="21"/>
    </w:rPr>
  </w:style>
  <w:style w:type="paragraph" w:customStyle="1" w:styleId="165">
    <w:name w:val="Char Char Char"/>
    <w:basedOn w:val="1"/>
    <w:qFormat/>
    <w:uiPriority w:val="99"/>
    <w:pPr>
      <w:widowControl/>
      <w:spacing w:after="160" w:line="240" w:lineRule="exact"/>
      <w:ind w:firstLine="200" w:firstLineChars="200"/>
      <w:jc w:val="left"/>
    </w:pPr>
    <w:rPr>
      <w:rFonts w:ascii="Verdana" w:hAnsi="Verdana" w:eastAsia="宋体" w:cs="Times New Roman"/>
      <w:kern w:val="0"/>
      <w:sz w:val="20"/>
      <w:szCs w:val="20"/>
      <w:lang w:eastAsia="en-US"/>
    </w:rPr>
  </w:style>
  <w:style w:type="paragraph" w:customStyle="1" w:styleId="166">
    <w:name w:val="List Paragraph1"/>
    <w:basedOn w:val="1"/>
    <w:qFormat/>
    <w:uiPriority w:val="99"/>
    <w:pPr>
      <w:spacing w:line="400" w:lineRule="exact"/>
      <w:ind w:firstLine="420" w:firstLineChars="200"/>
    </w:pPr>
    <w:rPr>
      <w:rFonts w:ascii="Times New Roman" w:hAnsi="Times New Roman" w:eastAsia="宋体" w:cs="Times New Roman"/>
      <w:szCs w:val="24"/>
    </w:rPr>
  </w:style>
  <w:style w:type="paragraph" w:customStyle="1" w:styleId="167">
    <w:name w:val="xl95"/>
    <w:basedOn w:val="1"/>
    <w:qFormat/>
    <w:uiPriority w:val="99"/>
    <w:pPr>
      <w:widowControl/>
      <w:pBdr>
        <w:bottom w:val="single" w:color="auto" w:sz="8" w:space="0"/>
      </w:pBdr>
      <w:spacing w:before="100" w:beforeAutospacing="1" w:after="100" w:afterAutospacing="1" w:line="400" w:lineRule="exact"/>
      <w:ind w:firstLine="200" w:firstLineChars="200"/>
      <w:jc w:val="left"/>
    </w:pPr>
    <w:rPr>
      <w:rFonts w:ascii="宋体" w:hAnsi="宋体" w:eastAsia="宋体" w:cs="宋体"/>
      <w:color w:val="000000"/>
      <w:kern w:val="0"/>
      <w:szCs w:val="21"/>
    </w:rPr>
  </w:style>
  <w:style w:type="paragraph" w:customStyle="1" w:styleId="168">
    <w:name w:val="xl65"/>
    <w:basedOn w:val="1"/>
    <w:qFormat/>
    <w:uiPriority w:val="99"/>
    <w:pPr>
      <w:widowControl/>
      <w:spacing w:before="100" w:beforeAutospacing="1" w:after="100" w:afterAutospacing="1" w:line="400" w:lineRule="exact"/>
      <w:ind w:firstLine="200" w:firstLineChars="200"/>
      <w:jc w:val="center"/>
    </w:pPr>
    <w:rPr>
      <w:rFonts w:ascii="宋体" w:hAnsi="宋体" w:eastAsia="宋体" w:cs="宋体"/>
      <w:color w:val="000000"/>
      <w:kern w:val="0"/>
      <w:szCs w:val="21"/>
    </w:rPr>
  </w:style>
  <w:style w:type="paragraph" w:customStyle="1" w:styleId="169">
    <w:name w:val="默认段落字体 Para Char Char Char Char Char Char Char Char Char1 Char Char Char Char"/>
    <w:basedOn w:val="1"/>
    <w:qFormat/>
    <w:uiPriority w:val="99"/>
    <w:pPr>
      <w:spacing w:line="400" w:lineRule="exact"/>
      <w:ind w:firstLine="200" w:firstLineChars="200"/>
    </w:pPr>
    <w:rPr>
      <w:rFonts w:ascii="Tahoma" w:hAnsi="Tahoma" w:eastAsia="宋体" w:cs="Times New Roman"/>
      <w:sz w:val="24"/>
      <w:szCs w:val="20"/>
    </w:rPr>
  </w:style>
  <w:style w:type="paragraph" w:customStyle="1" w:styleId="170">
    <w:name w:val="投标文件1"/>
    <w:basedOn w:val="3"/>
    <w:qFormat/>
    <w:uiPriority w:val="99"/>
    <w:pPr>
      <w:jc w:val="both"/>
    </w:pPr>
    <w:rPr>
      <w:rFonts w:eastAsia="方正小标宋简体"/>
      <w:b w:val="0"/>
      <w:sz w:val="32"/>
      <w:szCs w:val="21"/>
    </w:rPr>
  </w:style>
  <w:style w:type="paragraph" w:customStyle="1" w:styleId="171">
    <w:name w:val="Char4"/>
    <w:basedOn w:val="1"/>
    <w:qFormat/>
    <w:uiPriority w:val="99"/>
    <w:pPr>
      <w:spacing w:line="400" w:lineRule="exact"/>
      <w:ind w:firstLine="200" w:firstLineChars="200"/>
    </w:pPr>
    <w:rPr>
      <w:rFonts w:ascii="Tahoma" w:hAnsi="Tahoma" w:eastAsia="宋体" w:cs="Times New Roman"/>
      <w:sz w:val="24"/>
      <w:szCs w:val="20"/>
    </w:rPr>
  </w:style>
  <w:style w:type="paragraph" w:customStyle="1" w:styleId="172">
    <w:name w:val="xl90"/>
    <w:basedOn w:val="1"/>
    <w:qFormat/>
    <w:uiPriority w:val="99"/>
    <w:pPr>
      <w:widowControl/>
      <w:pBdr>
        <w:bottom w:val="single" w:color="auto" w:sz="8" w:space="0"/>
      </w:pBdr>
      <w:spacing w:before="100" w:beforeAutospacing="1" w:after="100" w:afterAutospacing="1" w:line="400" w:lineRule="exact"/>
      <w:ind w:firstLine="200" w:firstLineChars="200"/>
      <w:jc w:val="left"/>
    </w:pPr>
    <w:rPr>
      <w:rFonts w:ascii="宋体" w:hAnsi="宋体" w:eastAsia="宋体" w:cs="宋体"/>
      <w:color w:val="000000"/>
      <w:kern w:val="0"/>
      <w:szCs w:val="21"/>
    </w:rPr>
  </w:style>
  <w:style w:type="paragraph" w:customStyle="1" w:styleId="173">
    <w:name w:val="样式2"/>
    <w:basedOn w:val="6"/>
    <w:qFormat/>
    <w:uiPriority w:val="99"/>
    <w:rPr>
      <w:rFonts w:ascii="仿宋_GB2312" w:hAnsi="宋体" w:eastAsia="仿宋_GB2312" w:cs="宋体"/>
      <w:kern w:val="0"/>
      <w:sz w:val="24"/>
    </w:rPr>
  </w:style>
  <w:style w:type="paragraph" w:customStyle="1" w:styleId="174">
    <w:name w:val="xl12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400" w:lineRule="exact"/>
      <w:ind w:firstLine="200" w:firstLineChars="200"/>
      <w:jc w:val="center"/>
    </w:pPr>
    <w:rPr>
      <w:rFonts w:ascii="宋体" w:hAnsi="宋体" w:eastAsia="宋体" w:cs="宋体"/>
      <w:color w:val="000000"/>
      <w:kern w:val="0"/>
      <w:sz w:val="18"/>
      <w:szCs w:val="18"/>
    </w:rPr>
  </w:style>
  <w:style w:type="paragraph" w:customStyle="1" w:styleId="175">
    <w:name w:val="xl12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400" w:lineRule="exact"/>
      <w:ind w:firstLine="200" w:firstLineChars="200"/>
      <w:jc w:val="left"/>
    </w:pPr>
    <w:rPr>
      <w:rFonts w:ascii="宋体" w:hAnsi="宋体" w:eastAsia="宋体" w:cs="宋体"/>
      <w:color w:val="000000"/>
      <w:kern w:val="0"/>
      <w:sz w:val="18"/>
      <w:szCs w:val="18"/>
    </w:rPr>
  </w:style>
  <w:style w:type="paragraph" w:customStyle="1" w:styleId="176">
    <w:name w:val="xl97"/>
    <w:basedOn w:val="1"/>
    <w:qFormat/>
    <w:uiPriority w:val="99"/>
    <w:pPr>
      <w:widowControl/>
      <w:spacing w:before="100" w:beforeAutospacing="1" w:after="100" w:afterAutospacing="1" w:line="400" w:lineRule="exact"/>
      <w:ind w:firstLine="200" w:firstLineChars="200"/>
      <w:jc w:val="left"/>
    </w:pPr>
    <w:rPr>
      <w:rFonts w:ascii="Times New Roman" w:hAnsi="Times New Roman" w:eastAsia="宋体" w:cs="Times New Roman"/>
      <w:kern w:val="0"/>
      <w:sz w:val="20"/>
      <w:szCs w:val="20"/>
    </w:rPr>
  </w:style>
  <w:style w:type="paragraph" w:customStyle="1" w:styleId="177">
    <w:name w:val="xl6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400" w:lineRule="exact"/>
      <w:ind w:firstLine="200" w:firstLineChars="200"/>
      <w:jc w:val="center"/>
    </w:pPr>
    <w:rPr>
      <w:rFonts w:ascii="宋体" w:hAnsi="宋体" w:eastAsia="宋体" w:cs="宋体"/>
      <w:color w:val="000000"/>
      <w:kern w:val="0"/>
      <w:szCs w:val="21"/>
    </w:rPr>
  </w:style>
  <w:style w:type="paragraph" w:customStyle="1" w:styleId="178">
    <w:name w:val="正文段"/>
    <w:basedOn w:val="1"/>
    <w:qFormat/>
    <w:uiPriority w:val="99"/>
    <w:pPr>
      <w:widowControl/>
      <w:snapToGrid w:val="0"/>
      <w:spacing w:afterLines="50" w:line="400" w:lineRule="exact"/>
      <w:ind w:firstLine="200" w:firstLineChars="200"/>
    </w:pPr>
    <w:rPr>
      <w:rFonts w:ascii="Times New Roman" w:hAnsi="Times New Roman" w:eastAsia="宋体" w:cs="Times New Roman"/>
      <w:kern w:val="0"/>
      <w:sz w:val="24"/>
      <w:szCs w:val="20"/>
    </w:rPr>
  </w:style>
  <w:style w:type="paragraph" w:customStyle="1" w:styleId="179">
    <w:name w:val="xl121"/>
    <w:basedOn w:val="1"/>
    <w:qFormat/>
    <w:uiPriority w:val="99"/>
    <w:pPr>
      <w:widowControl/>
      <w:pBdr>
        <w:top w:val="single" w:color="auto" w:sz="4" w:space="0"/>
        <w:left w:val="single" w:color="auto" w:sz="4" w:space="0"/>
        <w:right w:val="single" w:color="auto" w:sz="4" w:space="0"/>
      </w:pBdr>
      <w:spacing w:before="100" w:beforeAutospacing="1" w:after="100" w:afterAutospacing="1" w:line="400" w:lineRule="exact"/>
      <w:ind w:firstLine="200" w:firstLineChars="200"/>
      <w:jc w:val="left"/>
    </w:pPr>
    <w:rPr>
      <w:rFonts w:ascii="宋体" w:hAnsi="宋体" w:eastAsia="宋体" w:cs="宋体"/>
      <w:kern w:val="0"/>
      <w:sz w:val="24"/>
      <w:szCs w:val="24"/>
    </w:rPr>
  </w:style>
  <w:style w:type="paragraph" w:customStyle="1" w:styleId="180">
    <w:name w:val="xl93"/>
    <w:basedOn w:val="1"/>
    <w:qFormat/>
    <w:uiPriority w:val="99"/>
    <w:pPr>
      <w:widowControl/>
      <w:pBdr>
        <w:top w:val="single" w:color="auto" w:sz="8" w:space="0"/>
      </w:pBdr>
      <w:spacing w:before="100" w:beforeAutospacing="1" w:after="100" w:afterAutospacing="1" w:line="400" w:lineRule="exact"/>
      <w:ind w:firstLine="200" w:firstLineChars="200"/>
      <w:jc w:val="left"/>
    </w:pPr>
    <w:rPr>
      <w:rFonts w:ascii="宋体" w:hAnsi="宋体" w:eastAsia="宋体" w:cs="宋体"/>
      <w:color w:val="000000"/>
      <w:kern w:val="0"/>
      <w:szCs w:val="21"/>
    </w:rPr>
  </w:style>
  <w:style w:type="paragraph" w:customStyle="1" w:styleId="181">
    <w:name w:val="pa-5"/>
    <w:basedOn w:val="1"/>
    <w:qFormat/>
    <w:uiPriority w:val="99"/>
    <w:pPr>
      <w:widowControl/>
      <w:spacing w:before="150" w:after="150" w:line="400" w:lineRule="exact"/>
      <w:ind w:firstLine="200" w:firstLineChars="200"/>
      <w:jc w:val="left"/>
    </w:pPr>
    <w:rPr>
      <w:rFonts w:ascii="宋体" w:hAnsi="宋体" w:eastAsia="宋体" w:cs="宋体"/>
      <w:kern w:val="0"/>
      <w:sz w:val="24"/>
      <w:szCs w:val="24"/>
    </w:rPr>
  </w:style>
  <w:style w:type="paragraph" w:customStyle="1" w:styleId="182">
    <w:name w:val="xl103"/>
    <w:basedOn w:val="1"/>
    <w:qFormat/>
    <w:uiPriority w:val="99"/>
    <w:pPr>
      <w:widowControl/>
      <w:pBdr>
        <w:top w:val="single" w:color="auto" w:sz="4" w:space="0"/>
        <w:left w:val="single" w:color="auto" w:sz="4" w:space="0"/>
        <w:bottom w:val="single" w:color="auto" w:sz="4" w:space="0"/>
      </w:pBdr>
      <w:spacing w:before="100" w:beforeAutospacing="1" w:after="100" w:afterAutospacing="1" w:line="400" w:lineRule="exact"/>
      <w:ind w:firstLine="200" w:firstLineChars="200"/>
    </w:pPr>
    <w:rPr>
      <w:rFonts w:ascii="宋体" w:hAnsi="宋体" w:eastAsia="宋体" w:cs="宋体"/>
      <w:kern w:val="0"/>
      <w:szCs w:val="21"/>
    </w:rPr>
  </w:style>
  <w:style w:type="paragraph" w:customStyle="1" w:styleId="183">
    <w:name w:val="font9"/>
    <w:basedOn w:val="1"/>
    <w:qFormat/>
    <w:uiPriority w:val="99"/>
    <w:pPr>
      <w:widowControl/>
      <w:spacing w:before="100" w:beforeAutospacing="1" w:after="100" w:afterAutospacing="1" w:line="400" w:lineRule="exact"/>
      <w:ind w:firstLine="200" w:firstLineChars="200"/>
      <w:jc w:val="left"/>
    </w:pPr>
    <w:rPr>
      <w:rFonts w:ascii="宋体" w:hAnsi="宋体" w:eastAsia="宋体" w:cs="宋体"/>
      <w:kern w:val="0"/>
      <w:sz w:val="20"/>
      <w:szCs w:val="20"/>
    </w:rPr>
  </w:style>
  <w:style w:type="paragraph" w:customStyle="1" w:styleId="184">
    <w:name w:val="Char Char Char Char"/>
    <w:basedOn w:val="1"/>
    <w:qFormat/>
    <w:uiPriority w:val="99"/>
    <w:pPr>
      <w:widowControl/>
      <w:spacing w:after="160" w:line="240" w:lineRule="exact"/>
      <w:ind w:firstLine="200" w:firstLineChars="200"/>
      <w:jc w:val="left"/>
    </w:pPr>
    <w:rPr>
      <w:rFonts w:ascii="Verdana" w:hAnsi="Verdana" w:eastAsia="仿宋_GB2312" w:cs="Times New Roman"/>
      <w:kern w:val="0"/>
      <w:sz w:val="24"/>
      <w:szCs w:val="20"/>
      <w:lang w:eastAsia="en-US"/>
    </w:rPr>
  </w:style>
  <w:style w:type="paragraph" w:customStyle="1" w:styleId="185">
    <w:name w:val="xl132"/>
    <w:basedOn w:val="1"/>
    <w:qFormat/>
    <w:uiPriority w:val="99"/>
    <w:pPr>
      <w:widowControl/>
      <w:pBdr>
        <w:top w:val="single" w:color="auto" w:sz="4" w:space="0"/>
        <w:left w:val="single" w:color="auto" w:sz="4" w:space="0"/>
        <w:right w:val="single" w:color="auto" w:sz="4" w:space="0"/>
      </w:pBdr>
      <w:spacing w:before="100" w:beforeAutospacing="1" w:after="100" w:afterAutospacing="1" w:line="400" w:lineRule="exact"/>
      <w:ind w:firstLine="200" w:firstLineChars="200"/>
      <w:jc w:val="center"/>
    </w:pPr>
    <w:rPr>
      <w:rFonts w:ascii="宋体" w:hAnsi="宋体" w:eastAsia="宋体" w:cs="宋体"/>
      <w:color w:val="000000"/>
      <w:kern w:val="0"/>
      <w:sz w:val="18"/>
      <w:szCs w:val="18"/>
    </w:rPr>
  </w:style>
  <w:style w:type="paragraph" w:customStyle="1" w:styleId="186">
    <w:name w:val="unnamed1"/>
    <w:basedOn w:val="1"/>
    <w:qFormat/>
    <w:uiPriority w:val="99"/>
    <w:pPr>
      <w:widowControl/>
      <w:spacing w:before="100" w:beforeAutospacing="1" w:after="100" w:afterAutospacing="1" w:line="288" w:lineRule="auto"/>
      <w:ind w:firstLine="200" w:firstLineChars="200"/>
      <w:jc w:val="left"/>
    </w:pPr>
    <w:rPr>
      <w:rFonts w:ascii="宋体" w:hAnsi="宋体" w:eastAsia="宋体" w:cs="Times New Roman"/>
      <w:kern w:val="0"/>
      <w:szCs w:val="21"/>
    </w:rPr>
  </w:style>
  <w:style w:type="paragraph" w:customStyle="1" w:styleId="187">
    <w:name w:val="font10"/>
    <w:basedOn w:val="1"/>
    <w:qFormat/>
    <w:uiPriority w:val="99"/>
    <w:pPr>
      <w:widowControl/>
      <w:spacing w:before="100" w:beforeAutospacing="1" w:after="100" w:afterAutospacing="1" w:line="400" w:lineRule="exact"/>
      <w:ind w:firstLine="200" w:firstLineChars="200"/>
      <w:jc w:val="left"/>
    </w:pPr>
    <w:rPr>
      <w:rFonts w:ascii="Times New Roman" w:hAnsi="Times New Roman" w:eastAsia="宋体" w:cs="Times New Roman"/>
      <w:kern w:val="0"/>
      <w:sz w:val="20"/>
      <w:szCs w:val="20"/>
    </w:rPr>
  </w:style>
  <w:style w:type="paragraph" w:customStyle="1" w:styleId="188">
    <w:name w:val="样式 标题 1 + 小二"/>
    <w:basedOn w:val="3"/>
    <w:qFormat/>
    <w:uiPriority w:val="99"/>
  </w:style>
  <w:style w:type="paragraph" w:customStyle="1" w:styleId="189">
    <w:name w:val="普通(网站)1"/>
    <w:basedOn w:val="1"/>
    <w:qFormat/>
    <w:uiPriority w:val="99"/>
    <w:pPr>
      <w:widowControl/>
      <w:snapToGrid w:val="0"/>
      <w:spacing w:before="100" w:beforeAutospacing="1" w:after="100" w:afterAutospacing="1" w:line="300" w:lineRule="auto"/>
      <w:ind w:firstLine="200" w:firstLineChars="200"/>
      <w:jc w:val="left"/>
    </w:pPr>
    <w:rPr>
      <w:rFonts w:ascii="宋体" w:hAnsi="宋体" w:eastAsia="微软雅黑" w:cs="Times New Roman"/>
      <w:sz w:val="24"/>
    </w:rPr>
  </w:style>
  <w:style w:type="paragraph" w:customStyle="1" w:styleId="190">
    <w:name w:val="xl114"/>
    <w:basedOn w:val="1"/>
    <w:qFormat/>
    <w:uiPriority w:val="99"/>
    <w:pPr>
      <w:widowControl/>
      <w:pBdr>
        <w:left w:val="single" w:color="auto" w:sz="4" w:space="0"/>
        <w:bottom w:val="single" w:color="auto" w:sz="4" w:space="0"/>
        <w:right w:val="single" w:color="auto" w:sz="4" w:space="0"/>
      </w:pBdr>
      <w:spacing w:before="100" w:beforeAutospacing="1" w:after="100" w:afterAutospacing="1" w:line="400" w:lineRule="exact"/>
      <w:ind w:firstLine="200" w:firstLineChars="200"/>
      <w:jc w:val="center"/>
    </w:pPr>
    <w:rPr>
      <w:rFonts w:ascii="宋体" w:hAnsi="宋体" w:eastAsia="宋体" w:cs="宋体"/>
      <w:color w:val="FF0000"/>
      <w:kern w:val="0"/>
      <w:szCs w:val="21"/>
    </w:rPr>
  </w:style>
  <w:style w:type="paragraph" w:customStyle="1" w:styleId="191">
    <w:name w:val="投标文件"/>
    <w:basedOn w:val="46"/>
    <w:qFormat/>
    <w:uiPriority w:val="99"/>
  </w:style>
  <w:style w:type="paragraph" w:customStyle="1" w:styleId="192">
    <w:name w:val="xl8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400" w:lineRule="exact"/>
      <w:ind w:firstLine="200" w:firstLineChars="200"/>
      <w:jc w:val="left"/>
    </w:pPr>
    <w:rPr>
      <w:rFonts w:ascii="宋体" w:hAnsi="宋体" w:eastAsia="宋体" w:cs="宋体"/>
      <w:kern w:val="0"/>
      <w:szCs w:val="21"/>
    </w:rPr>
  </w:style>
  <w:style w:type="paragraph" w:customStyle="1" w:styleId="193">
    <w:name w:val="1"/>
    <w:basedOn w:val="1"/>
    <w:next w:val="27"/>
    <w:qFormat/>
    <w:uiPriority w:val="99"/>
    <w:pPr>
      <w:spacing w:line="400" w:lineRule="exact"/>
      <w:ind w:firstLine="200" w:firstLineChars="200"/>
    </w:pPr>
    <w:rPr>
      <w:rFonts w:ascii="宋体" w:hAnsi="Courier New" w:eastAsia="宋体" w:cs="Times New Roman"/>
      <w:szCs w:val="20"/>
    </w:rPr>
  </w:style>
  <w:style w:type="paragraph" w:customStyle="1" w:styleId="194">
    <w:name w:val="xl110"/>
    <w:basedOn w:val="1"/>
    <w:qFormat/>
    <w:uiPriority w:val="99"/>
    <w:pPr>
      <w:widowControl/>
      <w:pBdr>
        <w:left w:val="single" w:color="auto" w:sz="4" w:space="0"/>
        <w:right w:val="single" w:color="auto" w:sz="4" w:space="0"/>
      </w:pBdr>
      <w:spacing w:before="100" w:beforeAutospacing="1" w:after="100" w:afterAutospacing="1" w:line="400" w:lineRule="exact"/>
      <w:ind w:firstLine="200" w:firstLineChars="200"/>
      <w:jc w:val="center"/>
    </w:pPr>
    <w:rPr>
      <w:rFonts w:ascii="宋体" w:hAnsi="宋体" w:eastAsia="宋体" w:cs="宋体"/>
      <w:color w:val="000000"/>
      <w:kern w:val="0"/>
      <w:szCs w:val="21"/>
    </w:rPr>
  </w:style>
  <w:style w:type="paragraph" w:customStyle="1" w:styleId="195">
    <w:name w:val="样式 标题 3 + 四号"/>
    <w:basedOn w:val="5"/>
    <w:qFormat/>
    <w:uiPriority w:val="99"/>
    <w:pPr>
      <w:jc w:val="center"/>
    </w:pPr>
    <w:rPr>
      <w:rFonts w:ascii="Times New Roman" w:hAnsi="Times New Roman" w:cs="Times New Roman"/>
      <w:kern w:val="0"/>
      <w:sz w:val="28"/>
    </w:rPr>
  </w:style>
  <w:style w:type="paragraph" w:customStyle="1" w:styleId="196">
    <w:name w:val="gta-1"/>
    <w:basedOn w:val="1"/>
    <w:qFormat/>
    <w:uiPriority w:val="99"/>
    <w:pPr>
      <w:widowControl/>
      <w:spacing w:before="100" w:beforeAutospacing="1" w:after="100" w:afterAutospacing="1" w:line="360" w:lineRule="auto"/>
      <w:ind w:firstLine="200" w:firstLineChars="200"/>
      <w:jc w:val="left"/>
    </w:pPr>
    <w:rPr>
      <w:rFonts w:ascii="宋体" w:hAnsi="宋体" w:eastAsia="宋体" w:cs="宋体"/>
      <w:kern w:val="0"/>
      <w:sz w:val="24"/>
      <w:szCs w:val="24"/>
    </w:rPr>
  </w:style>
  <w:style w:type="paragraph" w:customStyle="1" w:styleId="197">
    <w:name w:val="xl7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400" w:lineRule="exact"/>
      <w:ind w:firstLine="200" w:firstLineChars="200"/>
      <w:jc w:val="center"/>
    </w:pPr>
    <w:rPr>
      <w:rFonts w:ascii="宋体" w:hAnsi="宋体" w:eastAsia="宋体" w:cs="宋体"/>
      <w:color w:val="000000"/>
      <w:kern w:val="0"/>
      <w:sz w:val="24"/>
      <w:szCs w:val="24"/>
    </w:rPr>
  </w:style>
  <w:style w:type="paragraph" w:customStyle="1" w:styleId="198">
    <w:name w:val="默认段落字体 Para Char Char Char Char Char Char Char Char Char Char Char Char Char Char Char Char Char Char Char"/>
    <w:basedOn w:val="1"/>
    <w:qFormat/>
    <w:uiPriority w:val="99"/>
    <w:pPr>
      <w:spacing w:line="400" w:lineRule="exact"/>
      <w:ind w:firstLine="200" w:firstLineChars="200"/>
    </w:pPr>
    <w:rPr>
      <w:rFonts w:ascii="Calibri" w:hAnsi="Calibri" w:eastAsia="宋体" w:cs="Times New Roman"/>
    </w:rPr>
  </w:style>
  <w:style w:type="paragraph" w:customStyle="1" w:styleId="199">
    <w:name w:val="xl115"/>
    <w:basedOn w:val="1"/>
    <w:qFormat/>
    <w:uiPriority w:val="99"/>
    <w:pPr>
      <w:widowControl/>
      <w:pBdr>
        <w:top w:val="single" w:color="auto" w:sz="4" w:space="0"/>
        <w:left w:val="single" w:color="auto" w:sz="4" w:space="0"/>
        <w:right w:val="single" w:color="auto" w:sz="4" w:space="0"/>
      </w:pBdr>
      <w:spacing w:before="100" w:beforeAutospacing="1" w:after="100" w:afterAutospacing="1" w:line="400" w:lineRule="exact"/>
      <w:ind w:firstLine="200" w:firstLineChars="200"/>
      <w:jc w:val="center"/>
    </w:pPr>
    <w:rPr>
      <w:rFonts w:ascii="宋体" w:hAnsi="宋体" w:eastAsia="宋体" w:cs="宋体"/>
      <w:color w:val="000000"/>
      <w:kern w:val="0"/>
      <w:sz w:val="20"/>
      <w:szCs w:val="20"/>
    </w:rPr>
  </w:style>
  <w:style w:type="paragraph" w:customStyle="1" w:styleId="200">
    <w:name w:val="xl8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400" w:lineRule="exact"/>
      <w:ind w:firstLine="200" w:firstLineChars="200"/>
      <w:jc w:val="center"/>
    </w:pPr>
    <w:rPr>
      <w:rFonts w:ascii="宋体" w:hAnsi="宋体" w:eastAsia="宋体" w:cs="宋体"/>
      <w:color w:val="000000"/>
      <w:kern w:val="0"/>
      <w:sz w:val="22"/>
    </w:rPr>
  </w:style>
  <w:style w:type="paragraph" w:customStyle="1" w:styleId="201">
    <w:name w:val="font8"/>
    <w:basedOn w:val="1"/>
    <w:qFormat/>
    <w:uiPriority w:val="99"/>
    <w:pPr>
      <w:widowControl/>
      <w:spacing w:before="100" w:beforeAutospacing="1" w:after="100" w:afterAutospacing="1" w:line="400" w:lineRule="exact"/>
      <w:ind w:firstLine="200" w:firstLineChars="200"/>
      <w:jc w:val="left"/>
    </w:pPr>
    <w:rPr>
      <w:rFonts w:ascii="Times New Roman" w:hAnsi="Times New Roman" w:eastAsia="宋体" w:cs="Times New Roman"/>
      <w:color w:val="000000"/>
      <w:kern w:val="0"/>
      <w:sz w:val="22"/>
    </w:rPr>
  </w:style>
  <w:style w:type="paragraph" w:customStyle="1" w:styleId="202">
    <w:name w:val="xl129"/>
    <w:basedOn w:val="1"/>
    <w:qFormat/>
    <w:uiPriority w:val="99"/>
    <w:pPr>
      <w:widowControl/>
      <w:pBdr>
        <w:top w:val="single" w:color="auto" w:sz="4" w:space="0"/>
        <w:left w:val="single" w:color="auto" w:sz="4" w:space="0"/>
        <w:bottom w:val="single" w:color="auto" w:sz="4" w:space="0"/>
      </w:pBdr>
      <w:spacing w:before="100" w:beforeAutospacing="1" w:after="100" w:afterAutospacing="1" w:line="400" w:lineRule="exact"/>
      <w:ind w:firstLine="200" w:firstLineChars="200"/>
      <w:jc w:val="center"/>
    </w:pPr>
    <w:rPr>
      <w:rFonts w:ascii="宋体" w:hAnsi="宋体" w:eastAsia="宋体" w:cs="宋体"/>
      <w:color w:val="000000"/>
      <w:kern w:val="0"/>
      <w:sz w:val="18"/>
      <w:szCs w:val="18"/>
    </w:rPr>
  </w:style>
  <w:style w:type="paragraph" w:customStyle="1" w:styleId="203">
    <w:name w:val="font5"/>
    <w:basedOn w:val="1"/>
    <w:qFormat/>
    <w:uiPriority w:val="99"/>
    <w:pPr>
      <w:widowControl/>
      <w:spacing w:before="100" w:beforeAutospacing="1" w:after="100" w:afterAutospacing="1" w:line="400" w:lineRule="exact"/>
      <w:ind w:firstLine="200" w:firstLineChars="200"/>
      <w:jc w:val="left"/>
    </w:pPr>
    <w:rPr>
      <w:rFonts w:ascii="宋体" w:hAnsi="宋体" w:eastAsia="宋体" w:cs="宋体"/>
      <w:kern w:val="0"/>
      <w:sz w:val="18"/>
      <w:szCs w:val="18"/>
    </w:rPr>
  </w:style>
  <w:style w:type="paragraph" w:customStyle="1" w:styleId="204">
    <w:name w:val="xl120"/>
    <w:basedOn w:val="1"/>
    <w:qFormat/>
    <w:uiPriority w:val="99"/>
    <w:pPr>
      <w:widowControl/>
      <w:pBdr>
        <w:left w:val="single" w:color="auto" w:sz="4" w:space="0"/>
        <w:bottom w:val="single" w:color="auto" w:sz="4" w:space="0"/>
        <w:right w:val="single" w:color="auto" w:sz="4" w:space="0"/>
      </w:pBdr>
      <w:spacing w:before="100" w:beforeAutospacing="1" w:after="100" w:afterAutospacing="1" w:line="400" w:lineRule="exact"/>
      <w:ind w:firstLine="200" w:firstLineChars="200"/>
      <w:jc w:val="center"/>
    </w:pPr>
    <w:rPr>
      <w:rFonts w:ascii="宋体" w:hAnsi="宋体" w:eastAsia="宋体" w:cs="宋体"/>
      <w:kern w:val="0"/>
      <w:szCs w:val="21"/>
    </w:rPr>
  </w:style>
  <w:style w:type="paragraph" w:customStyle="1" w:styleId="205">
    <w:name w:val="font6"/>
    <w:basedOn w:val="1"/>
    <w:qFormat/>
    <w:uiPriority w:val="99"/>
    <w:pPr>
      <w:widowControl/>
      <w:spacing w:before="100" w:beforeAutospacing="1" w:after="100" w:afterAutospacing="1" w:line="400" w:lineRule="exact"/>
      <w:ind w:firstLine="200" w:firstLineChars="200"/>
      <w:jc w:val="left"/>
    </w:pPr>
    <w:rPr>
      <w:rFonts w:ascii="宋体" w:hAnsi="宋体" w:eastAsia="宋体" w:cs="宋体"/>
      <w:color w:val="000000"/>
      <w:kern w:val="0"/>
      <w:sz w:val="20"/>
      <w:szCs w:val="20"/>
    </w:rPr>
  </w:style>
  <w:style w:type="paragraph" w:customStyle="1" w:styleId="206">
    <w:name w:val="xl6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400" w:lineRule="exact"/>
      <w:ind w:firstLine="200" w:firstLineChars="200"/>
      <w:jc w:val="center"/>
    </w:pPr>
    <w:rPr>
      <w:rFonts w:ascii="宋体" w:hAnsi="宋体" w:eastAsia="宋体" w:cs="宋体"/>
      <w:kern w:val="0"/>
      <w:szCs w:val="21"/>
    </w:rPr>
  </w:style>
  <w:style w:type="paragraph" w:customStyle="1" w:styleId="207">
    <w:name w:val="font7"/>
    <w:basedOn w:val="1"/>
    <w:qFormat/>
    <w:uiPriority w:val="99"/>
    <w:pPr>
      <w:widowControl/>
      <w:spacing w:before="100" w:beforeAutospacing="1" w:after="100" w:afterAutospacing="1" w:line="400" w:lineRule="exact"/>
      <w:ind w:firstLine="200" w:firstLineChars="200"/>
      <w:jc w:val="left"/>
    </w:pPr>
    <w:rPr>
      <w:rFonts w:ascii="宋体" w:hAnsi="宋体" w:eastAsia="宋体" w:cs="宋体"/>
      <w:color w:val="000000"/>
      <w:kern w:val="0"/>
      <w:szCs w:val="21"/>
    </w:rPr>
  </w:style>
  <w:style w:type="paragraph" w:customStyle="1" w:styleId="208">
    <w:name w:val="xl98"/>
    <w:basedOn w:val="1"/>
    <w:qFormat/>
    <w:uiPriority w:val="99"/>
    <w:pPr>
      <w:widowControl/>
      <w:pBdr>
        <w:top w:val="single" w:color="auto" w:sz="4" w:space="0"/>
        <w:left w:val="single" w:color="auto" w:sz="4" w:space="0"/>
        <w:bottom w:val="single" w:color="auto" w:sz="4" w:space="0"/>
      </w:pBdr>
      <w:spacing w:before="100" w:beforeAutospacing="1" w:after="100" w:afterAutospacing="1" w:line="400" w:lineRule="exact"/>
      <w:ind w:firstLine="200" w:firstLineChars="200"/>
      <w:jc w:val="center"/>
    </w:pPr>
    <w:rPr>
      <w:rFonts w:ascii="宋体" w:hAnsi="宋体" w:eastAsia="宋体" w:cs="宋体"/>
      <w:kern w:val="0"/>
      <w:szCs w:val="21"/>
    </w:rPr>
  </w:style>
  <w:style w:type="paragraph" w:customStyle="1" w:styleId="209">
    <w:name w:val="xl63"/>
    <w:basedOn w:val="1"/>
    <w:qFormat/>
    <w:uiPriority w:val="99"/>
    <w:pPr>
      <w:widowControl/>
      <w:spacing w:before="100" w:beforeAutospacing="1" w:after="100" w:afterAutospacing="1" w:line="400" w:lineRule="exact"/>
      <w:ind w:firstLine="200" w:firstLineChars="200"/>
      <w:jc w:val="center"/>
    </w:pPr>
    <w:rPr>
      <w:rFonts w:ascii="宋体" w:hAnsi="宋体" w:eastAsia="宋体" w:cs="宋体"/>
      <w:kern w:val="0"/>
      <w:sz w:val="24"/>
      <w:szCs w:val="24"/>
    </w:rPr>
  </w:style>
  <w:style w:type="paragraph" w:customStyle="1" w:styleId="210">
    <w:name w:val="xl66"/>
    <w:basedOn w:val="1"/>
    <w:qFormat/>
    <w:uiPriority w:val="99"/>
    <w:pPr>
      <w:widowControl/>
      <w:spacing w:before="100" w:beforeAutospacing="1" w:after="100" w:afterAutospacing="1" w:line="400" w:lineRule="exact"/>
      <w:ind w:firstLine="200" w:firstLineChars="200"/>
      <w:jc w:val="left"/>
    </w:pPr>
    <w:rPr>
      <w:rFonts w:ascii="宋体" w:hAnsi="宋体" w:eastAsia="宋体" w:cs="宋体"/>
      <w:color w:val="000000"/>
      <w:kern w:val="0"/>
      <w:szCs w:val="21"/>
    </w:rPr>
  </w:style>
  <w:style w:type="paragraph" w:customStyle="1" w:styleId="211">
    <w:name w:val="xl6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400" w:lineRule="exact"/>
      <w:ind w:firstLine="200" w:firstLineChars="200"/>
      <w:jc w:val="left"/>
    </w:pPr>
    <w:rPr>
      <w:rFonts w:ascii="宋体" w:hAnsi="宋体" w:eastAsia="宋体" w:cs="宋体"/>
      <w:kern w:val="0"/>
      <w:sz w:val="24"/>
      <w:szCs w:val="24"/>
    </w:rPr>
  </w:style>
  <w:style w:type="paragraph" w:customStyle="1" w:styleId="212">
    <w:name w:val="Char Char Char Char Char Char Char Char"/>
    <w:basedOn w:val="1"/>
    <w:qFormat/>
    <w:uiPriority w:val="99"/>
    <w:pPr>
      <w:widowControl/>
      <w:spacing w:line="240" w:lineRule="exact"/>
      <w:ind w:firstLine="200" w:firstLineChars="200"/>
      <w:jc w:val="left"/>
    </w:pPr>
    <w:rPr>
      <w:rFonts w:ascii="Verdana" w:hAnsi="Verdana" w:eastAsia="宋体" w:cs="Times New Roman"/>
      <w:kern w:val="0"/>
      <w:sz w:val="20"/>
      <w:szCs w:val="20"/>
      <w:lang w:eastAsia="en-US"/>
    </w:rPr>
  </w:style>
  <w:style w:type="paragraph" w:customStyle="1" w:styleId="213">
    <w:name w:val="xl7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400" w:lineRule="exact"/>
      <w:ind w:firstLine="200" w:firstLineChars="200"/>
      <w:jc w:val="center"/>
    </w:pPr>
    <w:rPr>
      <w:rFonts w:ascii="宋体" w:hAnsi="宋体" w:eastAsia="宋体" w:cs="宋体"/>
      <w:kern w:val="0"/>
      <w:sz w:val="24"/>
      <w:szCs w:val="24"/>
    </w:rPr>
  </w:style>
  <w:style w:type="paragraph" w:customStyle="1" w:styleId="214">
    <w:name w:val="xl144"/>
    <w:basedOn w:val="1"/>
    <w:qFormat/>
    <w:uiPriority w:val="99"/>
    <w:pPr>
      <w:widowControl/>
      <w:pBdr>
        <w:top w:val="single" w:color="auto" w:sz="4" w:space="0"/>
        <w:left w:val="single" w:color="auto" w:sz="4" w:space="0"/>
        <w:right w:val="single" w:color="auto" w:sz="4" w:space="0"/>
      </w:pBdr>
      <w:spacing w:before="100" w:beforeAutospacing="1" w:after="100" w:afterAutospacing="1" w:line="400" w:lineRule="exact"/>
      <w:ind w:firstLine="200" w:firstLineChars="200"/>
      <w:jc w:val="center"/>
    </w:pPr>
    <w:rPr>
      <w:rFonts w:ascii="宋体" w:hAnsi="宋体" w:eastAsia="宋体" w:cs="宋体"/>
      <w:kern w:val="0"/>
      <w:sz w:val="24"/>
      <w:szCs w:val="24"/>
    </w:rPr>
  </w:style>
  <w:style w:type="paragraph" w:customStyle="1" w:styleId="215">
    <w:name w:val="xl126"/>
    <w:basedOn w:val="1"/>
    <w:qFormat/>
    <w:uiPriority w:val="99"/>
    <w:pPr>
      <w:widowControl/>
      <w:pBdr>
        <w:top w:val="single" w:color="auto" w:sz="4" w:space="0"/>
        <w:left w:val="single" w:color="auto" w:sz="4" w:space="0"/>
        <w:right w:val="single" w:color="auto" w:sz="4" w:space="0"/>
      </w:pBdr>
      <w:spacing w:before="100" w:beforeAutospacing="1" w:after="100" w:afterAutospacing="1" w:line="400" w:lineRule="exact"/>
      <w:ind w:firstLine="200" w:firstLineChars="200"/>
      <w:jc w:val="center"/>
    </w:pPr>
    <w:rPr>
      <w:rFonts w:ascii="宋体" w:hAnsi="宋体" w:eastAsia="宋体" w:cs="宋体"/>
      <w:kern w:val="0"/>
      <w:sz w:val="24"/>
      <w:szCs w:val="24"/>
    </w:rPr>
  </w:style>
  <w:style w:type="paragraph" w:customStyle="1" w:styleId="216">
    <w:name w:val="xl7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400" w:lineRule="exact"/>
      <w:ind w:firstLine="200" w:firstLineChars="200"/>
      <w:jc w:val="center"/>
    </w:pPr>
    <w:rPr>
      <w:rFonts w:ascii="Times New Roman" w:hAnsi="Times New Roman" w:eastAsia="宋体" w:cs="Times New Roman"/>
      <w:kern w:val="0"/>
      <w:szCs w:val="21"/>
    </w:rPr>
  </w:style>
  <w:style w:type="paragraph" w:customStyle="1" w:styleId="217">
    <w:name w:val="xl133"/>
    <w:basedOn w:val="1"/>
    <w:qFormat/>
    <w:uiPriority w:val="99"/>
    <w:pPr>
      <w:widowControl/>
      <w:pBdr>
        <w:left w:val="single" w:color="auto" w:sz="4" w:space="0"/>
        <w:right w:val="single" w:color="auto" w:sz="4" w:space="0"/>
      </w:pBdr>
      <w:spacing w:before="100" w:beforeAutospacing="1" w:after="100" w:afterAutospacing="1" w:line="400" w:lineRule="exact"/>
      <w:ind w:firstLine="200" w:firstLineChars="200"/>
      <w:jc w:val="center"/>
    </w:pPr>
    <w:rPr>
      <w:rFonts w:ascii="宋体" w:hAnsi="宋体" w:eastAsia="宋体" w:cs="宋体"/>
      <w:color w:val="000000"/>
      <w:kern w:val="0"/>
      <w:sz w:val="18"/>
      <w:szCs w:val="18"/>
    </w:rPr>
  </w:style>
  <w:style w:type="paragraph" w:customStyle="1" w:styleId="218">
    <w:name w:val="xl122"/>
    <w:basedOn w:val="1"/>
    <w:qFormat/>
    <w:uiPriority w:val="99"/>
    <w:pPr>
      <w:widowControl/>
      <w:pBdr>
        <w:left w:val="single" w:color="auto" w:sz="4" w:space="0"/>
        <w:right w:val="single" w:color="auto" w:sz="4" w:space="0"/>
      </w:pBdr>
      <w:spacing w:before="100" w:beforeAutospacing="1" w:after="100" w:afterAutospacing="1" w:line="400" w:lineRule="exact"/>
      <w:ind w:firstLine="200" w:firstLineChars="200"/>
      <w:jc w:val="left"/>
    </w:pPr>
    <w:rPr>
      <w:rFonts w:ascii="宋体" w:hAnsi="宋体" w:eastAsia="宋体" w:cs="宋体"/>
      <w:kern w:val="0"/>
      <w:sz w:val="24"/>
      <w:szCs w:val="24"/>
    </w:rPr>
  </w:style>
  <w:style w:type="paragraph" w:customStyle="1" w:styleId="219">
    <w:name w:val="xl73"/>
    <w:basedOn w:val="1"/>
    <w:qFormat/>
    <w:uiPriority w:val="99"/>
    <w:pPr>
      <w:widowControl/>
      <w:spacing w:before="100" w:beforeAutospacing="1" w:after="100" w:afterAutospacing="1" w:line="400" w:lineRule="exact"/>
      <w:ind w:firstLine="200" w:firstLineChars="200"/>
      <w:jc w:val="center"/>
    </w:pPr>
    <w:rPr>
      <w:rFonts w:ascii="宋体" w:hAnsi="宋体" w:eastAsia="宋体" w:cs="宋体"/>
      <w:kern w:val="0"/>
      <w:szCs w:val="21"/>
    </w:rPr>
  </w:style>
  <w:style w:type="paragraph" w:customStyle="1" w:styleId="220">
    <w:name w:val="xl13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400" w:lineRule="exact"/>
      <w:ind w:firstLine="200" w:firstLineChars="200"/>
      <w:jc w:val="center"/>
    </w:pPr>
    <w:rPr>
      <w:rFonts w:ascii="宋体" w:hAnsi="宋体" w:eastAsia="宋体" w:cs="宋体"/>
      <w:color w:val="000000"/>
      <w:kern w:val="0"/>
      <w:sz w:val="18"/>
      <w:szCs w:val="18"/>
    </w:rPr>
  </w:style>
  <w:style w:type="paragraph" w:customStyle="1" w:styleId="221">
    <w:name w:val="xl123"/>
    <w:basedOn w:val="1"/>
    <w:qFormat/>
    <w:uiPriority w:val="99"/>
    <w:pPr>
      <w:widowControl/>
      <w:pBdr>
        <w:left w:val="single" w:color="auto" w:sz="4" w:space="0"/>
        <w:right w:val="single" w:color="auto" w:sz="4" w:space="0"/>
      </w:pBdr>
      <w:spacing w:before="100" w:beforeAutospacing="1" w:after="100" w:afterAutospacing="1" w:line="400" w:lineRule="exact"/>
      <w:ind w:firstLine="200" w:firstLineChars="200"/>
      <w:jc w:val="center"/>
    </w:pPr>
    <w:rPr>
      <w:rFonts w:ascii="宋体" w:hAnsi="宋体" w:eastAsia="宋体" w:cs="宋体"/>
      <w:kern w:val="0"/>
      <w:sz w:val="24"/>
      <w:szCs w:val="24"/>
    </w:rPr>
  </w:style>
  <w:style w:type="paragraph" w:customStyle="1" w:styleId="222">
    <w:name w:val="xl100"/>
    <w:basedOn w:val="1"/>
    <w:qFormat/>
    <w:uiPriority w:val="99"/>
    <w:pPr>
      <w:widowControl/>
      <w:pBdr>
        <w:top w:val="single" w:color="auto" w:sz="4" w:space="0"/>
        <w:bottom w:val="single" w:color="auto" w:sz="4" w:space="0"/>
        <w:right w:val="single" w:color="auto" w:sz="4" w:space="0"/>
      </w:pBdr>
      <w:spacing w:before="100" w:beforeAutospacing="1" w:after="100" w:afterAutospacing="1" w:line="400" w:lineRule="exact"/>
      <w:ind w:firstLine="200" w:firstLineChars="200"/>
      <w:jc w:val="center"/>
    </w:pPr>
    <w:rPr>
      <w:rFonts w:ascii="宋体" w:hAnsi="宋体" w:eastAsia="宋体" w:cs="宋体"/>
      <w:color w:val="000000"/>
      <w:kern w:val="0"/>
      <w:szCs w:val="21"/>
    </w:rPr>
  </w:style>
  <w:style w:type="paragraph" w:customStyle="1" w:styleId="223">
    <w:name w:val="xl74"/>
    <w:basedOn w:val="1"/>
    <w:qFormat/>
    <w:uiPriority w:val="99"/>
    <w:pPr>
      <w:widowControl/>
      <w:spacing w:before="100" w:beforeAutospacing="1" w:after="100" w:afterAutospacing="1" w:line="400" w:lineRule="exact"/>
      <w:ind w:firstLine="200" w:firstLineChars="200"/>
      <w:jc w:val="left"/>
    </w:pPr>
    <w:rPr>
      <w:rFonts w:ascii="宋体" w:hAnsi="宋体" w:eastAsia="宋体" w:cs="宋体"/>
      <w:color w:val="000000"/>
      <w:kern w:val="0"/>
      <w:sz w:val="20"/>
      <w:szCs w:val="20"/>
    </w:rPr>
  </w:style>
  <w:style w:type="paragraph" w:customStyle="1" w:styleId="224">
    <w:name w:val="xl7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400" w:lineRule="exact"/>
      <w:ind w:firstLine="200" w:firstLineChars="200"/>
      <w:jc w:val="center"/>
    </w:pPr>
    <w:rPr>
      <w:rFonts w:ascii="宋体" w:hAnsi="宋体" w:eastAsia="宋体" w:cs="宋体"/>
      <w:color w:val="000000"/>
      <w:kern w:val="0"/>
      <w:sz w:val="20"/>
      <w:szCs w:val="20"/>
    </w:rPr>
  </w:style>
  <w:style w:type="paragraph" w:customStyle="1" w:styleId="225">
    <w:name w:val="xl8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400" w:lineRule="exact"/>
      <w:ind w:firstLine="200" w:firstLineChars="200"/>
      <w:jc w:val="center"/>
    </w:pPr>
    <w:rPr>
      <w:rFonts w:ascii="宋体" w:hAnsi="宋体" w:eastAsia="宋体" w:cs="宋体"/>
      <w:color w:val="000000"/>
      <w:kern w:val="0"/>
      <w:sz w:val="20"/>
      <w:szCs w:val="20"/>
    </w:rPr>
  </w:style>
  <w:style w:type="paragraph" w:customStyle="1" w:styleId="226">
    <w:name w:val="浅色网格 - 强调文字颜色 32"/>
    <w:basedOn w:val="1"/>
    <w:qFormat/>
    <w:uiPriority w:val="99"/>
    <w:pPr>
      <w:spacing w:line="400" w:lineRule="exact"/>
      <w:ind w:firstLine="420" w:firstLineChars="200"/>
    </w:pPr>
    <w:rPr>
      <w:rFonts w:ascii="Calibri" w:hAnsi="Calibri" w:eastAsia="宋体" w:cs="Times New Roman"/>
    </w:rPr>
  </w:style>
  <w:style w:type="paragraph" w:customStyle="1" w:styleId="227">
    <w:name w:val="xl10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400" w:lineRule="exact"/>
      <w:ind w:firstLine="200" w:firstLineChars="200"/>
      <w:jc w:val="left"/>
    </w:pPr>
    <w:rPr>
      <w:rFonts w:ascii="宋体" w:hAnsi="宋体" w:eastAsia="宋体" w:cs="宋体"/>
      <w:kern w:val="0"/>
      <w:sz w:val="20"/>
      <w:szCs w:val="20"/>
    </w:rPr>
  </w:style>
  <w:style w:type="paragraph" w:customStyle="1" w:styleId="228">
    <w:name w:val="xl8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400" w:lineRule="exact"/>
      <w:ind w:firstLine="200" w:firstLineChars="200"/>
    </w:pPr>
    <w:rPr>
      <w:rFonts w:ascii="宋体" w:hAnsi="宋体" w:eastAsia="宋体" w:cs="宋体"/>
      <w:kern w:val="0"/>
      <w:szCs w:val="21"/>
    </w:rPr>
  </w:style>
  <w:style w:type="paragraph" w:customStyle="1" w:styleId="229">
    <w:name w:val="xl136"/>
    <w:basedOn w:val="1"/>
    <w:qFormat/>
    <w:uiPriority w:val="99"/>
    <w:pPr>
      <w:widowControl/>
      <w:spacing w:before="100" w:beforeAutospacing="1" w:after="100" w:afterAutospacing="1" w:line="400" w:lineRule="exact"/>
      <w:ind w:firstLine="200" w:firstLineChars="200"/>
      <w:jc w:val="left"/>
    </w:pPr>
    <w:rPr>
      <w:rFonts w:ascii="宋体" w:hAnsi="宋体" w:eastAsia="宋体" w:cs="宋体"/>
      <w:color w:val="000000"/>
      <w:kern w:val="0"/>
      <w:sz w:val="20"/>
      <w:szCs w:val="20"/>
    </w:rPr>
  </w:style>
  <w:style w:type="paragraph" w:customStyle="1" w:styleId="230">
    <w:name w:val="xl14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400" w:lineRule="exact"/>
      <w:ind w:firstLine="200" w:firstLineChars="200"/>
      <w:jc w:val="center"/>
    </w:pPr>
    <w:rPr>
      <w:rFonts w:ascii="宋体" w:hAnsi="宋体" w:eastAsia="宋体" w:cs="宋体"/>
      <w:b/>
      <w:bCs/>
      <w:color w:val="FF0000"/>
      <w:kern w:val="0"/>
      <w:szCs w:val="21"/>
    </w:rPr>
  </w:style>
  <w:style w:type="paragraph" w:customStyle="1" w:styleId="231">
    <w:name w:val="xl85"/>
    <w:basedOn w:val="1"/>
    <w:qFormat/>
    <w:uiPriority w:val="99"/>
    <w:pPr>
      <w:widowControl/>
      <w:pBdr>
        <w:top w:val="single" w:color="auto" w:sz="8" w:space="0"/>
      </w:pBdr>
      <w:spacing w:before="100" w:beforeAutospacing="1" w:after="100" w:afterAutospacing="1" w:line="400" w:lineRule="exact"/>
      <w:ind w:firstLine="200" w:firstLineChars="200"/>
      <w:jc w:val="left"/>
    </w:pPr>
    <w:rPr>
      <w:rFonts w:ascii="宋体" w:hAnsi="宋体" w:eastAsia="宋体" w:cs="宋体"/>
      <w:color w:val="000000"/>
      <w:kern w:val="0"/>
      <w:sz w:val="20"/>
      <w:szCs w:val="20"/>
    </w:rPr>
  </w:style>
  <w:style w:type="paragraph" w:customStyle="1" w:styleId="232">
    <w:name w:val="TOC 标题1"/>
    <w:basedOn w:val="3"/>
    <w:next w:val="1"/>
    <w:qFormat/>
    <w:uiPriority w:val="99"/>
    <w:pPr>
      <w:widowControl/>
      <w:tabs>
        <w:tab w:val="left" w:pos="360"/>
      </w:tabs>
      <w:spacing w:before="480" w:after="0" w:line="276" w:lineRule="auto"/>
      <w:ind w:left="360" w:hanging="360"/>
      <w:jc w:val="left"/>
      <w:outlineLvl w:val="9"/>
    </w:pPr>
    <w:rPr>
      <w:rFonts w:ascii="Cambria" w:hAnsi="Cambria" w:eastAsia="宋体"/>
      <w:color w:val="365F91"/>
      <w:kern w:val="0"/>
      <w:sz w:val="28"/>
      <w:szCs w:val="28"/>
    </w:rPr>
  </w:style>
  <w:style w:type="paragraph" w:customStyle="1" w:styleId="233">
    <w:name w:val="xl86"/>
    <w:basedOn w:val="1"/>
    <w:qFormat/>
    <w:uiPriority w:val="99"/>
    <w:pPr>
      <w:widowControl/>
      <w:pBdr>
        <w:bottom w:val="single" w:color="auto" w:sz="8" w:space="0"/>
      </w:pBdr>
      <w:spacing w:before="100" w:beforeAutospacing="1" w:after="100" w:afterAutospacing="1" w:line="400" w:lineRule="exact"/>
      <w:ind w:firstLine="200" w:firstLineChars="200"/>
      <w:jc w:val="left"/>
    </w:pPr>
    <w:rPr>
      <w:rFonts w:ascii="宋体" w:hAnsi="宋体" w:eastAsia="宋体" w:cs="宋体"/>
      <w:color w:val="000000"/>
      <w:kern w:val="0"/>
      <w:sz w:val="20"/>
      <w:szCs w:val="20"/>
    </w:rPr>
  </w:style>
  <w:style w:type="paragraph" w:customStyle="1" w:styleId="234">
    <w:name w:val="正文 New New New New"/>
    <w:qFormat/>
    <w:uiPriority w:val="99"/>
    <w:pPr>
      <w:widowControl w:val="0"/>
      <w:spacing w:line="400" w:lineRule="exact"/>
      <w:ind w:firstLine="200" w:firstLineChars="200"/>
      <w:jc w:val="both"/>
    </w:pPr>
    <w:rPr>
      <w:rFonts w:ascii="Times New Roman" w:hAnsi="Times New Roman" w:eastAsia="宋体" w:cs="Times New Roman"/>
      <w:kern w:val="0"/>
      <w:sz w:val="20"/>
      <w:szCs w:val="24"/>
      <w:lang w:val="en-US" w:eastAsia="zh-CN" w:bidi="ar-SA"/>
    </w:rPr>
  </w:style>
  <w:style w:type="paragraph" w:customStyle="1" w:styleId="235">
    <w:name w:val="xl146"/>
    <w:basedOn w:val="1"/>
    <w:qFormat/>
    <w:uiPriority w:val="99"/>
    <w:pPr>
      <w:widowControl/>
      <w:pBdr>
        <w:left w:val="single" w:color="auto" w:sz="4" w:space="0"/>
        <w:bottom w:val="single" w:color="auto" w:sz="4" w:space="0"/>
        <w:right w:val="single" w:color="auto" w:sz="4" w:space="0"/>
      </w:pBdr>
      <w:spacing w:before="100" w:beforeAutospacing="1" w:after="100" w:afterAutospacing="1" w:line="400" w:lineRule="exact"/>
      <w:ind w:firstLine="200" w:firstLineChars="200"/>
      <w:jc w:val="center"/>
    </w:pPr>
    <w:rPr>
      <w:rFonts w:ascii="宋体" w:hAnsi="宋体" w:eastAsia="宋体" w:cs="宋体"/>
      <w:kern w:val="0"/>
      <w:sz w:val="24"/>
      <w:szCs w:val="24"/>
    </w:rPr>
  </w:style>
  <w:style w:type="paragraph" w:customStyle="1" w:styleId="236">
    <w:name w:val="xl117"/>
    <w:basedOn w:val="1"/>
    <w:qFormat/>
    <w:uiPriority w:val="99"/>
    <w:pPr>
      <w:widowControl/>
      <w:pBdr>
        <w:left w:val="single" w:color="auto" w:sz="4" w:space="0"/>
        <w:bottom w:val="single" w:color="auto" w:sz="4" w:space="0"/>
        <w:right w:val="single" w:color="auto" w:sz="4" w:space="0"/>
      </w:pBdr>
      <w:spacing w:before="100" w:beforeAutospacing="1" w:after="100" w:afterAutospacing="1" w:line="400" w:lineRule="exact"/>
      <w:ind w:firstLine="200" w:firstLineChars="200"/>
      <w:jc w:val="center"/>
    </w:pPr>
    <w:rPr>
      <w:rFonts w:ascii="宋体" w:hAnsi="宋体" w:eastAsia="宋体" w:cs="宋体"/>
      <w:color w:val="000000"/>
      <w:kern w:val="0"/>
      <w:sz w:val="20"/>
      <w:szCs w:val="20"/>
    </w:rPr>
  </w:style>
  <w:style w:type="paragraph" w:customStyle="1" w:styleId="237">
    <w:name w:val="xl87"/>
    <w:basedOn w:val="1"/>
    <w:qFormat/>
    <w:uiPriority w:val="99"/>
    <w:pPr>
      <w:widowControl/>
      <w:pBdr>
        <w:bottom w:val="single" w:color="auto" w:sz="8" w:space="0"/>
      </w:pBdr>
      <w:spacing w:before="100" w:beforeAutospacing="1" w:after="100" w:afterAutospacing="1" w:line="400" w:lineRule="exact"/>
      <w:ind w:firstLine="200" w:firstLineChars="200"/>
      <w:jc w:val="left"/>
    </w:pPr>
    <w:rPr>
      <w:rFonts w:ascii="宋体" w:hAnsi="宋体" w:eastAsia="宋体" w:cs="宋体"/>
      <w:kern w:val="0"/>
      <w:szCs w:val="21"/>
    </w:rPr>
  </w:style>
  <w:style w:type="paragraph" w:customStyle="1" w:styleId="238">
    <w:name w:val="xl131"/>
    <w:basedOn w:val="1"/>
    <w:qFormat/>
    <w:uiPriority w:val="99"/>
    <w:pPr>
      <w:widowControl/>
      <w:pBdr>
        <w:top w:val="single" w:color="auto" w:sz="4" w:space="0"/>
        <w:left w:val="single" w:color="auto" w:sz="4" w:space="0"/>
        <w:bottom w:val="single" w:color="auto" w:sz="4" w:space="0"/>
      </w:pBdr>
      <w:spacing w:before="100" w:beforeAutospacing="1" w:after="100" w:afterAutospacing="1" w:line="400" w:lineRule="exact"/>
      <w:ind w:firstLine="200" w:firstLineChars="200"/>
      <w:jc w:val="center"/>
    </w:pPr>
    <w:rPr>
      <w:rFonts w:ascii="宋体" w:hAnsi="宋体" w:eastAsia="宋体" w:cs="宋体"/>
      <w:color w:val="000000"/>
      <w:kern w:val="0"/>
      <w:sz w:val="18"/>
      <w:szCs w:val="18"/>
    </w:rPr>
  </w:style>
  <w:style w:type="paragraph" w:customStyle="1" w:styleId="239">
    <w:name w:val="xl112"/>
    <w:basedOn w:val="1"/>
    <w:qFormat/>
    <w:uiPriority w:val="99"/>
    <w:pPr>
      <w:widowControl/>
      <w:pBdr>
        <w:top w:val="single" w:color="auto" w:sz="4" w:space="0"/>
        <w:left w:val="single" w:color="auto" w:sz="4" w:space="0"/>
        <w:right w:val="single" w:color="auto" w:sz="4" w:space="0"/>
      </w:pBdr>
      <w:spacing w:before="100" w:beforeAutospacing="1" w:after="100" w:afterAutospacing="1" w:line="400" w:lineRule="exact"/>
      <w:ind w:firstLine="200" w:firstLineChars="200"/>
      <w:jc w:val="center"/>
    </w:pPr>
    <w:rPr>
      <w:rFonts w:ascii="宋体" w:hAnsi="宋体" w:eastAsia="宋体" w:cs="宋体"/>
      <w:color w:val="FF0000"/>
      <w:kern w:val="0"/>
      <w:szCs w:val="21"/>
    </w:rPr>
  </w:style>
  <w:style w:type="paragraph" w:customStyle="1" w:styleId="240">
    <w:name w:val="xl88"/>
    <w:basedOn w:val="1"/>
    <w:qFormat/>
    <w:uiPriority w:val="99"/>
    <w:pPr>
      <w:widowControl/>
      <w:pBdr>
        <w:top w:val="single" w:color="auto" w:sz="8" w:space="0"/>
      </w:pBdr>
      <w:spacing w:before="100" w:beforeAutospacing="1" w:after="100" w:afterAutospacing="1" w:line="400" w:lineRule="exact"/>
      <w:ind w:firstLine="200" w:firstLineChars="200"/>
      <w:jc w:val="left"/>
    </w:pPr>
    <w:rPr>
      <w:rFonts w:ascii="宋体" w:hAnsi="宋体" w:eastAsia="宋体" w:cs="宋体"/>
      <w:color w:val="000000"/>
      <w:kern w:val="0"/>
      <w:szCs w:val="21"/>
    </w:rPr>
  </w:style>
  <w:style w:type="paragraph" w:customStyle="1" w:styleId="241">
    <w:name w:val="xl91"/>
    <w:basedOn w:val="1"/>
    <w:qFormat/>
    <w:uiPriority w:val="99"/>
    <w:pPr>
      <w:widowControl/>
      <w:pBdr>
        <w:top w:val="single" w:color="auto" w:sz="8" w:space="0"/>
        <w:bottom w:val="single" w:color="auto" w:sz="8" w:space="0"/>
      </w:pBdr>
      <w:spacing w:before="100" w:beforeAutospacing="1" w:after="100" w:afterAutospacing="1" w:line="400" w:lineRule="exact"/>
      <w:ind w:firstLine="200" w:firstLineChars="200"/>
      <w:jc w:val="left"/>
    </w:pPr>
    <w:rPr>
      <w:rFonts w:ascii="宋体" w:hAnsi="宋体" w:eastAsia="宋体" w:cs="宋体"/>
      <w:color w:val="000000"/>
      <w:kern w:val="0"/>
      <w:szCs w:val="21"/>
    </w:rPr>
  </w:style>
  <w:style w:type="paragraph" w:customStyle="1" w:styleId="242">
    <w:name w:val="xl119"/>
    <w:basedOn w:val="1"/>
    <w:qFormat/>
    <w:uiPriority w:val="99"/>
    <w:pPr>
      <w:widowControl/>
      <w:pBdr>
        <w:left w:val="single" w:color="auto" w:sz="4" w:space="0"/>
        <w:right w:val="single" w:color="auto" w:sz="4" w:space="0"/>
      </w:pBdr>
      <w:spacing w:before="100" w:beforeAutospacing="1" w:after="100" w:afterAutospacing="1" w:line="400" w:lineRule="exact"/>
      <w:ind w:firstLine="200" w:firstLineChars="200"/>
      <w:jc w:val="center"/>
    </w:pPr>
    <w:rPr>
      <w:rFonts w:ascii="宋体" w:hAnsi="宋体" w:eastAsia="宋体" w:cs="宋体"/>
      <w:kern w:val="0"/>
      <w:szCs w:val="21"/>
    </w:rPr>
  </w:style>
  <w:style w:type="paragraph" w:customStyle="1" w:styleId="243">
    <w:name w:val="xl96"/>
    <w:basedOn w:val="1"/>
    <w:qFormat/>
    <w:uiPriority w:val="99"/>
    <w:pPr>
      <w:widowControl/>
      <w:spacing w:before="100" w:beforeAutospacing="1" w:after="100" w:afterAutospacing="1" w:line="400" w:lineRule="exact"/>
      <w:ind w:firstLine="200" w:firstLineChars="200"/>
      <w:jc w:val="left"/>
    </w:pPr>
    <w:rPr>
      <w:rFonts w:ascii="宋体" w:hAnsi="宋体" w:eastAsia="宋体" w:cs="宋体"/>
      <w:kern w:val="0"/>
      <w:sz w:val="20"/>
      <w:szCs w:val="20"/>
    </w:rPr>
  </w:style>
  <w:style w:type="paragraph" w:customStyle="1" w:styleId="244">
    <w:name w:val="xl137"/>
    <w:basedOn w:val="1"/>
    <w:qFormat/>
    <w:uiPriority w:val="99"/>
    <w:pPr>
      <w:widowControl/>
      <w:pBdr>
        <w:left w:val="single" w:color="auto" w:sz="4" w:space="0"/>
        <w:bottom w:val="single" w:color="auto" w:sz="4" w:space="0"/>
      </w:pBdr>
      <w:spacing w:before="100" w:beforeAutospacing="1" w:after="100" w:afterAutospacing="1" w:line="400" w:lineRule="exact"/>
      <w:ind w:firstLine="200" w:firstLineChars="200"/>
      <w:jc w:val="center"/>
    </w:pPr>
    <w:rPr>
      <w:rFonts w:ascii="宋体" w:hAnsi="宋体" w:eastAsia="宋体" w:cs="宋体"/>
      <w:color w:val="000000"/>
      <w:kern w:val="0"/>
      <w:sz w:val="18"/>
      <w:szCs w:val="18"/>
    </w:rPr>
  </w:style>
  <w:style w:type="paragraph" w:customStyle="1" w:styleId="245">
    <w:name w:val="xl99"/>
    <w:basedOn w:val="1"/>
    <w:qFormat/>
    <w:uiPriority w:val="99"/>
    <w:pPr>
      <w:widowControl/>
      <w:pBdr>
        <w:top w:val="single" w:color="auto" w:sz="4" w:space="0"/>
        <w:bottom w:val="single" w:color="auto" w:sz="4" w:space="0"/>
        <w:right w:val="single" w:color="auto" w:sz="4" w:space="0"/>
      </w:pBdr>
      <w:spacing w:before="100" w:beforeAutospacing="1" w:after="100" w:afterAutospacing="1" w:line="400" w:lineRule="exact"/>
      <w:ind w:firstLine="200" w:firstLineChars="200"/>
      <w:jc w:val="center"/>
    </w:pPr>
    <w:rPr>
      <w:rFonts w:ascii="宋体" w:hAnsi="宋体" w:eastAsia="宋体" w:cs="宋体"/>
      <w:kern w:val="0"/>
      <w:szCs w:val="21"/>
    </w:rPr>
  </w:style>
  <w:style w:type="paragraph" w:customStyle="1" w:styleId="246">
    <w:name w:val="xl10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400" w:lineRule="exact"/>
      <w:ind w:firstLine="200" w:firstLineChars="200"/>
      <w:jc w:val="left"/>
    </w:pPr>
    <w:rPr>
      <w:rFonts w:ascii="宋体" w:hAnsi="宋体" w:eastAsia="宋体" w:cs="宋体"/>
      <w:color w:val="000000"/>
      <w:kern w:val="0"/>
      <w:szCs w:val="21"/>
    </w:rPr>
  </w:style>
  <w:style w:type="paragraph" w:customStyle="1" w:styleId="247">
    <w:name w:val="列表段落2"/>
    <w:basedOn w:val="1"/>
    <w:qFormat/>
    <w:uiPriority w:val="99"/>
    <w:pPr>
      <w:spacing w:line="400" w:lineRule="exact"/>
      <w:ind w:firstLine="420" w:firstLineChars="200"/>
    </w:pPr>
    <w:rPr>
      <w:rFonts w:ascii="Calibri" w:hAnsi="Calibri" w:eastAsia="宋体" w:cs="Times New Roman"/>
    </w:rPr>
  </w:style>
  <w:style w:type="paragraph" w:customStyle="1" w:styleId="248">
    <w:name w:val="xl104"/>
    <w:basedOn w:val="1"/>
    <w:qFormat/>
    <w:uiPriority w:val="99"/>
    <w:pPr>
      <w:widowControl/>
      <w:pBdr>
        <w:bottom w:val="single" w:color="auto" w:sz="4" w:space="0"/>
      </w:pBdr>
      <w:spacing w:before="100" w:beforeAutospacing="1" w:after="100" w:afterAutospacing="1" w:line="400" w:lineRule="exact"/>
      <w:ind w:firstLine="200" w:firstLineChars="200"/>
      <w:jc w:val="left"/>
    </w:pPr>
    <w:rPr>
      <w:rFonts w:ascii="宋体" w:hAnsi="宋体" w:eastAsia="宋体" w:cs="宋体"/>
      <w:kern w:val="0"/>
      <w:sz w:val="24"/>
      <w:szCs w:val="24"/>
    </w:rPr>
  </w:style>
  <w:style w:type="paragraph" w:customStyle="1" w:styleId="249">
    <w:name w:val="xl10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400" w:lineRule="exact"/>
      <w:ind w:firstLine="200" w:firstLineChars="200"/>
      <w:jc w:val="center"/>
    </w:pPr>
    <w:rPr>
      <w:rFonts w:ascii="宋体" w:hAnsi="宋体" w:eastAsia="宋体" w:cs="宋体"/>
      <w:kern w:val="0"/>
      <w:szCs w:val="21"/>
    </w:rPr>
  </w:style>
  <w:style w:type="paragraph" w:customStyle="1" w:styleId="250">
    <w:name w:val="xl14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400" w:lineRule="exact"/>
      <w:ind w:firstLine="200" w:firstLineChars="200"/>
      <w:jc w:val="center"/>
    </w:pPr>
    <w:rPr>
      <w:rFonts w:ascii="宋体" w:hAnsi="宋体" w:eastAsia="宋体" w:cs="宋体"/>
      <w:kern w:val="0"/>
      <w:sz w:val="18"/>
      <w:szCs w:val="18"/>
    </w:rPr>
  </w:style>
  <w:style w:type="paragraph" w:customStyle="1" w:styleId="251">
    <w:name w:val="xl109"/>
    <w:basedOn w:val="1"/>
    <w:qFormat/>
    <w:uiPriority w:val="99"/>
    <w:pPr>
      <w:widowControl/>
      <w:pBdr>
        <w:top w:val="single" w:color="auto" w:sz="4" w:space="0"/>
        <w:left w:val="single" w:color="auto" w:sz="4" w:space="0"/>
        <w:right w:val="single" w:color="auto" w:sz="4" w:space="0"/>
      </w:pBdr>
      <w:spacing w:before="100" w:beforeAutospacing="1" w:after="100" w:afterAutospacing="1" w:line="400" w:lineRule="exact"/>
      <w:ind w:firstLine="200" w:firstLineChars="200"/>
      <w:jc w:val="center"/>
    </w:pPr>
    <w:rPr>
      <w:rFonts w:ascii="宋体" w:hAnsi="宋体" w:eastAsia="宋体" w:cs="宋体"/>
      <w:color w:val="000000"/>
      <w:kern w:val="0"/>
      <w:szCs w:val="21"/>
    </w:rPr>
  </w:style>
  <w:style w:type="paragraph" w:customStyle="1" w:styleId="252">
    <w:name w:val="xl13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400" w:lineRule="exact"/>
      <w:ind w:firstLine="200" w:firstLineChars="200"/>
      <w:jc w:val="left"/>
    </w:pPr>
    <w:rPr>
      <w:rFonts w:ascii="宋体" w:hAnsi="宋体" w:eastAsia="宋体" w:cs="宋体"/>
      <w:color w:val="000000"/>
      <w:kern w:val="0"/>
      <w:sz w:val="20"/>
      <w:szCs w:val="20"/>
    </w:rPr>
  </w:style>
  <w:style w:type="paragraph" w:customStyle="1" w:styleId="253">
    <w:name w:val="xl118"/>
    <w:basedOn w:val="1"/>
    <w:qFormat/>
    <w:uiPriority w:val="99"/>
    <w:pPr>
      <w:widowControl/>
      <w:pBdr>
        <w:top w:val="single" w:color="auto" w:sz="4" w:space="0"/>
        <w:left w:val="single" w:color="auto" w:sz="4" w:space="0"/>
        <w:right w:val="single" w:color="auto" w:sz="4" w:space="0"/>
      </w:pBdr>
      <w:spacing w:before="100" w:beforeAutospacing="1" w:after="100" w:afterAutospacing="1" w:line="400" w:lineRule="exact"/>
      <w:ind w:firstLine="200" w:firstLineChars="200"/>
      <w:jc w:val="center"/>
    </w:pPr>
    <w:rPr>
      <w:rFonts w:ascii="宋体" w:hAnsi="宋体" w:eastAsia="宋体" w:cs="宋体"/>
      <w:kern w:val="0"/>
      <w:szCs w:val="21"/>
    </w:rPr>
  </w:style>
  <w:style w:type="paragraph" w:customStyle="1" w:styleId="254">
    <w:name w:val="标书0927"/>
    <w:basedOn w:val="3"/>
    <w:qFormat/>
    <w:uiPriority w:val="99"/>
    <w:pPr>
      <w:tabs>
        <w:tab w:val="left" w:pos="780"/>
      </w:tabs>
      <w:spacing w:before="0" w:after="0" w:line="360" w:lineRule="auto"/>
      <w:ind w:left="780" w:hanging="420"/>
      <w:jc w:val="both"/>
    </w:pPr>
    <w:rPr>
      <w:rFonts w:ascii="宋体" w:eastAsia="宋体"/>
      <w:sz w:val="32"/>
      <w:szCs w:val="32"/>
    </w:rPr>
  </w:style>
  <w:style w:type="paragraph" w:customStyle="1" w:styleId="255">
    <w:name w:val="xl134"/>
    <w:basedOn w:val="1"/>
    <w:qFormat/>
    <w:uiPriority w:val="99"/>
    <w:pPr>
      <w:widowControl/>
      <w:pBdr>
        <w:left w:val="single" w:color="auto" w:sz="4" w:space="0"/>
        <w:bottom w:val="single" w:color="auto" w:sz="4" w:space="0"/>
        <w:right w:val="single" w:color="auto" w:sz="4" w:space="0"/>
      </w:pBdr>
      <w:spacing w:before="100" w:beforeAutospacing="1" w:after="100" w:afterAutospacing="1" w:line="400" w:lineRule="exact"/>
      <w:ind w:firstLine="200" w:firstLineChars="200"/>
      <w:jc w:val="center"/>
    </w:pPr>
    <w:rPr>
      <w:rFonts w:ascii="宋体" w:hAnsi="宋体" w:eastAsia="宋体" w:cs="宋体"/>
      <w:color w:val="000000"/>
      <w:kern w:val="0"/>
      <w:sz w:val="18"/>
      <w:szCs w:val="18"/>
    </w:rPr>
  </w:style>
  <w:style w:type="paragraph" w:customStyle="1" w:styleId="256">
    <w:name w:val="xl143"/>
    <w:basedOn w:val="1"/>
    <w:qFormat/>
    <w:uiPriority w:val="99"/>
    <w:pPr>
      <w:widowControl/>
      <w:pBdr>
        <w:top w:val="single" w:color="auto" w:sz="4" w:space="0"/>
        <w:left w:val="single" w:color="auto" w:sz="4" w:space="0"/>
        <w:right w:val="single" w:color="auto" w:sz="4" w:space="0"/>
      </w:pBdr>
      <w:spacing w:before="100" w:beforeAutospacing="1" w:after="100" w:afterAutospacing="1" w:line="400" w:lineRule="exact"/>
      <w:ind w:firstLine="200" w:firstLineChars="200"/>
      <w:jc w:val="center"/>
    </w:pPr>
    <w:rPr>
      <w:rFonts w:ascii="宋体" w:hAnsi="宋体" w:eastAsia="宋体" w:cs="宋体"/>
      <w:color w:val="000000"/>
      <w:kern w:val="0"/>
      <w:sz w:val="18"/>
      <w:szCs w:val="18"/>
    </w:rPr>
  </w:style>
  <w:style w:type="paragraph" w:customStyle="1" w:styleId="257">
    <w:name w:val="p18"/>
    <w:basedOn w:val="1"/>
    <w:qFormat/>
    <w:uiPriority w:val="99"/>
    <w:pPr>
      <w:widowControl/>
    </w:pPr>
    <w:rPr>
      <w:rFonts w:ascii="宋体" w:hAnsi="宋体" w:eastAsia="宋体" w:cs="宋体"/>
      <w:kern w:val="0"/>
      <w:szCs w:val="21"/>
    </w:rPr>
  </w:style>
  <w:style w:type="paragraph" w:customStyle="1" w:styleId="258">
    <w:name w:val="custom_unionstyle"/>
    <w:basedOn w:val="1"/>
    <w:qFormat/>
    <w:uiPriority w:val="99"/>
    <w:pPr>
      <w:widowControl/>
      <w:spacing w:before="100" w:beforeAutospacing="1" w:after="100" w:afterAutospacing="1"/>
      <w:jc w:val="left"/>
    </w:pPr>
    <w:rPr>
      <w:rFonts w:ascii="宋体" w:hAnsi="宋体" w:eastAsia="宋体" w:cs="宋体"/>
      <w:kern w:val="0"/>
      <w:sz w:val="24"/>
      <w:szCs w:val="24"/>
    </w:rPr>
  </w:style>
  <w:style w:type="character" w:customStyle="1" w:styleId="259">
    <w:name w:val="目录标题 字符"/>
    <w:link w:val="260"/>
    <w:qFormat/>
    <w:locked/>
    <w:uiPriority w:val="0"/>
    <w:rPr>
      <w:rFonts w:ascii="方正小标宋_GBK" w:eastAsia="方正小标宋_GBK"/>
      <w:b/>
      <w:sz w:val="24"/>
      <w:szCs w:val="24"/>
    </w:rPr>
  </w:style>
  <w:style w:type="paragraph" w:customStyle="1" w:styleId="260">
    <w:name w:val="目录标题"/>
    <w:link w:val="259"/>
    <w:qFormat/>
    <w:uiPriority w:val="0"/>
    <w:pPr>
      <w:tabs>
        <w:tab w:val="right" w:leader="dot" w:pos="9683"/>
      </w:tabs>
      <w:spacing w:line="360" w:lineRule="auto"/>
    </w:pPr>
    <w:rPr>
      <w:rFonts w:ascii="方正小标宋_GBK" w:eastAsia="方正小标宋_GBK" w:hAnsiTheme="minorHAnsi" w:cstheme="minorBidi"/>
      <w:b/>
      <w:kern w:val="2"/>
      <w:sz w:val="24"/>
      <w:szCs w:val="24"/>
      <w:lang w:val="en-US" w:eastAsia="zh-CN" w:bidi="ar-SA"/>
    </w:rPr>
  </w:style>
  <w:style w:type="paragraph" w:customStyle="1" w:styleId="261">
    <w:name w:val="_Style 8"/>
    <w:basedOn w:val="16"/>
    <w:qFormat/>
    <w:uiPriority w:val="99"/>
    <w:pPr>
      <w:widowControl/>
      <w:spacing w:line="240" w:lineRule="auto"/>
      <w:ind w:firstLine="454" w:firstLineChars="0"/>
      <w:jc w:val="left"/>
    </w:pPr>
  </w:style>
  <w:style w:type="character" w:customStyle="1" w:styleId="262">
    <w:name w:val="Heading 1 Char"/>
    <w:qFormat/>
    <w:locked/>
    <w:uiPriority w:val="0"/>
    <w:rPr>
      <w:rFonts w:hint="default" w:ascii="Arial" w:hAnsi="Arial" w:eastAsia="宋体" w:cs="Arial"/>
      <w:b/>
      <w:bCs/>
      <w:kern w:val="44"/>
      <w:sz w:val="28"/>
      <w:szCs w:val="44"/>
      <w:lang w:val="zh-CN" w:eastAsia="zh-CN" w:bidi="ar-SA"/>
    </w:rPr>
  </w:style>
  <w:style w:type="character" w:customStyle="1" w:styleId="263">
    <w:name w:val="headline-content"/>
    <w:qFormat/>
    <w:uiPriority w:val="0"/>
  </w:style>
  <w:style w:type="character" w:customStyle="1" w:styleId="264">
    <w:name w:val="Char Char20"/>
    <w:qFormat/>
    <w:locked/>
    <w:uiPriority w:val="0"/>
    <w:rPr>
      <w:rFonts w:hint="eastAsia" w:ascii="微软雅黑" w:hAnsi="微软雅黑" w:eastAsia="微软雅黑"/>
      <w:b/>
      <w:bCs/>
      <w:szCs w:val="32"/>
      <w:lang w:bidi="ar-SA"/>
    </w:rPr>
  </w:style>
  <w:style w:type="character" w:customStyle="1" w:styleId="265">
    <w:name w:val="Char Char13"/>
    <w:qFormat/>
    <w:locked/>
    <w:uiPriority w:val="0"/>
    <w:rPr>
      <w:rFonts w:hint="eastAsia" w:ascii="微软雅黑" w:hAnsi="微软雅黑" w:eastAsia="微软雅黑"/>
      <w:b/>
      <w:bCs/>
      <w:lang w:bidi="ar-SA"/>
    </w:rPr>
  </w:style>
  <w:style w:type="character" w:customStyle="1" w:styleId="266">
    <w:name w:val="ca-102"/>
    <w:qFormat/>
    <w:uiPriority w:val="0"/>
  </w:style>
  <w:style w:type="character" w:customStyle="1" w:styleId="267">
    <w:name w:val="style31"/>
    <w:qFormat/>
    <w:uiPriority w:val="0"/>
    <w:rPr>
      <w:b/>
      <w:bCs/>
      <w:color w:val="FFFFFF"/>
    </w:rPr>
  </w:style>
  <w:style w:type="character" w:customStyle="1" w:styleId="268">
    <w:name w:val="列出段落字符"/>
    <w:qFormat/>
    <w:locked/>
    <w:uiPriority w:val="0"/>
    <w:rPr>
      <w:rFonts w:hint="default" w:ascii="Calibri" w:hAnsi="Calibri" w:eastAsia="宋体" w:cs="黑体"/>
      <w:kern w:val="2"/>
      <w:sz w:val="24"/>
      <w:szCs w:val="24"/>
      <w:lang w:val="en-US" w:eastAsia="zh-CN" w:bidi="ar-SA"/>
    </w:rPr>
  </w:style>
  <w:style w:type="character" w:customStyle="1" w:styleId="269">
    <w:name w:val="font21"/>
    <w:qFormat/>
    <w:uiPriority w:val="0"/>
    <w:rPr>
      <w:rFonts w:hint="eastAsia" w:ascii="宋体" w:hAnsi="宋体" w:eastAsia="宋体" w:cs="宋体"/>
      <w:color w:val="000000"/>
      <w:sz w:val="20"/>
      <w:szCs w:val="20"/>
      <w:u w:val="none"/>
    </w:rPr>
  </w:style>
  <w:style w:type="character" w:customStyle="1" w:styleId="270">
    <w:name w:val="Char Char21"/>
    <w:qFormat/>
    <w:locked/>
    <w:uiPriority w:val="0"/>
    <w:rPr>
      <w:rFonts w:hint="default" w:ascii="Arial" w:hAnsi="Arial" w:eastAsia="微软雅黑" w:cs="Arial"/>
      <w:b/>
      <w:sz w:val="28"/>
      <w:szCs w:val="28"/>
      <w:lang w:bidi="ar-SA"/>
    </w:rPr>
  </w:style>
  <w:style w:type="character" w:customStyle="1" w:styleId="271">
    <w:name w:val="Char Char6"/>
    <w:qFormat/>
    <w:locked/>
    <w:uiPriority w:val="0"/>
    <w:rPr>
      <w:sz w:val="18"/>
      <w:szCs w:val="18"/>
      <w:lang w:bidi="ar-SA"/>
    </w:rPr>
  </w:style>
  <w:style w:type="character" w:customStyle="1" w:styleId="272">
    <w:name w:val="普通文字 Char Char3"/>
    <w:qFormat/>
    <w:locked/>
    <w:uiPriority w:val="0"/>
    <w:rPr>
      <w:rFonts w:hint="eastAsia" w:ascii="宋体" w:hAnsi="Courier New" w:eastAsia="宋体" w:cs="Courier New"/>
      <w:kern w:val="2"/>
      <w:sz w:val="21"/>
      <w:szCs w:val="21"/>
      <w:lang w:val="en-US" w:eastAsia="zh-CN" w:bidi="ar-SA"/>
    </w:rPr>
  </w:style>
  <w:style w:type="character" w:customStyle="1" w:styleId="273">
    <w:name w:val="ca-1"/>
    <w:qFormat/>
    <w:uiPriority w:val="0"/>
  </w:style>
  <w:style w:type="character" w:customStyle="1" w:styleId="274">
    <w:name w:val="Char Char1"/>
    <w:qFormat/>
    <w:uiPriority w:val="0"/>
    <w:rPr>
      <w:rFonts w:hint="eastAsia" w:ascii="宋体" w:hAnsi="宋体" w:eastAsia="宋体"/>
      <w:kern w:val="2"/>
      <w:sz w:val="18"/>
      <w:szCs w:val="18"/>
      <w:lang w:val="en-US" w:eastAsia="zh-CN" w:bidi="ar-SA"/>
    </w:rPr>
  </w:style>
  <w:style w:type="character" w:customStyle="1" w:styleId="275">
    <w:name w:val="font41"/>
    <w:qFormat/>
    <w:uiPriority w:val="0"/>
    <w:rPr>
      <w:rFonts w:hint="default" w:ascii="Bosch Office Sans" w:hAnsi="Bosch Office Sans" w:cs="Bosch Office Sans"/>
      <w:color w:val="000000"/>
      <w:sz w:val="20"/>
      <w:szCs w:val="20"/>
      <w:u w:val="none"/>
    </w:rPr>
  </w:style>
  <w:style w:type="character" w:customStyle="1" w:styleId="276">
    <w:name w:val="highlight1"/>
    <w:qFormat/>
    <w:uiPriority w:val="0"/>
    <w:rPr>
      <w:color w:val="DB4F33"/>
    </w:rPr>
  </w:style>
  <w:style w:type="character" w:customStyle="1" w:styleId="277">
    <w:name w:val="char"/>
    <w:qFormat/>
    <w:uiPriority w:val="0"/>
  </w:style>
  <w:style w:type="character" w:customStyle="1" w:styleId="278">
    <w:name w:val="ca-2"/>
    <w:qFormat/>
    <w:uiPriority w:val="0"/>
  </w:style>
  <w:style w:type="character" w:customStyle="1" w:styleId="279">
    <w:name w:val="明显引用 Char1"/>
    <w:qFormat/>
    <w:uiPriority w:val="0"/>
    <w:rPr>
      <w:rFonts w:hint="default" w:ascii="Times New Roman" w:hAnsi="Times New Roman" w:eastAsia="微软雅黑" w:cs="Times New Roman"/>
      <w:b/>
      <w:bCs/>
      <w:i/>
      <w:iCs/>
      <w:color w:val="4F81BD"/>
      <w:sz w:val="24"/>
      <w:szCs w:val="24"/>
    </w:rPr>
  </w:style>
  <w:style w:type="character" w:customStyle="1" w:styleId="280">
    <w:name w:val="GTA标题3 Char"/>
    <w:qFormat/>
    <w:uiPriority w:val="0"/>
    <w:rPr>
      <w:rFonts w:hint="default" w:ascii="Arial" w:hAnsi="Arial" w:eastAsia="黑体" w:cs="Arial"/>
      <w:bCs/>
      <w:kern w:val="2"/>
      <w:sz w:val="24"/>
      <w:szCs w:val="24"/>
    </w:rPr>
  </w:style>
  <w:style w:type="character" w:customStyle="1" w:styleId="281">
    <w:name w:val="txet31"/>
    <w:qFormat/>
    <w:uiPriority w:val="0"/>
    <w:rPr>
      <w:rFonts w:hint="default" w:ascii="Times New Roman" w:hAnsi="Times New Roman" w:cs="Times New Roman"/>
      <w:color w:val="333333"/>
      <w:sz w:val="18"/>
      <w:szCs w:val="18"/>
      <w:u w:val="none"/>
    </w:rPr>
  </w:style>
  <w:style w:type="character" w:customStyle="1" w:styleId="282">
    <w:name w:val="GTA标题2 Char"/>
    <w:qFormat/>
    <w:uiPriority w:val="0"/>
    <w:rPr>
      <w:rFonts w:hint="default" w:ascii="Arial" w:hAnsi="Arial" w:eastAsia="黑体" w:cs="Arial"/>
      <w:bCs/>
      <w:kern w:val="2"/>
      <w:sz w:val="30"/>
      <w:szCs w:val="30"/>
    </w:rPr>
  </w:style>
  <w:style w:type="character" w:customStyle="1" w:styleId="283">
    <w:name w:val="Char Char22"/>
    <w:qFormat/>
    <w:locked/>
    <w:uiPriority w:val="0"/>
    <w:rPr>
      <w:rFonts w:hint="eastAsia" w:ascii="微软雅黑" w:hAnsi="微软雅黑" w:eastAsia="微软雅黑"/>
      <w:b/>
      <w:bCs/>
      <w:kern w:val="44"/>
      <w:sz w:val="36"/>
      <w:szCs w:val="36"/>
      <w:lang w:bidi="ar-SA"/>
    </w:rPr>
  </w:style>
  <w:style w:type="character" w:customStyle="1" w:styleId="284">
    <w:name w:val="Header Char"/>
    <w:qFormat/>
    <w:locked/>
    <w:uiPriority w:val="0"/>
    <w:rPr>
      <w:rFonts w:hint="default" w:ascii="Cambria" w:hAnsi="Cambria" w:eastAsia="宋体"/>
      <w:kern w:val="2"/>
      <w:sz w:val="18"/>
      <w:szCs w:val="18"/>
      <w:lang w:val="en-US" w:eastAsia="zh-CN" w:bidi="ar-SA"/>
    </w:rPr>
  </w:style>
  <w:style w:type="character" w:customStyle="1" w:styleId="285">
    <w:name w:val="con"/>
    <w:qFormat/>
    <w:uiPriority w:val="0"/>
  </w:style>
  <w:style w:type="character" w:customStyle="1" w:styleId="286">
    <w:name w:val="apple-style-span"/>
    <w:qFormat/>
    <w:uiPriority w:val="0"/>
  </w:style>
  <w:style w:type="character" w:customStyle="1" w:styleId="287">
    <w:name w:val="GTA正文-2 Char Char"/>
    <w:qFormat/>
    <w:locked/>
    <w:uiPriority w:val="0"/>
    <w:rPr>
      <w:rFonts w:hint="default" w:ascii="Arial" w:hAnsi="Arial" w:eastAsia="微软雅黑" w:cs="Arial"/>
      <w:sz w:val="24"/>
    </w:rPr>
  </w:style>
  <w:style w:type="character" w:customStyle="1" w:styleId="288">
    <w:name w:val="Heading 3 Char"/>
    <w:qFormat/>
    <w:locked/>
    <w:uiPriority w:val="0"/>
    <w:rPr>
      <w:rFonts w:hint="default" w:ascii="Cambria" w:hAnsi="Cambria" w:eastAsia="宋体"/>
      <w:b/>
      <w:bCs/>
      <w:kern w:val="2"/>
      <w:sz w:val="24"/>
      <w:szCs w:val="32"/>
      <w:lang w:val="en-US" w:eastAsia="zh-CN" w:bidi="ar-SA"/>
    </w:rPr>
  </w:style>
  <w:style w:type="character" w:customStyle="1" w:styleId="289">
    <w:name w:val="书籍标题1"/>
    <w:qFormat/>
    <w:uiPriority w:val="0"/>
    <w:rPr>
      <w:b/>
      <w:bCs/>
      <w:smallCaps/>
      <w:spacing w:val="5"/>
    </w:rPr>
  </w:style>
  <w:style w:type="character" w:customStyle="1" w:styleId="290">
    <w:name w:val="apple-converted-space"/>
    <w:qFormat/>
    <w:uiPriority w:val="0"/>
  </w:style>
  <w:style w:type="character" w:customStyle="1" w:styleId="291">
    <w:name w:val="批注文字 Char1"/>
    <w:qFormat/>
    <w:uiPriority w:val="0"/>
    <w:rPr>
      <w:kern w:val="2"/>
      <w:sz w:val="21"/>
      <w:szCs w:val="24"/>
    </w:rPr>
  </w:style>
  <w:style w:type="character" w:customStyle="1" w:styleId="292">
    <w:name w:val="font51"/>
    <w:qFormat/>
    <w:uiPriority w:val="0"/>
    <w:rPr>
      <w:rFonts w:hint="default" w:ascii="Bosch Office Sans" w:hAnsi="Bosch Office Sans" w:cs="Bosch Office Sans"/>
      <w:color w:val="000000"/>
      <w:sz w:val="20"/>
      <w:szCs w:val="20"/>
      <w:u w:val="none"/>
    </w:rPr>
  </w:style>
  <w:style w:type="character" w:customStyle="1" w:styleId="293">
    <w:name w:val="明显引用字符1"/>
    <w:qFormat/>
    <w:uiPriority w:val="0"/>
    <w:rPr>
      <w:rFonts w:hint="default" w:ascii="Times New Roman" w:hAnsi="Times New Roman" w:eastAsia="微软雅黑" w:cs="Times New Roman"/>
      <w:i/>
      <w:iCs/>
      <w:color w:val="5B9BD5"/>
    </w:rPr>
  </w:style>
  <w:style w:type="character" w:customStyle="1" w:styleId="294">
    <w:name w:val="GTA标题4 Char"/>
    <w:qFormat/>
    <w:uiPriority w:val="0"/>
    <w:rPr>
      <w:rFonts w:hint="default" w:ascii="Arial" w:hAnsi="Arial" w:eastAsia="仿宋_GB2312" w:cs="Arial"/>
      <w:b/>
      <w:bCs/>
      <w:kern w:val="2"/>
      <w:sz w:val="24"/>
      <w:szCs w:val="24"/>
    </w:rPr>
  </w:style>
  <w:style w:type="character" w:customStyle="1" w:styleId="295">
    <w:name w:val="font31"/>
    <w:qFormat/>
    <w:uiPriority w:val="0"/>
    <w:rPr>
      <w:rFonts w:hint="eastAsia" w:ascii="宋体" w:hAnsi="宋体" w:eastAsia="宋体" w:cs="宋体"/>
      <w:color w:val="000000"/>
      <w:sz w:val="20"/>
      <w:szCs w:val="20"/>
      <w:u w:val="none"/>
    </w:rPr>
  </w:style>
  <w:style w:type="character" w:customStyle="1" w:styleId="296">
    <w:name w:val="普通文字 Char Char1"/>
    <w:qFormat/>
    <w:locked/>
    <w:uiPriority w:val="0"/>
    <w:rPr>
      <w:rFonts w:hint="eastAsia" w:ascii="宋体" w:hAnsi="Courier New" w:eastAsia="宋体" w:cs="Courier New"/>
      <w:kern w:val="2"/>
      <w:sz w:val="21"/>
      <w:szCs w:val="21"/>
      <w:lang w:val="en-US" w:eastAsia="zh-CN" w:bidi="ar-SA"/>
    </w:rPr>
  </w:style>
  <w:style w:type="character" w:customStyle="1" w:styleId="297">
    <w:name w:val="Char Char8"/>
    <w:qFormat/>
    <w:locked/>
    <w:uiPriority w:val="0"/>
    <w:rPr>
      <w:rFonts w:hint="eastAsia" w:ascii="宋体" w:hAnsi="宋体" w:eastAsia="宋体"/>
      <w:kern w:val="2"/>
      <w:sz w:val="21"/>
      <w:szCs w:val="24"/>
      <w:lang w:val="en-US" w:eastAsia="zh-CN" w:bidi="ar-SA"/>
    </w:rPr>
  </w:style>
  <w:style w:type="character" w:customStyle="1" w:styleId="298">
    <w:name w:val="Char Char3"/>
    <w:qFormat/>
    <w:locked/>
    <w:uiPriority w:val="0"/>
    <w:rPr>
      <w:sz w:val="18"/>
      <w:szCs w:val="18"/>
      <w:lang w:bidi="ar-SA"/>
    </w:rPr>
  </w:style>
  <w:style w:type="character" w:customStyle="1" w:styleId="299">
    <w:name w:val="ca-92"/>
    <w:qFormat/>
    <w:uiPriority w:val="0"/>
  </w:style>
  <w:style w:type="character" w:customStyle="1" w:styleId="300">
    <w:name w:val="Footer Char"/>
    <w:qFormat/>
    <w:locked/>
    <w:uiPriority w:val="0"/>
    <w:rPr>
      <w:rFonts w:hint="default" w:ascii="Cambria" w:hAnsi="Cambria" w:eastAsia="宋体"/>
      <w:kern w:val="2"/>
      <w:sz w:val="18"/>
      <w:szCs w:val="18"/>
      <w:lang w:val="en-US" w:eastAsia="zh-CN" w:bidi="ar-SA"/>
    </w:rPr>
  </w:style>
  <w:style w:type="character" w:customStyle="1" w:styleId="301">
    <w:name w:val="Char Char4"/>
    <w:qFormat/>
    <w:uiPriority w:val="0"/>
    <w:rPr>
      <w:rFonts w:hint="eastAsia" w:ascii="宋体" w:hAnsi="宋体" w:eastAsia="宋体"/>
      <w:kern w:val="2"/>
      <w:sz w:val="21"/>
      <w:szCs w:val="24"/>
      <w:lang w:val="en-US" w:eastAsia="zh-CN" w:bidi="ar-SA"/>
    </w:rPr>
  </w:style>
  <w:style w:type="character" w:customStyle="1" w:styleId="302">
    <w:name w:val="ca-72"/>
    <w:qFormat/>
    <w:uiPriority w:val="0"/>
  </w:style>
  <w:style w:type="character" w:customStyle="1" w:styleId="303">
    <w:name w:val="特点1"/>
    <w:qFormat/>
    <w:uiPriority w:val="0"/>
  </w:style>
  <w:style w:type="character" w:customStyle="1" w:styleId="304">
    <w:name w:val="GTA正文-1 Char Char"/>
    <w:qFormat/>
    <w:locked/>
    <w:uiPriority w:val="0"/>
    <w:rPr>
      <w:rFonts w:hint="default" w:ascii="Arial" w:hAnsi="Arial" w:eastAsia="微软雅黑" w:cs="Arial"/>
      <w:sz w:val="24"/>
    </w:rPr>
  </w:style>
  <w:style w:type="character" w:customStyle="1" w:styleId="305">
    <w:name w:val="明显强调1"/>
    <w:qFormat/>
    <w:uiPriority w:val="0"/>
    <w:rPr>
      <w:b/>
      <w:bCs/>
      <w:i/>
      <w:iCs/>
      <w:color w:val="4F81BD"/>
    </w:rPr>
  </w:style>
  <w:style w:type="character" w:customStyle="1" w:styleId="306">
    <w:name w:val="Char Char5"/>
    <w:qFormat/>
    <w:locked/>
    <w:uiPriority w:val="0"/>
    <w:rPr>
      <w:rFonts w:hint="eastAsia" w:ascii="宋体" w:hAnsi="宋体" w:eastAsia="宋体"/>
      <w:sz w:val="18"/>
      <w:szCs w:val="18"/>
      <w:lang w:bidi="ar-SA"/>
    </w:rPr>
  </w:style>
  <w:style w:type="character" w:customStyle="1" w:styleId="307">
    <w:name w:val="Char Char19"/>
    <w:qFormat/>
    <w:locked/>
    <w:uiPriority w:val="0"/>
    <w:rPr>
      <w:rFonts w:hint="default" w:ascii="Arial" w:hAnsi="Arial" w:eastAsia="微软雅黑" w:cs="Arial"/>
      <w:b/>
      <w:bCs/>
      <w:color w:val="0070C0"/>
      <w:szCs w:val="28"/>
      <w:lang w:bidi="ar-SA"/>
    </w:rPr>
  </w:style>
  <w:style w:type="character" w:customStyle="1" w:styleId="308">
    <w:name w:val="Char Char2"/>
    <w:qFormat/>
    <w:locked/>
    <w:uiPriority w:val="0"/>
    <w:rPr>
      <w:rFonts w:hint="default" w:ascii="Calibri" w:hAnsi="Calibri" w:eastAsia="宋体" w:cs="黑体"/>
      <w:kern w:val="2"/>
      <w:sz w:val="24"/>
      <w:szCs w:val="24"/>
      <w:lang w:val="en-US" w:eastAsia="zh-CN" w:bidi="ar-SA"/>
    </w:rPr>
  </w:style>
  <w:style w:type="character" w:customStyle="1" w:styleId="309">
    <w:name w:val="Heading 2 Char"/>
    <w:qFormat/>
    <w:locked/>
    <w:uiPriority w:val="0"/>
    <w:rPr>
      <w:rFonts w:hint="default" w:ascii="Calibri" w:hAnsi="Calibri" w:eastAsia="宋体" w:cs="Calibri"/>
      <w:b/>
      <w:bCs/>
      <w:kern w:val="2"/>
      <w:sz w:val="24"/>
      <w:szCs w:val="32"/>
      <w:lang w:val="en-US" w:eastAsia="zh-CN" w:bidi="ar-SA"/>
    </w:rPr>
  </w:style>
  <w:style w:type="character" w:customStyle="1" w:styleId="310">
    <w:name w:val="st1"/>
    <w:qFormat/>
    <w:uiPriority w:val="0"/>
  </w:style>
  <w:style w:type="character" w:customStyle="1" w:styleId="311">
    <w:name w:val="font11"/>
    <w:qFormat/>
    <w:uiPriority w:val="0"/>
    <w:rPr>
      <w:rFonts w:hint="eastAsia" w:ascii="宋体" w:hAnsi="宋体" w:eastAsia="宋体" w:cs="宋体"/>
      <w:color w:val="000000"/>
      <w:sz w:val="20"/>
      <w:szCs w:val="20"/>
      <w:u w:val="none"/>
    </w:rPr>
  </w:style>
  <w:style w:type="character" w:customStyle="1" w:styleId="312">
    <w:name w:val="纯文本 Char"/>
    <w:qFormat/>
    <w:uiPriority w:val="0"/>
    <w:rPr>
      <w:rFonts w:hint="eastAsia" w:ascii="宋体" w:hAnsi="Courier New" w:eastAsia="宋体"/>
    </w:rPr>
  </w:style>
  <w:style w:type="character" w:customStyle="1" w:styleId="313">
    <w:name w:val="纯文本 Char2"/>
    <w:qFormat/>
    <w:uiPriority w:val="0"/>
    <w:rPr>
      <w:rFonts w:hint="eastAsia" w:ascii="宋体" w:hAnsi="Courier New" w:eastAsia="宋体" w:cs="Courier New"/>
      <w:kern w:val="2"/>
      <w:sz w:val="21"/>
      <w:szCs w:val="21"/>
      <w:lang w:val="en-US" w:eastAsia="zh-CN" w:bidi="ar-SA"/>
    </w:rPr>
  </w:style>
  <w:style w:type="character" w:customStyle="1" w:styleId="314">
    <w:name w:val="列出段落 Char"/>
    <w:qFormat/>
    <w:locked/>
    <w:uiPriority w:val="0"/>
    <w:rPr>
      <w:kern w:val="2"/>
      <w:sz w:val="21"/>
      <w:szCs w:val="22"/>
    </w:rPr>
  </w:style>
  <w:style w:type="character" w:customStyle="1" w:styleId="315">
    <w:name w:val="纯文本 Char3"/>
    <w:qFormat/>
    <w:uiPriority w:val="0"/>
    <w:rPr>
      <w:rFonts w:hint="eastAsia" w:ascii="宋体" w:hAnsi="Courier New" w:eastAsia="宋体" w:cs="Courier New"/>
      <w:kern w:val="2"/>
      <w:sz w:val="21"/>
      <w:szCs w:val="21"/>
      <w:lang w:val="en-US" w:eastAsia="zh-CN" w:bidi="ar-SA"/>
    </w:rPr>
  </w:style>
  <w:style w:type="paragraph" w:customStyle="1" w:styleId="316">
    <w:name w:val="正文-公1"/>
    <w:basedOn w:val="1"/>
    <w:qFormat/>
    <w:uiPriority w:val="0"/>
    <w:pPr>
      <w:ind w:firstLine="200" w:firstLineChars="200"/>
      <w:jc w:val="left"/>
    </w:pPr>
    <w:rPr>
      <w:rFonts w:eastAsia="仿宋_GB2312"/>
    </w:rPr>
  </w:style>
  <w:style w:type="table" w:customStyle="1" w:styleId="317">
    <w:name w:val="网格型2"/>
    <w:basedOn w:val="49"/>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18">
    <w:name w:val="标题 1 Char"/>
    <w:link w:val="3"/>
    <w:qFormat/>
    <w:uiPriority w:val="0"/>
    <w:rPr>
      <w:rFonts w:eastAsia="宋体"/>
      <w:b/>
      <w:bCs/>
      <w:kern w:val="44"/>
      <w:sz w:val="44"/>
      <w:szCs w:val="4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61</Pages>
  <Words>34972</Words>
  <Characters>37636</Characters>
  <Lines>263</Lines>
  <Paragraphs>74</Paragraphs>
  <TotalTime>11</TotalTime>
  <ScaleCrop>false</ScaleCrop>
  <LinksUpToDate>false</LinksUpToDate>
  <CharactersWithSpaces>39599</CharactersWithSpaces>
  <Application>WPS Office_11.8.2.11813_F1E327BC-269C-435d-A152-05C5408002CA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2024-07-25T03:57:00Z</dcterms:created>
  <dc:creator>Qian Huang</dc:creator>
  <cp:lastModifiedBy>Lenovo</cp:lastModifiedBy>
  <cp:lastPrinted>2026-05-21T01:11:00Z</cp:lastPrinted>
  <dcterms:modified xsi:type="dcterms:W3CDTF">2026-05-22T07:42:10Z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2052-11.8.2.11813</vt:lpwstr>
  </property>
  <property fmtid="{D5CDD505-2E9C-101B-9397-08002B2CF9AE}" pid="3" name="ICV">
    <vt:lpwstr>9DF9B6F1603745B1A465D23F79B29136</vt:lpwstr>
  </property>
  <property fmtid="{D5CDD505-2E9C-101B-9397-08002B2CF9AE}" pid="4" name="KSOTemplateDocerSaveRecord">
    <vt:lpwstr>eyJoZGlkIjoiNzgxZmYwYjY4MGJjMDZkNjFmZDFlYjcxZDE2MDAxYTMiLCJ1c2VySWQiOiI0NDU4MTgyNDcifQ==</vt:lpwstr>
  </property>
</Properties>
</file>