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D7AB3">
      <w:pPr>
        <w:spacing w:line="360" w:lineRule="auto"/>
        <w:jc w:val="center"/>
        <w:outlineLvl w:val="9"/>
        <w:rPr>
          <w:rFonts w:hint="eastAsia" w:ascii="方正小标宋简体" w:hAnsi="宋体" w:eastAsia="方正小标宋简体"/>
          <w:color w:val="000000" w:themeColor="text1"/>
          <w:sz w:val="52"/>
          <w:szCs w:val="52"/>
          <w:highlight w:val="none"/>
          <w14:textFill>
            <w14:solidFill>
              <w14:schemeClr w14:val="tx1"/>
            </w14:solidFill>
          </w14:textFill>
        </w:rPr>
      </w:pPr>
    </w:p>
    <w:p w14:paraId="372AF6EC">
      <w:pPr>
        <w:spacing w:line="360" w:lineRule="auto"/>
        <w:jc w:val="center"/>
        <w:rPr>
          <w:rFonts w:hint="eastAsia" w:ascii="方正小标宋简体" w:hAnsi="宋体" w:eastAsia="方正小标宋简体"/>
          <w:color w:val="000000" w:themeColor="text1"/>
          <w:sz w:val="52"/>
          <w:szCs w:val="52"/>
          <w:highlight w:val="none"/>
          <w14:textFill>
            <w14:solidFill>
              <w14:schemeClr w14:val="tx1"/>
            </w14:solidFill>
          </w14:textFill>
        </w:rPr>
      </w:pPr>
    </w:p>
    <w:p w14:paraId="5213FC98">
      <w:pPr>
        <w:spacing w:line="360" w:lineRule="auto"/>
        <w:jc w:val="center"/>
        <w:outlineLvl w:val="0"/>
        <w:rPr>
          <w:rFonts w:hint="eastAsia" w:ascii="方正小标宋简体" w:hAnsi="方正小标宋简体" w:eastAsia="方正小标宋简体" w:cs="方正小标宋简体"/>
          <w:color w:val="000000" w:themeColor="text1"/>
          <w:sz w:val="52"/>
          <w:szCs w:val="52"/>
          <w:highlight w:val="none"/>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52"/>
          <w:szCs w:val="52"/>
          <w:highlight w:val="none"/>
          <w:lang w:eastAsia="zh-CN"/>
          <w14:textFill>
            <w14:solidFill>
              <w14:schemeClr w14:val="tx1"/>
            </w14:solidFill>
          </w14:textFill>
        </w:rPr>
        <w:t>广西浩港工程项目管理有限公司</w:t>
      </w:r>
    </w:p>
    <w:p w14:paraId="215FF389">
      <w:pPr>
        <w:spacing w:line="360" w:lineRule="auto"/>
        <w:jc w:val="center"/>
        <w:outlineLvl w:val="0"/>
        <w:rPr>
          <w:rFonts w:hint="eastAsia" w:ascii="方正小标宋简体" w:hAnsi="方正小标宋简体" w:eastAsia="方正小标宋简体" w:cs="方正小标宋简体"/>
          <w:color w:val="000000" w:themeColor="text1"/>
          <w:sz w:val="52"/>
          <w:szCs w:val="52"/>
          <w:highlight w:val="none"/>
          <w14:textFill>
            <w14:solidFill>
              <w14:schemeClr w14:val="tx1"/>
            </w14:solidFill>
          </w14:textFill>
        </w:rPr>
      </w:pPr>
    </w:p>
    <w:p w14:paraId="273F524E">
      <w:pPr>
        <w:spacing w:line="360" w:lineRule="auto"/>
        <w:jc w:val="center"/>
        <w:rPr>
          <w:rFonts w:hint="eastAsia" w:ascii="方正小标宋简体" w:hAnsi="方正小标宋简体" w:eastAsia="方正小标宋简体" w:cs="方正小标宋简体"/>
          <w:b/>
          <w:color w:val="000000" w:themeColor="text1"/>
          <w:sz w:val="44"/>
          <w:szCs w:val="44"/>
          <w:highlight w:val="none"/>
          <w14:textFill>
            <w14:solidFill>
              <w14:schemeClr w14:val="tx1"/>
            </w14:solidFill>
          </w14:textFill>
        </w:rPr>
      </w:pPr>
    </w:p>
    <w:p w14:paraId="5D10F95C">
      <w:pPr>
        <w:snapToGrid w:val="0"/>
        <w:spacing w:before="156" w:beforeLines="50" w:line="360" w:lineRule="auto"/>
        <w:jc w:val="center"/>
        <w:outlineLvl w:val="0"/>
        <w:rPr>
          <w:rFonts w:hint="eastAsia" w:ascii="华文新魏" w:hAnsi="宋体" w:eastAsia="华文新魏"/>
          <w:color w:val="000000" w:themeColor="text1"/>
          <w:sz w:val="120"/>
          <w:szCs w:val="120"/>
          <w:highlight w:val="none"/>
          <w14:textFill>
            <w14:solidFill>
              <w14:schemeClr w14:val="tx1"/>
            </w14:solidFill>
          </w14:textFill>
        </w:rPr>
      </w:pPr>
      <w:bookmarkStart w:id="0" w:name="_Toc20425"/>
      <w:bookmarkStart w:id="1" w:name="_Toc10383"/>
      <w:r>
        <w:rPr>
          <w:rFonts w:hint="eastAsia" w:ascii="华文新魏" w:hAnsi="宋体" w:eastAsia="华文新魏"/>
          <w:color w:val="000000" w:themeColor="text1"/>
          <w:sz w:val="120"/>
          <w:szCs w:val="120"/>
          <w:highlight w:val="none"/>
          <w14:textFill>
            <w14:solidFill>
              <w14:schemeClr w14:val="tx1"/>
            </w14:solidFill>
          </w14:textFill>
        </w:rPr>
        <w:t>竞争性磋商文件</w:t>
      </w:r>
      <w:bookmarkEnd w:id="0"/>
      <w:bookmarkEnd w:id="1"/>
    </w:p>
    <w:p w14:paraId="5357ED9C">
      <w:pPr>
        <w:snapToGrid w:val="0"/>
        <w:spacing w:before="156" w:beforeLines="50" w:line="360" w:lineRule="auto"/>
        <w:jc w:val="center"/>
        <w:outlineLvl w:val="0"/>
        <w:rPr>
          <w:rFonts w:hint="eastAsia" w:ascii="仿宋_GB2312" w:hAnsi="宋体" w:eastAsia="仿宋_GB2312"/>
          <w:b/>
          <w:color w:val="000000" w:themeColor="text1"/>
          <w:sz w:val="48"/>
          <w:szCs w:val="48"/>
          <w:highlight w:val="none"/>
          <w14:textFill>
            <w14:solidFill>
              <w14:schemeClr w14:val="tx1"/>
            </w14:solidFill>
          </w14:textFill>
        </w:rPr>
      </w:pPr>
      <w:bookmarkStart w:id="2" w:name="_Toc9662"/>
      <w:bookmarkStart w:id="3" w:name="_Toc7505"/>
      <w:r>
        <w:rPr>
          <w:rFonts w:hint="eastAsia" w:ascii="仿宋_GB2312" w:hAnsi="宋体" w:eastAsia="仿宋_GB2312"/>
          <w:b/>
          <w:color w:val="000000" w:themeColor="text1"/>
          <w:sz w:val="48"/>
          <w:szCs w:val="48"/>
          <w:highlight w:val="none"/>
          <w14:textFill>
            <w14:solidFill>
              <w14:schemeClr w14:val="tx1"/>
            </w14:solidFill>
          </w14:textFill>
        </w:rPr>
        <w:t>（全流程电子化采购）</w:t>
      </w:r>
      <w:bookmarkEnd w:id="2"/>
      <w:bookmarkEnd w:id="3"/>
    </w:p>
    <w:p w14:paraId="64F0D393">
      <w:pPr>
        <w:snapToGrid w:val="0"/>
        <w:spacing w:before="156" w:beforeLines="50" w:line="360" w:lineRule="auto"/>
        <w:jc w:val="center"/>
        <w:rPr>
          <w:rFonts w:hint="eastAsia" w:ascii="仿宋_GB2312" w:hAnsi="宋体" w:eastAsia="仿宋_GB2312"/>
          <w:b/>
          <w:color w:val="000000" w:themeColor="text1"/>
          <w:sz w:val="48"/>
          <w:szCs w:val="48"/>
          <w:highlight w:val="none"/>
          <w14:textFill>
            <w14:solidFill>
              <w14:schemeClr w14:val="tx1"/>
            </w14:solidFill>
          </w14:textFill>
        </w:rPr>
      </w:pPr>
    </w:p>
    <w:p w14:paraId="5136A305">
      <w:pPr>
        <w:pStyle w:val="25"/>
        <w:snapToGrid w:val="0"/>
        <w:spacing w:line="360" w:lineRule="auto"/>
        <w:ind w:firstLine="1205" w:firstLineChars="400"/>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项目</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名称</w:t>
      </w:r>
      <w:r>
        <w:rPr>
          <w:rFonts w:hint="eastAsia" w:ascii="仿宋_GB2312" w:hAnsi="宋体" w:eastAsia="仿宋_GB2312"/>
          <w:b/>
          <w:bCs/>
          <w:color w:val="000000" w:themeColor="text1"/>
          <w:sz w:val="30"/>
          <w:szCs w:val="30"/>
          <w:highlight w:val="none"/>
          <w14:textFill>
            <w14:solidFill>
              <w14:schemeClr w14:val="tx1"/>
            </w14:solidFill>
          </w14:textFill>
        </w:rPr>
        <w:t>：</w:t>
      </w:r>
      <w:r>
        <w:rPr>
          <w:rFonts w:hint="eastAsia" w:ascii="仿宋_GB2312" w:hAnsi="宋体" w:eastAsia="仿宋_GB2312"/>
          <w:b/>
          <w:bCs/>
          <w:color w:val="000000" w:themeColor="text1"/>
          <w:sz w:val="30"/>
          <w:szCs w:val="30"/>
          <w:highlight w:val="none"/>
          <w:lang w:eastAsia="zh-CN"/>
          <w14:textFill>
            <w14:solidFill>
              <w14:schemeClr w14:val="tx1"/>
            </w14:solidFill>
          </w14:textFill>
        </w:rPr>
        <w:t>贵港市港北区农村公路水毁修复工程项目</w:t>
      </w:r>
    </w:p>
    <w:p w14:paraId="733FCBFD">
      <w:pPr>
        <w:pStyle w:val="25"/>
        <w:snapToGrid w:val="0"/>
        <w:spacing w:line="360" w:lineRule="auto"/>
        <w:ind w:firstLine="1133" w:firstLineChars="396"/>
        <w:rPr>
          <w:rFonts w:hint="eastAsia" w:ascii="仿宋_GB2312" w:hAnsi="宋体" w:eastAsia="仿宋_GB2312"/>
          <w:color w:val="000000" w:themeColor="text1"/>
          <w:sz w:val="30"/>
          <w:szCs w:val="72"/>
          <w:highlight w:val="none"/>
          <w:lang w:eastAsia="zh-CN"/>
          <w14:textFill>
            <w14:solidFill>
              <w14:schemeClr w14:val="tx1"/>
            </w14:solidFill>
          </w14:textFill>
        </w:rPr>
      </w:pP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项目</w:t>
      </w:r>
      <w:r>
        <w:rPr>
          <w:rFonts w:hint="eastAsia" w:ascii="仿宋_GB2312" w:hAnsi="宋体" w:eastAsia="仿宋_GB2312"/>
          <w:b/>
          <w:bCs/>
          <w:color w:val="000000" w:themeColor="text1"/>
          <w:sz w:val="30"/>
          <w:szCs w:val="30"/>
          <w:highlight w:val="none"/>
          <w14:textFill>
            <w14:solidFill>
              <w14:schemeClr w14:val="tx1"/>
            </w14:solidFill>
          </w14:textFill>
        </w:rPr>
        <w:t>编号</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w:t>
      </w:r>
      <w:r>
        <w:rPr>
          <w:rFonts w:hint="eastAsia" w:ascii="仿宋_GB2312" w:hAnsi="宋体" w:eastAsia="仿宋_GB2312" w:cs="Courier New"/>
          <w:b/>
          <w:bCs/>
          <w:color w:val="000000" w:themeColor="text1"/>
          <w:w w:val="95"/>
          <w:sz w:val="30"/>
          <w:szCs w:val="30"/>
          <w:highlight w:val="none"/>
          <w:lang w:eastAsia="zh-CN"/>
          <w14:textFill>
            <w14:solidFill>
              <w14:schemeClr w14:val="tx1"/>
            </w14:solidFill>
          </w14:textFill>
        </w:rPr>
        <w:t xml:space="preserve">GGZC2026-C2-020057-GXHG </w:t>
      </w:r>
    </w:p>
    <w:p w14:paraId="6956077A">
      <w:pPr>
        <w:pStyle w:val="25"/>
        <w:snapToGrid w:val="0"/>
        <w:spacing w:line="360" w:lineRule="auto"/>
        <w:ind w:firstLine="1125" w:firstLineChars="393"/>
        <w:outlineLvl w:val="0"/>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pPr>
      <w:bookmarkStart w:id="4" w:name="_Toc15819"/>
      <w:bookmarkStart w:id="5" w:name="_Toc24698"/>
      <w:r>
        <w:rPr>
          <w:rFonts w:hint="eastAsia" w:ascii="仿宋_GB2312" w:hAnsi="宋体" w:eastAsia="仿宋_GB2312"/>
          <w:b/>
          <w:bCs/>
          <w:color w:val="000000" w:themeColor="text1"/>
          <w:w w:val="95"/>
          <w:sz w:val="30"/>
          <w:szCs w:val="30"/>
          <w:highlight w:val="none"/>
          <w14:textFill>
            <w14:solidFill>
              <w14:schemeClr w14:val="tx1"/>
            </w14:solidFill>
          </w14:textFill>
        </w:rPr>
        <w:t>采 购 人：</w:t>
      </w:r>
      <w:bookmarkEnd w:id="4"/>
      <w:bookmarkEnd w:id="5"/>
      <w:r>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t>贵港市港北区公路事业发展中心</w:t>
      </w:r>
    </w:p>
    <w:p w14:paraId="3889C485">
      <w:pPr>
        <w:pStyle w:val="25"/>
        <w:snapToGrid w:val="0"/>
        <w:spacing w:line="360" w:lineRule="auto"/>
        <w:ind w:firstLine="1125" w:firstLineChars="393"/>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采购代理机构：</w:t>
      </w:r>
      <w:r>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t>广西浩港工程项目管理有限公司</w:t>
      </w:r>
    </w:p>
    <w:p w14:paraId="400F7408">
      <w:pPr>
        <w:pStyle w:val="25"/>
        <w:snapToGrid w:val="0"/>
        <w:spacing w:line="360" w:lineRule="auto"/>
        <w:ind w:firstLine="1125" w:firstLineChars="393"/>
        <w:rPr>
          <w:rFonts w:hint="eastAsia" w:ascii="仿宋_GB2312" w:hAnsi="宋体" w:eastAsia="仿宋_GB2312"/>
          <w:b/>
          <w:bCs/>
          <w:color w:val="000000" w:themeColor="text1"/>
          <w:w w:val="95"/>
          <w:sz w:val="30"/>
          <w:szCs w:val="30"/>
          <w:highlight w:val="none"/>
          <w14:textFill>
            <w14:solidFill>
              <w14:schemeClr w14:val="tx1"/>
            </w14:solidFill>
          </w14:textFill>
        </w:rPr>
      </w:pPr>
    </w:p>
    <w:p w14:paraId="046D556D">
      <w:pPr>
        <w:pStyle w:val="25"/>
        <w:snapToGrid w:val="0"/>
        <w:spacing w:line="360" w:lineRule="auto"/>
        <w:ind w:left="420" w:leftChars="0" w:firstLine="841" w:firstLineChars="294"/>
        <w:outlineLvl w:val="0"/>
        <w:rPr>
          <w:rFonts w:hint="default" w:ascii="宋体" w:hAnsi="宋体" w:eastAsia="仿宋_GB2312" w:cs="宋体"/>
          <w:b/>
          <w:bCs/>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 xml:space="preserve">               </w:t>
      </w:r>
      <w:bookmarkStart w:id="6" w:name="_Toc16431"/>
      <w:bookmarkStart w:id="7" w:name="_Toc30725"/>
      <w:r>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t>2026年</w:t>
      </w:r>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08</w:t>
      </w:r>
      <w:r>
        <w:rPr>
          <w:rFonts w:hint="eastAsia" w:ascii="仿宋_GB2312" w:hAnsi="宋体" w:eastAsia="仿宋_GB2312"/>
          <w:b/>
          <w:bCs/>
          <w:color w:val="000000" w:themeColor="text1"/>
          <w:w w:val="95"/>
          <w:sz w:val="30"/>
          <w:szCs w:val="30"/>
          <w:highlight w:val="none"/>
          <w14:textFill>
            <w14:solidFill>
              <w14:schemeClr w14:val="tx1"/>
            </w14:solidFill>
          </w14:textFill>
        </w:rPr>
        <w:t>月</w:t>
      </w:r>
      <w:bookmarkEnd w:id="6"/>
      <w:bookmarkEnd w:id="7"/>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31日</w:t>
      </w:r>
      <w:r>
        <w:rPr>
          <w:rFonts w:hint="eastAsia" w:ascii="仿宋_GB2312" w:eastAsia="仿宋_GB2312"/>
          <w:color w:val="000000" w:themeColor="text1"/>
          <w:szCs w:val="20"/>
          <w:highlight w:val="none"/>
          <w:lang w:val="en-US" w:eastAsia="zh-CN"/>
          <w14:textFill>
            <w14:solidFill>
              <w14:schemeClr w14:val="tx1"/>
            </w14:solidFill>
          </w14:textFill>
        </w:rPr>
        <w:t xml:space="preserve">  </w:t>
      </w:r>
    </w:p>
    <w:p w14:paraId="4BEDE587">
      <w:pPr>
        <w:spacing w:line="360" w:lineRule="auto"/>
        <w:jc w:val="center"/>
        <w:rPr>
          <w:rFonts w:hint="eastAsia" w:ascii="宋体" w:hAnsi="宋体"/>
          <w:b/>
          <w:color w:val="000000" w:themeColor="text1"/>
          <w:sz w:val="44"/>
          <w:szCs w:val="44"/>
          <w:highlight w:val="none"/>
          <w14:textFill>
            <w14:solidFill>
              <w14:schemeClr w14:val="tx1"/>
            </w14:solidFill>
          </w14:textFill>
        </w:rPr>
        <w:sectPr>
          <w:headerReference r:id="rId3" w:type="first"/>
          <w:footerReference r:id="rId5" w:type="first"/>
          <w:footerReference r:id="rId4" w:type="default"/>
          <w:pgSz w:w="11906" w:h="16838"/>
          <w:pgMar w:top="1440" w:right="1440" w:bottom="1440" w:left="1587" w:header="851" w:footer="992" w:gutter="0"/>
          <w:pgNumType w:fmt="decimal" w:start="0"/>
          <w:cols w:space="720" w:num="1"/>
          <w:docGrid w:type="lines" w:linePitch="312" w:charSpace="0"/>
        </w:sectPr>
      </w:pPr>
      <w:bookmarkStart w:id="239" w:name="_GoBack"/>
      <w:bookmarkEnd w:id="239"/>
    </w:p>
    <w:p w14:paraId="1C47E2EA">
      <w:pPr>
        <w:spacing w:line="360" w:lineRule="auto"/>
        <w:jc w:val="center"/>
        <w:rPr>
          <w:rFonts w:hint="eastAsia" w:ascii="宋体" w:hAnsi="宋体"/>
          <w:b/>
          <w:color w:val="000000" w:themeColor="text1"/>
          <w:sz w:val="44"/>
          <w:szCs w:val="44"/>
          <w:highlight w:val="none"/>
          <w14:textFill>
            <w14:solidFill>
              <w14:schemeClr w14:val="tx1"/>
            </w14:solidFill>
          </w14:textFill>
        </w:rPr>
      </w:pPr>
    </w:p>
    <w:p w14:paraId="29D0668D">
      <w:pPr>
        <w:spacing w:line="360" w:lineRule="auto"/>
        <w:jc w:val="center"/>
        <w:rPr>
          <w:rFonts w:hint="eastAsia" w:ascii="宋体" w:hAnsi="宋体"/>
          <w:b/>
          <w:color w:val="000000" w:themeColor="text1"/>
          <w:sz w:val="44"/>
          <w:szCs w:val="44"/>
          <w:highlight w:val="none"/>
          <w14:textFill>
            <w14:solidFill>
              <w14:schemeClr w14:val="tx1"/>
            </w14:solidFill>
          </w14:textFill>
        </w:rPr>
      </w:pPr>
    </w:p>
    <w:p w14:paraId="349F1CDC">
      <w:pPr>
        <w:spacing w:line="360" w:lineRule="auto"/>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  录</w:t>
      </w:r>
    </w:p>
    <w:p w14:paraId="598145BE">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sdt>
      <w:sdtPr>
        <w:rPr>
          <w:rFonts w:ascii="宋体" w:hAnsi="宋体" w:eastAsia="宋体" w:cs="Times New Roman"/>
          <w:color w:val="000000" w:themeColor="text1"/>
          <w:kern w:val="2"/>
          <w:sz w:val="21"/>
          <w:szCs w:val="24"/>
          <w:highlight w:val="none"/>
          <w:lang w:val="en-US" w:eastAsia="zh-CN" w:bidi="ar-SA"/>
          <w14:textFill>
            <w14:solidFill>
              <w14:schemeClr w14:val="tx1"/>
            </w14:solidFill>
          </w14:textFill>
        </w:rPr>
        <w:id w:val="147454330"/>
        <w15:color w:val="DBDBDB"/>
        <w:docPartObj>
          <w:docPartGallery w:val="Table of Contents"/>
          <w:docPartUnique/>
        </w:docPartObj>
      </w:sdtPr>
      <w:sdtEndP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sdtEndPr>
      <w:sdtContent>
        <w:p w14:paraId="46818F1B">
          <w:pPr>
            <w:spacing w:before="0" w:beforeLines="0" w:after="0" w:afterLines="0" w:line="240" w:lineRule="auto"/>
            <w:ind w:left="0" w:leftChars="0" w:right="0" w:rightChars="0" w:firstLine="0" w:firstLineChars="0"/>
            <w:jc w:val="center"/>
            <w:rPr>
              <w:color w:val="000000" w:themeColor="text1"/>
              <w:highlight w:val="none"/>
              <w14:textFill>
                <w14:solidFill>
                  <w14:schemeClr w14:val="tx1"/>
                </w14:solidFill>
              </w14:textFill>
            </w:rPr>
          </w:pPr>
        </w:p>
        <w:p w14:paraId="32B97A69">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TOC \o "1-1" \h \u </w:instrText>
          </w:r>
          <w:r>
            <w:rPr>
              <w:rFonts w:hint="eastAsia"/>
              <w:color w:val="000000" w:themeColor="text1"/>
              <w:sz w:val="28"/>
              <w:szCs w:val="28"/>
              <w:highlight w:val="none"/>
              <w14:textFill>
                <w14:solidFill>
                  <w14:schemeClr w14:val="tx1"/>
                </w14:solidFill>
              </w14:textFill>
            </w:rPr>
            <w:fldChar w:fldCharType="separate"/>
          </w:r>
        </w:p>
        <w:p w14:paraId="3E85AC76">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_Toc28328 </w:instrText>
          </w:r>
          <w:r>
            <w:rPr>
              <w:rFonts w:hint="eastAsia"/>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第一章 竞争性磋商公告</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_Toc28328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1</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411B5A98">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_Toc21890 </w:instrText>
          </w:r>
          <w:r>
            <w:rPr>
              <w:rFonts w:hint="eastAsia"/>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第二章 供应商须知</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_Toc21890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5</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65556270">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_Toc20633 </w:instrText>
          </w:r>
          <w:r>
            <w:rPr>
              <w:rFonts w:hint="eastAsia"/>
              <w:color w:val="000000" w:themeColor="text1"/>
              <w:sz w:val="28"/>
              <w:szCs w:val="28"/>
              <w:highlight w:val="none"/>
              <w14:textFill>
                <w14:solidFill>
                  <w14:schemeClr w14:val="tx1"/>
                </w14:solidFill>
              </w14:textFill>
            </w:rPr>
            <w:fldChar w:fldCharType="separate"/>
          </w:r>
          <w:r>
            <w:rPr>
              <w:rFonts w:hint="eastAsia" w:ascii="Times New Roman" w:hAnsi="Times New Roman" w:eastAsia="宋体" w:cs="Times New Roman"/>
              <w:bCs/>
              <w:color w:val="000000" w:themeColor="text1"/>
              <w:kern w:val="44"/>
              <w:sz w:val="28"/>
              <w:szCs w:val="28"/>
              <w:highlight w:val="none"/>
              <w:lang w:val="en-US" w:eastAsia="zh-CN" w:bidi="ar-SA"/>
              <w14:textFill>
                <w14:solidFill>
                  <w14:schemeClr w14:val="tx1"/>
                </w14:solidFill>
              </w14:textFill>
            </w:rPr>
            <w:t>第三章 采购需求</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_Toc20633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22</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21A7D64C">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_Toc24720 </w:instrText>
          </w:r>
          <w:r>
            <w:rPr>
              <w:rFonts w:hint="eastAsia"/>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第四章 评审程序、评审方法和评审标准</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_Toc24720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24</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21442441">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_Toc15461 </w:instrText>
          </w:r>
          <w:r>
            <w:rPr>
              <w:rFonts w:hint="eastAsia"/>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第五章 工程量清单及图纸</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_Toc15461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34</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54B03E5F">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_Toc5995 </w:instrText>
          </w:r>
          <w:r>
            <w:rPr>
              <w:rFonts w:hint="eastAsia"/>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第六章 响应文件格式</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_Toc5995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36</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17FC62AE">
          <w:pPr>
            <w:pStyle w:val="32"/>
            <w:tabs>
              <w:tab w:val="right" w:leader="dot" w:pos="8879"/>
            </w:tabs>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begin"/>
          </w:r>
          <w:r>
            <w:rPr>
              <w:rFonts w:hint="eastAsia"/>
              <w:color w:val="000000" w:themeColor="text1"/>
              <w:sz w:val="28"/>
              <w:szCs w:val="28"/>
              <w:highlight w:val="none"/>
              <w14:textFill>
                <w14:solidFill>
                  <w14:schemeClr w14:val="tx1"/>
                </w14:solidFill>
              </w14:textFill>
            </w:rPr>
            <w:instrText xml:space="preserve"> HYPERLINK \l _Toc17849 </w:instrText>
          </w:r>
          <w:r>
            <w:rPr>
              <w:rFonts w:hint="eastAsia"/>
              <w:color w:val="000000" w:themeColor="text1"/>
              <w:sz w:val="28"/>
              <w:szCs w:val="28"/>
              <w:highlight w:val="none"/>
              <w14:textFill>
                <w14:solidFill>
                  <w14:schemeClr w14:val="tx1"/>
                </w14:solidFill>
              </w14:textFill>
            </w:rPr>
            <w:fldChar w:fldCharType="separate"/>
          </w:r>
          <w:r>
            <w:rPr>
              <w:rFonts w:hint="eastAsia"/>
              <w:color w:val="000000" w:themeColor="text1"/>
              <w:sz w:val="28"/>
              <w:szCs w:val="28"/>
              <w:highlight w:val="none"/>
              <w14:textFill>
                <w14:solidFill>
                  <w14:schemeClr w14:val="tx1"/>
                </w14:solidFill>
              </w14:textFill>
            </w:rPr>
            <w:t>第七章 合同文本</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_Toc17849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80</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14:textFill>
                <w14:solidFill>
                  <w14:schemeClr w14:val="tx1"/>
                </w14:solidFill>
              </w14:textFill>
            </w:rPr>
            <w:fldChar w:fldCharType="end"/>
          </w:r>
        </w:p>
        <w:p w14:paraId="74D83E08">
          <w:pP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sz w:val="28"/>
              <w:szCs w:val="28"/>
              <w:highlight w:val="none"/>
              <w14:textFill>
                <w14:solidFill>
                  <w14:schemeClr w14:val="tx1"/>
                </w14:solidFill>
              </w14:textFill>
            </w:rPr>
            <w:fldChar w:fldCharType="end"/>
          </w:r>
        </w:p>
      </w:sdtContent>
    </w:sdt>
    <w:p w14:paraId="2D2E027B">
      <w:pPr>
        <w:pStyle w:val="65"/>
        <w:rPr>
          <w:rFonts w:hint="eastAsia"/>
          <w:color w:val="000000" w:themeColor="text1"/>
          <w:highlight w:val="none"/>
          <w14:textFill>
            <w14:solidFill>
              <w14:schemeClr w14:val="tx1"/>
            </w14:solidFill>
          </w14:textFill>
        </w:rPr>
      </w:pPr>
    </w:p>
    <w:p w14:paraId="5DD805FA">
      <w:pPr>
        <w:spacing w:line="400" w:lineRule="exact"/>
        <w:jc w:val="left"/>
        <w:rPr>
          <w:rFonts w:hint="eastAsia" w:ascii="宋体" w:hAnsi="宋体"/>
          <w:b/>
          <w:color w:val="000000" w:themeColor="text1"/>
          <w:sz w:val="32"/>
          <w:szCs w:val="32"/>
          <w:highlight w:val="none"/>
          <w14:textFill>
            <w14:solidFill>
              <w14:schemeClr w14:val="tx1"/>
            </w14:solidFill>
          </w14:textFill>
        </w:rPr>
      </w:pPr>
    </w:p>
    <w:p w14:paraId="32FD4EAB">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7469FE5A">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4187AFC4">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3F443AA2">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23AB7BCA">
      <w:pPr>
        <w:spacing w:line="400" w:lineRule="exact"/>
        <w:rPr>
          <w:rFonts w:hint="eastAsia" w:ascii="宋体" w:hAnsi="宋体"/>
          <w:b/>
          <w:color w:val="000000" w:themeColor="text1"/>
          <w:sz w:val="32"/>
          <w:szCs w:val="32"/>
          <w:highlight w:val="none"/>
          <w14:textFill>
            <w14:solidFill>
              <w14:schemeClr w14:val="tx1"/>
            </w14:solidFill>
          </w14:textFill>
        </w:rPr>
        <w:sectPr>
          <w:footerReference r:id="rId6" w:type="default"/>
          <w:pgSz w:w="11906" w:h="16838"/>
          <w:pgMar w:top="1440" w:right="1440" w:bottom="1440" w:left="1587" w:header="851" w:footer="992" w:gutter="0"/>
          <w:pgNumType w:fmt="decimal" w:start="1"/>
          <w:cols w:space="720" w:num="1"/>
          <w:docGrid w:type="lines" w:linePitch="312" w:charSpace="0"/>
        </w:sectPr>
      </w:pPr>
    </w:p>
    <w:p w14:paraId="4EC76C5F">
      <w:pPr>
        <w:pStyle w:val="2"/>
        <w:spacing w:after="340" w:line="360" w:lineRule="auto"/>
        <w:jc w:val="center"/>
        <w:rPr>
          <w:color w:val="000000" w:themeColor="text1"/>
          <w:highlight w:val="none"/>
          <w14:textFill>
            <w14:solidFill>
              <w14:schemeClr w14:val="tx1"/>
            </w14:solidFill>
          </w14:textFill>
        </w:rPr>
      </w:pPr>
      <w:bookmarkStart w:id="8" w:name="_Toc10195"/>
      <w:bookmarkStart w:id="9" w:name="_Toc28328"/>
      <w:bookmarkStart w:id="10" w:name="_Toc28470"/>
      <w:r>
        <w:rPr>
          <w:rFonts w:hint="eastAsia"/>
          <w:color w:val="000000" w:themeColor="text1"/>
          <w:highlight w:val="none"/>
          <w14:textFill>
            <w14:solidFill>
              <w14:schemeClr w14:val="tx1"/>
            </w14:solidFill>
          </w14:textFill>
        </w:rPr>
        <w:t>第一章 竞争性磋商公告</w:t>
      </w:r>
      <w:bookmarkEnd w:id="8"/>
      <w:bookmarkEnd w:id="9"/>
      <w:bookmarkEnd w:id="10"/>
    </w:p>
    <w:p w14:paraId="3F023D19">
      <w:pPr>
        <w:spacing w:line="360" w:lineRule="auto"/>
        <w:rPr>
          <w:rFonts w:hint="eastAsia" w:ascii="宋体" w:hAnsi="宋体"/>
          <w:color w:val="000000" w:themeColor="text1"/>
          <w:szCs w:val="21"/>
          <w:highlight w:val="none"/>
          <w14:textFill>
            <w14:solidFill>
              <w14:schemeClr w14:val="tx1"/>
            </w14:solidFill>
          </w14:textFill>
        </w:rPr>
      </w:pPr>
    </w:p>
    <w:p w14:paraId="207B736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themeColor="text1"/>
          <w:szCs w:val="21"/>
          <w:highlight w:val="none"/>
          <w14:textFill>
            <w14:solidFill>
              <w14:schemeClr w14:val="tx1"/>
            </w14:solidFill>
          </w14:textFill>
        </w:rPr>
      </w:pPr>
      <w:bookmarkStart w:id="11" w:name="_Hlk37430271"/>
      <w:r>
        <w:rPr>
          <w:rFonts w:hint="eastAsia" w:ascii="宋体" w:hAnsi="宋体"/>
          <w:color w:val="000000" w:themeColor="text1"/>
          <w:szCs w:val="21"/>
          <w:highlight w:val="none"/>
          <w14:textFill>
            <w14:solidFill>
              <w14:schemeClr w14:val="tx1"/>
            </w14:solidFill>
          </w14:textFill>
        </w:rPr>
        <w:t>项目概况</w:t>
      </w:r>
    </w:p>
    <w:p w14:paraId="4B8CCFEC">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lang w:eastAsia="zh-CN"/>
          <w14:textFill>
            <w14:solidFill>
              <w14:schemeClr w14:val="tx1"/>
            </w14:solidFill>
          </w14:textFill>
        </w:rPr>
        <w:t>贵港市港北区农村公路水毁修复工程项目</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none"/>
          <w14:textFill>
            <w14:solidFill>
              <w14:schemeClr w14:val="tx1"/>
            </w14:solidFill>
          </w14:textFill>
        </w:rPr>
        <w:t>的潜在</w:t>
      </w:r>
      <w:r>
        <w:rPr>
          <w:rFonts w:hint="eastAsia" w:ascii="宋体" w:hAnsi="宋体"/>
          <w:color w:val="000000" w:themeColor="text1"/>
          <w:szCs w:val="21"/>
          <w:highlight w:val="none"/>
          <w14:textFill>
            <w14:solidFill>
              <w14:schemeClr w14:val="tx1"/>
            </w14:solidFill>
          </w14:textFill>
        </w:rPr>
        <w:t>供应商应在</w:t>
      </w:r>
      <w:r>
        <w:rPr>
          <w:rFonts w:hint="eastAsia" w:ascii="宋体" w:hAnsi="宋体" w:cs="宋体"/>
          <w:color w:val="000000" w:themeColor="text1"/>
          <w:szCs w:val="21"/>
          <w:highlight w:val="none"/>
          <w14:textFill>
            <w14:solidFill>
              <w14:schemeClr w14:val="tx1"/>
            </w14:solidFill>
          </w14:textFill>
        </w:rPr>
        <w:t>广西政府采购云平台（https://www.gcy.zfcg.gxzf.gov.cn/）</w:t>
      </w:r>
      <w:r>
        <w:rPr>
          <w:rFonts w:hint="eastAsia" w:ascii="宋体" w:hAnsi="宋体"/>
          <w:color w:val="000000" w:themeColor="text1"/>
          <w:szCs w:val="21"/>
          <w:highlight w:val="none"/>
          <w14:textFill>
            <w14:solidFill>
              <w14:schemeClr w14:val="tx1"/>
            </w14:solidFill>
          </w14:textFill>
        </w:rPr>
        <w:t>获取（下载）竞争性磋商文件，并于</w:t>
      </w:r>
      <w:r>
        <w:rPr>
          <w:rFonts w:hint="eastAsia" w:ascii="宋体" w:hAnsi="宋体"/>
          <w:bCs/>
          <w:color w:val="000000" w:themeColor="text1"/>
          <w:szCs w:val="21"/>
          <w:highlight w:val="none"/>
          <w:u w:val="single"/>
          <w:lang w:eastAsia="zh-CN"/>
          <w14:textFill>
            <w14:solidFill>
              <w14:schemeClr w14:val="tx1"/>
            </w14:solidFill>
          </w14:textFill>
        </w:rPr>
        <w:t>2026年</w:t>
      </w:r>
      <w:r>
        <w:rPr>
          <w:rFonts w:hint="eastAsia" w:ascii="宋体" w:hAnsi="宋体"/>
          <w:bCs/>
          <w:color w:val="000000" w:themeColor="text1"/>
          <w:szCs w:val="21"/>
          <w:highlight w:val="none"/>
          <w:u w:val="single"/>
          <w:lang w:val="en-US" w:eastAsia="zh-CN"/>
          <w14:textFill>
            <w14:solidFill>
              <w14:schemeClr w14:val="tx1"/>
            </w14:solidFill>
          </w14:textFill>
        </w:rPr>
        <w:t>09</w:t>
      </w:r>
      <w:r>
        <w:rPr>
          <w:rFonts w:hint="eastAsia" w:ascii="宋体" w:hAnsi="宋体"/>
          <w:bCs/>
          <w:color w:val="000000" w:themeColor="text1"/>
          <w:szCs w:val="21"/>
          <w:highlight w:val="none"/>
          <w:u w:val="single"/>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11</w:t>
      </w:r>
      <w:r>
        <w:rPr>
          <w:rFonts w:hint="eastAsia" w:ascii="宋体" w:hAnsi="宋体"/>
          <w:bCs/>
          <w:color w:val="000000" w:themeColor="text1"/>
          <w:szCs w:val="21"/>
          <w:highlight w:val="none"/>
          <w:u w:val="single"/>
          <w14:textFill>
            <w14:solidFill>
              <w14:schemeClr w14:val="tx1"/>
            </w14:solidFill>
          </w14:textFill>
        </w:rPr>
        <w:t>日</w:t>
      </w:r>
      <w:r>
        <w:rPr>
          <w:rFonts w:hint="eastAsia" w:ascii="宋体" w:hAnsi="宋体"/>
          <w:bCs/>
          <w:color w:val="000000" w:themeColor="text1"/>
          <w:szCs w:val="21"/>
          <w:highlight w:val="none"/>
          <w:u w:val="single"/>
          <w:lang w:val="en-US" w:eastAsia="zh-CN"/>
          <w14:textFill>
            <w14:solidFill>
              <w14:schemeClr w14:val="tx1"/>
            </w14:solidFill>
          </w14:textFill>
        </w:rPr>
        <w:t>15</w:t>
      </w:r>
      <w:r>
        <w:rPr>
          <w:rFonts w:hint="eastAsia" w:ascii="宋体" w:hAnsi="宋体"/>
          <w:bCs/>
          <w:color w:val="000000" w:themeColor="text1"/>
          <w:szCs w:val="21"/>
          <w:highlight w:val="none"/>
          <w:u w:val="single"/>
          <w14:textFill>
            <w14:solidFill>
              <w14:schemeClr w14:val="tx1"/>
            </w14:solidFill>
          </w14:textFill>
        </w:rPr>
        <w:t>时</w:t>
      </w:r>
      <w:r>
        <w:rPr>
          <w:rFonts w:hint="eastAsia" w:ascii="宋体" w:hAnsi="宋体"/>
          <w:bCs/>
          <w:color w:val="000000" w:themeColor="text1"/>
          <w:szCs w:val="21"/>
          <w:highlight w:val="none"/>
          <w:u w:val="single"/>
          <w:lang w:val="en-US" w:eastAsia="zh-CN"/>
          <w14:textFill>
            <w14:solidFill>
              <w14:schemeClr w14:val="tx1"/>
            </w14:solidFill>
          </w14:textFill>
        </w:rPr>
        <w:t>30</w:t>
      </w:r>
      <w:r>
        <w:rPr>
          <w:rFonts w:hint="eastAsia" w:ascii="宋体" w:hAnsi="宋体"/>
          <w:bCs/>
          <w:color w:val="000000" w:themeColor="text1"/>
          <w:szCs w:val="21"/>
          <w:highlight w:val="none"/>
          <w:u w:val="single"/>
          <w14:textFill>
            <w14:solidFill>
              <w14:schemeClr w14:val="tx1"/>
            </w14:solidFill>
          </w14:textFill>
        </w:rPr>
        <w:t>分</w:t>
      </w:r>
      <w:r>
        <w:rPr>
          <w:rFonts w:hint="eastAsia" w:ascii="宋体" w:hAnsi="宋体"/>
          <w:bCs/>
          <w:color w:val="000000" w:themeColor="text1"/>
          <w:szCs w:val="21"/>
          <w:highlight w:val="none"/>
          <w14:textFill>
            <w14:solidFill>
              <w14:schemeClr w14:val="tx1"/>
            </w14:solidFill>
          </w14:textFill>
        </w:rPr>
        <w:t>（北京时间）前提交（上传）</w:t>
      </w:r>
      <w:r>
        <w:rPr>
          <w:rFonts w:hint="eastAsia" w:ascii="宋体" w:hAnsi="宋体"/>
          <w:color w:val="000000" w:themeColor="text1"/>
          <w:szCs w:val="21"/>
          <w:highlight w:val="none"/>
          <w14:textFill>
            <w14:solidFill>
              <w14:schemeClr w14:val="tx1"/>
            </w14:solidFill>
          </w14:textFill>
        </w:rPr>
        <w:t>响应</w:t>
      </w:r>
      <w:r>
        <w:rPr>
          <w:rFonts w:hint="eastAsia"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w:t>
      </w:r>
    </w:p>
    <w:p w14:paraId="219A2E0F">
      <w:pPr>
        <w:spacing w:line="360" w:lineRule="auto"/>
        <w:rPr>
          <w:rFonts w:hint="eastAsia" w:ascii="宋体" w:hAnsi="宋体"/>
          <w:color w:val="000000" w:themeColor="text1"/>
          <w:szCs w:val="21"/>
          <w:highlight w:val="none"/>
          <w14:textFill>
            <w14:solidFill>
              <w14:schemeClr w14:val="tx1"/>
            </w14:solidFill>
          </w14:textFill>
        </w:rPr>
      </w:pPr>
    </w:p>
    <w:p w14:paraId="39A58A15">
      <w:pPr>
        <w:spacing w:line="360" w:lineRule="auto"/>
        <w:ind w:firstLine="354" w:firstLineChars="147"/>
        <w:outlineLvl w:val="1"/>
        <w:rPr>
          <w:rFonts w:hint="eastAsia" w:ascii="黑体" w:hAnsi="黑体" w:eastAsia="黑体"/>
          <w:b/>
          <w:color w:val="000000" w:themeColor="text1"/>
          <w:sz w:val="24"/>
          <w:highlight w:val="none"/>
          <w14:textFill>
            <w14:solidFill>
              <w14:schemeClr w14:val="tx1"/>
            </w14:solidFill>
          </w14:textFill>
        </w:rPr>
      </w:pPr>
      <w:bookmarkStart w:id="12" w:name="_Toc71365905"/>
      <w:bookmarkStart w:id="13" w:name="_Toc35393629"/>
      <w:bookmarkStart w:id="14" w:name="_Toc35393798"/>
      <w:bookmarkStart w:id="15" w:name="_Toc44229878"/>
      <w:bookmarkStart w:id="16" w:name="_Toc28359012"/>
      <w:bookmarkStart w:id="17" w:name="_Toc28359089"/>
      <w:r>
        <w:rPr>
          <w:rFonts w:hint="eastAsia" w:ascii="黑体" w:hAnsi="黑体" w:eastAsia="黑体"/>
          <w:b/>
          <w:color w:val="000000" w:themeColor="text1"/>
          <w:sz w:val="24"/>
          <w:highlight w:val="none"/>
          <w14:textFill>
            <w14:solidFill>
              <w14:schemeClr w14:val="tx1"/>
            </w14:solidFill>
          </w14:textFill>
        </w:rPr>
        <w:t>一、项目基本情况</w:t>
      </w:r>
      <w:bookmarkEnd w:id="12"/>
      <w:bookmarkEnd w:id="13"/>
      <w:bookmarkEnd w:id="14"/>
      <w:bookmarkEnd w:id="15"/>
      <w:bookmarkEnd w:id="16"/>
      <w:bookmarkEnd w:id="17"/>
    </w:p>
    <w:p w14:paraId="39DD3387">
      <w:pPr>
        <w:spacing w:line="400" w:lineRule="exact"/>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lang w:eastAsia="zh-CN"/>
          <w14:textFill>
            <w14:solidFill>
              <w14:schemeClr w14:val="tx1"/>
            </w14:solidFill>
          </w14:textFill>
        </w:rPr>
        <w:t xml:space="preserve">GGZC2026-C2-020057-GXHG </w:t>
      </w:r>
    </w:p>
    <w:p w14:paraId="449FD47F">
      <w:pPr>
        <w:spacing w:line="400" w:lineRule="exact"/>
        <w:ind w:firstLine="420" w:firstLineChars="200"/>
        <w:rPr>
          <w:rFonts w:hint="eastAsia" w:ascii="宋体" w:hAnsi="宋体" w:eastAsia="宋体"/>
          <w:color w:val="000000" w:themeColor="text1"/>
          <w:szCs w:val="21"/>
          <w:highlight w:val="none"/>
          <w:u w:val="singl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lang w:eastAsia="zh-CN"/>
          <w14:textFill>
            <w14:solidFill>
              <w14:schemeClr w14:val="tx1"/>
            </w14:solidFill>
          </w14:textFill>
        </w:rPr>
        <w:t>贵港市港北区农村公路水毁修复工程项目</w:t>
      </w:r>
    </w:p>
    <w:p w14:paraId="5141F59F">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采购方式：竞争性磋商</w:t>
      </w:r>
    </w:p>
    <w:p w14:paraId="0848BD48">
      <w:pPr>
        <w:spacing w:line="400" w:lineRule="exact"/>
        <w:ind w:firstLine="420" w:firstLineChars="200"/>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预算总金额（元）：3007514</w:t>
      </w:r>
      <w:r>
        <w:rPr>
          <w:rFonts w:hint="eastAsia" w:ascii="宋体" w:hAnsi="宋体"/>
          <w:color w:val="000000" w:themeColor="text1"/>
          <w:szCs w:val="21"/>
          <w:highlight w:val="none"/>
          <w:lang w:val="en-US" w:eastAsia="zh-CN"/>
          <w14:textFill>
            <w14:solidFill>
              <w14:schemeClr w14:val="tx1"/>
            </w14:solidFill>
          </w14:textFill>
        </w:rPr>
        <w:t>.00</w:t>
      </w:r>
    </w:p>
    <w:p w14:paraId="792F712E">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采购需求：</w:t>
      </w:r>
    </w:p>
    <w:p w14:paraId="50F24DEA">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标项一</w:t>
      </w:r>
    </w:p>
    <w:p w14:paraId="615124D3">
      <w:pPr>
        <w:spacing w:line="400" w:lineRule="exact"/>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标项名称: </w:t>
      </w:r>
      <w:r>
        <w:rPr>
          <w:rFonts w:hint="eastAsia" w:ascii="宋体" w:hAnsi="宋体"/>
          <w:color w:val="000000" w:themeColor="text1"/>
          <w:szCs w:val="21"/>
          <w:highlight w:val="none"/>
          <w:lang w:eastAsia="zh-CN"/>
          <w14:textFill>
            <w14:solidFill>
              <w14:schemeClr w14:val="tx1"/>
            </w14:solidFill>
          </w14:textFill>
        </w:rPr>
        <w:t>贵港市港北区农村公路水毁修复工程项目</w:t>
      </w:r>
    </w:p>
    <w:p w14:paraId="6D3A1AD4">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数量：1</w:t>
      </w:r>
    </w:p>
    <w:p w14:paraId="74853EC6">
      <w:pPr>
        <w:spacing w:line="400" w:lineRule="exact"/>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预算金额（元）: </w:t>
      </w:r>
      <w:r>
        <w:rPr>
          <w:rFonts w:hint="eastAsia" w:ascii="宋体" w:hAnsi="宋体"/>
          <w:color w:val="000000" w:themeColor="text1"/>
          <w:szCs w:val="21"/>
          <w:highlight w:val="none"/>
          <w:lang w:eastAsia="zh-CN"/>
          <w14:textFill>
            <w14:solidFill>
              <w14:schemeClr w14:val="tx1"/>
            </w14:solidFill>
          </w14:textFill>
        </w:rPr>
        <w:t>3007514</w:t>
      </w:r>
    </w:p>
    <w:p w14:paraId="464E564F">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简要技术需求或者服务要求：主要建设内容为挖除旧水泥混凝土路面354.0平方米；挖除旧路基 57.9立方米；挖除水沟土方1308立方米；借土填方90立方米；恢复C20混凝土挡土墙 3816立方米；设置1.5m高编织袋围堰20米；恢复0.5m单孔钢筋混凝土圆管涵40米；恢复级配碎石基层（厚15厘米）380.5平方米；恢复C30水泥混凝土面板（厚26厘米）162.5平方米；恢复C30水泥混凝土面板（厚20厘米）191.5平方米；恢复波形梁钢护栏918米。我区布山街道办蓝田社区北环立交至木麻道路水毁修复工程等5个项目均以水毁修复为主，重点针对路面破损、路基坍塌、边坡溜方等水毁病害进行系统性修复整治，同步完善沿线排水及防护工程，提升道路整体抗灾能力。各子项目根据实际水毁情况合理确定建设规模，确保修复后道路达到安全通行标准</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具体详见施工图纸和工程量清单所包含的全部施工内容。</w:t>
      </w:r>
    </w:p>
    <w:p w14:paraId="5E0952E6">
      <w:pPr>
        <w:spacing w:line="400" w:lineRule="exact"/>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最高限价（元）：</w:t>
      </w:r>
      <w:r>
        <w:rPr>
          <w:rFonts w:hint="eastAsia" w:ascii="宋体" w:hAnsi="宋体" w:cs="宋体"/>
          <w:color w:val="000000" w:themeColor="text1"/>
          <w:szCs w:val="21"/>
          <w:highlight w:val="none"/>
          <w:lang w:eastAsia="zh-CN"/>
          <w14:textFill>
            <w14:solidFill>
              <w14:schemeClr w14:val="tx1"/>
            </w14:solidFill>
          </w14:textFill>
        </w:rPr>
        <w:t>3007514</w:t>
      </w:r>
    </w:p>
    <w:p w14:paraId="1A00CE56">
      <w:pPr>
        <w:spacing w:line="400" w:lineRule="exact"/>
        <w:ind w:firstLine="420" w:firstLineChars="200"/>
        <w:rPr>
          <w:rFonts w:hint="eastAsia" w:ascii="宋体" w:hAnsi="宋体" w:eastAsia="宋体"/>
          <w:color w:val="000000" w:themeColor="text1"/>
          <w:szCs w:val="21"/>
          <w:highlight w:val="none"/>
          <w:u w:val="singl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w:t>
      </w:r>
      <w:r>
        <w:rPr>
          <w:rFonts w:hint="eastAsia" w:ascii="宋体" w:hAnsi="宋体"/>
          <w:color w:val="000000" w:themeColor="text1"/>
          <w:szCs w:val="21"/>
          <w:highlight w:val="none"/>
          <w:lang w:eastAsia="zh-CN"/>
          <w14:textFill>
            <w14:solidFill>
              <w14:schemeClr w14:val="tx1"/>
            </w14:solidFill>
          </w14:textFill>
        </w:rPr>
        <w:t>要求工期</w:t>
      </w:r>
      <w:r>
        <w:rPr>
          <w:rFonts w:hint="eastAsia" w:ascii="宋体" w:hAnsi="宋体"/>
          <w:color w:val="000000" w:themeColor="text1"/>
          <w:szCs w:val="21"/>
          <w:highlight w:val="none"/>
          <w:lang w:val="en-US" w:eastAsia="zh-CN"/>
          <w14:textFill>
            <w14:solidFill>
              <w14:schemeClr w14:val="tx1"/>
            </w14:solidFill>
          </w14:textFill>
        </w:rPr>
        <w:t>210</w:t>
      </w:r>
      <w:r>
        <w:rPr>
          <w:rFonts w:hint="eastAsia" w:ascii="宋体" w:hAnsi="宋体"/>
          <w:color w:val="000000" w:themeColor="text1"/>
          <w:szCs w:val="21"/>
          <w:highlight w:val="none"/>
          <w:lang w:eastAsia="zh-CN"/>
          <w14:textFill>
            <w14:solidFill>
              <w14:schemeClr w14:val="tx1"/>
            </w14:solidFill>
          </w14:textFill>
        </w:rPr>
        <w:t>日历天</w:t>
      </w:r>
    </w:p>
    <w:p w14:paraId="31DC9DB8">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w:t>
      </w:r>
      <w:r>
        <w:rPr>
          <w:rFonts w:ascii="宋体" w:hAnsi="宋体"/>
          <w:color w:val="000000" w:themeColor="text1"/>
          <w:szCs w:val="21"/>
          <w:highlight w:val="none"/>
          <w14:textFill>
            <w14:solidFill>
              <w14:schemeClr w14:val="tx1"/>
            </w14:solidFill>
          </w14:textFill>
        </w:rPr>
        <w:t>否</w:t>
      </w:r>
      <w:r>
        <w:rPr>
          <w:rFonts w:hint="eastAsia" w:ascii="宋体" w:hAnsi="宋体"/>
          <w:color w:val="000000" w:themeColor="text1"/>
          <w:szCs w:val="21"/>
          <w:highlight w:val="none"/>
          <w14:textFill>
            <w14:solidFill>
              <w14:schemeClr w14:val="tx1"/>
            </w14:solidFill>
          </w14:textFill>
        </w:rPr>
        <w:t>）接受联合体</w:t>
      </w:r>
    </w:p>
    <w:p w14:paraId="218FAA71">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备注：/</w:t>
      </w:r>
    </w:p>
    <w:p w14:paraId="71907D9A">
      <w:pPr>
        <w:spacing w:line="40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bookmarkStart w:id="18" w:name="_Toc35393630"/>
      <w:bookmarkStart w:id="19" w:name="_Toc28359090"/>
      <w:bookmarkStart w:id="20" w:name="_Toc28359013"/>
      <w:bookmarkStart w:id="21" w:name="_Toc44229879"/>
      <w:bookmarkStart w:id="22" w:name="_Toc35393799"/>
      <w:bookmarkStart w:id="23" w:name="_Toc71365906"/>
      <w:r>
        <w:rPr>
          <w:rFonts w:hint="eastAsia" w:ascii="黑体" w:hAnsi="黑体" w:eastAsia="黑体"/>
          <w:b/>
          <w:color w:val="000000" w:themeColor="text1"/>
          <w:sz w:val="24"/>
          <w:highlight w:val="none"/>
          <w14:textFill>
            <w14:solidFill>
              <w14:schemeClr w14:val="tx1"/>
            </w14:solidFill>
          </w14:textFill>
        </w:rPr>
        <w:t>二、申请人的资格条件：</w:t>
      </w:r>
      <w:bookmarkEnd w:id="18"/>
      <w:bookmarkEnd w:id="19"/>
      <w:bookmarkEnd w:id="20"/>
      <w:bookmarkEnd w:id="21"/>
      <w:bookmarkEnd w:id="22"/>
      <w:bookmarkEnd w:id="23"/>
    </w:p>
    <w:p w14:paraId="60006DD1">
      <w:pPr>
        <w:spacing w:line="400" w:lineRule="exact"/>
        <w:ind w:firstLine="420" w:firstLineChars="200"/>
        <w:outlineLvl w:val="2"/>
        <w:rPr>
          <w:rFonts w:hint="eastAsia" w:ascii="宋体" w:hAnsi="宋体"/>
          <w:color w:val="000000" w:themeColor="text1"/>
          <w:szCs w:val="21"/>
          <w:highlight w:val="none"/>
          <w14:textFill>
            <w14:solidFill>
              <w14:schemeClr w14:val="tx1"/>
            </w14:solidFill>
          </w14:textFill>
        </w:rPr>
      </w:pPr>
      <w:bookmarkStart w:id="24" w:name="_Toc28359091"/>
      <w:bookmarkStart w:id="25" w:name="_Toc28359014"/>
      <w:bookmarkStart w:id="26" w:name="_Toc44229880"/>
      <w:bookmarkStart w:id="27" w:name="_Toc35393800"/>
      <w:bookmarkStart w:id="28" w:name="_Toc35393631"/>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3086C5F1">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.落实政府采购政策需满足的资格要求：</w:t>
      </w:r>
      <w:r>
        <w:rPr>
          <w:rFonts w:hint="eastAsia" w:ascii="宋体" w:hAnsi="宋体"/>
          <w:b/>
          <w:bCs/>
          <w:color w:val="000000" w:themeColor="text1"/>
          <w:szCs w:val="21"/>
          <w:highlight w:val="none"/>
          <w14:textFill>
            <w14:solidFill>
              <w14:schemeClr w14:val="tx1"/>
            </w14:solidFill>
          </w14:textFill>
        </w:rPr>
        <w:t>本项目属于专门面向中小微企业采购的项目；供应商对应符合《政府采购促进中小企业发展管理办法》（财库〔2020〕46号）要求的中小微企业或符合《财政部、司法部关于政府采购支持监狱企业发展有关问题的通知》（财库〔2014〕68号）要求的监狱企业或符合《财政部 民政部 中国残疾人联合会关于促进残疾人就业政府采购政策的通知》（财库〔2017〕141号）要求的残疾人福利性单位，否则作无效响应处理</w:t>
      </w:r>
      <w:r>
        <w:rPr>
          <w:rFonts w:hint="eastAsia" w:ascii="宋体" w:hAnsi="宋体"/>
          <w:color w:val="000000" w:themeColor="text1"/>
          <w:szCs w:val="21"/>
          <w:highlight w:val="none"/>
          <w14:textFill>
            <w14:solidFill>
              <w14:schemeClr w14:val="tx1"/>
            </w14:solidFill>
          </w14:textFill>
        </w:rPr>
        <w:t>。</w:t>
      </w:r>
    </w:p>
    <w:p w14:paraId="521334A2">
      <w:pPr>
        <w:spacing w:line="400" w:lineRule="exact"/>
        <w:ind w:firstLine="420" w:firstLineChars="200"/>
        <w:outlineLvl w:val="2"/>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w:t>
      </w:r>
    </w:p>
    <w:p w14:paraId="2311E45D">
      <w:pPr>
        <w:spacing w:line="400" w:lineRule="exact"/>
        <w:ind w:firstLine="420" w:firstLineChars="200"/>
        <w:rPr>
          <w:rFonts w:hint="eastAsia" w:ascii="宋体" w:hAnsi="宋体" w:cs="宋体"/>
          <w:b w:val="0"/>
          <w:bCs w:val="0"/>
          <w:color w:val="000000" w:themeColor="text1"/>
          <w:spacing w:val="1"/>
          <w:sz w:val="21"/>
          <w:szCs w:val="21"/>
          <w:highlight w:val="none"/>
          <w:lang w:eastAsia="zh-CN"/>
          <w14:textFill>
            <w14:solidFill>
              <w14:schemeClr w14:val="tx1"/>
            </w14:solidFill>
          </w14:textFill>
        </w:rPr>
      </w:pPr>
      <w:bookmarkStart w:id="29" w:name="_Toc71365907"/>
      <w:r>
        <w:rPr>
          <w:rFonts w:hint="eastAsia" w:ascii="宋体" w:hAnsi="宋体" w:cs="宋体"/>
          <w:b w:val="0"/>
          <w:bCs w:val="0"/>
          <w:color w:val="000000" w:themeColor="text1"/>
          <w:szCs w:val="21"/>
          <w:highlight w:val="none"/>
          <w:lang w:eastAsia="zh-CN"/>
          <w14:textFill>
            <w14:solidFill>
              <w14:schemeClr w14:val="tx1"/>
            </w14:solidFill>
          </w14:textFill>
        </w:rPr>
        <w:t>（</w:t>
      </w:r>
      <w:r>
        <w:rPr>
          <w:rFonts w:hint="eastAsia" w:ascii="宋体" w:hAnsi="宋体" w:cs="宋体"/>
          <w:b w:val="0"/>
          <w:bCs w:val="0"/>
          <w:color w:val="000000" w:themeColor="text1"/>
          <w:szCs w:val="21"/>
          <w:highlight w:val="none"/>
          <w:lang w:val="en-US" w:eastAsia="zh-CN"/>
          <w14:textFill>
            <w14:solidFill>
              <w14:schemeClr w14:val="tx1"/>
            </w14:solidFill>
          </w14:textFill>
        </w:rPr>
        <w:t>1</w:t>
      </w:r>
      <w:r>
        <w:rPr>
          <w:rFonts w:hint="eastAsia" w:ascii="宋体" w:hAnsi="宋体" w:cs="宋体"/>
          <w:b w:val="0"/>
          <w:bCs w:val="0"/>
          <w:color w:val="000000" w:themeColor="text1"/>
          <w:szCs w:val="21"/>
          <w:highlight w:val="none"/>
          <w:lang w:eastAsia="zh-CN"/>
          <w14:textFill>
            <w14:solidFill>
              <w14:schemeClr w14:val="tx1"/>
            </w14:solidFill>
          </w14:textFill>
        </w:rPr>
        <w:t>）</w:t>
      </w:r>
      <w:r>
        <w:rPr>
          <w:rFonts w:hint="eastAsia" w:ascii="宋体" w:hAnsi="宋体" w:cs="宋体"/>
          <w:b w:val="0"/>
          <w:bCs w:val="0"/>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供应商必须具有独立法人资格并具备公路工程施工总承包三级（含三级）以上资质的施工企业，且同时具有《安全生产许可证》，并在人员、设备、资金等方面具有相应的能力。</w:t>
      </w:r>
    </w:p>
    <w:p w14:paraId="3E9A46BA">
      <w:pPr>
        <w:spacing w:line="400" w:lineRule="exact"/>
        <w:ind w:firstLine="424" w:firstLineChars="200"/>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w:t>
      </w:r>
      <w:r>
        <w:rPr>
          <w:rFonts w:hint="eastAsia" w:ascii="宋体" w:hAnsi="宋体" w:cs="宋体"/>
          <w:b w:val="0"/>
          <w:bCs w:val="0"/>
          <w:color w:val="000000" w:themeColor="text1"/>
          <w:spacing w:val="1"/>
          <w:sz w:val="21"/>
          <w:szCs w:val="21"/>
          <w:highlight w:val="none"/>
          <w:lang w:val="en-US" w:eastAsia="zh-CN"/>
          <w14:textFill>
            <w14:solidFill>
              <w14:schemeClr w14:val="tx1"/>
            </w14:solidFill>
          </w14:textFill>
        </w:rPr>
        <w:t>2</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）供应商拟派项目经理须具备公路工程专业二级以上（含二级）注册建造师执业资格，具备有效的安全生产考核合格证书（B 类）；专职安全生产管理人员须具备</w:t>
      </w:r>
      <w:r>
        <w:rPr>
          <w:rFonts w:hint="eastAsia"/>
          <w:color w:val="000000" w:themeColor="text1"/>
          <w:highlight w:val="white"/>
          <w14:textFill>
            <w14:solidFill>
              <w14:schemeClr w14:val="tx1"/>
            </w14:solidFill>
          </w14:textFill>
        </w:rPr>
        <w:t>省级（或以上）交通主管部门颁发</w:t>
      </w:r>
      <w:r>
        <w:rPr>
          <w:rFonts w:hint="eastAsia" w:ascii="宋体" w:hAnsi="宋体" w:cs="宋体"/>
          <w:b w:val="0"/>
          <w:bCs w:val="0"/>
          <w:color w:val="000000" w:themeColor="text1"/>
          <w:spacing w:val="1"/>
          <w:sz w:val="21"/>
          <w:szCs w:val="21"/>
          <w:highlight w:val="none"/>
          <w:lang w:eastAsia="zh-CN"/>
          <w14:textFill>
            <w14:solidFill>
              <w14:schemeClr w14:val="tx1"/>
            </w14:solidFill>
          </w14:textFill>
        </w:rPr>
        <w:t>的安全生产考核合格证书（C 类），人数不少于1人</w:t>
      </w:r>
      <w:r>
        <w:rPr>
          <w:rFonts w:hint="eastAsia" w:ascii="宋体" w:hAnsi="宋体" w:cs="宋体"/>
          <w:b w:val="0"/>
          <w:bCs w:val="0"/>
          <w:color w:val="000000" w:themeColor="text1"/>
          <w:szCs w:val="21"/>
          <w:highlight w:val="none"/>
          <w14:textFill>
            <w14:solidFill>
              <w14:schemeClr w14:val="tx1"/>
            </w14:solidFill>
          </w14:textFill>
        </w:rPr>
        <w:t>。</w:t>
      </w:r>
    </w:p>
    <w:p w14:paraId="07DB5CDD">
      <w:pPr>
        <w:spacing w:line="40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三、获取竞争性磋商文件</w:t>
      </w:r>
      <w:bookmarkEnd w:id="24"/>
      <w:bookmarkEnd w:id="25"/>
      <w:bookmarkEnd w:id="26"/>
      <w:bookmarkEnd w:id="27"/>
      <w:bookmarkEnd w:id="28"/>
      <w:bookmarkEnd w:id="29"/>
    </w:p>
    <w:p w14:paraId="183A6FEB">
      <w:pPr>
        <w:spacing w:line="400" w:lineRule="exact"/>
        <w:ind w:firstLine="420" w:firstLineChars="200"/>
        <w:rPr>
          <w:rFonts w:hint="eastAsia" w:ascii="宋体" w:hAnsi="宋体" w:cs="宋体"/>
          <w:bCs/>
          <w:color w:val="000000" w:themeColor="text1"/>
          <w:kern w:val="0"/>
          <w:szCs w:val="21"/>
          <w:highlight w:val="none"/>
          <w:u w:val="none"/>
          <w14:textFill>
            <w14:solidFill>
              <w14:schemeClr w14:val="tx1"/>
            </w14:solidFill>
          </w14:textFill>
        </w:rPr>
      </w:pPr>
      <w:bookmarkStart w:id="30" w:name="_Toc44229881"/>
      <w:bookmarkStart w:id="31" w:name="_Toc35393632"/>
      <w:bookmarkStart w:id="32" w:name="_Toc28359015"/>
      <w:bookmarkStart w:id="33" w:name="_Toc28359092"/>
      <w:bookmarkStart w:id="34" w:name="_Toc35393801"/>
      <w:r>
        <w:rPr>
          <w:rFonts w:hint="eastAsia" w:ascii="宋体" w:hAnsi="宋体" w:cs="宋体"/>
          <w:bCs/>
          <w:color w:val="000000" w:themeColor="text1"/>
          <w:kern w:val="0"/>
          <w:szCs w:val="21"/>
          <w:highlight w:val="none"/>
          <w14:textFill>
            <w14:solidFill>
              <w14:schemeClr w14:val="tx1"/>
            </w14:solidFill>
          </w14:textFill>
        </w:rPr>
        <w:t>时间：</w:t>
      </w:r>
      <w:r>
        <w:rPr>
          <w:rFonts w:hint="eastAsia" w:ascii="宋体" w:hAnsi="宋体"/>
          <w:bCs/>
          <w:color w:val="000000" w:themeColor="text1"/>
          <w:szCs w:val="21"/>
          <w:highlight w:val="none"/>
          <w:lang w:eastAsia="zh-CN"/>
          <w14:textFill>
            <w14:solidFill>
              <w14:schemeClr w14:val="tx1"/>
            </w14:solidFill>
          </w14:textFill>
        </w:rPr>
        <w:t>2026</w:t>
      </w:r>
      <w:r>
        <w:rPr>
          <w:rFonts w:hint="eastAsia" w:ascii="宋体" w:hAnsi="宋体"/>
          <w:bCs/>
          <w:color w:val="000000" w:themeColor="text1"/>
          <w:szCs w:val="21"/>
          <w:highlight w:val="none"/>
          <w14:textFill>
            <w14:solidFill>
              <w14:schemeClr w14:val="tx1"/>
            </w14:solidFill>
          </w14:textFill>
        </w:rPr>
        <w:t xml:space="preserve"> 年</w:t>
      </w:r>
      <w:r>
        <w:rPr>
          <w:rFonts w:hint="eastAsia" w:ascii="宋体" w:hAnsi="宋体"/>
          <w:bCs/>
          <w:color w:val="000000" w:themeColor="text1"/>
          <w:szCs w:val="21"/>
          <w:highlight w:val="none"/>
          <w:lang w:val="en-US" w:eastAsia="zh-CN"/>
          <w14:textFill>
            <w14:solidFill>
              <w14:schemeClr w14:val="tx1"/>
            </w14:solidFill>
          </w14:textFill>
        </w:rPr>
        <w:t>08</w:t>
      </w:r>
      <w:r>
        <w:rPr>
          <w:rFonts w:hint="eastAsia"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lang w:val="en-US" w:eastAsia="zh-CN"/>
          <w14:textFill>
            <w14:solidFill>
              <w14:schemeClr w14:val="tx1"/>
            </w14:solidFill>
          </w14:textFill>
        </w:rPr>
        <w:t>31</w:t>
      </w:r>
      <w:r>
        <w:rPr>
          <w:rFonts w:hint="eastAsia" w:ascii="宋体" w:hAnsi="宋体"/>
          <w:bCs/>
          <w:color w:val="000000" w:themeColor="text1"/>
          <w:szCs w:val="21"/>
          <w:highlight w:val="none"/>
          <w14:textFill>
            <w14:solidFill>
              <w14:schemeClr w14:val="tx1"/>
            </w14:solidFill>
          </w14:textFill>
        </w:rPr>
        <w:t>日</w:t>
      </w:r>
      <w:r>
        <w:rPr>
          <w:rFonts w:hint="eastAsia" w:ascii="宋体" w:hAnsi="宋体" w:cs="宋体"/>
          <w:bCs/>
          <w:color w:val="000000" w:themeColor="text1"/>
          <w:kern w:val="0"/>
          <w:szCs w:val="21"/>
          <w:highlight w:val="none"/>
          <w14:textFill>
            <w14:solidFill>
              <w14:schemeClr w14:val="tx1"/>
            </w14:solidFill>
          </w14:textFill>
        </w:rPr>
        <w:t>至</w:t>
      </w:r>
      <w:r>
        <w:rPr>
          <w:rFonts w:hint="eastAsia" w:ascii="宋体" w:hAnsi="宋体"/>
          <w:bCs/>
          <w:color w:val="000000" w:themeColor="text1"/>
          <w:szCs w:val="21"/>
          <w:highlight w:val="none"/>
          <w:lang w:eastAsia="zh-CN"/>
          <w14:textFill>
            <w14:solidFill>
              <w14:schemeClr w14:val="tx1"/>
            </w14:solidFill>
          </w14:textFill>
        </w:rPr>
        <w:t>2026</w:t>
      </w:r>
      <w:r>
        <w:rPr>
          <w:rFonts w:hint="eastAsia" w:ascii="宋体" w:hAnsi="宋体"/>
          <w:bCs/>
          <w:color w:val="000000" w:themeColor="text1"/>
          <w:szCs w:val="21"/>
          <w:highlight w:val="none"/>
          <w14:textFill>
            <w14:solidFill>
              <w14:schemeClr w14:val="tx1"/>
            </w14:solidFill>
          </w14:textFill>
        </w:rPr>
        <w:t>年</w:t>
      </w:r>
      <w:r>
        <w:rPr>
          <w:rFonts w:hint="eastAsia" w:ascii="宋体" w:hAnsi="宋体"/>
          <w:bCs/>
          <w:color w:val="000000" w:themeColor="text1"/>
          <w:szCs w:val="21"/>
          <w:highlight w:val="none"/>
          <w:lang w:val="en-US" w:eastAsia="zh-CN"/>
          <w14:textFill>
            <w14:solidFill>
              <w14:schemeClr w14:val="tx1"/>
            </w14:solidFill>
          </w14:textFill>
        </w:rPr>
        <w:t>09</w:t>
      </w:r>
      <w:r>
        <w:rPr>
          <w:rFonts w:hint="eastAsia"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lang w:val="en-US" w:eastAsia="zh-CN"/>
          <w14:textFill>
            <w14:solidFill>
              <w14:schemeClr w14:val="tx1"/>
            </w14:solidFill>
          </w14:textFill>
        </w:rPr>
        <w:t>11</w:t>
      </w:r>
      <w:r>
        <w:rPr>
          <w:rFonts w:hint="eastAsia" w:ascii="宋体" w:hAnsi="宋体"/>
          <w:bCs/>
          <w:color w:val="000000" w:themeColor="text1"/>
          <w:szCs w:val="21"/>
          <w:highlight w:val="none"/>
          <w:u w:val="none"/>
          <w14:textFill>
            <w14:solidFill>
              <w14:schemeClr w14:val="tx1"/>
            </w14:solidFill>
          </w14:textFill>
        </w:rPr>
        <w:t>日</w:t>
      </w:r>
      <w:r>
        <w:rPr>
          <w:rFonts w:hint="eastAsia" w:ascii="宋体" w:hAnsi="宋体" w:cs="宋体"/>
          <w:bCs/>
          <w:color w:val="000000" w:themeColor="text1"/>
          <w:kern w:val="0"/>
          <w:szCs w:val="21"/>
          <w:highlight w:val="none"/>
          <w:u w:val="none"/>
          <w14:textFill>
            <w14:solidFill>
              <w14:schemeClr w14:val="tx1"/>
            </w14:solidFill>
          </w14:textFill>
        </w:rPr>
        <w:t>，每天上午00:00至12:00，下午12:00至23:59（北京时间，</w:t>
      </w:r>
      <w:r>
        <w:rPr>
          <w:rFonts w:ascii="宋体" w:hAnsi="宋体" w:cs="宋体"/>
          <w:bCs/>
          <w:color w:val="000000" w:themeColor="text1"/>
          <w:kern w:val="0"/>
          <w:szCs w:val="21"/>
          <w:highlight w:val="none"/>
          <w:u w:val="none"/>
          <w14:textFill>
            <w14:solidFill>
              <w14:schemeClr w14:val="tx1"/>
            </w14:solidFill>
          </w14:textFill>
        </w:rPr>
        <w:t>法定节假日</w:t>
      </w:r>
      <w:r>
        <w:rPr>
          <w:rFonts w:hint="eastAsia" w:ascii="宋体" w:hAnsi="宋体" w:cs="宋体"/>
          <w:bCs/>
          <w:color w:val="000000" w:themeColor="text1"/>
          <w:kern w:val="0"/>
          <w:szCs w:val="21"/>
          <w:highlight w:val="none"/>
          <w:u w:val="none"/>
          <w14:textFill>
            <w14:solidFill>
              <w14:schemeClr w14:val="tx1"/>
            </w14:solidFill>
          </w14:textFill>
        </w:rPr>
        <w:t>除外）</w:t>
      </w:r>
    </w:p>
    <w:p w14:paraId="64164249">
      <w:pPr>
        <w:spacing w:line="40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u w:val="none"/>
          <w14:textFill>
            <w14:solidFill>
              <w14:schemeClr w14:val="tx1"/>
            </w14:solidFill>
          </w14:textFill>
        </w:rPr>
        <w:t>地点：</w:t>
      </w:r>
      <w:r>
        <w:rPr>
          <w:rFonts w:hint="eastAsia" w:ascii="宋体" w:hAnsi="宋体" w:cs="宋体"/>
          <w:color w:val="000000" w:themeColor="text1"/>
          <w:szCs w:val="21"/>
          <w:highlight w:val="none"/>
          <w:u w:val="none"/>
          <w14:textFill>
            <w14:solidFill>
              <w14:schemeClr w14:val="tx1"/>
            </w14:solidFill>
          </w14:textFill>
        </w:rPr>
        <w:t>广西政府采购云平台（https://www.gcy.zfcg.</w:t>
      </w:r>
      <w:r>
        <w:rPr>
          <w:rFonts w:hint="eastAsia" w:ascii="宋体" w:hAnsi="宋体" w:cs="宋体"/>
          <w:color w:val="000000" w:themeColor="text1"/>
          <w:szCs w:val="21"/>
          <w:highlight w:val="none"/>
          <w14:textFill>
            <w14:solidFill>
              <w14:schemeClr w14:val="tx1"/>
            </w14:solidFill>
          </w14:textFill>
        </w:rPr>
        <w:t>gxzf.gov.cn/）</w:t>
      </w:r>
    </w:p>
    <w:p w14:paraId="20F762F1">
      <w:pPr>
        <w:spacing w:line="400" w:lineRule="exact"/>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方式：</w:t>
      </w:r>
      <w:r>
        <w:rPr>
          <w:rFonts w:hint="eastAsia" w:ascii="宋体" w:hAnsi="宋体" w:cs="宋体"/>
          <w:color w:val="000000" w:themeColor="text1"/>
          <w:szCs w:val="21"/>
          <w:highlight w:val="none"/>
          <w14:textFill>
            <w14:solidFill>
              <w14:schemeClr w14:val="tx1"/>
            </w14:solidFill>
          </w14:textFill>
        </w:rPr>
        <w:t>网上下载。本项目不提供纸质文件，潜在供应商需在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12821577">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售价（元）：</w:t>
      </w:r>
      <w:r>
        <w:rPr>
          <w:rFonts w:hint="eastAsia" w:ascii="宋体" w:hAnsi="宋体" w:cs="宋体"/>
          <w:color w:val="000000" w:themeColor="text1"/>
          <w:szCs w:val="21"/>
          <w:highlight w:val="none"/>
          <w14:textFill>
            <w14:solidFill>
              <w14:schemeClr w14:val="tx1"/>
            </w14:solidFill>
          </w14:textFill>
        </w:rPr>
        <w:t>0</w:t>
      </w:r>
    </w:p>
    <w:p w14:paraId="7E0F404E">
      <w:pPr>
        <w:spacing w:line="40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bookmarkStart w:id="35" w:name="_Toc71365908"/>
      <w:r>
        <w:rPr>
          <w:rFonts w:hint="eastAsia" w:ascii="黑体" w:hAnsi="黑体" w:eastAsia="黑体"/>
          <w:b/>
          <w:color w:val="000000" w:themeColor="text1"/>
          <w:sz w:val="24"/>
          <w:highlight w:val="none"/>
          <w14:textFill>
            <w14:solidFill>
              <w14:schemeClr w14:val="tx1"/>
            </w14:solidFill>
          </w14:textFill>
        </w:rPr>
        <w:t>四、响应文件提交</w:t>
      </w:r>
      <w:bookmarkEnd w:id="30"/>
      <w:bookmarkEnd w:id="31"/>
      <w:bookmarkEnd w:id="32"/>
      <w:bookmarkEnd w:id="33"/>
      <w:bookmarkEnd w:id="34"/>
      <w:bookmarkEnd w:id="35"/>
    </w:p>
    <w:p w14:paraId="0AC5CD23">
      <w:pPr>
        <w:spacing w:line="400" w:lineRule="exact"/>
        <w:ind w:firstLine="420" w:firstLineChars="200"/>
        <w:rPr>
          <w:rFonts w:hint="eastAsia" w:ascii="宋体" w:hAnsi="宋体"/>
          <w:bCs/>
          <w:color w:val="000000" w:themeColor="text1"/>
          <w:szCs w:val="21"/>
          <w:highlight w:val="none"/>
          <w14:textFill>
            <w14:solidFill>
              <w14:schemeClr w14:val="tx1"/>
            </w14:solidFill>
          </w14:textFill>
        </w:rPr>
      </w:pPr>
      <w:bookmarkStart w:id="36" w:name="_Toc28359016"/>
      <w:bookmarkStart w:id="37" w:name="_Toc35393633"/>
      <w:bookmarkStart w:id="38" w:name="_Toc35393802"/>
      <w:bookmarkStart w:id="39" w:name="_Toc28359093"/>
      <w:bookmarkStart w:id="40" w:name="_Toc44229882"/>
      <w:r>
        <w:rPr>
          <w:rFonts w:hint="eastAsia" w:ascii="宋体" w:hAnsi="宋体"/>
          <w:color w:val="000000" w:themeColor="text1"/>
          <w:szCs w:val="21"/>
          <w:highlight w:val="none"/>
          <w14:textFill>
            <w14:solidFill>
              <w14:schemeClr w14:val="tx1"/>
            </w14:solidFill>
          </w14:textFill>
        </w:rPr>
        <w:t>截止时间：</w:t>
      </w:r>
      <w:r>
        <w:rPr>
          <w:rFonts w:hint="eastAsia" w:ascii="宋体" w:hAnsi="宋体"/>
          <w:bCs/>
          <w:color w:val="000000" w:themeColor="text1"/>
          <w:szCs w:val="21"/>
          <w:highlight w:val="none"/>
          <w:u w:val="single"/>
          <w:lang w:eastAsia="zh-CN"/>
          <w14:textFill>
            <w14:solidFill>
              <w14:schemeClr w14:val="tx1"/>
            </w14:solidFill>
          </w14:textFill>
        </w:rPr>
        <w:t>2026年</w:t>
      </w:r>
      <w:r>
        <w:rPr>
          <w:rFonts w:hint="eastAsia" w:ascii="宋体" w:hAnsi="宋体"/>
          <w:bCs/>
          <w:color w:val="000000" w:themeColor="text1"/>
          <w:szCs w:val="21"/>
          <w:highlight w:val="none"/>
          <w:u w:val="single"/>
          <w:lang w:val="en-US" w:eastAsia="zh-CN"/>
          <w14:textFill>
            <w14:solidFill>
              <w14:schemeClr w14:val="tx1"/>
            </w14:solidFill>
          </w14:textFill>
        </w:rPr>
        <w:t>09</w:t>
      </w:r>
      <w:r>
        <w:rPr>
          <w:rFonts w:hint="eastAsia" w:ascii="宋体" w:hAnsi="宋体"/>
          <w:bCs/>
          <w:color w:val="000000" w:themeColor="text1"/>
          <w:szCs w:val="21"/>
          <w:highlight w:val="none"/>
          <w:u w:val="single"/>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11</w:t>
      </w:r>
      <w:r>
        <w:rPr>
          <w:rFonts w:hint="eastAsia" w:ascii="宋体" w:hAnsi="宋体"/>
          <w:bCs/>
          <w:color w:val="000000" w:themeColor="text1"/>
          <w:szCs w:val="21"/>
          <w:highlight w:val="none"/>
          <w:u w:val="single"/>
          <w14:textFill>
            <w14:solidFill>
              <w14:schemeClr w14:val="tx1"/>
            </w14:solidFill>
          </w14:textFill>
        </w:rPr>
        <w:t>日</w:t>
      </w:r>
      <w:r>
        <w:rPr>
          <w:rFonts w:hint="eastAsia" w:ascii="宋体" w:hAnsi="宋体"/>
          <w:bCs/>
          <w:color w:val="000000" w:themeColor="text1"/>
          <w:szCs w:val="21"/>
          <w:highlight w:val="none"/>
          <w:u w:val="single"/>
          <w:lang w:val="en-US" w:eastAsia="zh-CN"/>
          <w14:textFill>
            <w14:solidFill>
              <w14:schemeClr w14:val="tx1"/>
            </w14:solidFill>
          </w14:textFill>
        </w:rPr>
        <w:t>15</w:t>
      </w:r>
      <w:r>
        <w:rPr>
          <w:rFonts w:hint="eastAsia" w:ascii="宋体" w:hAnsi="宋体"/>
          <w:bCs/>
          <w:color w:val="000000" w:themeColor="text1"/>
          <w:szCs w:val="21"/>
          <w:highlight w:val="none"/>
          <w:u w:val="single"/>
          <w14:textFill>
            <w14:solidFill>
              <w14:schemeClr w14:val="tx1"/>
            </w14:solidFill>
          </w14:textFill>
        </w:rPr>
        <w:t>时</w:t>
      </w:r>
      <w:r>
        <w:rPr>
          <w:rFonts w:hint="eastAsia" w:ascii="宋体" w:hAnsi="宋体"/>
          <w:bCs/>
          <w:color w:val="000000" w:themeColor="text1"/>
          <w:szCs w:val="21"/>
          <w:highlight w:val="none"/>
          <w:u w:val="single"/>
          <w:lang w:val="en-US" w:eastAsia="zh-CN"/>
          <w14:textFill>
            <w14:solidFill>
              <w14:schemeClr w14:val="tx1"/>
            </w14:solidFill>
          </w14:textFill>
        </w:rPr>
        <w:t>30</w:t>
      </w:r>
      <w:r>
        <w:rPr>
          <w:rFonts w:hint="eastAsia" w:ascii="宋体" w:hAnsi="宋体"/>
          <w:bCs/>
          <w:color w:val="000000" w:themeColor="text1"/>
          <w:szCs w:val="21"/>
          <w:highlight w:val="none"/>
          <w:u w:val="single"/>
          <w14:textFill>
            <w14:solidFill>
              <w14:schemeClr w14:val="tx1"/>
            </w14:solidFill>
          </w14:textFill>
        </w:rPr>
        <w:t>分</w:t>
      </w:r>
      <w:r>
        <w:rPr>
          <w:rFonts w:hint="eastAsia" w:ascii="宋体" w:hAnsi="宋体"/>
          <w:bCs/>
          <w:color w:val="000000" w:themeColor="text1"/>
          <w:szCs w:val="21"/>
          <w:highlight w:val="none"/>
          <w:u w:val="none"/>
          <w14:textFill>
            <w14:solidFill>
              <w14:schemeClr w14:val="tx1"/>
            </w14:solidFill>
          </w14:textFill>
        </w:rPr>
        <w:t>（北京时间）</w:t>
      </w:r>
    </w:p>
    <w:p w14:paraId="22C67AF6">
      <w:pPr>
        <w:spacing w:line="4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w:t>
      </w:r>
      <w:r>
        <w:rPr>
          <w:rFonts w:hint="eastAsia" w:ascii="宋体" w:hAnsi="宋体" w:cs="宋体"/>
          <w:color w:val="000000" w:themeColor="text1"/>
          <w:szCs w:val="21"/>
          <w:highlight w:val="none"/>
          <w14:textFill>
            <w14:solidFill>
              <w14:schemeClr w14:val="tx1"/>
            </w14:solidFill>
          </w14:textFill>
        </w:rPr>
        <w:t>广西政府采购云平台（https://www.gcy.zfcg.gxzf.gov.cn/）</w:t>
      </w:r>
    </w:p>
    <w:p w14:paraId="2B29B2FE">
      <w:pPr>
        <w:spacing w:line="40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bookmarkStart w:id="41" w:name="_Toc71365909"/>
      <w:r>
        <w:rPr>
          <w:rFonts w:hint="eastAsia" w:ascii="黑体" w:hAnsi="黑体" w:eastAsia="黑体"/>
          <w:b/>
          <w:color w:val="000000" w:themeColor="text1"/>
          <w:sz w:val="24"/>
          <w:highlight w:val="none"/>
          <w14:textFill>
            <w14:solidFill>
              <w14:schemeClr w14:val="tx1"/>
            </w14:solidFill>
          </w14:textFill>
        </w:rPr>
        <w:t>五、响应文件开启</w:t>
      </w:r>
      <w:bookmarkEnd w:id="36"/>
      <w:bookmarkEnd w:id="37"/>
      <w:bookmarkEnd w:id="38"/>
      <w:bookmarkEnd w:id="39"/>
      <w:bookmarkEnd w:id="40"/>
      <w:bookmarkEnd w:id="41"/>
    </w:p>
    <w:p w14:paraId="45069031">
      <w:pPr>
        <w:spacing w:line="400" w:lineRule="exact"/>
        <w:ind w:firstLine="420" w:firstLineChars="200"/>
        <w:outlineLvl w:val="2"/>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时间：</w:t>
      </w:r>
      <w:r>
        <w:rPr>
          <w:rFonts w:hint="eastAsia" w:ascii="宋体" w:hAnsi="宋体"/>
          <w:bCs/>
          <w:color w:val="000000" w:themeColor="text1"/>
          <w:szCs w:val="21"/>
          <w:highlight w:val="none"/>
          <w:u w:val="single"/>
          <w:lang w:eastAsia="zh-CN"/>
          <w14:textFill>
            <w14:solidFill>
              <w14:schemeClr w14:val="tx1"/>
            </w14:solidFill>
          </w14:textFill>
        </w:rPr>
        <w:t>2026年</w:t>
      </w:r>
      <w:r>
        <w:rPr>
          <w:rFonts w:hint="eastAsia" w:ascii="宋体" w:hAnsi="宋体"/>
          <w:bCs/>
          <w:color w:val="000000" w:themeColor="text1"/>
          <w:szCs w:val="21"/>
          <w:highlight w:val="none"/>
          <w:u w:val="single"/>
          <w:lang w:val="en-US" w:eastAsia="zh-CN"/>
          <w14:textFill>
            <w14:solidFill>
              <w14:schemeClr w14:val="tx1"/>
            </w14:solidFill>
          </w14:textFill>
        </w:rPr>
        <w:t>09</w:t>
      </w:r>
      <w:r>
        <w:rPr>
          <w:rFonts w:hint="eastAsia" w:ascii="宋体" w:hAnsi="宋体"/>
          <w:bCs/>
          <w:color w:val="000000" w:themeColor="text1"/>
          <w:szCs w:val="21"/>
          <w:highlight w:val="none"/>
          <w:u w:val="single"/>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11</w:t>
      </w:r>
      <w:r>
        <w:rPr>
          <w:rFonts w:hint="eastAsia" w:ascii="宋体" w:hAnsi="宋体"/>
          <w:bCs/>
          <w:color w:val="000000" w:themeColor="text1"/>
          <w:szCs w:val="21"/>
          <w:highlight w:val="none"/>
          <w:u w:val="single"/>
          <w14:textFill>
            <w14:solidFill>
              <w14:schemeClr w14:val="tx1"/>
            </w14:solidFill>
          </w14:textFill>
        </w:rPr>
        <w:t>日</w:t>
      </w:r>
      <w:r>
        <w:rPr>
          <w:rFonts w:hint="eastAsia" w:ascii="宋体" w:hAnsi="宋体"/>
          <w:bCs/>
          <w:color w:val="000000" w:themeColor="text1"/>
          <w:szCs w:val="21"/>
          <w:highlight w:val="none"/>
          <w:u w:val="single"/>
          <w:lang w:val="en-US" w:eastAsia="zh-CN"/>
          <w14:textFill>
            <w14:solidFill>
              <w14:schemeClr w14:val="tx1"/>
            </w14:solidFill>
          </w14:textFill>
        </w:rPr>
        <w:t>15</w:t>
      </w:r>
      <w:r>
        <w:rPr>
          <w:rFonts w:hint="eastAsia" w:ascii="宋体" w:hAnsi="宋体"/>
          <w:bCs/>
          <w:color w:val="000000" w:themeColor="text1"/>
          <w:szCs w:val="21"/>
          <w:highlight w:val="none"/>
          <w:u w:val="single"/>
          <w14:textFill>
            <w14:solidFill>
              <w14:schemeClr w14:val="tx1"/>
            </w14:solidFill>
          </w14:textFill>
        </w:rPr>
        <w:t>时</w:t>
      </w:r>
      <w:r>
        <w:rPr>
          <w:rFonts w:hint="eastAsia" w:ascii="宋体" w:hAnsi="宋体"/>
          <w:bCs/>
          <w:color w:val="000000" w:themeColor="text1"/>
          <w:szCs w:val="21"/>
          <w:highlight w:val="none"/>
          <w:u w:val="single"/>
          <w:lang w:val="en-US" w:eastAsia="zh-CN"/>
          <w14:textFill>
            <w14:solidFill>
              <w14:schemeClr w14:val="tx1"/>
            </w14:solidFill>
          </w14:textFill>
        </w:rPr>
        <w:t>30</w:t>
      </w:r>
      <w:r>
        <w:rPr>
          <w:rFonts w:hint="eastAsia" w:ascii="宋体" w:hAnsi="宋体"/>
          <w:bCs/>
          <w:color w:val="000000" w:themeColor="text1"/>
          <w:szCs w:val="21"/>
          <w:highlight w:val="none"/>
          <w:u w:val="single"/>
          <w14:textFill>
            <w14:solidFill>
              <w14:schemeClr w14:val="tx1"/>
            </w14:solidFill>
          </w14:textFill>
        </w:rPr>
        <w:t>分</w:t>
      </w:r>
      <w:r>
        <w:rPr>
          <w:rFonts w:hint="eastAsia" w:ascii="宋体" w:hAnsi="宋体"/>
          <w:bCs/>
          <w:color w:val="000000" w:themeColor="text1"/>
          <w:szCs w:val="21"/>
          <w:highlight w:val="none"/>
          <w:u w:val="none"/>
          <w14:textFill>
            <w14:solidFill>
              <w14:schemeClr w14:val="tx1"/>
            </w14:solidFill>
          </w14:textFill>
        </w:rPr>
        <w:t>（北京时间）</w:t>
      </w:r>
    </w:p>
    <w:p w14:paraId="1C37C60A">
      <w:pPr>
        <w:spacing w:line="400" w:lineRule="exact"/>
        <w:ind w:firstLine="420" w:firstLineChars="20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地点：广西政府采购云平台</w:t>
      </w:r>
      <w:r>
        <w:rPr>
          <w:rFonts w:hint="eastAsia" w:ascii="宋体" w:hAnsi="宋体" w:cs="宋体"/>
          <w:bCs/>
          <w:color w:val="000000" w:themeColor="text1"/>
          <w:kern w:val="0"/>
          <w:szCs w:val="21"/>
          <w:highlight w:val="none"/>
          <w14:textFill>
            <w14:solidFill>
              <w14:schemeClr w14:val="tx1"/>
            </w14:solidFill>
          </w14:textFill>
        </w:rPr>
        <w:t>（https://www.gcy.zfcg.gxzf.gov.cn）</w:t>
      </w:r>
    </w:p>
    <w:p w14:paraId="7B4DA92B">
      <w:pPr>
        <w:spacing w:line="40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bookmarkStart w:id="42" w:name="_Toc35393634"/>
      <w:bookmarkStart w:id="43" w:name="_Toc28359017"/>
      <w:bookmarkStart w:id="44" w:name="_Toc71365910"/>
      <w:bookmarkStart w:id="45" w:name="_Toc44229883"/>
      <w:bookmarkStart w:id="46" w:name="_Toc28359094"/>
      <w:bookmarkStart w:id="47" w:name="_Toc35393803"/>
      <w:r>
        <w:rPr>
          <w:rFonts w:hint="eastAsia" w:ascii="黑体" w:hAnsi="黑体" w:eastAsia="黑体"/>
          <w:b/>
          <w:color w:val="000000" w:themeColor="text1"/>
          <w:sz w:val="24"/>
          <w:highlight w:val="none"/>
          <w14:textFill>
            <w14:solidFill>
              <w14:schemeClr w14:val="tx1"/>
            </w14:solidFill>
          </w14:textFill>
        </w:rPr>
        <w:t>六、公告期限</w:t>
      </w:r>
      <w:bookmarkEnd w:id="42"/>
      <w:bookmarkEnd w:id="43"/>
      <w:bookmarkEnd w:id="44"/>
      <w:bookmarkEnd w:id="45"/>
      <w:bookmarkEnd w:id="46"/>
      <w:bookmarkEnd w:id="47"/>
    </w:p>
    <w:p w14:paraId="26545A28">
      <w:pPr>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自本公告发布之日起5个工作日。</w:t>
      </w:r>
    </w:p>
    <w:p w14:paraId="0E7EB671">
      <w:pPr>
        <w:spacing w:line="40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bookmarkStart w:id="48" w:name="_Toc71365911"/>
      <w:bookmarkStart w:id="49" w:name="_Toc44229884"/>
      <w:bookmarkStart w:id="50" w:name="_Toc35393635"/>
      <w:bookmarkStart w:id="51" w:name="_Toc35393804"/>
      <w:r>
        <w:rPr>
          <w:rFonts w:hint="eastAsia" w:ascii="黑体" w:hAnsi="黑体" w:eastAsia="黑体"/>
          <w:b/>
          <w:color w:val="000000" w:themeColor="text1"/>
          <w:sz w:val="24"/>
          <w:highlight w:val="none"/>
          <w14:textFill>
            <w14:solidFill>
              <w14:schemeClr w14:val="tx1"/>
            </w14:solidFill>
          </w14:textFill>
        </w:rPr>
        <w:t>七、其他补充事宜</w:t>
      </w:r>
      <w:bookmarkEnd w:id="48"/>
      <w:bookmarkEnd w:id="49"/>
      <w:bookmarkEnd w:id="50"/>
      <w:bookmarkEnd w:id="51"/>
    </w:p>
    <w:p w14:paraId="204A0909">
      <w:pPr>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bookmarkStart w:id="52" w:name="_Toc35393805"/>
      <w:bookmarkStart w:id="53" w:name="_Toc44229885"/>
      <w:bookmarkStart w:id="54" w:name="_Toc28359095"/>
      <w:bookmarkStart w:id="55" w:name="_Toc28359018"/>
      <w:bookmarkStart w:id="56" w:name="_Toc35393636"/>
      <w:r>
        <w:rPr>
          <w:rFonts w:hint="eastAsia" w:ascii="宋体" w:hAnsi="宋体" w:cs="宋体"/>
          <w:color w:val="000000" w:themeColor="text1"/>
          <w:kern w:val="0"/>
          <w:szCs w:val="21"/>
          <w:highlight w:val="none"/>
          <w14:textFill>
            <w14:solidFill>
              <w14:schemeClr w14:val="tx1"/>
            </w14:solidFill>
          </w14:textFill>
        </w:rPr>
        <w:t>1.磋商保证金：无</w:t>
      </w:r>
    </w:p>
    <w:p w14:paraId="5DD834C8">
      <w:pPr>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2.本项目需要落实的政府采购政策：</w:t>
      </w:r>
    </w:p>
    <w:p w14:paraId="12340015">
      <w:pPr>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（1）政府采购促进中小企业发展。</w:t>
      </w:r>
    </w:p>
    <w:p w14:paraId="45588F7C">
      <w:pPr>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2</w:t>
      </w:r>
      <w:r>
        <w:rPr>
          <w:rFonts w:hint="eastAsia" w:ascii="宋体" w:hAnsi="宋体" w:cs="宋体"/>
          <w:color w:val="000000" w:themeColor="text1"/>
          <w:kern w:val="0"/>
          <w:szCs w:val="21"/>
          <w:highlight w:val="none"/>
          <w14:textFill>
            <w14:solidFill>
              <w14:schemeClr w14:val="tx1"/>
            </w14:solidFill>
          </w14:textFill>
        </w:rPr>
        <w:t>）强制采购节能产品；优先采购节能产品、环境标志产品。</w:t>
      </w:r>
    </w:p>
    <w:p w14:paraId="302AD4F1">
      <w:pPr>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）政府采购促进残疾人就业政策。</w:t>
      </w:r>
    </w:p>
    <w:p w14:paraId="14C99D64">
      <w:pPr>
        <w:spacing w:line="400" w:lineRule="exact"/>
        <w:ind w:firstLine="420" w:firstLineChars="200"/>
        <w:outlineLvl w:val="2"/>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4</w:t>
      </w:r>
      <w:r>
        <w:rPr>
          <w:rFonts w:hint="eastAsia" w:ascii="宋体" w:hAnsi="宋体" w:cs="宋体"/>
          <w:color w:val="000000" w:themeColor="text1"/>
          <w:kern w:val="0"/>
          <w:szCs w:val="21"/>
          <w:highlight w:val="none"/>
          <w14:textFill>
            <w14:solidFill>
              <w14:schemeClr w14:val="tx1"/>
            </w14:solidFill>
          </w14:textFill>
        </w:rPr>
        <w:t>）政府采购支持监狱企业发展。</w:t>
      </w:r>
    </w:p>
    <w:p w14:paraId="20FB54C2">
      <w:pPr>
        <w:spacing w:line="400" w:lineRule="exact"/>
        <w:ind w:firstLine="420" w:firstLineChars="200"/>
        <w:outlineLvl w:val="2"/>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3.网上查询地址</w:t>
      </w:r>
    </w:p>
    <w:p w14:paraId="35527598">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http://www.ccgp.gov.cn（中国政府采购网）、http://zfcg.gxzf.gov.cn/（广西壮族自治区政府采购网）、http://ggzy.jgswj.gxzf.gov.cn/ggggzy/全国公共资源交易平台（广西•贵港）</w:t>
      </w:r>
    </w:p>
    <w:p w14:paraId="1D4F343E">
      <w:pPr>
        <w:spacing w:line="380" w:lineRule="exact"/>
        <w:ind w:firstLine="420" w:firstLineChars="200"/>
        <w:outlineLvl w:val="2"/>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4.监督部门</w:t>
      </w:r>
    </w:p>
    <w:p w14:paraId="311D1540">
      <w:pPr>
        <w:spacing w:line="35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名    称：贵港市港北区财政局综合股 </w:t>
      </w:r>
      <w:r>
        <w:rPr>
          <w:rFonts w:hint="eastAsia" w:ascii="宋体" w:hAnsi="宋体"/>
          <w:color w:val="000000" w:themeColor="text1"/>
          <w:szCs w:val="21"/>
          <w:highlight w:val="none"/>
          <w:lang w:val="en-US" w:eastAsia="zh-CN"/>
          <w14:textFill>
            <w14:solidFill>
              <w14:schemeClr w14:val="tx1"/>
            </w14:solidFill>
          </w14:textFill>
        </w:rPr>
        <w:t xml:space="preserve">  </w:t>
      </w:r>
    </w:p>
    <w:p w14:paraId="43C4F94A">
      <w:pPr>
        <w:spacing w:line="35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话：0775-4258699,4258673</w:t>
      </w:r>
      <w:r>
        <w:rPr>
          <w:rFonts w:hint="eastAsia" w:ascii="宋体" w:hAnsi="宋体"/>
          <w:color w:val="000000" w:themeColor="text1"/>
          <w:szCs w:val="21"/>
          <w:highlight w:val="none"/>
          <w:lang w:val="en-US" w:eastAsia="zh-CN"/>
          <w14:textFill>
            <w14:solidFill>
              <w14:schemeClr w14:val="tx1"/>
            </w14:solidFill>
          </w14:textFill>
        </w:rPr>
        <w:t xml:space="preserve">  </w:t>
      </w:r>
    </w:p>
    <w:p w14:paraId="6C5E4B2A">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319C5C1">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6.未被“信用中国”（www.creditchina.gov.cn）、中国政府采购网（www.ccgp.gov.cn）列入失信被执行人、重大税收违法失信主体、政府采购严重违法失信行为记录名单。</w:t>
      </w:r>
    </w:p>
    <w:p w14:paraId="0635BE6F">
      <w:pPr>
        <w:spacing w:line="380" w:lineRule="exact"/>
        <w:ind w:firstLine="420" w:firstLineChars="200"/>
        <w:outlineLvl w:val="2"/>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7.在线投标响应（电子投标）说明</w:t>
      </w:r>
    </w:p>
    <w:p w14:paraId="451BDACC">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  （1）本项目为全流程电子化采购项目，通过广西政府采购云平台（https://www.gcy.zfcg.gxzf.gov.cn/）实行在线电子竞标，供应商应按照本项目竞争性磋商文件和广西政府采购云平台的要求编制、加密后在</w:t>
      </w:r>
      <w:r>
        <w:rPr>
          <w:rFonts w:hint="eastAsia" w:ascii="宋体" w:hAnsi="宋体" w:cs="宋体"/>
          <w:color w:val="000000" w:themeColor="text1"/>
          <w:kern w:val="0"/>
          <w:szCs w:val="21"/>
          <w:highlight w:val="none"/>
          <w:lang w:eastAsia="zh-CN"/>
          <w14:textFill>
            <w14:solidFill>
              <w14:schemeClr w14:val="tx1"/>
            </w14:solidFill>
          </w14:textFill>
        </w:rPr>
        <w:t>响应文件提交截止时间</w:t>
      </w:r>
      <w:r>
        <w:rPr>
          <w:rFonts w:hint="eastAsia" w:ascii="宋体" w:hAnsi="宋体" w:cs="宋体"/>
          <w:color w:val="000000" w:themeColor="text1"/>
          <w:kern w:val="0"/>
          <w:szCs w:val="21"/>
          <w:highlight w:val="none"/>
          <w14:textFill>
            <w14:solidFill>
              <w14:schemeClr w14:val="tx1"/>
            </w14:solidFill>
          </w14:textFill>
        </w:rPr>
        <w:t>前通过网络上传至广西政府采购云平台（加密的电子响应文件是指后缀名为“jmbs”的文件），</w:t>
      </w:r>
      <w:r>
        <w:rPr>
          <w:rFonts w:hint="eastAsia" w:ascii="宋体" w:hAnsi="宋体" w:cs="宋体"/>
          <w:b/>
          <w:bCs/>
          <w:color w:val="000000" w:themeColor="text1"/>
          <w:kern w:val="0"/>
          <w:szCs w:val="21"/>
          <w:highlight w:val="none"/>
          <w14:textFill>
            <w14:solidFill>
              <w14:schemeClr w14:val="tx1"/>
            </w14:solidFill>
          </w14:textFill>
        </w:rPr>
        <w:t>供应商在广西政府采购云平台提交电子响应文件时，请填写参加远程开标活动经办人联系方式。</w:t>
      </w:r>
      <w:r>
        <w:rPr>
          <w:rFonts w:hint="eastAsia" w:ascii="宋体" w:hAnsi="宋体" w:cs="宋体"/>
          <w:color w:val="000000" w:themeColor="text1"/>
          <w:kern w:val="0"/>
          <w:szCs w:val="21"/>
          <w:highlight w:val="none"/>
          <w14:textFill>
            <w14:solidFill>
              <w14:schemeClr w14:val="tx1"/>
            </w14:solidFill>
          </w14:textFill>
        </w:rPr>
        <w:t>供应商登录广西政府采购云平台，依次进入“服务中心-项目采购-操作流程-电子招投标-政府采购项目电子交易管理操作指南-供应商”查看电子竞标具体操作流程。</w:t>
      </w:r>
    </w:p>
    <w:p w14:paraId="0C9C8C11">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（2）未进行网上注册并办理数字证书（CA认证）的供应商将无法参与本项目政府采购活动，供应商应当在</w:t>
      </w:r>
      <w:r>
        <w:rPr>
          <w:rFonts w:hint="eastAsia" w:ascii="宋体" w:hAnsi="宋体" w:cs="宋体"/>
          <w:color w:val="000000" w:themeColor="text1"/>
          <w:kern w:val="0"/>
          <w:szCs w:val="21"/>
          <w:highlight w:val="none"/>
          <w:lang w:eastAsia="zh-CN"/>
          <w14:textFill>
            <w14:solidFill>
              <w14:schemeClr w14:val="tx1"/>
            </w14:solidFill>
          </w14:textFill>
        </w:rPr>
        <w:t>响应文件提交截止时间</w:t>
      </w:r>
      <w:r>
        <w:rPr>
          <w:rFonts w:hint="eastAsia" w:ascii="宋体" w:hAnsi="宋体" w:cs="宋体"/>
          <w:color w:val="000000" w:themeColor="text1"/>
          <w:kern w:val="0"/>
          <w:szCs w:val="21"/>
          <w:highlight w:val="none"/>
          <w14:textFill>
            <w14:solidFill>
              <w14:schemeClr w14:val="tx1"/>
            </w14:solidFill>
          </w14:textFill>
        </w:rPr>
        <w:t>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w:t>
      </w:r>
      <w:r>
        <w:rPr>
          <w:rFonts w:hint="eastAsia" w:ascii="宋体" w:hAnsi="宋体" w:cs="宋体"/>
          <w:b/>
          <w:bCs w:val="0"/>
          <w:color w:val="000000" w:themeColor="text1"/>
          <w:kern w:val="0"/>
          <w:szCs w:val="21"/>
          <w:highlight w:val="none"/>
          <w14:textFill>
            <w14:solidFill>
              <w14:schemeClr w14:val="tx1"/>
            </w14:solidFill>
          </w14:textFill>
        </w:rPr>
        <w:t>95763或者0771-3381253</w:t>
      </w:r>
      <w:r>
        <w:rPr>
          <w:rFonts w:hint="eastAsia" w:ascii="宋体" w:hAnsi="宋体" w:cs="宋体"/>
          <w:color w:val="000000" w:themeColor="text1"/>
          <w:kern w:val="0"/>
          <w:szCs w:val="21"/>
          <w:highlight w:val="none"/>
          <w14:textFill>
            <w14:solidFill>
              <w14:schemeClr w14:val="tx1"/>
            </w14:solidFill>
          </w14:textFill>
        </w:rPr>
        <w:t>）。</w:t>
      </w:r>
    </w:p>
    <w:p w14:paraId="097A6B33">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（3）CA证书在线解密：供应商竞标时，需凭制作响应文件时用来加密的有效数字证书（CA认证）登录广西政府采购云平台电子开标大厅现场按规定时间对加密的响应文件进行解密，否则后果自负。</w:t>
      </w:r>
    </w:p>
    <w:p w14:paraId="5B7F5F48">
      <w:pPr>
        <w:spacing w:line="3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注：1）为确保网上操作合法、有效和安全，请供应商确保在电子竞标过程中能够对相关数据电文进行加密和使用电子签章，妥善保管CA数字证书并使用有效的CA数字证书参与整个竞标活动；2）供应商应当在</w:t>
      </w:r>
      <w:r>
        <w:rPr>
          <w:rFonts w:hint="eastAsia" w:ascii="宋体" w:hAnsi="宋体" w:cs="宋体"/>
          <w:color w:val="000000" w:themeColor="text1"/>
          <w:kern w:val="0"/>
          <w:szCs w:val="21"/>
          <w:highlight w:val="none"/>
          <w:lang w:eastAsia="zh-CN"/>
          <w14:textFill>
            <w14:solidFill>
              <w14:schemeClr w14:val="tx1"/>
            </w14:solidFill>
          </w14:textFill>
        </w:rPr>
        <w:t>响应文件提交截止时间</w:t>
      </w:r>
      <w:r>
        <w:rPr>
          <w:rFonts w:hint="eastAsia" w:ascii="宋体" w:hAnsi="宋体" w:cs="宋体"/>
          <w:color w:val="000000" w:themeColor="text1"/>
          <w:kern w:val="0"/>
          <w:szCs w:val="21"/>
          <w:highlight w:val="none"/>
          <w14:textFill>
            <w14:solidFill>
              <w14:schemeClr w14:val="tx1"/>
            </w14:solidFill>
          </w14:textFill>
        </w:rPr>
        <w:t>前完成电子响应文件的上传、提交，</w:t>
      </w:r>
      <w:r>
        <w:rPr>
          <w:rFonts w:hint="eastAsia" w:ascii="宋体" w:hAnsi="宋体" w:cs="宋体"/>
          <w:color w:val="000000" w:themeColor="text1"/>
          <w:kern w:val="0"/>
          <w:szCs w:val="21"/>
          <w:highlight w:val="none"/>
          <w:lang w:eastAsia="zh-CN"/>
          <w14:textFill>
            <w14:solidFill>
              <w14:schemeClr w14:val="tx1"/>
            </w14:solidFill>
          </w14:textFill>
        </w:rPr>
        <w:t>响应文件提交截止时间</w:t>
      </w:r>
      <w:r>
        <w:rPr>
          <w:rFonts w:hint="eastAsia" w:ascii="宋体" w:hAnsi="宋体" w:cs="宋体"/>
          <w:color w:val="000000" w:themeColor="text1"/>
          <w:kern w:val="0"/>
          <w:szCs w:val="21"/>
          <w:highlight w:val="none"/>
          <w14:textFill>
            <w14:solidFill>
              <w14:schemeClr w14:val="tx1"/>
            </w14:solidFill>
          </w14:textFill>
        </w:rPr>
        <w:t>前可以补充、修改或者撤回响应文件。补充或者修改响应文件的，应当先行撤回原响应文件，补充、修改后重新上传、提交，</w:t>
      </w:r>
      <w:r>
        <w:rPr>
          <w:rFonts w:hint="eastAsia" w:ascii="宋体" w:hAnsi="宋体" w:cs="宋体"/>
          <w:color w:val="000000" w:themeColor="text1"/>
          <w:kern w:val="0"/>
          <w:szCs w:val="21"/>
          <w:highlight w:val="none"/>
          <w:lang w:eastAsia="zh-CN"/>
          <w14:textFill>
            <w14:solidFill>
              <w14:schemeClr w14:val="tx1"/>
            </w14:solidFill>
          </w14:textFill>
        </w:rPr>
        <w:t>响应文件提交截止时间</w:t>
      </w:r>
      <w:r>
        <w:rPr>
          <w:rFonts w:hint="eastAsia" w:ascii="宋体" w:hAnsi="宋体" w:cs="宋体"/>
          <w:color w:val="000000" w:themeColor="text1"/>
          <w:kern w:val="0"/>
          <w:szCs w:val="21"/>
          <w:highlight w:val="none"/>
          <w14:textFill>
            <w14:solidFill>
              <w14:schemeClr w14:val="tx1"/>
            </w14:solidFill>
          </w14:textFill>
        </w:rPr>
        <w:t>前未完成上传、提交的，视为撤回响应文件。</w:t>
      </w:r>
      <w:r>
        <w:rPr>
          <w:rFonts w:hint="eastAsia" w:ascii="宋体" w:hAnsi="宋体" w:cs="宋体"/>
          <w:color w:val="000000" w:themeColor="text1"/>
          <w:kern w:val="0"/>
          <w:szCs w:val="21"/>
          <w:highlight w:val="none"/>
          <w:lang w:eastAsia="zh-CN"/>
          <w14:textFill>
            <w14:solidFill>
              <w14:schemeClr w14:val="tx1"/>
            </w14:solidFill>
          </w14:textFill>
        </w:rPr>
        <w:t>响应文件提交截止时间</w:t>
      </w:r>
      <w:r>
        <w:rPr>
          <w:rFonts w:hint="eastAsia" w:ascii="宋体" w:hAnsi="宋体" w:cs="宋体"/>
          <w:color w:val="000000" w:themeColor="text1"/>
          <w:kern w:val="0"/>
          <w:szCs w:val="21"/>
          <w:highlight w:val="none"/>
          <w14:textFill>
            <w14:solidFill>
              <w14:schemeClr w14:val="tx1"/>
            </w14:solidFill>
          </w14:textFill>
        </w:rPr>
        <w:t>以后上传递交的响应文件，广西政府采购云平台将予以拒收；3）供应商需要在具备有摄像头及语音功能且互联网网络状况良好的电脑登录广西政府采购云平台远程开标大厅参与本次磋商，否则后果自负。</w:t>
      </w:r>
    </w:p>
    <w:p w14:paraId="02E4AC7F">
      <w:pPr>
        <w:spacing w:line="380" w:lineRule="exact"/>
        <w:ind w:firstLine="354" w:firstLineChars="147"/>
        <w:outlineLvl w:val="1"/>
        <w:rPr>
          <w:rFonts w:hint="eastAsia"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八、凡对本次采购提出询问，请按</w:t>
      </w:r>
      <w:r>
        <w:rPr>
          <w:rFonts w:ascii="黑体" w:hAnsi="黑体" w:eastAsia="黑体"/>
          <w:b/>
          <w:color w:val="000000" w:themeColor="text1"/>
          <w:sz w:val="24"/>
          <w:highlight w:val="none"/>
          <w14:textFill>
            <w14:solidFill>
              <w14:schemeClr w14:val="tx1"/>
            </w14:solidFill>
          </w14:textFill>
        </w:rPr>
        <w:t>以下方式</w:t>
      </w:r>
      <w:r>
        <w:rPr>
          <w:rFonts w:hint="eastAsia" w:ascii="黑体" w:hAnsi="黑体" w:eastAsia="黑体"/>
          <w:b/>
          <w:color w:val="000000" w:themeColor="text1"/>
          <w:sz w:val="24"/>
          <w:highlight w:val="none"/>
          <w14:textFill>
            <w14:solidFill>
              <w14:schemeClr w14:val="tx1"/>
            </w14:solidFill>
          </w14:textFill>
        </w:rPr>
        <w:t>联系。</w:t>
      </w:r>
      <w:bookmarkEnd w:id="52"/>
      <w:bookmarkEnd w:id="53"/>
      <w:bookmarkEnd w:id="54"/>
      <w:bookmarkEnd w:id="55"/>
      <w:bookmarkEnd w:id="56"/>
    </w:p>
    <w:p w14:paraId="7A578DB8">
      <w:pPr>
        <w:spacing w:line="380" w:lineRule="exact"/>
        <w:ind w:firstLine="420" w:firstLineChars="200"/>
        <w:outlineLvl w:val="2"/>
        <w:rPr>
          <w:rFonts w:hint="eastAsia" w:ascii="宋体" w:hAnsi="宋体" w:cs="宋体"/>
          <w:color w:val="000000" w:themeColor="text1"/>
          <w:kern w:val="0"/>
          <w:szCs w:val="21"/>
          <w:highlight w:val="none"/>
          <w14:textFill>
            <w14:solidFill>
              <w14:schemeClr w14:val="tx1"/>
            </w14:solidFill>
          </w14:textFill>
        </w:rPr>
      </w:pPr>
      <w:bookmarkStart w:id="57" w:name="_Toc35393637"/>
      <w:bookmarkStart w:id="58" w:name="_Toc35393806"/>
      <w:bookmarkStart w:id="59" w:name="_Toc28359096"/>
      <w:bookmarkStart w:id="60" w:name="_Toc28359019"/>
      <w:r>
        <w:rPr>
          <w:rFonts w:hint="eastAsia" w:ascii="宋体" w:hAnsi="宋体" w:cs="宋体"/>
          <w:color w:val="000000" w:themeColor="text1"/>
          <w:kern w:val="0"/>
          <w:szCs w:val="21"/>
          <w:highlight w:val="none"/>
          <w14:textFill>
            <w14:solidFill>
              <w14:schemeClr w14:val="tx1"/>
            </w14:solidFill>
          </w14:textFill>
        </w:rPr>
        <w:t>1.采购人信息</w:t>
      </w:r>
      <w:bookmarkEnd w:id="57"/>
      <w:bookmarkEnd w:id="58"/>
      <w:bookmarkEnd w:id="59"/>
      <w:bookmarkEnd w:id="60"/>
    </w:p>
    <w:p w14:paraId="70FC3FDA">
      <w:pPr>
        <w:spacing w:line="38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    称：</w:t>
      </w:r>
      <w:r>
        <w:rPr>
          <w:rFonts w:hint="eastAsia" w:ascii="宋体" w:hAnsi="宋体"/>
          <w:color w:val="000000" w:themeColor="text1"/>
          <w:szCs w:val="21"/>
          <w:highlight w:val="none"/>
          <w:lang w:eastAsia="zh-CN"/>
          <w14:textFill>
            <w14:solidFill>
              <w14:schemeClr w14:val="tx1"/>
            </w14:solidFill>
          </w14:textFill>
        </w:rPr>
        <w:t>贵港市港北区公路事业发展中心</w:t>
      </w:r>
    </w:p>
    <w:p w14:paraId="4AD9BB33">
      <w:pPr>
        <w:spacing w:line="380" w:lineRule="exact"/>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址：贵港市港北区金港大道904号</w:t>
      </w:r>
    </w:p>
    <w:p w14:paraId="5A86742E">
      <w:pPr>
        <w:spacing w:line="38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w:t>
      </w:r>
      <w:r>
        <w:rPr>
          <w:rFonts w:hint="eastAsia" w:ascii="宋体" w:hAnsi="宋体"/>
          <w:color w:val="000000" w:themeColor="text1"/>
          <w:szCs w:val="21"/>
          <w:highlight w:val="none"/>
          <w:lang w:eastAsia="zh-CN"/>
          <w14:textFill>
            <w14:solidFill>
              <w14:schemeClr w14:val="tx1"/>
            </w14:solidFill>
          </w14:textFill>
        </w:rPr>
        <w:t>黄</w:t>
      </w:r>
      <w:r>
        <w:rPr>
          <w:rFonts w:hint="eastAsia" w:ascii="宋体" w:hAnsi="宋体"/>
          <w:color w:val="000000" w:themeColor="text1"/>
          <w:szCs w:val="21"/>
          <w:highlight w:val="none"/>
          <w:lang w:val="en-US" w:eastAsia="zh-CN"/>
          <w14:textFill>
            <w14:solidFill>
              <w14:schemeClr w14:val="tx1"/>
            </w14:solidFill>
          </w14:textFill>
        </w:rPr>
        <w:t>工</w:t>
      </w:r>
    </w:p>
    <w:p w14:paraId="1F160DC9">
      <w:pPr>
        <w:spacing w:line="380" w:lineRule="exact"/>
        <w:ind w:firstLine="420" w:firstLineChars="200"/>
        <w:jc w:val="left"/>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联系方式：</w:t>
      </w:r>
      <w:r>
        <w:rPr>
          <w:rFonts w:hint="eastAsia" w:ascii="宋体" w:hAnsi="宋体"/>
          <w:color w:val="000000" w:themeColor="text1"/>
          <w:szCs w:val="21"/>
          <w:highlight w:val="none"/>
          <w:lang w:val="en-US" w:eastAsia="zh-CN"/>
          <w14:textFill>
            <w14:solidFill>
              <w14:schemeClr w14:val="tx1"/>
            </w14:solidFill>
          </w14:textFill>
        </w:rPr>
        <w:t>0775-4566422</w:t>
      </w:r>
    </w:p>
    <w:p w14:paraId="4EBA9B2B">
      <w:pPr>
        <w:spacing w:line="380" w:lineRule="exact"/>
        <w:ind w:firstLine="420" w:firstLineChars="200"/>
        <w:outlineLvl w:val="2"/>
        <w:rPr>
          <w:rFonts w:hint="eastAsia" w:ascii="宋体" w:hAnsi="宋体" w:cs="宋体"/>
          <w:color w:val="000000" w:themeColor="text1"/>
          <w:kern w:val="0"/>
          <w:szCs w:val="21"/>
          <w:highlight w:val="none"/>
          <w14:textFill>
            <w14:solidFill>
              <w14:schemeClr w14:val="tx1"/>
            </w14:solidFill>
          </w14:textFill>
        </w:rPr>
      </w:pPr>
      <w:bookmarkStart w:id="61" w:name="_Toc28359097"/>
      <w:bookmarkStart w:id="62" w:name="_Toc28359020"/>
      <w:bookmarkStart w:id="63" w:name="_Toc35393638"/>
      <w:bookmarkStart w:id="64" w:name="_Toc35393807"/>
      <w:r>
        <w:rPr>
          <w:rFonts w:hint="eastAsia" w:ascii="宋体" w:hAnsi="宋体" w:cs="宋体"/>
          <w:color w:val="000000" w:themeColor="text1"/>
          <w:kern w:val="0"/>
          <w:szCs w:val="21"/>
          <w:highlight w:val="none"/>
          <w14:textFill>
            <w14:solidFill>
              <w14:schemeClr w14:val="tx1"/>
            </w14:solidFill>
          </w14:textFill>
        </w:rPr>
        <w:t>2.采购代理机构信息</w:t>
      </w:r>
      <w:bookmarkEnd w:id="61"/>
      <w:bookmarkEnd w:id="62"/>
      <w:bookmarkEnd w:id="63"/>
      <w:bookmarkEnd w:id="64"/>
    </w:p>
    <w:p w14:paraId="2DEF1F92">
      <w:pPr>
        <w:spacing w:line="380" w:lineRule="exact"/>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    称：</w:t>
      </w:r>
      <w:r>
        <w:rPr>
          <w:rFonts w:hint="eastAsia" w:ascii="宋体" w:hAnsi="宋体" w:cs="宋体"/>
          <w:color w:val="000000" w:themeColor="text1"/>
          <w:szCs w:val="21"/>
          <w:highlight w:val="none"/>
          <w:lang w:eastAsia="zh-CN"/>
          <w14:textFill>
            <w14:solidFill>
              <w14:schemeClr w14:val="tx1"/>
            </w14:solidFill>
          </w14:textFill>
        </w:rPr>
        <w:t>广西浩港工程项目管理有限公司</w:t>
      </w:r>
    </w:p>
    <w:p w14:paraId="197396DC">
      <w:pPr>
        <w:spacing w:line="380" w:lineRule="exact"/>
        <w:ind w:firstLine="420" w:firstLineChars="200"/>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地　　址：贵港市港北区民主路365号（</w:t>
      </w:r>
      <w:r>
        <w:rPr>
          <w:rFonts w:hint="eastAsia" w:ascii="宋体" w:hAnsi="宋体"/>
          <w:color w:val="000000" w:themeColor="text1"/>
          <w:szCs w:val="21"/>
          <w:highlight w:val="none"/>
          <w:u w:val="none"/>
          <w:lang w:val="en-US" w:eastAsia="zh-CN"/>
          <w14:textFill>
            <w14:solidFill>
              <w14:schemeClr w14:val="tx1"/>
            </w14:solidFill>
          </w14:textFill>
        </w:rPr>
        <w:t>四楼</w:t>
      </w:r>
      <w:r>
        <w:rPr>
          <w:rFonts w:hint="eastAsia" w:ascii="宋体" w:hAnsi="宋体"/>
          <w:color w:val="000000" w:themeColor="text1"/>
          <w:szCs w:val="21"/>
          <w:highlight w:val="none"/>
          <w:u w:val="none"/>
          <w14:textFill>
            <w14:solidFill>
              <w14:schemeClr w14:val="tx1"/>
            </w14:solidFill>
          </w14:textFill>
        </w:rPr>
        <w:t>）</w:t>
      </w:r>
    </w:p>
    <w:p w14:paraId="15773843">
      <w:pPr>
        <w:spacing w:line="380" w:lineRule="exact"/>
        <w:ind w:firstLine="420" w:firstLineChars="200"/>
        <w:rPr>
          <w:rFonts w:hint="eastAsia" w:ascii="宋体" w:hAnsi="宋体"/>
          <w:color w:val="000000" w:themeColor="text1"/>
          <w:szCs w:val="21"/>
          <w:highlight w:val="none"/>
          <w:u w:val="none"/>
          <w:lang w:eastAsia="zh-CN"/>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项目联系人：</w:t>
      </w:r>
      <w:r>
        <w:rPr>
          <w:rFonts w:hint="eastAsia" w:ascii="宋体" w:hAnsi="宋体"/>
          <w:color w:val="000000" w:themeColor="text1"/>
          <w:szCs w:val="21"/>
          <w:highlight w:val="none"/>
          <w:u w:val="none"/>
          <w:lang w:eastAsia="zh-CN"/>
          <w14:textFill>
            <w14:solidFill>
              <w14:schemeClr w14:val="tx1"/>
            </w14:solidFill>
          </w14:textFill>
        </w:rPr>
        <w:t>方严聆</w:t>
      </w:r>
    </w:p>
    <w:p w14:paraId="3366F3CD">
      <w:pPr>
        <w:spacing w:line="380" w:lineRule="exact"/>
        <w:ind w:firstLine="420" w:firstLineChars="200"/>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项目联系方式：</w:t>
      </w:r>
      <w:r>
        <w:rPr>
          <w:rFonts w:hint="eastAsia" w:ascii="宋体" w:hAnsi="宋体"/>
          <w:color w:val="000000" w:themeColor="text1"/>
          <w:szCs w:val="21"/>
          <w:highlight w:val="none"/>
          <w:u w:val="none"/>
          <w:lang w:eastAsia="zh-CN"/>
          <w14:textFill>
            <w14:solidFill>
              <w14:schemeClr w14:val="tx1"/>
            </w14:solidFill>
          </w14:textFill>
        </w:rPr>
        <w:t>0775-4520865</w:t>
      </w:r>
    </w:p>
    <w:p w14:paraId="37755DE5">
      <w:pPr>
        <w:spacing w:line="380" w:lineRule="exact"/>
        <w:ind w:firstLine="420" w:firstLineChars="200"/>
        <w:rPr>
          <w:rFonts w:hint="eastAsia" w:ascii="宋体" w:hAnsi="宋体"/>
          <w:color w:val="000000" w:themeColor="text1"/>
          <w:szCs w:val="21"/>
          <w:highlight w:val="none"/>
          <w:u w:val="single"/>
          <w14:textFill>
            <w14:solidFill>
              <w14:schemeClr w14:val="tx1"/>
            </w14:solidFill>
          </w14:textFill>
        </w:rPr>
      </w:pPr>
    </w:p>
    <w:bookmarkEnd w:id="11"/>
    <w:p w14:paraId="1E6D0733">
      <w:pPr>
        <w:pStyle w:val="2"/>
        <w:spacing w:before="300" w:after="300" w:line="360" w:lineRule="auto"/>
        <w:jc w:val="center"/>
        <w:rPr>
          <w:color w:val="000000" w:themeColor="text1"/>
          <w:highlight w:val="none"/>
          <w14:textFill>
            <w14:solidFill>
              <w14:schemeClr w14:val="tx1"/>
            </w14:solidFill>
          </w14:textFill>
        </w:rPr>
      </w:pPr>
      <w:r>
        <w:rPr>
          <w:rFonts w:ascii="宋体" w:hAnsi="宋体"/>
          <w:color w:val="000000" w:themeColor="text1"/>
          <w:sz w:val="32"/>
          <w:szCs w:val="32"/>
          <w:highlight w:val="none"/>
          <w14:textFill>
            <w14:solidFill>
              <w14:schemeClr w14:val="tx1"/>
            </w14:solidFill>
          </w14:textFill>
        </w:rPr>
        <w:br w:type="page"/>
      </w:r>
      <w:bookmarkStart w:id="65" w:name="_Toc5985"/>
      <w:bookmarkStart w:id="66" w:name="_Toc21890"/>
      <w:bookmarkStart w:id="67" w:name="_Toc13795"/>
      <w:r>
        <w:rPr>
          <w:rFonts w:hint="eastAsia"/>
          <w:color w:val="000000" w:themeColor="text1"/>
          <w:highlight w:val="none"/>
          <w14:textFill>
            <w14:solidFill>
              <w14:schemeClr w14:val="tx1"/>
            </w14:solidFill>
          </w14:textFill>
        </w:rPr>
        <w:t>第二章 供应商须知</w:t>
      </w:r>
      <w:bookmarkEnd w:id="65"/>
      <w:bookmarkEnd w:id="66"/>
      <w:bookmarkEnd w:id="67"/>
    </w:p>
    <w:p w14:paraId="283FEEB5">
      <w:pPr>
        <w:spacing w:line="400" w:lineRule="exact"/>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供应商须知前附表</w:t>
      </w:r>
    </w:p>
    <w:p w14:paraId="763C344C">
      <w:pPr>
        <w:spacing w:line="400" w:lineRule="exact"/>
        <w:jc w:val="center"/>
        <w:rPr>
          <w:rFonts w:hint="eastAsia" w:ascii="宋体" w:hAnsi="宋体"/>
          <w:b/>
          <w:color w:val="000000" w:themeColor="text1"/>
          <w:sz w:val="32"/>
          <w:szCs w:val="32"/>
          <w:highlight w:val="none"/>
          <w14:textFill>
            <w14:solidFill>
              <w14:schemeClr w14:val="tx1"/>
            </w14:solidFill>
          </w14:textFill>
        </w:rPr>
      </w:pPr>
    </w:p>
    <w:tbl>
      <w:tblPr>
        <w:tblStyle w:val="45"/>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D652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5B71135F">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7912" w:type="dxa"/>
          </w:tcPr>
          <w:p w14:paraId="6EE1E5AD">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    容</w:t>
            </w:r>
          </w:p>
        </w:tc>
      </w:tr>
      <w:tr w14:paraId="38E2F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071E0C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7912" w:type="dxa"/>
            <w:vAlign w:val="center"/>
          </w:tcPr>
          <w:p w14:paraId="4373AA9C">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1.供应商的资格条件</w:t>
            </w:r>
            <w:r>
              <w:rPr>
                <w:rFonts w:hint="eastAsia" w:ascii="宋体" w:hAnsi="宋体" w:cs="宋体"/>
                <w:color w:val="000000" w:themeColor="text1"/>
                <w:szCs w:val="21"/>
                <w:highlight w:val="none"/>
                <w14:textFill>
                  <w14:solidFill>
                    <w14:schemeClr w14:val="tx1"/>
                  </w14:solidFill>
                </w14:textFill>
              </w:rPr>
              <w:t>：详见竞争性磋商公告</w:t>
            </w:r>
          </w:p>
          <w:p w14:paraId="5E5B8EB0">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出现下列情形之一的，不得参加政府采购活动：</w:t>
            </w:r>
          </w:p>
          <w:p w14:paraId="69CB3FBF">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5817807">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F345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0D890F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w:t>
            </w:r>
          </w:p>
        </w:tc>
        <w:tc>
          <w:tcPr>
            <w:tcW w:w="7912" w:type="dxa"/>
            <w:vAlign w:val="center"/>
          </w:tcPr>
          <w:p w14:paraId="639C556A">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是否接受联合体竞标: 详见竞争性磋商公告</w:t>
            </w:r>
          </w:p>
        </w:tc>
      </w:tr>
      <w:tr w14:paraId="0F4E8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45839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.2</w:t>
            </w:r>
          </w:p>
        </w:tc>
        <w:tc>
          <w:tcPr>
            <w:tcW w:w="7912" w:type="dxa"/>
            <w:vAlign w:val="center"/>
          </w:tcPr>
          <w:p w14:paraId="4A6C2EF2">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如接受联合体竞标，联合体竞标要求如下：</w:t>
            </w:r>
          </w:p>
          <w:p w14:paraId="44FE010A">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两个以上供应商可以组成一个竞标联合体，以一个供应商的身份共同参加竞标。联合体竞标的，须提供《联合体竞标协议书》（格式后附）。</w:t>
            </w:r>
          </w:p>
          <w:p w14:paraId="375B542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62192A9C">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联合体各方之间必须签订联合竞标协议，协议书必须明确主体方（或者牵头方）并明确约定联合体各方承担的工作和相应的责任（</w:t>
            </w:r>
            <w:r>
              <w:rPr>
                <w:rFonts w:hint="eastAsia" w:ascii="宋体" w:hAnsi="宋体" w:cs="宋体"/>
                <w:b/>
                <w:color w:val="000000" w:themeColor="text1"/>
                <w:szCs w:val="21"/>
                <w:highlight w:val="none"/>
                <w14:textFill>
                  <w14:solidFill>
                    <w14:schemeClr w14:val="tx1"/>
                  </w14:solidFill>
                </w14:textFill>
              </w:rPr>
              <w:t>各方承担责任与义务的分工必须符合采购需求，否则，联合体竞标无效</w:t>
            </w:r>
            <w:r>
              <w:rPr>
                <w:rFonts w:hint="eastAsia" w:ascii="宋体" w:hAnsi="宋体" w:cs="宋体"/>
                <w:color w:val="000000" w:themeColor="text1"/>
                <w:szCs w:val="21"/>
                <w:highlight w:val="none"/>
                <w14:textFill>
                  <w14:solidFill>
                    <w14:schemeClr w14:val="tx1"/>
                  </w14:solidFill>
                </w14:textFill>
              </w:rPr>
              <w:t>），并将联合竞标协议放入响应文件。联合体各方必须共同与采购人签订采购合同，就采购合同约定的事项对采购人承担连带责任。</w:t>
            </w:r>
          </w:p>
          <w:p w14:paraId="02048398">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以联合体形式参加政府采购活动的，联合体各方不得再单独参加或者与其他供应商另外组成联合体参加同一合同项下的政府采购活动。</w:t>
            </w:r>
          </w:p>
          <w:p w14:paraId="4396D6C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联合体中有同类资质的供应商按照联合体分工承担相同工作的，应当按照资质等级较低的供应商确定资质等级。</w:t>
            </w:r>
          </w:p>
          <w:p w14:paraId="3EDB2D4A">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联合体竞标业绩、履约能力按照联合体各方中较高的一方认定并计算（磋商文件另有规定的除外）。</w:t>
            </w:r>
          </w:p>
          <w:p w14:paraId="0CDD13C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供应商为联合体的，可以由联合体中的一方或者多方共同交纳磋商保证金，其交纳的保证金对联合体各方均具有约束力。</w:t>
            </w:r>
          </w:p>
          <w:p w14:paraId="0508C28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联合体各方均应按照磋商文件的规定提交资格证明文件。</w:t>
            </w:r>
          </w:p>
        </w:tc>
      </w:tr>
      <w:tr w14:paraId="75691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1020AC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7912" w:type="dxa"/>
            <w:vAlign w:val="center"/>
          </w:tcPr>
          <w:p w14:paraId="0A2BC0FD">
            <w:pPr>
              <w:pStyle w:val="16"/>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不允许分包</w:t>
            </w:r>
          </w:p>
        </w:tc>
      </w:tr>
      <w:tr w14:paraId="5E3A3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D8BE3E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w:t>
            </w:r>
            <w:r>
              <w:rPr>
                <w:rFonts w:ascii="宋体" w:hAnsi="宋体" w:cs="宋体"/>
                <w:color w:val="000000" w:themeColor="text1"/>
                <w:szCs w:val="21"/>
                <w:highlight w:val="none"/>
                <w14:textFill>
                  <w14:solidFill>
                    <w14:schemeClr w14:val="tx1"/>
                  </w14:solidFill>
                </w14:textFill>
              </w:rPr>
              <w:t>1</w:t>
            </w:r>
          </w:p>
        </w:tc>
        <w:tc>
          <w:tcPr>
            <w:tcW w:w="7912" w:type="dxa"/>
            <w:vAlign w:val="center"/>
          </w:tcPr>
          <w:p w14:paraId="6D22FD1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资格证明文件</w:t>
            </w:r>
          </w:p>
          <w:p w14:paraId="40B4F5CD">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1.供应商为法人或者其他组织的提供其营业执照等证明文件</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（如营业执照或者事业单位法人证书或者执业许可证或者登记证书等）；</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64825E83">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val="en-US" w:eastAsia="zh-CN"/>
                <w14:textFill>
                  <w14:solidFill>
                    <w14:schemeClr w14:val="tx1"/>
                  </w14:solidFill>
                </w14:textFill>
              </w:rPr>
              <w:t>贵港</w:t>
            </w:r>
            <w:r>
              <w:rPr>
                <w:rFonts w:hint="eastAsia" w:ascii="宋体" w:hAnsi="宋体" w:cs="宋体"/>
                <w:color w:val="000000" w:themeColor="text1"/>
                <w:szCs w:val="21"/>
                <w:highlight w:val="none"/>
                <w:lang w:eastAsia="zh-CN"/>
                <w14:textFill>
                  <w14:solidFill>
                    <w14:schemeClr w14:val="tx1"/>
                  </w14:solidFill>
                </w14:textFill>
              </w:rPr>
              <w:t>市政府采购项目投标资格承诺</w:t>
            </w:r>
            <w:r>
              <w:rPr>
                <w:rFonts w:hint="eastAsia" w:ascii="宋体" w:hAnsi="宋体" w:cs="宋体"/>
                <w:color w:val="000000" w:themeColor="text1"/>
                <w:szCs w:val="21"/>
                <w:highlight w:val="none"/>
                <w14:textFill>
                  <w14:solidFill>
                    <w14:schemeClr w14:val="tx1"/>
                  </w14:solidFill>
                </w14:textFill>
              </w:rPr>
              <w:t>》（格式后附）；</w:t>
            </w:r>
            <w:r>
              <w:rPr>
                <w:rFonts w:hint="eastAsia" w:ascii="宋体" w:hAnsi="宋体" w:cs="宋体"/>
                <w:b/>
                <w:color w:val="000000" w:themeColor="text1"/>
                <w:szCs w:val="21"/>
                <w:highlight w:val="none"/>
                <w14:textFill>
                  <w14:solidFill>
                    <w14:schemeClr w14:val="tx1"/>
                  </w14:solidFill>
                </w14:textFill>
              </w:rPr>
              <w:t>（必须提供，否则响应文件作无效处理）</w:t>
            </w:r>
          </w:p>
          <w:p w14:paraId="3D8B8299">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3.供应商直接控股、管理关系信息表（格式后附）；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2E93315C">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4.竞标声明（格式后附）；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648FB431">
            <w:pPr>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5.有效的资质证书副本、有效的企业安全生产许可证副本</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06085768">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.拟担任本项目工程项目经理（注册建造师）简历表；附拟担任本工程项目经理有效的</w:t>
            </w:r>
            <w:r>
              <w:rPr>
                <w:rFonts w:hint="eastAsia" w:ascii="宋体" w:hAnsi="宋体" w:cs="宋体"/>
                <w:color w:val="000000" w:themeColor="text1"/>
                <w:szCs w:val="21"/>
                <w:highlight w:val="none"/>
                <w:lang w:eastAsia="zh-CN"/>
                <w14:textFill>
                  <w14:solidFill>
                    <w14:schemeClr w14:val="tx1"/>
                  </w14:solidFill>
                </w14:textFill>
              </w:rPr>
              <w:t>注册建造师证书</w:t>
            </w:r>
            <w:r>
              <w:rPr>
                <w:rFonts w:hint="eastAsia" w:ascii="宋体" w:hAnsi="宋体" w:cs="宋体"/>
                <w:color w:val="000000" w:themeColor="text1"/>
                <w:szCs w:val="21"/>
                <w:highlight w:val="none"/>
                <w14:textFill>
                  <w14:solidFill>
                    <w14:schemeClr w14:val="tx1"/>
                  </w14:solidFill>
                </w14:textFill>
              </w:rPr>
              <w:t>、其安全生产考核合格证</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及有效的身份证正反面</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58D14642">
            <w:pPr>
              <w:spacing w:line="360" w:lineRule="auto"/>
              <w:rPr>
                <w:rFonts w:hint="default" w:eastAsia="宋体"/>
                <w:color w:val="000000" w:themeColor="text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拟担任本工程</w:t>
            </w:r>
            <w:r>
              <w:rPr>
                <w:rFonts w:hint="eastAsia" w:ascii="宋体" w:hAnsi="宋体" w:eastAsia="宋体" w:cs="宋体"/>
                <w:color w:val="000000" w:themeColor="text1"/>
                <w:szCs w:val="21"/>
                <w:highlight w:val="none"/>
                <w:lang w:val="en-US" w:eastAsia="zh-CN"/>
                <w14:textFill>
                  <w14:solidFill>
                    <w14:schemeClr w14:val="tx1"/>
                  </w14:solidFill>
                </w14:textFill>
              </w:rPr>
              <w:t>安全管理</w:t>
            </w:r>
            <w:r>
              <w:rPr>
                <w:rFonts w:hint="eastAsia" w:ascii="宋体" w:hAnsi="宋体" w:cs="宋体"/>
                <w:color w:val="000000" w:themeColor="text1"/>
                <w:szCs w:val="21"/>
                <w:highlight w:val="none"/>
                <w:lang w:val="en-US" w:eastAsia="zh-CN"/>
                <w14:textFill>
                  <w14:solidFill>
                    <w14:schemeClr w14:val="tx1"/>
                  </w14:solidFill>
                </w14:textFill>
              </w:rPr>
              <w:t>员</w:t>
            </w:r>
            <w:r>
              <w:rPr>
                <w:rFonts w:hint="eastAsia" w:ascii="宋体" w:hAnsi="宋体" w:cs="宋体"/>
                <w:color w:val="000000" w:themeColor="text1"/>
                <w:szCs w:val="21"/>
                <w:highlight w:val="none"/>
                <w14:textFill>
                  <w14:solidFill>
                    <w14:schemeClr w14:val="tx1"/>
                  </w14:solidFill>
                </w14:textFill>
              </w:rPr>
              <w:t>有效的</w:t>
            </w:r>
            <w:r>
              <w:rPr>
                <w:rFonts w:hint="eastAsia" w:ascii="宋体" w:hAnsi="宋体" w:cs="宋体"/>
                <w:color w:val="000000" w:themeColor="text1"/>
                <w:szCs w:val="21"/>
                <w:highlight w:val="none"/>
                <w:lang w:val="en-US" w:eastAsia="zh-CN"/>
                <w14:textFill>
                  <w14:solidFill>
                    <w14:schemeClr w14:val="tx1"/>
                  </w14:solidFill>
                </w14:textFill>
              </w:rPr>
              <w:t>安全生产考核合格证书（C类）</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及有效的身份证正反面</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6C2F1C8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.供应商参加政府采购活动前三年内在经营活动中没有重大违法记录和不良信用记</w:t>
            </w:r>
          </w:p>
          <w:p w14:paraId="7669F830">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录的书面声明原件;(供应商可在“信用中国”网站(www.creditchina.gov.cn)、中国</w:t>
            </w:r>
          </w:p>
          <w:p w14:paraId="4BE5EA3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政府采购网(www.ccgp.gov.cn)查询相关供应商主体信用记录，同时将查询结果截图</w:t>
            </w:r>
          </w:p>
          <w:p w14:paraId="23A8220E">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加盖单位公章与上述书面声明一并提交);(必须提供，加盖单位电子公章)</w:t>
            </w:r>
          </w:p>
          <w:p w14:paraId="3E96D88A">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中小企业声明函（格式后附）或残疾人福利性单位声明函（格式后附）或监狱企业的证明文件；</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2DBAAD0D">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信用承诺书；</w:t>
            </w:r>
            <w:r>
              <w:rPr>
                <w:rFonts w:hint="eastAsia" w:ascii="宋体" w:hAnsi="宋体" w:cs="宋体"/>
                <w:b/>
                <w:bCs/>
                <w:color w:val="000000" w:themeColor="text1"/>
                <w:szCs w:val="21"/>
                <w:highlight w:val="none"/>
                <w14:textFill>
                  <w14:solidFill>
                    <w14:schemeClr w14:val="tx1"/>
                  </w14:solidFill>
                </w14:textFill>
              </w:rPr>
              <w:t>（必须提供）</w:t>
            </w:r>
          </w:p>
          <w:p w14:paraId="30068601">
            <w:pPr>
              <w:spacing w:line="360" w:lineRule="auto"/>
              <w:rPr>
                <w:rFonts w:hint="default"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11.</w:t>
            </w:r>
            <w:r>
              <w:rPr>
                <w:rFonts w:hint="eastAsia" w:ascii="宋体" w:hAnsi="宋体" w:cs="宋体"/>
                <w:color w:val="000000" w:themeColor="text1"/>
                <w:szCs w:val="21"/>
                <w:highlight w:val="none"/>
                <w14:textFill>
                  <w14:solidFill>
                    <w14:schemeClr w14:val="tx1"/>
                  </w14:solidFill>
                </w14:textFill>
              </w:rPr>
              <w:t>资格证明文件（编制时应与公告的特定资格要求相对应；</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3C4418C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除竞争性磋商文件</w:t>
            </w:r>
            <w:r>
              <w:rPr>
                <w:rFonts w:hint="eastAsia" w:ascii="宋体" w:hAnsi="宋体" w:cs="宋体"/>
                <w:color w:val="000000" w:themeColor="text1"/>
                <w:szCs w:val="21"/>
                <w:highlight w:val="none"/>
                <w14:textFill>
                  <w14:solidFill>
                    <w14:schemeClr w14:val="tx1"/>
                  </w14:solidFill>
                </w14:textFill>
              </w:rPr>
              <w:t>规定必须提供以外，供应商认为需要提供的其他证明材料其他）。</w:t>
            </w:r>
          </w:p>
          <w:p w14:paraId="6E56CF8B">
            <w:pPr>
              <w:snapToGrid w:val="0"/>
              <w:spacing w:line="32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w:t>
            </w:r>
          </w:p>
          <w:p w14:paraId="669F046E">
            <w:pPr>
              <w:snapToGrid w:val="0"/>
              <w:spacing w:line="320" w:lineRule="exact"/>
              <w:ind w:firstLine="413" w:firstLineChars="196"/>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以上标明“必须提供”的材料属于</w:t>
            </w:r>
            <w:r>
              <w:rPr>
                <w:rFonts w:hint="eastAsia" w:ascii="宋体" w:hAnsi="宋体" w:cs="宋体"/>
                <w:b/>
                <w:color w:val="000000" w:themeColor="text1"/>
                <w:szCs w:val="21"/>
                <w:highlight w:val="none"/>
                <w:lang w:eastAsia="zh-CN"/>
                <w14:textFill>
                  <w14:solidFill>
                    <w14:schemeClr w14:val="tx1"/>
                  </w14:solidFill>
                </w14:textFill>
              </w:rPr>
              <w:t>复印件（或扫描件）</w:t>
            </w:r>
            <w:r>
              <w:rPr>
                <w:rFonts w:hint="eastAsia" w:ascii="宋体" w:hAnsi="宋体" w:cs="宋体"/>
                <w:b/>
                <w:color w:val="000000" w:themeColor="text1"/>
                <w:szCs w:val="21"/>
                <w:highlight w:val="none"/>
                <w14:textFill>
                  <w14:solidFill>
                    <w14:schemeClr w14:val="tx1"/>
                  </w14:solidFill>
                </w14:textFill>
              </w:rPr>
              <w:t>的，必须加盖供应商公章或电子签章，否则响应文件按无效响应处理。</w:t>
            </w:r>
          </w:p>
          <w:p w14:paraId="456AD78C">
            <w:pPr>
              <w:snapToGrid w:val="0"/>
              <w:spacing w:line="320" w:lineRule="exact"/>
              <w:ind w:firstLine="413" w:firstLineChars="196"/>
              <w:jc w:val="left"/>
              <w:rPr>
                <w:rFonts w:hint="eastAsia" w:ascii="宋体" w:hAnsi="宋体" w:cs="宋体"/>
                <w:b/>
                <w:color w:val="000000" w:themeColor="text1"/>
                <w:szCs w:val="21"/>
                <w:highlight w:val="none"/>
                <w14:textFill>
                  <w14:solidFill>
                    <w14:schemeClr w14:val="tx1"/>
                  </w14:solidFill>
                </w14:textFill>
              </w:rPr>
            </w:pPr>
          </w:p>
        </w:tc>
      </w:tr>
      <w:tr w14:paraId="78ECE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E0CEFC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w:t>
            </w:r>
          </w:p>
        </w:tc>
        <w:tc>
          <w:tcPr>
            <w:tcW w:w="7912" w:type="dxa"/>
            <w:vAlign w:val="center"/>
          </w:tcPr>
          <w:p w14:paraId="1F19ED6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报价文件</w:t>
            </w:r>
          </w:p>
          <w:p w14:paraId="30E6E77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1.竞标函及竞标函附录（格式后附）；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p>
          <w:p w14:paraId="54B04396">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2.竞标报价表（格式后附）；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p>
          <w:p w14:paraId="4993F92C">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3.已标价工程量清单；</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3C17C997">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4.供应商认为需要提供的其他有关资料。</w:t>
            </w:r>
          </w:p>
        </w:tc>
      </w:tr>
      <w:tr w14:paraId="38C02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B50918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.3</w:t>
            </w:r>
          </w:p>
        </w:tc>
        <w:tc>
          <w:tcPr>
            <w:tcW w:w="7912" w:type="dxa"/>
            <w:vAlign w:val="center"/>
          </w:tcPr>
          <w:p w14:paraId="044DECCE">
            <w:pPr>
              <w:spacing w:line="312"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商务技术文件</w:t>
            </w:r>
          </w:p>
          <w:p w14:paraId="7F391027">
            <w:pPr>
              <w:spacing w:line="312"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1.无串通竞标行为的承诺函（格式后附）；（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083802F2">
            <w:pPr>
              <w:snapToGrid w:val="0"/>
              <w:spacing w:line="312"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2.法定代表人身份证明书及法定代表人有效身份证正反面</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3AD399ED">
            <w:pPr>
              <w:spacing w:line="312"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3.授权委托书及委托代理人有效身份证正反面</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（格式后附）；（</w:t>
            </w:r>
            <w:r>
              <w:rPr>
                <w:rFonts w:hint="eastAsia" w:ascii="宋体" w:hAnsi="宋体" w:cs="宋体"/>
                <w:b/>
                <w:color w:val="000000" w:themeColor="text1"/>
                <w:szCs w:val="21"/>
                <w:highlight w:val="none"/>
                <w14:textFill>
                  <w14:solidFill>
                    <w14:schemeClr w14:val="tx1"/>
                  </w14:solidFill>
                </w14:textFill>
              </w:rPr>
              <w:t>委托时必须提供，否则响应文件按无效处理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05DD5F66">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4.建筑材料和设备节能环保要求承诺书（格式后附）；（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7E802AC2">
            <w:pPr>
              <w:spacing w:line="360" w:lineRule="auto"/>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5.代理服务费承诺书（格式后附）；</w:t>
            </w:r>
          </w:p>
          <w:p w14:paraId="13F5DF26">
            <w:pPr>
              <w:spacing w:line="312"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6.施工组织设计（</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0F2C728A">
            <w:pPr>
              <w:spacing w:line="312"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项目管理机构配备情况表及主要人员简历表（格式后附）；</w:t>
            </w:r>
            <w:r>
              <w:rPr>
                <w:rFonts w:hint="eastAsia" w:ascii="宋体" w:hAnsi="宋体" w:cs="宋体"/>
                <w:color w:val="000000" w:themeColor="text1"/>
                <w:szCs w:val="21"/>
                <w:highlight w:val="none"/>
                <w:lang w:eastAsia="zh-CN"/>
                <w14:textFill>
                  <w14:solidFill>
                    <w14:schemeClr w14:val="tx1"/>
                  </w14:solidFill>
                </w14:textFill>
              </w:rPr>
              <w:t>附质量管理员等主要人员</w:t>
            </w:r>
            <w:r>
              <w:rPr>
                <w:rFonts w:hint="eastAsia" w:ascii="宋体" w:hAnsi="宋体" w:cs="宋体"/>
                <w:color w:val="000000" w:themeColor="text1"/>
                <w:szCs w:val="21"/>
                <w:highlight w:val="none"/>
                <w14:textFill>
                  <w14:solidFill>
                    <w14:schemeClr w14:val="tx1"/>
                  </w14:solidFill>
                </w14:textFill>
              </w:rPr>
              <w:t>有效的身份证正反面</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744CC8C2">
            <w:pPr>
              <w:spacing w:line="312"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8.供应商认为需要提供的其他有关资料。</w:t>
            </w:r>
          </w:p>
          <w:p w14:paraId="2108B5B2">
            <w:pPr>
              <w:spacing w:line="312"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注：以上标明“必须提供”的材料属于</w:t>
            </w:r>
            <w:r>
              <w:rPr>
                <w:rFonts w:hint="eastAsia" w:ascii="宋体" w:hAnsi="宋体" w:cs="宋体"/>
                <w:b/>
                <w:color w:val="000000" w:themeColor="text1"/>
                <w:szCs w:val="21"/>
                <w:highlight w:val="none"/>
                <w:lang w:eastAsia="zh-CN"/>
                <w14:textFill>
                  <w14:solidFill>
                    <w14:schemeClr w14:val="tx1"/>
                  </w14:solidFill>
                </w14:textFill>
              </w:rPr>
              <w:t>复印件（或扫描件）</w:t>
            </w:r>
            <w:r>
              <w:rPr>
                <w:rFonts w:hint="eastAsia" w:ascii="宋体" w:hAnsi="宋体" w:cs="宋体"/>
                <w:b/>
                <w:color w:val="000000" w:themeColor="text1"/>
                <w:szCs w:val="21"/>
                <w:highlight w:val="none"/>
                <w14:textFill>
                  <w14:solidFill>
                    <w14:schemeClr w14:val="tx1"/>
                  </w14:solidFill>
                </w14:textFill>
              </w:rPr>
              <w:t>的，必须加盖供应商电子签章，否则响应文件按无效处理。</w:t>
            </w:r>
          </w:p>
        </w:tc>
      </w:tr>
      <w:tr w14:paraId="67E08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81D0B8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w:t>
            </w:r>
          </w:p>
        </w:tc>
        <w:tc>
          <w:tcPr>
            <w:tcW w:w="7912" w:type="dxa"/>
            <w:vAlign w:val="center"/>
          </w:tcPr>
          <w:p w14:paraId="78DA26BA">
            <w:pPr>
              <w:spacing w:line="360" w:lineRule="auto"/>
              <w:contextualSpacing/>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竞标报价应按磋商文件第五章“工程量清单及图纸”的要求及第六章“响应文件格式”填写相应表格</w:t>
            </w:r>
            <w:r>
              <w:rPr>
                <w:rFonts w:hint="eastAsia" w:ascii="宋体" w:hAnsi="宋体"/>
                <w:color w:val="000000" w:themeColor="text1"/>
                <w:szCs w:val="21"/>
                <w:highlight w:val="none"/>
                <w:lang w:eastAsia="zh-CN"/>
                <w14:textFill>
                  <w14:solidFill>
                    <w14:schemeClr w14:val="tx1"/>
                  </w14:solidFill>
                </w14:textFill>
              </w:rPr>
              <w:t>。</w:t>
            </w:r>
          </w:p>
        </w:tc>
      </w:tr>
      <w:tr w14:paraId="06262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78ABA2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w:t>
            </w:r>
          </w:p>
        </w:tc>
        <w:tc>
          <w:tcPr>
            <w:tcW w:w="7912" w:type="dxa"/>
            <w:vAlign w:val="center"/>
          </w:tcPr>
          <w:p w14:paraId="78012BA3">
            <w:pPr>
              <w:snapToGrid w:val="0"/>
              <w:spacing w:line="360" w:lineRule="auto"/>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本项项目</w:t>
            </w:r>
            <w:r>
              <w:rPr>
                <w:rFonts w:hint="eastAsia" w:ascii="宋体" w:hAnsi="宋体" w:cs="宋体"/>
                <w:b/>
                <w:bCs/>
                <w:color w:val="000000" w:themeColor="text1"/>
                <w:szCs w:val="21"/>
                <w:highlight w:val="none"/>
                <w14:textFill>
                  <w14:solidFill>
                    <w14:schemeClr w14:val="tx1"/>
                  </w14:solidFill>
                </w14:textFill>
              </w:rPr>
              <w:t>采购总预算控制价：人民币</w:t>
            </w:r>
            <w:r>
              <w:rPr>
                <w:rFonts w:hint="eastAsia" w:ascii="宋体" w:hAnsi="宋体" w:cs="宋体"/>
                <w:b/>
                <w:bCs/>
                <w:color w:val="000000" w:themeColor="text1"/>
                <w:szCs w:val="21"/>
                <w:highlight w:val="none"/>
                <w:lang w:val="en-US" w:eastAsia="zh-CN"/>
                <w14:textFill>
                  <w14:solidFill>
                    <w14:schemeClr w14:val="tx1"/>
                  </w14:solidFill>
                </w14:textFill>
              </w:rPr>
              <w:t>叁佰万零柒仟伍佰壹拾肆</w:t>
            </w:r>
            <w:r>
              <w:rPr>
                <w:rFonts w:hint="eastAsia" w:ascii="宋体" w:hAnsi="宋体" w:cs="宋体"/>
                <w:b/>
                <w:bCs/>
                <w:color w:val="000000" w:themeColor="text1"/>
                <w:szCs w:val="21"/>
                <w:highlight w:val="none"/>
                <w14:textFill>
                  <w14:solidFill>
                    <w14:schemeClr w14:val="tx1"/>
                  </w14:solidFill>
                </w14:textFill>
              </w:rPr>
              <w:t>元整(¥</w:t>
            </w:r>
            <w:r>
              <w:rPr>
                <w:rFonts w:hint="eastAsia" w:ascii="宋体" w:hAnsi="宋体" w:cs="宋体"/>
                <w:b/>
                <w:bCs/>
                <w:color w:val="000000" w:themeColor="text1"/>
                <w:szCs w:val="21"/>
                <w:highlight w:val="none"/>
                <w:lang w:val="en-US" w:eastAsia="zh-CN"/>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007514.00)。 其中，</w:t>
            </w:r>
            <w:r>
              <w:rPr>
                <w:rFonts w:hint="eastAsia" w:ascii="宋体" w:hAnsi="宋体" w:cs="宋体"/>
                <w:b/>
                <w:bCs/>
                <w:color w:val="000000" w:themeColor="text1"/>
                <w:szCs w:val="21"/>
                <w:highlight w:val="none"/>
                <w:lang w:eastAsia="zh-CN"/>
                <w14:textFill>
                  <w14:solidFill>
                    <w14:schemeClr w14:val="tx1"/>
                  </w14:solidFill>
                </w14:textFill>
              </w:rPr>
              <w:t>布山街道办蓝田社区北环立交至木麻道路水毁修复工程</w:t>
            </w:r>
            <w:r>
              <w:rPr>
                <w:rFonts w:hint="eastAsia" w:ascii="宋体" w:hAnsi="宋体" w:cs="宋体"/>
                <w:b/>
                <w:bCs/>
                <w:color w:val="000000" w:themeColor="text1"/>
                <w:szCs w:val="21"/>
                <w:highlight w:val="none"/>
                <w14:textFill>
                  <w14:solidFill>
                    <w14:schemeClr w14:val="tx1"/>
                  </w14:solidFill>
                </w14:textFill>
              </w:rPr>
              <w:t>预算控制价：人民币</w:t>
            </w:r>
            <w:r>
              <w:rPr>
                <w:rFonts w:hint="eastAsia" w:ascii="宋体" w:hAnsi="宋体" w:cs="宋体"/>
                <w:b/>
                <w:bCs/>
                <w:color w:val="000000" w:themeColor="text1"/>
                <w:szCs w:val="21"/>
                <w:highlight w:val="none"/>
                <w:lang w:val="en-US" w:eastAsia="zh-CN"/>
                <w14:textFill>
                  <w14:solidFill>
                    <w14:schemeClr w14:val="tx1"/>
                  </w14:solidFill>
                </w14:textFill>
              </w:rPr>
              <w:t>陆拾玖万肆仟陆佰肆拾陆</w:t>
            </w:r>
            <w:r>
              <w:rPr>
                <w:rFonts w:hint="default" w:ascii="宋体" w:hAnsi="宋体" w:cs="宋体"/>
                <w:b/>
                <w:bCs/>
                <w:color w:val="000000" w:themeColor="text1"/>
                <w:szCs w:val="21"/>
                <w:highlight w:val="none"/>
                <w:lang w:eastAsia="zh-CN"/>
                <w14:textFill>
                  <w14:solidFill>
                    <w14:schemeClr w14:val="tx1"/>
                  </w14:solidFill>
                </w14:textFill>
              </w:rPr>
              <w:t>元</w:t>
            </w:r>
            <w:r>
              <w:rPr>
                <w:rFonts w:hint="eastAsia" w:ascii="宋体" w:hAnsi="宋体" w:cs="宋体"/>
                <w:b/>
                <w:bCs/>
                <w:color w:val="000000" w:themeColor="text1"/>
                <w:szCs w:val="21"/>
                <w:highlight w:val="none"/>
                <w14:textFill>
                  <w14:solidFill>
                    <w14:schemeClr w14:val="tx1"/>
                  </w14:solidFill>
                </w14:textFill>
              </w:rPr>
              <w:t>整(¥694646.00)，中里乡三陵村石牛水库至平天山道路水毁修复工程预算控制价：人民币</w:t>
            </w:r>
            <w:r>
              <w:rPr>
                <w:rFonts w:hint="eastAsia" w:ascii="宋体" w:hAnsi="宋体" w:cs="宋体"/>
                <w:b/>
                <w:bCs/>
                <w:color w:val="000000" w:themeColor="text1"/>
                <w:szCs w:val="21"/>
                <w:highlight w:val="none"/>
                <w:lang w:val="en-US" w:eastAsia="zh-CN"/>
                <w14:textFill>
                  <w14:solidFill>
                    <w14:schemeClr w14:val="tx1"/>
                  </w14:solidFill>
                </w14:textFill>
              </w:rPr>
              <w:t>壹佰壹拾捌万零壹佰贰拾捌</w:t>
            </w:r>
            <w:r>
              <w:rPr>
                <w:rFonts w:hint="eastAsia" w:ascii="宋体" w:hAnsi="宋体" w:cs="宋体"/>
                <w:b/>
                <w:bCs/>
                <w:color w:val="000000" w:themeColor="text1"/>
                <w:szCs w:val="21"/>
                <w:highlight w:val="none"/>
                <w14:textFill>
                  <w14:solidFill>
                    <w14:schemeClr w14:val="tx1"/>
                  </w14:solidFill>
                </w14:textFill>
              </w:rPr>
              <w:t>元整(¥1180128.00）；中里乡山鹤村中里至高山码头道路水毁修复工程预算控制价：人民币</w:t>
            </w:r>
            <w:r>
              <w:rPr>
                <w:rFonts w:hint="eastAsia" w:ascii="宋体" w:hAnsi="宋体" w:cs="宋体"/>
                <w:b/>
                <w:bCs/>
                <w:color w:val="000000" w:themeColor="text1"/>
                <w:szCs w:val="21"/>
                <w:highlight w:val="none"/>
                <w:lang w:val="en-US" w:eastAsia="zh-CN"/>
                <w14:textFill>
                  <w14:solidFill>
                    <w14:schemeClr w14:val="tx1"/>
                  </w14:solidFill>
                </w14:textFill>
              </w:rPr>
              <w:t>伍拾万零玖仟柒佰伍拾柒</w:t>
            </w:r>
            <w:r>
              <w:rPr>
                <w:rFonts w:hint="eastAsia" w:ascii="宋体" w:hAnsi="宋体" w:cs="宋体"/>
                <w:b/>
                <w:bCs/>
                <w:color w:val="000000" w:themeColor="text1"/>
                <w:szCs w:val="21"/>
                <w:highlight w:val="none"/>
                <w14:textFill>
                  <w14:solidFill>
                    <w14:schemeClr w14:val="tx1"/>
                  </w14:solidFill>
                </w14:textFill>
              </w:rPr>
              <w:t>元整(¥509757.00）</w:t>
            </w:r>
            <w:r>
              <w:rPr>
                <w:rFonts w:hint="eastAsia" w:ascii="宋体" w:hAnsi="宋体" w:cs="宋体"/>
                <w:b/>
                <w:bCs/>
                <w:color w:val="000000" w:themeColor="text1"/>
                <w:szCs w:val="21"/>
                <w:highlight w:val="none"/>
                <w:lang w:eastAsia="zh-CN"/>
                <w14:textFill>
                  <w14:solidFill>
                    <w14:schemeClr w14:val="tx1"/>
                  </w14:solidFill>
                </w14:textFill>
              </w:rPr>
              <w:t>；中里乡秀地村龙山至秀地道路水毁修复工程</w:t>
            </w:r>
            <w:r>
              <w:rPr>
                <w:rFonts w:hint="eastAsia" w:ascii="宋体" w:hAnsi="宋体" w:cs="宋体"/>
                <w:b/>
                <w:bCs/>
                <w:color w:val="000000" w:themeColor="text1"/>
                <w:szCs w:val="21"/>
                <w:highlight w:val="none"/>
                <w14:textFill>
                  <w14:solidFill>
                    <w14:schemeClr w14:val="tx1"/>
                  </w14:solidFill>
                </w14:textFill>
              </w:rPr>
              <w:t>预算控制价：人民币</w:t>
            </w:r>
            <w:r>
              <w:rPr>
                <w:rFonts w:hint="eastAsia" w:ascii="宋体" w:hAnsi="宋体" w:cs="宋体"/>
                <w:b/>
                <w:bCs/>
                <w:color w:val="000000" w:themeColor="text1"/>
                <w:szCs w:val="21"/>
                <w:highlight w:val="none"/>
                <w:lang w:val="en-US" w:eastAsia="zh-CN"/>
                <w14:textFill>
                  <w14:solidFill>
                    <w14:schemeClr w14:val="tx1"/>
                  </w14:solidFill>
                </w14:textFill>
              </w:rPr>
              <w:t>叁拾万零捌仟叁佰柒拾元整</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308370</w:t>
            </w:r>
            <w:r>
              <w:rPr>
                <w:rFonts w:hint="eastAsia" w:ascii="宋体" w:hAnsi="宋体" w:cs="宋体"/>
                <w:b/>
                <w:bCs/>
                <w:color w:val="000000" w:themeColor="text1"/>
                <w:szCs w:val="21"/>
                <w:highlight w:val="none"/>
                <w14:textFill>
                  <w14:solidFill>
                    <w14:schemeClr w14:val="tx1"/>
                  </w14:solidFill>
                </w14:textFill>
              </w:rPr>
              <w:t>.00</w:t>
            </w:r>
            <w:r>
              <w:rPr>
                <w:rFonts w:hint="eastAsia" w:ascii="宋体" w:hAnsi="宋体" w:cs="宋体"/>
                <w:b/>
                <w:bCs/>
                <w:color w:val="000000" w:themeColor="text1"/>
                <w:szCs w:val="21"/>
                <w:highlight w:val="none"/>
                <w:lang w:eastAsia="zh-CN"/>
                <w14:textFill>
                  <w14:solidFill>
                    <w14:schemeClr w14:val="tx1"/>
                  </w14:solidFill>
                </w14:textFill>
              </w:rPr>
              <w:t>）；中里乡新村至那府道路水毁修复工程</w:t>
            </w:r>
            <w:r>
              <w:rPr>
                <w:rFonts w:hint="eastAsia" w:ascii="宋体" w:hAnsi="宋体" w:cs="宋体"/>
                <w:b/>
                <w:bCs/>
                <w:color w:val="000000" w:themeColor="text1"/>
                <w:szCs w:val="21"/>
                <w:highlight w:val="none"/>
                <w14:textFill>
                  <w14:solidFill>
                    <w14:schemeClr w14:val="tx1"/>
                  </w14:solidFill>
                </w14:textFill>
              </w:rPr>
              <w:t>预算控制价：人民币</w:t>
            </w:r>
            <w:r>
              <w:rPr>
                <w:rFonts w:hint="eastAsia" w:ascii="宋体" w:hAnsi="宋体" w:cs="宋体"/>
                <w:b/>
                <w:bCs/>
                <w:color w:val="000000" w:themeColor="text1"/>
                <w:szCs w:val="21"/>
                <w:highlight w:val="none"/>
                <w:lang w:val="en-US" w:eastAsia="zh-CN"/>
                <w14:textFill>
                  <w14:solidFill>
                    <w14:schemeClr w14:val="tx1"/>
                  </w14:solidFill>
                </w14:textFill>
              </w:rPr>
              <w:t>叁拾壹万肆仟陆佰壹拾叁元整</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314613</w:t>
            </w:r>
            <w:r>
              <w:rPr>
                <w:rFonts w:hint="eastAsia" w:ascii="宋体" w:hAnsi="宋体" w:cs="宋体"/>
                <w:b/>
                <w:bCs/>
                <w:color w:val="000000" w:themeColor="text1"/>
                <w:szCs w:val="21"/>
                <w:highlight w:val="none"/>
                <w14:textFill>
                  <w14:solidFill>
                    <w14:schemeClr w14:val="tx1"/>
                  </w14:solidFill>
                </w14:textFill>
              </w:rPr>
              <w:t>.00</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 xml:space="preserve"> 【注：磋商人的磋商报价不能超过采购预算控制价，否则报价无效，做否决投标处理。】</w:t>
            </w:r>
          </w:p>
          <w:p w14:paraId="19F0C121">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竞标报价是履行合同的最终价格，包括</w:t>
            </w:r>
            <w:r>
              <w:rPr>
                <w:rFonts w:hint="eastAsia" w:ascii="宋体" w:hAnsi="宋体" w:cs="宋体"/>
                <w:color w:val="000000" w:themeColor="text1"/>
                <w:szCs w:val="21"/>
                <w:highlight w:val="none"/>
                <w14:textFill>
                  <w14:solidFill>
                    <w14:schemeClr w14:val="tx1"/>
                  </w14:solidFill>
                </w14:textFill>
              </w:rPr>
              <w:t>为实施和完成合同工程所需的劳务、材料、机械、质检（自检）、安装、缺陷修复、管理、保险、税费、利润等费用，以及合同</w:t>
            </w:r>
            <w:r>
              <w:rPr>
                <w:rFonts w:hint="eastAsia" w:ascii="宋体" w:hAnsi="宋体" w:cs="宋体"/>
                <w:color w:val="000000" w:themeColor="text1"/>
                <w:szCs w:val="21"/>
                <w:highlight w:val="none"/>
                <w:lang w:eastAsia="zh-CN"/>
                <w14:textFill>
                  <w14:solidFill>
                    <w14:schemeClr w14:val="tx1"/>
                  </w14:solidFill>
                </w14:textFill>
              </w:rPr>
              <w:t>明示</w:t>
            </w:r>
            <w:r>
              <w:rPr>
                <w:rFonts w:hint="eastAsia" w:ascii="宋体" w:hAnsi="宋体" w:cs="宋体"/>
                <w:color w:val="000000" w:themeColor="text1"/>
                <w:szCs w:val="21"/>
                <w:highlight w:val="none"/>
                <w14:textFill>
                  <w14:solidFill>
                    <w14:schemeClr w14:val="tx1"/>
                  </w14:solidFill>
                </w14:textFill>
              </w:rPr>
              <w:t>的所有责任、义务和一般风险。</w:t>
            </w:r>
            <w:r>
              <w:rPr>
                <w:rFonts w:hint="eastAsia" w:ascii="宋体" w:hAnsi="宋体" w:cs="宋体"/>
                <w:b/>
                <w:bCs/>
                <w:color w:val="000000" w:themeColor="text1"/>
                <w:szCs w:val="21"/>
                <w:highlight w:val="none"/>
                <w14:textFill>
                  <w14:solidFill>
                    <w14:schemeClr w14:val="tx1"/>
                  </w14:solidFill>
                </w14:textFill>
              </w:rPr>
              <w:t>潜在</w:t>
            </w:r>
            <w:r>
              <w:rPr>
                <w:rFonts w:hint="eastAsia" w:ascii="宋体" w:hAnsi="宋体" w:cs="宋体"/>
                <w:b/>
                <w:bCs/>
                <w:color w:val="000000" w:themeColor="text1"/>
                <w:szCs w:val="21"/>
                <w:highlight w:val="none"/>
                <w:lang w:val="en-US" w:eastAsia="zh-CN"/>
                <w14:textFill>
                  <w14:solidFill>
                    <w14:schemeClr w14:val="tx1"/>
                  </w14:solidFill>
                </w14:textFill>
              </w:rPr>
              <w:t>供应商</w:t>
            </w:r>
            <w:r>
              <w:rPr>
                <w:rFonts w:hint="eastAsia" w:ascii="宋体" w:hAnsi="宋体" w:cs="宋体"/>
                <w:b/>
                <w:bCs/>
                <w:color w:val="000000" w:themeColor="text1"/>
                <w:szCs w:val="21"/>
                <w:highlight w:val="none"/>
                <w14:textFill>
                  <w14:solidFill>
                    <w14:schemeClr w14:val="tx1"/>
                  </w14:solidFill>
                </w14:textFill>
              </w:rPr>
              <w:t>需充分知晓</w:t>
            </w:r>
            <w:r>
              <w:rPr>
                <w:rFonts w:hint="eastAsia" w:ascii="宋体" w:hAnsi="宋体" w:cs="宋体"/>
                <w:b/>
                <w:bCs/>
                <w:color w:val="000000" w:themeColor="text1"/>
                <w:szCs w:val="21"/>
                <w:highlight w:val="none"/>
                <w:lang w:val="en-US" w:eastAsia="zh-CN"/>
                <w14:textFill>
                  <w14:solidFill>
                    <w14:schemeClr w14:val="tx1"/>
                  </w14:solidFill>
                </w14:textFill>
              </w:rPr>
              <w:t>本项目</w:t>
            </w:r>
            <w:r>
              <w:rPr>
                <w:rFonts w:hint="eastAsia" w:ascii="宋体" w:hAnsi="宋体" w:cs="宋体"/>
                <w:b/>
                <w:bCs/>
                <w:color w:val="000000" w:themeColor="text1"/>
                <w:szCs w:val="21"/>
                <w:highlight w:val="none"/>
                <w14:textFill>
                  <w14:solidFill>
                    <w14:schemeClr w14:val="tx1"/>
                  </w14:solidFill>
                </w14:textFill>
              </w:rPr>
              <w:t>工程量及工程单价，除不可抗</w:t>
            </w:r>
            <w:r>
              <w:rPr>
                <w:rFonts w:hint="eastAsia" w:ascii="宋体" w:hAnsi="宋体" w:cs="宋体"/>
                <w:b/>
                <w:bCs/>
                <w:color w:val="000000" w:themeColor="text1"/>
                <w:szCs w:val="21"/>
                <w:highlight w:val="none"/>
                <w:lang w:eastAsia="zh-CN"/>
                <w14:textFill>
                  <w14:solidFill>
                    <w14:schemeClr w14:val="tx1"/>
                  </w14:solidFill>
                </w14:textFill>
              </w:rPr>
              <w:t>力因素外成交供应商施工过程</w:t>
            </w:r>
            <w:r>
              <w:rPr>
                <w:rFonts w:hint="eastAsia" w:ascii="宋体" w:hAnsi="宋体" w:cs="宋体"/>
                <w:b/>
                <w:bCs/>
                <w:color w:val="000000" w:themeColor="text1"/>
                <w:szCs w:val="21"/>
                <w:highlight w:val="none"/>
                <w:lang w:val="en-US" w:eastAsia="zh-CN"/>
                <w14:textFill>
                  <w14:solidFill>
                    <w14:schemeClr w14:val="tx1"/>
                  </w14:solidFill>
                </w14:textFill>
              </w:rPr>
              <w:t>中</w:t>
            </w:r>
            <w:r>
              <w:rPr>
                <w:rFonts w:hint="eastAsia" w:ascii="宋体" w:hAnsi="宋体" w:cs="宋体"/>
                <w:b/>
                <w:bCs/>
                <w:color w:val="000000" w:themeColor="text1"/>
                <w:szCs w:val="21"/>
                <w:highlight w:val="none"/>
                <w:lang w:eastAsia="zh-CN"/>
                <w14:textFill>
                  <w14:solidFill>
                    <w14:schemeClr w14:val="tx1"/>
                  </w14:solidFill>
                </w14:textFill>
              </w:rPr>
              <w:t>不能以不了解项目情况为由进行变</w:t>
            </w:r>
            <w:r>
              <w:rPr>
                <w:rFonts w:hint="eastAsia" w:ascii="宋体" w:hAnsi="宋体" w:cs="宋体"/>
                <w:b/>
                <w:bCs/>
                <w:color w:val="000000" w:themeColor="text1"/>
                <w:szCs w:val="21"/>
                <w:highlight w:val="none"/>
                <w:lang w:val="en-US" w:eastAsia="zh-CN"/>
                <w14:textFill>
                  <w14:solidFill>
                    <w14:schemeClr w14:val="tx1"/>
                  </w14:solidFill>
                </w14:textFill>
              </w:rPr>
              <w:t>更</w:t>
            </w:r>
            <w:r>
              <w:rPr>
                <w:rFonts w:hint="eastAsia" w:ascii="宋体" w:hAnsi="宋体" w:cs="宋体"/>
                <w:b/>
                <w:bCs/>
                <w:color w:val="000000" w:themeColor="text1"/>
                <w:szCs w:val="21"/>
                <w:highlight w:val="none"/>
                <w14:textFill>
                  <w14:solidFill>
                    <w14:schemeClr w14:val="tx1"/>
                  </w14:solidFill>
                </w14:textFill>
              </w:rPr>
              <w:t>。</w:t>
            </w:r>
          </w:p>
        </w:tc>
      </w:tr>
      <w:tr w14:paraId="1F6D6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F7EEF0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w:t>
            </w:r>
          </w:p>
        </w:tc>
        <w:tc>
          <w:tcPr>
            <w:tcW w:w="7912" w:type="dxa"/>
            <w:vAlign w:val="center"/>
          </w:tcPr>
          <w:p w14:paraId="3AE30747">
            <w:pPr>
              <w:spacing w:line="360" w:lineRule="auto"/>
              <w:contextualSpacing/>
              <w:jc w:val="left"/>
              <w:rPr>
                <w:rFonts w:hint="eastAsia" w:ascii="宋体" w:hAnsi="宋体"/>
                <w:color w:val="000000" w:themeColor="text1"/>
                <w:szCs w:val="2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本工程增值税计税方法：一般计税法；</w:t>
            </w:r>
          </w:p>
        </w:tc>
      </w:tr>
      <w:tr w14:paraId="57B26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635FCD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r>
              <w:rPr>
                <w:rFonts w:ascii="宋体" w:hAnsi="宋体" w:cs="宋体"/>
                <w:color w:val="000000" w:themeColor="text1"/>
                <w:szCs w:val="21"/>
                <w:highlight w:val="none"/>
                <w14:textFill>
                  <w14:solidFill>
                    <w14:schemeClr w14:val="tx1"/>
                  </w14:solidFill>
                </w14:textFill>
              </w:rPr>
              <w:t>2</w:t>
            </w:r>
          </w:p>
        </w:tc>
        <w:tc>
          <w:tcPr>
            <w:tcW w:w="7912" w:type="dxa"/>
            <w:vAlign w:val="center"/>
          </w:tcPr>
          <w:p w14:paraId="71676D33">
            <w:pPr>
              <w:pStyle w:val="13"/>
              <w:widowControl w:val="0"/>
              <w:tabs>
                <w:tab w:val="clear" w:pos="454"/>
              </w:tabs>
              <w:snapToGrid w:val="0"/>
              <w:spacing w:afterLines="0" w:line="360" w:lineRule="auto"/>
              <w:ind w:left="283" w:hanging="283" w:hangingChars="135"/>
              <w:rPr>
                <w:rFonts w:hint="eastAsia"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竞标有效期：自首次响应文件提交截止之日起</w:t>
            </w:r>
            <w:r>
              <w:rPr>
                <w:rFonts w:hint="eastAsia" w:ascii="宋体" w:hAnsi="宋体" w:cs="宋体"/>
                <w:color w:val="000000" w:themeColor="text1"/>
                <w:kern w:val="2"/>
                <w:sz w:val="21"/>
                <w:szCs w:val="21"/>
                <w:highlight w:val="none"/>
                <w:u w:val="single"/>
                <w:lang w:val="en-US" w:eastAsia="zh-CN"/>
                <w14:textFill>
                  <w14:solidFill>
                    <w14:schemeClr w14:val="tx1"/>
                  </w14:solidFill>
                </w14:textFill>
              </w:rPr>
              <w:t>90</w:t>
            </w:r>
            <w:r>
              <w:rPr>
                <w:rFonts w:hint="eastAsia" w:ascii="宋体" w:hAnsi="宋体" w:cs="宋体"/>
                <w:color w:val="000000" w:themeColor="text1"/>
                <w:kern w:val="2"/>
                <w:sz w:val="21"/>
                <w:szCs w:val="21"/>
                <w:highlight w:val="none"/>
                <w14:textFill>
                  <w14:solidFill>
                    <w14:schemeClr w14:val="tx1"/>
                  </w14:solidFill>
                </w14:textFill>
              </w:rPr>
              <w:t>日。</w:t>
            </w:r>
          </w:p>
        </w:tc>
      </w:tr>
      <w:tr w14:paraId="3A5D8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14:paraId="6BF2F1D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w:t>
            </w:r>
          </w:p>
        </w:tc>
        <w:tc>
          <w:tcPr>
            <w:tcW w:w="7912" w:type="dxa"/>
            <w:vAlign w:val="center"/>
          </w:tcPr>
          <w:p w14:paraId="28E19CD9">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☑本项目不收取磋商保证金。</w:t>
            </w:r>
          </w:p>
        </w:tc>
      </w:tr>
      <w:tr w14:paraId="35C68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883A8E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19</w:t>
            </w:r>
          </w:p>
        </w:tc>
        <w:tc>
          <w:tcPr>
            <w:tcW w:w="7912" w:type="dxa"/>
            <w:vAlign w:val="center"/>
          </w:tcPr>
          <w:p w14:paraId="19B8E04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w:t>
            </w:r>
            <w:r>
              <w:rPr>
                <w:rFonts w:hint="eastAsia"/>
                <w:color w:val="000000" w:themeColor="text1"/>
                <w:highlight w:val="none"/>
                <w14:textFill>
                  <w14:solidFill>
                    <w14:schemeClr w14:val="tx1"/>
                  </w14:solidFill>
                </w14:textFill>
              </w:rPr>
              <w:t>电子</w:t>
            </w:r>
            <w:r>
              <w:rPr>
                <w:rFonts w:hint="eastAsia" w:ascii="宋体" w:hAnsi="宋体"/>
                <w:color w:val="000000" w:themeColor="text1"/>
                <w:szCs w:val="21"/>
                <w:highlight w:val="none"/>
                <w14:textFill>
                  <w14:solidFill>
                    <w14:schemeClr w14:val="tx1"/>
                  </w14:solidFill>
                </w14:textFill>
              </w:rPr>
              <w:t>备份响应文件。</w:t>
            </w:r>
          </w:p>
        </w:tc>
      </w:tr>
      <w:tr w14:paraId="1094E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2C6611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7912" w:type="dxa"/>
            <w:vAlign w:val="center"/>
          </w:tcPr>
          <w:p w14:paraId="6D10EBBF">
            <w:pPr>
              <w:spacing w:line="360" w:lineRule="auto"/>
              <w:contextualSpacing/>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响应文件提交截止时间：详见竞争性磋商公告。</w:t>
            </w:r>
          </w:p>
          <w:p w14:paraId="57C8ACA7">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响应文件提交地点：详见竞争性磋商公告。</w:t>
            </w:r>
          </w:p>
        </w:tc>
      </w:tr>
      <w:tr w14:paraId="7B945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714E54D">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w:t>
            </w:r>
          </w:p>
        </w:tc>
        <w:tc>
          <w:tcPr>
            <w:tcW w:w="7912" w:type="dxa"/>
            <w:vAlign w:val="center"/>
          </w:tcPr>
          <w:p w14:paraId="553E1851">
            <w:pPr>
              <w:snapToGrid w:val="0"/>
              <w:spacing w:line="360" w:lineRule="auto"/>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磋商小组的人数：</w:t>
            </w:r>
            <w:r>
              <w:rPr>
                <w:rFonts w:hint="eastAsia" w:ascii="宋体" w:hAnsi="宋体" w:cs="宋体"/>
                <w:color w:val="000000" w:themeColor="text1"/>
                <w:szCs w:val="21"/>
                <w:highlight w:val="none"/>
                <w:u w:val="single"/>
                <w14:textFill>
                  <w14:solidFill>
                    <w14:schemeClr w14:val="tx1"/>
                  </w14:solidFill>
                </w14:textFill>
              </w:rPr>
              <w:t xml:space="preserve">3 </w:t>
            </w:r>
            <w:r>
              <w:rPr>
                <w:rFonts w:hint="eastAsia" w:ascii="宋体" w:hAnsi="宋体" w:cs="宋体"/>
                <w:color w:val="000000" w:themeColor="text1"/>
                <w:szCs w:val="21"/>
                <w:highlight w:val="none"/>
                <w14:textFill>
                  <w14:solidFill>
                    <w14:schemeClr w14:val="tx1"/>
                  </w14:solidFill>
                </w14:textFill>
              </w:rPr>
              <w:t>人。</w:t>
            </w:r>
          </w:p>
        </w:tc>
      </w:tr>
      <w:tr w14:paraId="06522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5A8C6C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p>
        </w:tc>
        <w:tc>
          <w:tcPr>
            <w:tcW w:w="7912" w:type="dxa"/>
            <w:vAlign w:val="center"/>
          </w:tcPr>
          <w:p w14:paraId="4A4EADF5">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首次响应文件开启时间详见“竞争性磋商公告”</w:t>
            </w:r>
          </w:p>
          <w:p w14:paraId="63B6B4B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首次响应文件解密时间：</w:t>
            </w:r>
            <w:r>
              <w:rPr>
                <w:rFonts w:hint="eastAsia" w:ascii="宋体" w:hAnsi="宋体" w:eastAsia="宋体" w:cs="宋体"/>
                <w:color w:val="000000" w:themeColor="text1"/>
                <w:highlight w:val="none"/>
                <w:u w:val="single"/>
                <w14:textFill>
                  <w14:solidFill>
                    <w14:schemeClr w14:val="tx1"/>
                  </w14:solidFill>
                </w14:textFill>
              </w:rPr>
              <w:t>30</w:t>
            </w:r>
            <w:r>
              <w:rPr>
                <w:rFonts w:hint="eastAsia" w:ascii="宋体" w:hAnsi="宋体" w:eastAsia="宋体" w:cs="宋体"/>
                <w:color w:val="000000" w:themeColor="text1"/>
                <w:highlight w:val="none"/>
                <w14:textFill>
                  <w14:solidFill>
                    <w14:schemeClr w14:val="tx1"/>
                  </w14:solidFill>
                </w14:textFill>
              </w:rPr>
              <w:t>分钟</w:t>
            </w:r>
          </w:p>
        </w:tc>
      </w:tr>
      <w:tr w14:paraId="318CA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6F4A79F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6.3</w:t>
            </w:r>
          </w:p>
        </w:tc>
        <w:tc>
          <w:tcPr>
            <w:tcW w:w="7912" w:type="dxa"/>
            <w:vAlign w:val="center"/>
          </w:tcPr>
          <w:p w14:paraId="2417A901">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商务要求评审中允许负偏离的条款数为</w:t>
            </w:r>
            <w:r>
              <w:rPr>
                <w:rFonts w:hint="eastAsia" w:ascii="宋体" w:hAnsi="宋体" w:cs="宋体"/>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项。</w:t>
            </w:r>
          </w:p>
          <w:p w14:paraId="75EDADED">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技术要求评审中允许负偏离的条款数为</w:t>
            </w:r>
            <w:r>
              <w:rPr>
                <w:rFonts w:hint="eastAsia" w:ascii="宋体" w:hAnsi="宋体" w:cs="宋体"/>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项。</w:t>
            </w:r>
          </w:p>
        </w:tc>
      </w:tr>
      <w:tr w14:paraId="15CF1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587DDA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28.1</w:t>
            </w:r>
          </w:p>
        </w:tc>
        <w:tc>
          <w:tcPr>
            <w:tcW w:w="7912" w:type="dxa"/>
            <w:vAlign w:val="center"/>
          </w:tcPr>
          <w:p w14:paraId="666F318F">
            <w:pPr>
              <w:spacing w:line="360" w:lineRule="auto"/>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☑本项目不收取履约保证金。</w:t>
            </w:r>
          </w:p>
        </w:tc>
      </w:tr>
      <w:tr w14:paraId="03A05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376DD7A">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29.1</w:t>
            </w:r>
          </w:p>
        </w:tc>
        <w:tc>
          <w:tcPr>
            <w:tcW w:w="7912" w:type="dxa"/>
            <w:vAlign w:val="center"/>
          </w:tcPr>
          <w:p w14:paraId="47675F6D">
            <w:pPr>
              <w:autoSpaceDE w:val="0"/>
              <w:autoSpaceDN w:val="0"/>
              <w:snapToGrid w:val="0"/>
              <w:spacing w:line="360" w:lineRule="auto"/>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签订合同携带的证明材料： </w:t>
            </w:r>
          </w:p>
          <w:p w14:paraId="22B5C14E">
            <w:pPr>
              <w:autoSpaceDE w:val="0"/>
              <w:autoSpaceDN w:val="0"/>
              <w:snapToGrid w:val="0"/>
              <w:spacing w:line="360" w:lineRule="auto"/>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3AA7EF04">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法定代表人负责签订合同的，须携带法定代表人</w:t>
            </w:r>
            <w:r>
              <w:rPr>
                <w:rFonts w:ascii="宋体" w:hAnsi="宋体"/>
                <w:color w:val="000000" w:themeColor="text1"/>
                <w:szCs w:val="21"/>
                <w:highlight w:val="none"/>
                <w14:textFill>
                  <w14:solidFill>
                    <w14:schemeClr w14:val="tx1"/>
                  </w14:solidFill>
                </w14:textFill>
              </w:rPr>
              <w:t>身份证明原件</w:t>
            </w:r>
            <w:r>
              <w:rPr>
                <w:rFonts w:hint="eastAsia" w:ascii="宋体" w:hAnsi="宋体"/>
                <w:color w:val="000000" w:themeColor="text1"/>
                <w:szCs w:val="21"/>
                <w:highlight w:val="none"/>
                <w14:textFill>
                  <w14:solidFill>
                    <w14:schemeClr w14:val="tx1"/>
                  </w14:solidFill>
                </w14:textFill>
              </w:rPr>
              <w:t>及</w:t>
            </w:r>
            <w:r>
              <w:rPr>
                <w:rFonts w:ascii="宋体" w:hAnsi="宋体"/>
                <w:color w:val="000000" w:themeColor="text1"/>
                <w:szCs w:val="21"/>
                <w:highlight w:val="none"/>
                <w14:textFill>
                  <w14:solidFill>
                    <w14:schemeClr w14:val="tx1"/>
                  </w14:solidFill>
                </w14:textFill>
              </w:rPr>
              <w:t>身份证原件</w:t>
            </w:r>
            <w:r>
              <w:rPr>
                <w:rFonts w:hint="eastAsia" w:ascii="宋体" w:hAnsi="宋体"/>
                <w:color w:val="000000" w:themeColor="text1"/>
                <w:szCs w:val="21"/>
                <w:highlight w:val="none"/>
                <w14:textFill>
                  <w14:solidFill>
                    <w14:schemeClr w14:val="tx1"/>
                  </w14:solidFill>
                </w14:textFill>
              </w:rPr>
              <w:t>等其他证明材料。</w:t>
            </w:r>
          </w:p>
        </w:tc>
      </w:tr>
      <w:tr w14:paraId="49F07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F79983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1.2</w:t>
            </w:r>
          </w:p>
        </w:tc>
        <w:tc>
          <w:tcPr>
            <w:tcW w:w="7912" w:type="dxa"/>
            <w:vAlign w:val="center"/>
          </w:tcPr>
          <w:p w14:paraId="1349FEB8">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接收质疑函方式：书面形式或者广西政府采购云平台系统在线形式</w:t>
            </w:r>
          </w:p>
          <w:p w14:paraId="2CEC5D7B">
            <w:pPr>
              <w:pStyle w:val="25"/>
              <w:snapToGrid w:val="0"/>
              <w:spacing w:line="360" w:lineRule="auto"/>
              <w:rPr>
                <w:rFonts w:hint="eastAsia" w:hAnsi="宋体" w:eastAsia="宋体" w:cs="宋体"/>
                <w:color w:val="000000" w:themeColor="text1"/>
                <w:kern w:val="2"/>
                <w:sz w:val="21"/>
                <w:highlight w:val="none"/>
                <w:lang w:eastAsia="zh-CN"/>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质疑联系部门及联系方式：</w:t>
            </w:r>
            <w:r>
              <w:rPr>
                <w:rFonts w:hint="eastAsia" w:hAnsi="宋体" w:cs="Courier New"/>
                <w:color w:val="000000" w:themeColor="text1"/>
                <w:kern w:val="2"/>
                <w:sz w:val="21"/>
                <w:highlight w:val="none"/>
                <w:lang w:eastAsia="zh-CN"/>
                <w14:textFill>
                  <w14:solidFill>
                    <w14:schemeClr w14:val="tx1"/>
                  </w14:solidFill>
                </w14:textFill>
              </w:rPr>
              <w:t>广西浩港工程项目管理有限公司</w:t>
            </w:r>
            <w:r>
              <w:rPr>
                <w:rFonts w:hint="eastAsia" w:hAnsi="宋体" w:cs="Courier New"/>
                <w:color w:val="000000" w:themeColor="text1"/>
                <w:kern w:val="2"/>
                <w:sz w:val="21"/>
                <w:highlight w:val="none"/>
                <w14:textFill>
                  <w14:solidFill>
                    <w14:schemeClr w14:val="tx1"/>
                  </w14:solidFill>
                </w14:textFill>
              </w:rPr>
              <w:t>招标部</w:t>
            </w:r>
            <w:r>
              <w:rPr>
                <w:rFonts w:hint="eastAsia" w:hAnsi="宋体" w:cs="宋体"/>
                <w:color w:val="000000" w:themeColor="text1"/>
                <w:kern w:val="2"/>
                <w:sz w:val="21"/>
                <w:highlight w:val="none"/>
                <w14:textFill>
                  <w14:solidFill>
                    <w14:schemeClr w14:val="tx1"/>
                  </w14:solidFill>
                </w14:textFill>
              </w:rPr>
              <w:t>，联系电话：</w:t>
            </w:r>
            <w:r>
              <w:rPr>
                <w:rFonts w:hint="eastAsia" w:hAnsi="宋体" w:cs="宋体"/>
                <w:color w:val="000000" w:themeColor="text1"/>
                <w:kern w:val="2"/>
                <w:sz w:val="21"/>
                <w:highlight w:val="none"/>
                <w:lang w:eastAsia="zh-CN"/>
                <w14:textFill>
                  <w14:solidFill>
                    <w14:schemeClr w14:val="tx1"/>
                  </w14:solidFill>
                </w14:textFill>
              </w:rPr>
              <w:t>0775-4520865</w:t>
            </w:r>
            <w:r>
              <w:rPr>
                <w:rFonts w:hint="eastAsia" w:hAnsi="宋体" w:cs="宋体"/>
                <w:color w:val="000000" w:themeColor="text1"/>
                <w:kern w:val="2"/>
                <w:sz w:val="21"/>
                <w:highlight w:val="none"/>
                <w14:textFill>
                  <w14:solidFill>
                    <w14:schemeClr w14:val="tx1"/>
                  </w14:solidFill>
                </w14:textFill>
              </w:rPr>
              <w:t>，通讯地址：</w:t>
            </w:r>
            <w:r>
              <w:rPr>
                <w:rFonts w:hint="eastAsia" w:hAnsi="宋体" w:cs="宋体"/>
                <w:color w:val="000000" w:themeColor="text1"/>
                <w:kern w:val="2"/>
                <w:sz w:val="21"/>
                <w:highlight w:val="none"/>
                <w:lang w:eastAsia="zh-CN"/>
                <w14:textFill>
                  <w14:solidFill>
                    <w14:schemeClr w14:val="tx1"/>
                  </w14:solidFill>
                </w14:textFill>
              </w:rPr>
              <w:t>贵港市港北区民主路365号（四楼）</w:t>
            </w:r>
          </w:p>
          <w:p w14:paraId="6206F82E">
            <w:pPr>
              <w:autoSpaceDE w:val="0"/>
              <w:autoSpaceDN w:val="0"/>
              <w:snapToGrid w:val="0"/>
              <w:spacing w:line="360" w:lineRule="auto"/>
              <w:textAlignment w:val="bottom"/>
              <w:rPr>
                <w:rFonts w:hint="eastAsia" w:ascii="宋体" w:hAnsi="宋体"/>
                <w:color w:val="000000" w:themeColor="text1"/>
                <w:szCs w:val="21"/>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业</w:t>
            </w:r>
            <w:r>
              <w:rPr>
                <w:rFonts w:hint="eastAsia" w:ascii="宋体" w:hAnsi="宋体" w:cs="宋体"/>
                <w:color w:val="000000" w:themeColor="text1"/>
                <w:kern w:val="0"/>
                <w:highlight w:val="none"/>
                <w14:textFill>
                  <w14:solidFill>
                    <w14:schemeClr w14:val="tx1"/>
                  </w14:solidFill>
                </w14:textFill>
              </w:rPr>
              <w:t>务时间：工作日每天上午</w:t>
            </w:r>
            <w:r>
              <w:rPr>
                <w:rFonts w:ascii="宋体" w:hAnsi="宋体" w:cs="宋体"/>
                <w:color w:val="000000" w:themeColor="text1"/>
                <w:kern w:val="0"/>
                <w:highlight w:val="none"/>
                <w14:textFill>
                  <w14:solidFill>
                    <w14:schemeClr w14:val="tx1"/>
                  </w14:solidFill>
                </w14:textFill>
              </w:rPr>
              <w:t>8</w:t>
            </w:r>
            <w:r>
              <w:rPr>
                <w:rFonts w:hint="eastAsia" w:ascii="宋体" w:hAnsi="宋体" w:cs="宋体"/>
                <w:color w:val="000000" w:themeColor="text1"/>
                <w:kern w:val="0"/>
                <w:highlight w:val="none"/>
                <w14:textFill>
                  <w14:solidFill>
                    <w14:schemeClr w14:val="tx1"/>
                  </w14:solidFill>
                </w14:textFill>
              </w:rPr>
              <w:t>时</w:t>
            </w:r>
            <w:r>
              <w:rPr>
                <w:rFonts w:ascii="宋体" w:hAnsi="宋体" w:cs="宋体"/>
                <w:color w:val="000000" w:themeColor="text1"/>
                <w:kern w:val="0"/>
                <w:highlight w:val="none"/>
                <w14:textFill>
                  <w14:solidFill>
                    <w14:schemeClr w14:val="tx1"/>
                  </w14:solidFill>
                </w14:textFill>
              </w:rPr>
              <w:t>00</w:t>
            </w:r>
            <w:r>
              <w:rPr>
                <w:rFonts w:hint="eastAsia" w:ascii="宋体" w:hAnsi="宋体" w:cs="宋体"/>
                <w:color w:val="000000" w:themeColor="text1"/>
                <w:kern w:val="0"/>
                <w:highlight w:val="none"/>
                <w14:textFill>
                  <w14:solidFill>
                    <w14:schemeClr w14:val="tx1"/>
                  </w14:solidFill>
                </w14:textFill>
              </w:rPr>
              <w:t>分到</w:t>
            </w:r>
            <w:r>
              <w:rPr>
                <w:rFonts w:ascii="宋体" w:hAnsi="宋体" w:cs="宋体"/>
                <w:color w:val="000000" w:themeColor="text1"/>
                <w:kern w:val="0"/>
                <w:highlight w:val="none"/>
                <w14:textFill>
                  <w14:solidFill>
                    <w14:schemeClr w14:val="tx1"/>
                  </w14:solidFill>
                </w14:textFill>
              </w:rPr>
              <w:t>12</w:t>
            </w:r>
            <w:r>
              <w:rPr>
                <w:rFonts w:hint="eastAsia" w:ascii="宋体" w:hAnsi="宋体" w:cs="宋体"/>
                <w:color w:val="000000" w:themeColor="text1"/>
                <w:kern w:val="0"/>
                <w:highlight w:val="none"/>
                <w14:textFill>
                  <w14:solidFill>
                    <w14:schemeClr w14:val="tx1"/>
                  </w14:solidFill>
                </w14:textFill>
              </w:rPr>
              <w:t>时</w:t>
            </w:r>
            <w:r>
              <w:rPr>
                <w:rFonts w:ascii="宋体" w:hAnsi="宋体" w:cs="宋体"/>
                <w:color w:val="000000" w:themeColor="text1"/>
                <w:kern w:val="0"/>
                <w:highlight w:val="none"/>
                <w14:textFill>
                  <w14:solidFill>
                    <w14:schemeClr w14:val="tx1"/>
                  </w14:solidFill>
                </w14:textFill>
              </w:rPr>
              <w:t>00</w:t>
            </w:r>
            <w:r>
              <w:rPr>
                <w:rFonts w:hint="eastAsia" w:ascii="宋体" w:hAnsi="宋体" w:cs="宋体"/>
                <w:color w:val="000000" w:themeColor="text1"/>
                <w:kern w:val="0"/>
                <w:highlight w:val="none"/>
                <w14:textFill>
                  <w14:solidFill>
                    <w14:schemeClr w14:val="tx1"/>
                  </w14:solidFill>
                </w14:textFill>
              </w:rPr>
              <w:t>分，下午</w:t>
            </w:r>
            <w:r>
              <w:rPr>
                <w:rFonts w:ascii="宋体" w:hAnsi="宋体" w:cs="宋体"/>
                <w:color w:val="000000" w:themeColor="text1"/>
                <w:kern w:val="0"/>
                <w:highlight w:val="none"/>
                <w14:textFill>
                  <w14:solidFill>
                    <w14:schemeClr w14:val="tx1"/>
                  </w14:solidFill>
                </w14:textFill>
              </w:rPr>
              <w:t>3</w:t>
            </w:r>
            <w:r>
              <w:rPr>
                <w:rFonts w:hint="eastAsia" w:ascii="宋体" w:hAnsi="宋体" w:cs="宋体"/>
                <w:color w:val="000000" w:themeColor="text1"/>
                <w:kern w:val="0"/>
                <w:highlight w:val="none"/>
                <w14:textFill>
                  <w14:solidFill>
                    <w14:schemeClr w14:val="tx1"/>
                  </w14:solidFill>
                </w14:textFill>
              </w:rPr>
              <w:t>时</w:t>
            </w:r>
            <w:r>
              <w:rPr>
                <w:rFonts w:ascii="宋体" w:hAnsi="宋体" w:cs="宋体"/>
                <w:color w:val="000000" w:themeColor="text1"/>
                <w:kern w:val="0"/>
                <w:highlight w:val="none"/>
                <w14:textFill>
                  <w14:solidFill>
                    <w14:schemeClr w14:val="tx1"/>
                  </w14:solidFill>
                </w14:textFill>
              </w:rPr>
              <w:t>00</w:t>
            </w:r>
            <w:r>
              <w:rPr>
                <w:rFonts w:hint="eastAsia" w:ascii="宋体" w:hAnsi="宋体" w:cs="宋体"/>
                <w:color w:val="000000" w:themeColor="text1"/>
                <w:kern w:val="0"/>
                <w:highlight w:val="none"/>
                <w14:textFill>
                  <w14:solidFill>
                    <w14:schemeClr w14:val="tx1"/>
                  </w14:solidFill>
                </w14:textFill>
              </w:rPr>
              <w:t>分到</w:t>
            </w:r>
            <w:r>
              <w:rPr>
                <w:rFonts w:ascii="宋体" w:hAnsi="宋体" w:cs="宋体"/>
                <w:color w:val="000000" w:themeColor="text1"/>
                <w:kern w:val="0"/>
                <w:highlight w:val="none"/>
                <w14:textFill>
                  <w14:solidFill>
                    <w14:schemeClr w14:val="tx1"/>
                  </w14:solidFill>
                </w14:textFill>
              </w:rPr>
              <w:t>6</w:t>
            </w:r>
            <w:r>
              <w:rPr>
                <w:rFonts w:hint="eastAsia" w:ascii="宋体" w:hAnsi="宋体" w:cs="宋体"/>
                <w:color w:val="000000" w:themeColor="text1"/>
                <w:kern w:val="0"/>
                <w:highlight w:val="none"/>
                <w14:textFill>
                  <w14:solidFill>
                    <w14:schemeClr w14:val="tx1"/>
                  </w14:solidFill>
                </w14:textFill>
              </w:rPr>
              <w:t>时</w:t>
            </w:r>
            <w:r>
              <w:rPr>
                <w:rFonts w:ascii="宋体" w:hAnsi="宋体" w:cs="宋体"/>
                <w:color w:val="000000" w:themeColor="text1"/>
                <w:kern w:val="0"/>
                <w:highlight w:val="none"/>
                <w14:textFill>
                  <w14:solidFill>
                    <w14:schemeClr w14:val="tx1"/>
                  </w14:solidFill>
                </w14:textFill>
              </w:rPr>
              <w:t>00</w:t>
            </w:r>
            <w:r>
              <w:rPr>
                <w:rFonts w:hint="eastAsia" w:ascii="宋体" w:hAnsi="宋体" w:cs="宋体"/>
                <w:color w:val="000000" w:themeColor="text1"/>
                <w:kern w:val="0"/>
                <w:highlight w:val="none"/>
                <w14:textFill>
                  <w14:solidFill>
                    <w14:schemeClr w14:val="tx1"/>
                  </w14:solidFill>
                </w14:textFill>
              </w:rPr>
              <w:t>分。</w:t>
            </w:r>
          </w:p>
        </w:tc>
      </w:tr>
      <w:tr w14:paraId="35DDC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E57301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32.1</w:t>
            </w:r>
          </w:p>
        </w:tc>
        <w:tc>
          <w:tcPr>
            <w:tcW w:w="7912" w:type="dxa"/>
            <w:vAlign w:val="center"/>
          </w:tcPr>
          <w:p w14:paraId="79C1CC22">
            <w:pPr>
              <w:pStyle w:val="25"/>
              <w:snapToGrid w:val="0"/>
              <w:spacing w:line="312"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1.采购代理费支付方式：</w:t>
            </w:r>
          </w:p>
          <w:p w14:paraId="33BA6899">
            <w:pPr>
              <w:pStyle w:val="25"/>
              <w:snapToGrid w:val="0"/>
              <w:spacing w:line="312"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☑本项目代理服务费由</w:t>
            </w:r>
            <w:r>
              <w:rPr>
                <w:rFonts w:hint="eastAsia" w:hAnsi="宋体" w:cs="宋体"/>
                <w:color w:val="000000" w:themeColor="text1"/>
                <w:sz w:val="21"/>
                <w:highlight w:val="none"/>
                <w:u w:val="single"/>
                <w14:textFill>
                  <w14:solidFill>
                    <w14:schemeClr w14:val="tx1"/>
                  </w14:solidFill>
                </w14:textFill>
              </w:rPr>
              <w:t>成交供应商</w:t>
            </w:r>
            <w:r>
              <w:rPr>
                <w:rFonts w:hint="eastAsia" w:hAnsi="宋体" w:cs="宋体"/>
                <w:color w:val="000000" w:themeColor="text1"/>
                <w:sz w:val="21"/>
                <w:highlight w:val="none"/>
                <w14:textFill>
                  <w14:solidFill>
                    <w14:schemeClr w14:val="tx1"/>
                  </w14:solidFill>
                </w14:textFill>
              </w:rPr>
              <w:t>在领取成交通知书前，一次性向采购代理机构支付。</w:t>
            </w:r>
          </w:p>
          <w:p w14:paraId="14E78BCC">
            <w:pPr>
              <w:pStyle w:val="25"/>
              <w:snapToGrid w:val="0"/>
              <w:spacing w:line="312"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2.采购代理费收取标准：</w:t>
            </w:r>
          </w:p>
          <w:p w14:paraId="7D5049F2">
            <w:pPr>
              <w:pStyle w:val="25"/>
              <w:snapToGrid w:val="0"/>
              <w:spacing w:line="312" w:lineRule="auto"/>
              <w:rPr>
                <w:rFonts w:hint="eastAsia" w:hAnsi="宋体" w:cs="宋体"/>
                <w:color w:val="000000" w:themeColor="text1"/>
                <w:sz w:val="21"/>
                <w:highlight w:val="none"/>
                <w:u w:val="singl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☑固定采购代理收费：根据发改价格〔2015〕299号文，按固定金额收费标准，具体金额</w:t>
            </w:r>
            <w:r>
              <w:rPr>
                <w:rFonts w:hint="eastAsia" w:hAnsi="宋体" w:cs="宋体"/>
                <w:color w:val="000000" w:themeColor="text1"/>
                <w:sz w:val="21"/>
                <w:highlight w:val="none"/>
                <w:lang w:eastAsia="zh-CN"/>
                <w14:textFill>
                  <w14:solidFill>
                    <w14:schemeClr w14:val="tx1"/>
                  </w14:solidFill>
                </w14:textFill>
              </w:rPr>
              <w:t>为</w:t>
            </w:r>
            <w:r>
              <w:rPr>
                <w:rFonts w:hint="eastAsia" w:hAnsi="宋体" w:cs="宋体"/>
                <w:color w:val="000000" w:themeColor="text1"/>
                <w:sz w:val="21"/>
                <w:highlight w:val="none"/>
                <w14:textFill>
                  <w14:solidFill>
                    <w14:schemeClr w14:val="tx1"/>
                  </w14:solidFill>
                </w14:textFill>
              </w:rPr>
              <w:t>：人民币贰万零伍佰元整（¥20500.00元）。</w:t>
            </w:r>
          </w:p>
          <w:p w14:paraId="5E6458A4">
            <w:pPr>
              <w:pStyle w:val="25"/>
              <w:snapToGrid w:val="0"/>
              <w:spacing w:line="312"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 采购代理费收取银行账户</w:t>
            </w:r>
          </w:p>
          <w:p w14:paraId="328058DE">
            <w:pPr>
              <w:pStyle w:val="25"/>
              <w:snapToGrid w:val="0"/>
              <w:spacing w:line="312"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开户行名称：广西浩港工程项目管理有限公司</w:t>
            </w:r>
          </w:p>
          <w:p w14:paraId="2C307932">
            <w:pPr>
              <w:pStyle w:val="25"/>
              <w:snapToGrid w:val="0"/>
              <w:spacing w:line="312"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 xml:space="preserve">开户行:中国建设银行股份有限公司贵港新城支行  </w:t>
            </w:r>
          </w:p>
          <w:p w14:paraId="3E7CD148">
            <w:pPr>
              <w:pStyle w:val="25"/>
              <w:snapToGrid w:val="0"/>
              <w:spacing w:line="312"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开户账号: 45050175375500000573</w:t>
            </w:r>
          </w:p>
        </w:tc>
      </w:tr>
      <w:tr w14:paraId="5149D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E1734F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3.1</w:t>
            </w:r>
          </w:p>
        </w:tc>
        <w:tc>
          <w:tcPr>
            <w:tcW w:w="7912" w:type="dxa"/>
            <w:vAlign w:val="center"/>
          </w:tcPr>
          <w:p w14:paraId="578B59D9">
            <w:pPr>
              <w:pStyle w:val="25"/>
              <w:snapToGrid w:val="0"/>
              <w:spacing w:line="360" w:lineRule="auto"/>
              <w:rPr>
                <w:rFonts w:hint="eastAsia" w:hAnsi="宋体" w:cs="宋体"/>
                <w:color w:val="000000" w:themeColor="text1"/>
                <w:kern w:val="2"/>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解释：</w:t>
            </w:r>
            <w:r>
              <w:rPr>
                <w:rFonts w:hAnsi="宋体"/>
                <w:color w:val="000000" w:themeColor="text1"/>
                <w:sz w:val="21"/>
                <w:highlight w:val="none"/>
                <w14:textFill>
                  <w14:solidFill>
                    <w14:schemeClr w14:val="tx1"/>
                  </w14:solidFill>
                </w14:textFill>
              </w:rPr>
              <w:t>构成本</w:t>
            </w:r>
            <w:r>
              <w:rPr>
                <w:rFonts w:hint="eastAsia" w:hAnsi="宋体"/>
                <w:color w:val="000000" w:themeColor="text1"/>
                <w:sz w:val="21"/>
                <w:highlight w:val="none"/>
                <w14:textFill>
                  <w14:solidFill>
                    <w14:schemeClr w14:val="tx1"/>
                  </w14:solidFill>
                </w14:textFill>
              </w:rPr>
              <w:t>磋商文件</w:t>
            </w:r>
            <w:r>
              <w:rPr>
                <w:rFonts w:hAnsi="宋体"/>
                <w:color w:val="000000" w:themeColor="text1"/>
                <w:sz w:val="21"/>
                <w:highlight w:val="none"/>
                <w14:textFill>
                  <w14:solidFill>
                    <w14:schemeClr w14:val="tx1"/>
                  </w14:solidFill>
                </w14:textFill>
              </w:rPr>
              <w:t>的各个组成文件应互为解释，互为说明；除</w:t>
            </w:r>
            <w:r>
              <w:rPr>
                <w:rFonts w:hint="eastAsia" w:hAnsi="宋体"/>
                <w:color w:val="000000" w:themeColor="text1"/>
                <w:sz w:val="21"/>
                <w:highlight w:val="none"/>
                <w14:textFill>
                  <w14:solidFill>
                    <w14:schemeClr w14:val="tx1"/>
                  </w14:solidFill>
                </w14:textFill>
              </w:rPr>
              <w:t>磋商文件</w:t>
            </w:r>
            <w:r>
              <w:rPr>
                <w:rFonts w:hAnsi="宋体"/>
                <w:color w:val="000000" w:themeColor="text1"/>
                <w:sz w:val="21"/>
                <w:highlight w:val="none"/>
                <w14:textFill>
                  <w14:solidFill>
                    <w14:schemeClr w14:val="tx1"/>
                  </w14:solidFill>
                </w14:textFill>
              </w:rPr>
              <w:t>中有特别规定外，仅适用于</w:t>
            </w:r>
            <w:r>
              <w:rPr>
                <w:rFonts w:hint="eastAsia" w:hAnsi="宋体"/>
                <w:color w:val="000000" w:themeColor="text1"/>
                <w:sz w:val="21"/>
                <w:highlight w:val="none"/>
                <w14:textFill>
                  <w14:solidFill>
                    <w14:schemeClr w14:val="tx1"/>
                  </w14:solidFill>
                </w14:textFill>
              </w:rPr>
              <w:t>竞标</w:t>
            </w:r>
            <w:r>
              <w:rPr>
                <w:rFonts w:hAnsi="宋体"/>
                <w:color w:val="000000" w:themeColor="text1"/>
                <w:sz w:val="21"/>
                <w:highlight w:val="none"/>
                <w14:textFill>
                  <w14:solidFill>
                    <w14:schemeClr w14:val="tx1"/>
                  </w14:solidFill>
                </w14:textFill>
              </w:rPr>
              <w:t>阶段的规定，按</w:t>
            </w:r>
            <w:r>
              <w:rPr>
                <w:rFonts w:hint="eastAsia" w:hAnsi="宋体"/>
                <w:color w:val="000000" w:themeColor="text1"/>
                <w:sz w:val="21"/>
                <w:highlight w:val="none"/>
                <w14:textFill>
                  <w14:solidFill>
                    <w14:schemeClr w14:val="tx1"/>
                  </w14:solidFill>
                </w14:textFill>
              </w:rPr>
              <w:t>更正公告（澄清公告）</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竞争性磋商</w:t>
            </w:r>
            <w:r>
              <w:rPr>
                <w:rFonts w:hAnsi="宋体"/>
                <w:color w:val="000000" w:themeColor="text1"/>
                <w:sz w:val="21"/>
                <w:highlight w:val="none"/>
                <w14:textFill>
                  <w14:solidFill>
                    <w14:schemeClr w14:val="tx1"/>
                  </w14:solidFill>
                </w14:textFill>
              </w:rPr>
              <w:t>公告、</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须知</w:t>
            </w:r>
            <w:r>
              <w:rPr>
                <w:rFonts w:hint="eastAsia" w:hAnsi="宋体"/>
                <w:color w:val="000000" w:themeColor="text1"/>
                <w:sz w:val="21"/>
                <w:highlight w:val="none"/>
                <w14:textFill>
                  <w14:solidFill>
                    <w14:schemeClr w14:val="tx1"/>
                  </w14:solidFill>
                </w14:textFill>
              </w:rPr>
              <w:t>、采购需求</w:t>
            </w:r>
            <w:r>
              <w:rPr>
                <w:rFonts w:hAnsi="宋体"/>
                <w:color w:val="000000" w:themeColor="text1"/>
                <w:sz w:val="21"/>
                <w:highlight w:val="none"/>
                <w14:textFill>
                  <w14:solidFill>
                    <w14:schemeClr w14:val="tx1"/>
                  </w14:solidFill>
                </w14:textFill>
              </w:rPr>
              <w:t>、</w:t>
            </w:r>
            <w:r>
              <w:rPr>
                <w:rFonts w:hint="eastAsia"/>
                <w:color w:val="000000" w:themeColor="text1"/>
                <w:sz w:val="21"/>
                <w:highlight w:val="none"/>
                <w14:textFill>
                  <w14:solidFill>
                    <w14:schemeClr w14:val="tx1"/>
                  </w14:solidFill>
                </w14:textFill>
              </w:rPr>
              <w:t>评审程序、评审方法和评审标准</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响应</w:t>
            </w:r>
            <w:r>
              <w:rPr>
                <w:rFonts w:hAnsi="宋体"/>
                <w:color w:val="000000" w:themeColor="text1"/>
                <w:sz w:val="21"/>
                <w:highlight w:val="none"/>
                <w14:textFill>
                  <w14:solidFill>
                    <w14:schemeClr w14:val="tx1"/>
                  </w14:solidFill>
                </w14:textFill>
              </w:rPr>
              <w:t>文件格式</w:t>
            </w:r>
            <w:r>
              <w:rPr>
                <w:rFonts w:hint="eastAsia" w:hAnsi="宋体"/>
                <w:color w:val="000000" w:themeColor="text1"/>
                <w:sz w:val="21"/>
                <w:highlight w:val="none"/>
                <w14:textFill>
                  <w14:solidFill>
                    <w14:schemeClr w14:val="tx1"/>
                  </w14:solidFill>
                </w14:textFill>
              </w:rPr>
              <w:t>、合同文本</w:t>
            </w:r>
            <w:r>
              <w:rPr>
                <w:rFonts w:hAnsi="宋体"/>
                <w:color w:val="000000" w:themeColor="text1"/>
                <w:sz w:val="21"/>
                <w:highlight w:val="none"/>
                <w14:textFill>
                  <w14:solidFill>
                    <w14:schemeClr w14:val="tx1"/>
                  </w14:solidFill>
                </w14:textFill>
              </w:rPr>
              <w:t>的先后顺序解释；同一组成文件中就同一事项的规定或者约定不一致的，以编排顺序在后者为准；同一组成文件不同版本之间有不一致的，以形成时间在后者为准；</w:t>
            </w:r>
            <w:r>
              <w:rPr>
                <w:rFonts w:hint="eastAsia" w:hAnsi="宋体"/>
                <w:color w:val="000000" w:themeColor="text1"/>
                <w:sz w:val="21"/>
                <w:highlight w:val="none"/>
                <w14:textFill>
                  <w14:solidFill>
                    <w14:schemeClr w14:val="tx1"/>
                  </w14:solidFill>
                </w14:textFill>
              </w:rPr>
              <w:t>更正公告（澄清公告）</w:t>
            </w:r>
            <w:r>
              <w:rPr>
                <w:rFonts w:hAnsi="宋体"/>
                <w:color w:val="000000" w:themeColor="text1"/>
                <w:sz w:val="21"/>
                <w:highlight w:val="none"/>
                <w14:textFill>
                  <w14:solidFill>
                    <w14:schemeClr w14:val="tx1"/>
                  </w14:solidFill>
                </w14:textFill>
              </w:rPr>
              <w:t>与同步更新的</w:t>
            </w:r>
            <w:r>
              <w:rPr>
                <w:rFonts w:hint="eastAsia" w:hAnsi="宋体"/>
                <w:color w:val="000000" w:themeColor="text1"/>
                <w:sz w:val="21"/>
                <w:highlight w:val="none"/>
                <w14:textFill>
                  <w14:solidFill>
                    <w14:schemeClr w14:val="tx1"/>
                  </w14:solidFill>
                </w14:textFill>
              </w:rPr>
              <w:t>磋商文件</w:t>
            </w:r>
            <w:r>
              <w:rPr>
                <w:rFonts w:hAnsi="宋体"/>
                <w:color w:val="000000" w:themeColor="text1"/>
                <w:sz w:val="21"/>
                <w:highlight w:val="none"/>
                <w14:textFill>
                  <w14:solidFill>
                    <w14:schemeClr w14:val="tx1"/>
                  </w14:solidFill>
                </w14:textFill>
              </w:rPr>
              <w:t>不一致时以</w:t>
            </w:r>
            <w:r>
              <w:rPr>
                <w:rFonts w:hint="eastAsia" w:hAnsi="宋体"/>
                <w:color w:val="000000" w:themeColor="text1"/>
                <w:sz w:val="21"/>
                <w:highlight w:val="none"/>
                <w14:textFill>
                  <w14:solidFill>
                    <w14:schemeClr w14:val="tx1"/>
                  </w14:solidFill>
                </w14:textFill>
              </w:rPr>
              <w:t>更正公告（澄清公告）</w:t>
            </w:r>
            <w:r>
              <w:rPr>
                <w:rFonts w:hAnsi="宋体"/>
                <w:color w:val="000000" w:themeColor="text1"/>
                <w:sz w:val="21"/>
                <w:highlight w:val="none"/>
                <w14:textFill>
                  <w14:solidFill>
                    <w14:schemeClr w14:val="tx1"/>
                  </w14:solidFill>
                </w14:textFill>
              </w:rPr>
              <w:t>为准。按本款前述规定仍不能形成结论的，由</w:t>
            </w:r>
            <w:r>
              <w:rPr>
                <w:rFonts w:hint="eastAsia" w:hAnsi="宋体"/>
                <w:color w:val="000000" w:themeColor="text1"/>
                <w:sz w:val="21"/>
                <w:highlight w:val="none"/>
                <w14:textFill>
                  <w14:solidFill>
                    <w14:schemeClr w14:val="tx1"/>
                  </w14:solidFill>
                </w14:textFill>
              </w:rPr>
              <w:t>采购</w:t>
            </w:r>
            <w:r>
              <w:rPr>
                <w:rFonts w:hAnsi="宋体"/>
                <w:color w:val="000000" w:themeColor="text1"/>
                <w:sz w:val="21"/>
                <w:highlight w:val="none"/>
                <w14:textFill>
                  <w14:solidFill>
                    <w14:schemeClr w14:val="tx1"/>
                  </w14:solidFill>
                </w14:textFill>
              </w:rPr>
              <w:t>人</w:t>
            </w:r>
            <w:r>
              <w:rPr>
                <w:rFonts w:hint="eastAsia" w:hAnsi="宋体"/>
                <w:color w:val="000000" w:themeColor="text1"/>
                <w:sz w:val="21"/>
                <w:highlight w:val="none"/>
                <w14:textFill>
                  <w14:solidFill>
                    <w14:schemeClr w14:val="tx1"/>
                  </w14:solidFill>
                </w14:textFill>
              </w:rPr>
              <w:t>或者采购代理机构</w:t>
            </w:r>
            <w:r>
              <w:rPr>
                <w:rFonts w:hAnsi="宋体"/>
                <w:color w:val="000000" w:themeColor="text1"/>
                <w:sz w:val="21"/>
                <w:highlight w:val="none"/>
                <w14:textFill>
                  <w14:solidFill>
                    <w14:schemeClr w14:val="tx1"/>
                  </w14:solidFill>
                </w14:textFill>
              </w:rPr>
              <w:t>负责解释。</w:t>
            </w:r>
          </w:p>
        </w:tc>
      </w:tr>
      <w:tr w14:paraId="57336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251257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33.2</w:t>
            </w:r>
          </w:p>
        </w:tc>
        <w:tc>
          <w:tcPr>
            <w:tcW w:w="7912" w:type="dxa"/>
            <w:vAlign w:val="center"/>
          </w:tcPr>
          <w:p w14:paraId="042F1F7D">
            <w:pPr>
              <w:pStyle w:val="25"/>
              <w:snapToGrid w:val="0"/>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5BEDE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9DF7AD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3</w:t>
            </w:r>
          </w:p>
        </w:tc>
        <w:tc>
          <w:tcPr>
            <w:tcW w:w="7912" w:type="dxa"/>
            <w:vAlign w:val="center"/>
          </w:tcPr>
          <w:p w14:paraId="21A6F102">
            <w:pPr>
              <w:pStyle w:val="25"/>
              <w:snapToGrid w:val="0"/>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9427B5A">
            <w:pPr>
              <w:pStyle w:val="25"/>
              <w:snapToGrid w:val="0"/>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2.本磋商文件所称的“</w:t>
            </w:r>
            <w:r>
              <w:rPr>
                <w:rFonts w:hint="eastAsia" w:hAnsi="宋体"/>
                <w:color w:val="000000" w:themeColor="text1"/>
                <w:sz w:val="21"/>
                <w:highlight w:val="none"/>
                <w14:textFill>
                  <w14:solidFill>
                    <w14:schemeClr w14:val="tx1"/>
                  </w14:solidFill>
                </w14:textFill>
              </w:rPr>
              <w:t>电子签章</w:t>
            </w:r>
            <w:r>
              <w:rPr>
                <w:rFonts w:hint="eastAsia" w:hAnsi="宋体" w:cs="宋体"/>
                <w:bCs/>
                <w:color w:val="000000" w:themeColor="text1"/>
                <w:sz w:val="21"/>
                <w:highlight w:val="none"/>
                <w14:textFill>
                  <w14:solidFill>
                    <w14:schemeClr w14:val="tx1"/>
                  </w14:solidFill>
                </w14:textFill>
              </w:rPr>
              <w:t>”、“电子签名”</w:t>
            </w:r>
            <w:r>
              <w:rPr>
                <w:rFonts w:hint="eastAsia" w:hAnsi="宋体"/>
                <w:color w:val="000000" w:themeColor="text1"/>
                <w:sz w:val="21"/>
                <w:highlight w:val="none"/>
                <w14:textFill>
                  <w14:solidFill>
                    <w14:schemeClr w14:val="tx1"/>
                  </w14:solidFill>
                </w14:textFill>
              </w:rPr>
              <w:t>，是指经</w:t>
            </w:r>
            <w:r>
              <w:rPr>
                <w:rFonts w:hint="eastAsia" w:hAnsi="宋体" w:cs="宋体"/>
                <w:color w:val="000000" w:themeColor="text1"/>
                <w:highlight w:val="none"/>
                <w14:textFill>
                  <w14:solidFill>
                    <w14:schemeClr w14:val="tx1"/>
                  </w14:solidFill>
                </w14:textFill>
              </w:rPr>
              <w:t>广西政府采购云平台</w:t>
            </w:r>
            <w:r>
              <w:rPr>
                <w:rFonts w:hint="eastAsia" w:hAnsi="宋体"/>
                <w:color w:val="000000" w:themeColor="text1"/>
                <w:sz w:val="21"/>
                <w:highlight w:val="none"/>
                <w14:textFill>
                  <w14:solidFill>
                    <w14:schemeClr w14:val="tx1"/>
                  </w14:solidFill>
                </w14:textFill>
              </w:rPr>
              <w:t>认可的CA认证的电子签名数据为表现形式的印章，可用于签署电子响应文件，电子印章与实物印章具有同等法律效力，不因其采用电子化表现形式而否定其法律效力。</w:t>
            </w:r>
          </w:p>
          <w:p w14:paraId="58C66ED1">
            <w:pPr>
              <w:pStyle w:val="25"/>
              <w:snapToGrid w:val="0"/>
              <w:spacing w:line="360" w:lineRule="auto"/>
              <w:rPr>
                <w:rFonts w:hint="eastAsia" w:hAnsi="宋体" w:cs="宋体"/>
                <w:bCs/>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3</w:t>
            </w:r>
            <w:r>
              <w:rPr>
                <w:rFonts w:hint="eastAsia" w:hAnsi="宋体" w:cs="宋体"/>
                <w:color w:val="000000" w:themeColor="text1"/>
                <w:sz w:val="21"/>
                <w:highlight w:val="none"/>
                <w14:textFill>
                  <w14:solidFill>
                    <w14:schemeClr w14:val="tx1"/>
                  </w14:solidFill>
                </w14:textFill>
              </w:rPr>
              <w:t>.供应商为其他组织时，本磋商文件规定的法定代表人指负责人。本磋商文件所称负责人是指参加竞标的其他组织</w:t>
            </w:r>
            <w:r>
              <w:rPr>
                <w:rFonts w:hint="eastAsia" w:hAnsi="宋体" w:cs="宋体"/>
                <w:bCs/>
                <w:color w:val="000000" w:themeColor="text1"/>
                <w:sz w:val="21"/>
                <w:highlight w:val="none"/>
                <w14:textFill>
                  <w14:solidFill>
                    <w14:schemeClr w14:val="tx1"/>
                  </w14:solidFill>
                </w14:textFill>
              </w:rPr>
              <w:t>营业执照或者执业许可证等证照上的</w:t>
            </w:r>
            <w:r>
              <w:rPr>
                <w:rFonts w:hint="eastAsia" w:hAnsi="宋体" w:cs="宋体"/>
                <w:color w:val="000000" w:themeColor="text1"/>
                <w:sz w:val="21"/>
                <w:highlight w:val="none"/>
                <w14:textFill>
                  <w14:solidFill>
                    <w14:schemeClr w14:val="tx1"/>
                  </w14:solidFill>
                </w14:textFill>
              </w:rPr>
              <w:t>负责人</w:t>
            </w:r>
            <w:r>
              <w:rPr>
                <w:rFonts w:hint="eastAsia" w:hAnsi="宋体" w:cs="宋体"/>
                <w:bCs/>
                <w:color w:val="000000" w:themeColor="text1"/>
                <w:sz w:val="21"/>
                <w:highlight w:val="none"/>
                <w14:textFill>
                  <w14:solidFill>
                    <w14:schemeClr w14:val="tx1"/>
                  </w14:solidFill>
                </w14:textFill>
              </w:rPr>
              <w:t>。</w:t>
            </w:r>
          </w:p>
          <w:p w14:paraId="6A2E62E8">
            <w:pPr>
              <w:pStyle w:val="25"/>
              <w:snapToGrid w:val="0"/>
              <w:spacing w:line="360" w:lineRule="auto"/>
              <w:rPr>
                <w:rFonts w:hint="eastAsia"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4.</w:t>
            </w:r>
            <w:r>
              <w:rPr>
                <w:rFonts w:hint="eastAsia" w:hAnsi="宋体" w:cs="宋体"/>
                <w:color w:val="000000" w:themeColor="text1"/>
                <w:sz w:val="21"/>
                <w:highlight w:val="none"/>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240BBBD5">
            <w:pPr>
              <w:pStyle w:val="25"/>
              <w:snapToGrid w:val="0"/>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w:t>
            </w:r>
            <w:r>
              <w:rPr>
                <w:rFonts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本磋商文件所称的“以上”“以下”“以内”“届满”，包括本数；所称的“不满”“超过”“以外”，不包括本数。</w:t>
            </w:r>
          </w:p>
        </w:tc>
      </w:tr>
      <w:tr w14:paraId="41361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65A95A1">
            <w:pPr>
              <w:pStyle w:val="25"/>
              <w:snapToGrid w:val="0"/>
              <w:spacing w:line="32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其他事项</w:t>
            </w:r>
          </w:p>
          <w:p w14:paraId="37E05E45">
            <w:pPr>
              <w:snapToGrid w:val="0"/>
              <w:jc w:val="center"/>
              <w:rPr>
                <w:rFonts w:hint="eastAsia" w:ascii="宋体" w:hAnsi="宋体" w:cs="宋体"/>
                <w:color w:val="000000" w:themeColor="text1"/>
                <w:szCs w:val="21"/>
                <w:highlight w:val="none"/>
                <w14:textFill>
                  <w14:solidFill>
                    <w14:schemeClr w14:val="tx1"/>
                  </w14:solidFill>
                </w14:textFill>
              </w:rPr>
            </w:pPr>
          </w:p>
        </w:tc>
        <w:tc>
          <w:tcPr>
            <w:tcW w:w="7912" w:type="dxa"/>
            <w:vAlign w:val="center"/>
          </w:tcPr>
          <w:p w14:paraId="6748B7C5">
            <w:pPr>
              <w:pStyle w:val="25"/>
              <w:snapToGrid w:val="0"/>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广西线上“政采贷”政策告知函</w:t>
            </w:r>
          </w:p>
          <w:p w14:paraId="504B8BDD">
            <w:pPr>
              <w:pStyle w:val="25"/>
              <w:snapToGrid w:val="0"/>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各供应商：</w:t>
            </w:r>
          </w:p>
          <w:p w14:paraId="48EC11C7">
            <w:pPr>
              <w:pStyle w:val="25"/>
              <w:snapToGrid w:val="0"/>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欢迎贵公司参与广西政府采购活动！</w:t>
            </w:r>
          </w:p>
          <w:p w14:paraId="08A0D25C">
            <w:pPr>
              <w:pStyle w:val="25"/>
              <w:snapToGrid w:val="0"/>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线上“政采贷”是人民银行南宁中心支行和</w:t>
            </w:r>
            <w:r>
              <w:rPr>
                <w:rFonts w:hint="eastAsia" w:hAnsi="宋体"/>
                <w:color w:val="000000" w:themeColor="text1"/>
                <w:sz w:val="21"/>
                <w:highlight w:val="none"/>
                <w14:textFill>
                  <w14:solidFill>
                    <w14:schemeClr w14:val="tx1"/>
                  </w14:solidFill>
                </w14:textFill>
              </w:rPr>
              <w:t>广西壮族自治区</w:t>
            </w:r>
            <w:r>
              <w:rPr>
                <w:rFonts w:hint="eastAsia" w:hAnsi="宋体" w:cs="宋体"/>
                <w:color w:val="000000" w:themeColor="text1"/>
                <w:sz w:val="21"/>
                <w:highlight w:val="none"/>
                <w14:textFill>
                  <w14:solidFill>
                    <w14:schemeClr w14:val="tx1"/>
                  </w14:solidFill>
                </w14:textFill>
              </w:rPr>
              <w:t>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241B651E">
            <w:pPr>
              <w:pStyle w:val="25"/>
              <w:snapToGrid w:val="0"/>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相关金融产品和银行业金融机构联系方式，可在中征应收账款融资服务平台查询（网址：https://www.crcrfsp.com/，客服电话：400-009-0001）。</w:t>
            </w:r>
          </w:p>
        </w:tc>
      </w:tr>
    </w:tbl>
    <w:p w14:paraId="1FA0B877">
      <w:pPr>
        <w:spacing w:line="400" w:lineRule="exact"/>
        <w:jc w:val="center"/>
        <w:outlineLvl w:val="1"/>
        <w:rPr>
          <w:rFonts w:hint="eastAsia"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供应商须知正文</w:t>
      </w:r>
    </w:p>
    <w:p w14:paraId="02CA8839">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45F23F41">
      <w:pPr>
        <w:spacing w:line="400" w:lineRule="exact"/>
        <w:jc w:val="center"/>
        <w:outlineLvl w:val="1"/>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一、总则</w:t>
      </w:r>
    </w:p>
    <w:p w14:paraId="6589B005">
      <w:pPr>
        <w:spacing w:line="400" w:lineRule="exact"/>
        <w:rPr>
          <w:rFonts w:hint="eastAsia" w:ascii="宋体" w:hAnsi="宋体"/>
          <w:color w:val="000000" w:themeColor="text1"/>
          <w:szCs w:val="21"/>
          <w:highlight w:val="none"/>
          <w14:textFill>
            <w14:solidFill>
              <w14:schemeClr w14:val="tx1"/>
            </w14:solidFill>
          </w14:textFill>
        </w:rPr>
      </w:pPr>
    </w:p>
    <w:p w14:paraId="38F24D30">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1.适用范围</w:t>
      </w:r>
    </w:p>
    <w:p w14:paraId="15741EF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w:t>
      </w:r>
      <w:r>
        <w:rPr>
          <w:rFonts w:hint="eastAsia" w:ascii="宋体" w:hAnsi="宋体"/>
          <w:color w:val="000000" w:themeColor="text1"/>
          <w:szCs w:val="21"/>
          <w:highlight w:val="none"/>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highlight w:val="none"/>
          <w14:textFill>
            <w14:solidFill>
              <w14:schemeClr w14:val="tx1"/>
            </w14:solidFill>
          </w14:textFill>
        </w:rPr>
        <w:t>及本项目本级和上级财政部门政府采购有关规定的约束和保护。</w:t>
      </w:r>
    </w:p>
    <w:p w14:paraId="0783071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1.2本竞争性磋商文件（以下简称磋商文件）适用于本项目的所有采购程序和环节（法律、法规另有规定的，从其规定）</w:t>
      </w:r>
      <w:r>
        <w:rPr>
          <w:rFonts w:hint="eastAsia" w:ascii="宋体" w:hAnsi="宋体" w:cs="宋体"/>
          <w:color w:val="000000" w:themeColor="text1"/>
          <w:spacing w:val="-6"/>
          <w:szCs w:val="21"/>
          <w:highlight w:val="none"/>
          <w14:textFill>
            <w14:solidFill>
              <w14:schemeClr w14:val="tx1"/>
            </w14:solidFill>
          </w14:textFill>
        </w:rPr>
        <w:t>。</w:t>
      </w:r>
    </w:p>
    <w:p w14:paraId="3607C438">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2.定义</w:t>
      </w:r>
    </w:p>
    <w:p w14:paraId="2650F97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14:paraId="5049EC63">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1B05223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7AE0408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2.4“工程”是指建设工程，包括建筑物和构筑物的新建、改建、扩建、装修、拆除、修缮等。</w:t>
      </w:r>
    </w:p>
    <w:p w14:paraId="5AA6830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“竞标”是指供应商按照本项目竞争性磋商公告规定的方式获取磋商文件、提交响应文件并希望获得标的的行为。</w:t>
      </w:r>
    </w:p>
    <w:p w14:paraId="11843179">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2.6“书面形式”是指合同书、信件和数据电文（包括电报、电传、传真、电子数据交换和电子邮件）等可以有形地表现所载内容的形式。</w:t>
      </w:r>
    </w:p>
    <w:p w14:paraId="09F8D671">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2.7“响应文件”是指：供应商根据本磋商文件要求，编制包含资格证明、报价、商务技术等所有内容的文件</w:t>
      </w:r>
      <w:r>
        <w:rPr>
          <w:rFonts w:hint="eastAsia" w:ascii="宋体" w:hAnsi="宋体" w:cs="宋体"/>
          <w:color w:val="000000" w:themeColor="text1"/>
          <w:spacing w:val="-6"/>
          <w:szCs w:val="21"/>
          <w:highlight w:val="none"/>
          <w14:textFill>
            <w14:solidFill>
              <w14:schemeClr w14:val="tx1"/>
            </w14:solidFill>
          </w14:textFill>
        </w:rPr>
        <w:t>。</w:t>
      </w:r>
    </w:p>
    <w:p w14:paraId="43F399F2">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2.8“实质性要求”是指磋商文件中已经指明不满足则响应文件按无效处理的条款，或者不能负偏离的条款，或者采购需求中带“▲”的条款。</w:t>
      </w:r>
    </w:p>
    <w:p w14:paraId="78DD934F">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2.9“正偏离”，是指响应文件对磋商文件“采购需求”中有关条款作出的响应优于条款要求并有利于采购人的情形。</w:t>
      </w:r>
    </w:p>
    <w:p w14:paraId="61024BEF">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10“负偏离”，是指响应文件对磋商文件“采购需求”中有关条款作出的响应不满足条款要求，导致采购人要求不能得到满足的情形。</w:t>
      </w:r>
    </w:p>
    <w:p w14:paraId="3C1B7FFE">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2.11“允许负偏离的条款”是指采购需求中的不属于“实质性要求”的条款。</w:t>
      </w:r>
    </w:p>
    <w:p w14:paraId="68A5C923">
      <w:pPr>
        <w:spacing w:line="360" w:lineRule="auto"/>
        <w:ind w:firstLine="420" w:firstLineChars="200"/>
        <w:contextualSpacing/>
        <w:outlineLvl w:val="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2“首次报价”是指供应商提交的首次响应文件中的报价。</w:t>
      </w:r>
    </w:p>
    <w:p w14:paraId="0B7100A8">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3.供应商的资格条件</w:t>
      </w:r>
    </w:p>
    <w:p w14:paraId="1A6D97E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供应商的资格条件详见“供应商须知前附表”。</w:t>
      </w:r>
    </w:p>
    <w:p w14:paraId="14E338D1">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4.竞标费用</w:t>
      </w:r>
    </w:p>
    <w:p w14:paraId="3CB7091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4B628FAB">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5.联合体竞标</w:t>
      </w:r>
    </w:p>
    <w:p w14:paraId="3F5F6C2B">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5.1本项目是否接受联合体竞标，详见“供应商须知前附表”。</w:t>
      </w:r>
    </w:p>
    <w:p w14:paraId="1642DE9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r>
        <w:rPr>
          <w:rFonts w:hint="eastAsia" w:ascii="宋体" w:hAnsi="宋体"/>
          <w:color w:val="000000" w:themeColor="text1"/>
          <w:highlight w:val="none"/>
          <w14:textFill>
            <w14:solidFill>
              <w14:schemeClr w14:val="tx1"/>
            </w14:solidFill>
          </w14:textFill>
        </w:rPr>
        <w:t>如接受联合体竞标，</w:t>
      </w:r>
      <w:r>
        <w:rPr>
          <w:rFonts w:hint="eastAsia" w:ascii="宋体" w:hAnsi="宋体" w:cs="宋体"/>
          <w:color w:val="000000" w:themeColor="text1"/>
          <w:szCs w:val="21"/>
          <w:highlight w:val="none"/>
          <w14:textFill>
            <w14:solidFill>
              <w14:schemeClr w14:val="tx1"/>
            </w14:solidFill>
          </w14:textFill>
        </w:rPr>
        <w:t>联合体竞标要求详见“供应商须知前附表”。</w:t>
      </w:r>
    </w:p>
    <w:p w14:paraId="752863C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w:t>
      </w:r>
      <w:bookmarkStart w:id="68" w:name="_Hlk66782192"/>
      <w:r>
        <w:rPr>
          <w:rFonts w:hint="eastAsia" w:ascii="宋体" w:hAnsi="宋体"/>
          <w:color w:val="000000" w:themeColor="text1"/>
          <w:szCs w:val="21"/>
          <w:highlight w:val="none"/>
          <w14:textFill>
            <w14:solidFill>
              <w14:schemeClr w14:val="tx1"/>
            </w14:solidFill>
          </w14:textFill>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-2%的扣除，用扣除后的价格参加评审。</w:t>
      </w:r>
      <w:bookmarkEnd w:id="68"/>
    </w:p>
    <w:p w14:paraId="54A3B603">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 xml:space="preserve">6.转包与分包             </w:t>
      </w:r>
    </w:p>
    <w:p w14:paraId="2669C0B4">
      <w:pPr>
        <w:pStyle w:val="6"/>
        <w:keepNext w:val="0"/>
        <w:keepLines w:val="0"/>
        <w:spacing w:before="0" w:after="0" w:line="360" w:lineRule="auto"/>
        <w:ind w:left="420" w:leftChars="200"/>
        <w:outlineLvl w:val="3"/>
        <w:rPr>
          <w:rFonts w:hint="eastAsia" w:ascii="宋体" w:hAnsi="宋体"/>
          <w:b w:val="0"/>
          <w:color w:val="000000" w:themeColor="text1"/>
          <w:sz w:val="21"/>
          <w:szCs w:val="21"/>
          <w:highlight w:val="none"/>
          <w14:textFill>
            <w14:solidFill>
              <w14:schemeClr w14:val="tx1"/>
            </w14:solidFill>
          </w14:textFill>
        </w:rPr>
      </w:pPr>
      <w:bookmarkStart w:id="69" w:name="_Toc254970532"/>
      <w:bookmarkStart w:id="70" w:name="_Toc254970673"/>
      <w:r>
        <w:rPr>
          <w:rFonts w:hint="eastAsia" w:ascii="宋体" w:hAnsi="宋体"/>
          <w:b w:val="0"/>
          <w:color w:val="000000" w:themeColor="text1"/>
          <w:sz w:val="21"/>
          <w:szCs w:val="21"/>
          <w:highlight w:val="none"/>
          <w14:textFill>
            <w14:solidFill>
              <w14:schemeClr w14:val="tx1"/>
            </w14:solidFill>
          </w14:textFill>
        </w:rPr>
        <w:t>6.1本项目不允许转包。</w:t>
      </w:r>
    </w:p>
    <w:p w14:paraId="1E6F6C89">
      <w:pPr>
        <w:pStyle w:val="6"/>
        <w:keepNext w:val="0"/>
        <w:keepLines w:val="0"/>
        <w:spacing w:before="0" w:after="0" w:line="360" w:lineRule="auto"/>
        <w:ind w:firstLine="315" w:firstLineChars="150"/>
        <w:outlineLvl w:val="9"/>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24034677">
      <w:pPr>
        <w:pStyle w:val="6"/>
        <w:keepNext w:val="0"/>
        <w:keepLines w:val="0"/>
        <w:spacing w:before="0" w:after="0" w:line="360" w:lineRule="auto"/>
        <w:ind w:firstLine="315" w:firstLineChars="150"/>
        <w:outlineLvl w:val="9"/>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46206580">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7.特别说明</w:t>
      </w:r>
      <w:bookmarkEnd w:id="69"/>
      <w:bookmarkEnd w:id="70"/>
    </w:p>
    <w:p w14:paraId="452779D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71" w:name="_8.1提供相同品牌产品且通过资格审查、符合性审查的不同投标人参加同一合"/>
      <w:bookmarkEnd w:id="71"/>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1</w:t>
      </w:r>
      <w:bookmarkStart w:id="72" w:name="_Hlk65832145"/>
      <w:r>
        <w:rPr>
          <w:rFonts w:hint="eastAsia" w:ascii="宋体" w:hAnsi="宋体"/>
          <w:color w:val="000000" w:themeColor="text1"/>
          <w:szCs w:val="21"/>
          <w:highlight w:val="none"/>
          <w14:textFill>
            <w14:solidFill>
              <w14:schemeClr w14:val="tx1"/>
            </w14:solidFill>
          </w14:textFill>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000000" w:themeColor="text1"/>
          <w:szCs w:val="21"/>
          <w:highlight w:val="none"/>
          <w14:textFill>
            <w14:solidFill>
              <w14:schemeClr w14:val="tx1"/>
            </w14:solidFill>
          </w14:textFill>
        </w:rPr>
        <w:t>。</w:t>
      </w:r>
    </w:p>
    <w:bookmarkEnd w:id="72"/>
    <w:p w14:paraId="41B12F6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供应商应仔细阅读磋商文件的所有内容，按照磋商文件的要求提交响应文件，并对所提供的全部资料的真实性承担法律责任。</w:t>
      </w:r>
    </w:p>
    <w:p w14:paraId="54269AD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供应商在竞标活动中提供任何虚假材料谋取成交的，将报财政部门查处；签订合同后发现的，成交供应商须依照</w:t>
      </w:r>
      <w:bookmarkStart w:id="73" w:name="_Hlk170492034"/>
      <w:r>
        <w:rPr>
          <w:rFonts w:hint="eastAsia" w:ascii="宋体" w:hAnsi="宋体" w:cs="宋体"/>
          <w:color w:val="000000" w:themeColor="text1"/>
          <w:szCs w:val="21"/>
          <w:highlight w:val="none"/>
          <w14:textFill>
            <w14:solidFill>
              <w14:schemeClr w14:val="tx1"/>
            </w14:solidFill>
          </w14:textFill>
        </w:rPr>
        <w:t>有关法律法规</w:t>
      </w:r>
      <w:bookmarkEnd w:id="73"/>
      <w:r>
        <w:rPr>
          <w:rFonts w:hint="eastAsia" w:ascii="宋体" w:hAnsi="宋体" w:cs="宋体"/>
          <w:color w:val="000000" w:themeColor="text1"/>
          <w:szCs w:val="21"/>
          <w:highlight w:val="none"/>
          <w14:textFill>
            <w14:solidFill>
              <w14:schemeClr w14:val="tx1"/>
            </w14:solidFill>
          </w14:textFill>
        </w:rPr>
        <w:t>规定赔偿采购人，且民事赔偿并不免除违法供应商的行政与刑事责任。</w:t>
      </w:r>
    </w:p>
    <w:p w14:paraId="0B27F07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在政府采购活动中，采购人员及相关人员与供应商有下列利害关系之一的，应当回避：</w:t>
      </w:r>
    </w:p>
    <w:p w14:paraId="67D49D4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6AC003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6F2FF5E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04AE245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1860111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4D245EF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10C1400">
      <w:pPr>
        <w:spacing w:line="360" w:lineRule="auto"/>
        <w:ind w:firstLine="420"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有下列情形之一的视为供应商相互串通竞标，</w:t>
      </w:r>
      <w:r>
        <w:rPr>
          <w:rFonts w:hint="eastAsia" w:ascii="宋体" w:hAnsi="宋体" w:cs="宋体"/>
          <w:b/>
          <w:bCs/>
          <w:color w:val="000000" w:themeColor="text1"/>
          <w:szCs w:val="21"/>
          <w:highlight w:val="none"/>
          <w14:textFill>
            <w14:solidFill>
              <w14:schemeClr w14:val="tx1"/>
            </w14:solidFill>
          </w14:textFill>
        </w:rPr>
        <w:t>响应文件将被视为无效：</w:t>
      </w:r>
    </w:p>
    <w:p w14:paraId="2D5721F6">
      <w:pPr>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（1）不同供应商的响应文件由同一单位或者个人编制；或不同</w:t>
      </w:r>
      <w:r>
        <w:rPr>
          <w:rFonts w:hint="eastAsia" w:ascii="宋体" w:hAnsi="宋体" w:cs="宋体"/>
          <w:b/>
          <w:bCs/>
          <w:color w:val="000000" w:themeColor="text1"/>
          <w:szCs w:val="21"/>
          <w:highlight w:val="none"/>
          <w:lang w:eastAsia="zh-CN"/>
          <w14:textFill>
            <w14:solidFill>
              <w14:schemeClr w14:val="tx1"/>
            </w14:solidFill>
          </w14:textFill>
        </w:rPr>
        <w:t>供应商</w:t>
      </w:r>
      <w:r>
        <w:rPr>
          <w:rFonts w:hint="eastAsia" w:ascii="宋体" w:hAnsi="宋体" w:cs="宋体"/>
          <w:b/>
          <w:bCs/>
          <w:color w:val="000000" w:themeColor="text1"/>
          <w:szCs w:val="21"/>
          <w:highlight w:val="none"/>
          <w14:textFill>
            <w14:solidFill>
              <w14:schemeClr w14:val="tx1"/>
            </w14:solidFill>
          </w14:textFill>
        </w:rPr>
        <w:t xml:space="preserve">报名的IP地址一致的； </w:t>
      </w:r>
    </w:p>
    <w:p w14:paraId="3F73DF5F">
      <w:pPr>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（2）不同供应商委托同一单位或者个人办理竞标事宜；</w:t>
      </w:r>
    </w:p>
    <w:p w14:paraId="32F9B0D9">
      <w:pPr>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（3）不同的供应商的响应文件载明的项目管理员为同一个人；</w:t>
      </w:r>
    </w:p>
    <w:p w14:paraId="4E3ADE04">
      <w:pPr>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（4）不同供应商的响应文件异常一致或者报价呈规律性差异；</w:t>
      </w:r>
    </w:p>
    <w:p w14:paraId="43F30B29">
      <w:pPr>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（5）不同供应商的响应文件相互混装；</w:t>
      </w:r>
    </w:p>
    <w:p w14:paraId="5E7B7755">
      <w:pPr>
        <w:tabs>
          <w:tab w:val="left" w:pos="6931"/>
        </w:tabs>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（6）不同供应商的磋商保证金从同一单位或者个人账户转出。</w:t>
      </w:r>
      <w:r>
        <w:rPr>
          <w:rFonts w:ascii="宋体" w:hAnsi="宋体" w:cs="宋体"/>
          <w:b/>
          <w:bCs/>
          <w:color w:val="000000" w:themeColor="text1"/>
          <w:szCs w:val="21"/>
          <w:highlight w:val="none"/>
          <w14:textFill>
            <w14:solidFill>
              <w14:schemeClr w14:val="tx1"/>
            </w14:solidFill>
          </w14:textFill>
        </w:rPr>
        <w:tab/>
      </w:r>
    </w:p>
    <w:p w14:paraId="016017D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供应商有下列情形之一的，属于恶意串通行为，将报同级监督管理部门：</w:t>
      </w:r>
    </w:p>
    <w:p w14:paraId="187D069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0B7B8F3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5C27204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4F06C27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2EC1DAB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7125B0A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14:paraId="349D1E1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0A4723F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p>
    <w:p w14:paraId="0CB4D06F">
      <w:pPr>
        <w:spacing w:line="360" w:lineRule="auto"/>
        <w:ind w:left="1" w:firstLine="417" w:firstLineChars="199"/>
        <w:jc w:val="center"/>
        <w:rPr>
          <w:rFonts w:hint="eastAsia" w:ascii="宋体" w:hAnsi="宋体"/>
          <w:color w:val="000000" w:themeColor="text1"/>
          <w:highlight w:val="none"/>
          <w14:textFill>
            <w14:solidFill>
              <w14:schemeClr w14:val="tx1"/>
            </w14:solidFill>
          </w14:textFill>
        </w:rPr>
      </w:pPr>
      <w:bookmarkStart w:id="74" w:name="_Toc254970534"/>
      <w:bookmarkStart w:id="75" w:name="_Toc254970675"/>
    </w:p>
    <w:p w14:paraId="69BF51D7">
      <w:pPr>
        <w:spacing w:line="360" w:lineRule="auto"/>
        <w:jc w:val="center"/>
        <w:outlineLvl w:val="1"/>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二、磋商文件</w:t>
      </w:r>
      <w:bookmarkEnd w:id="74"/>
      <w:bookmarkEnd w:id="75"/>
    </w:p>
    <w:p w14:paraId="6F2694D3">
      <w:pPr>
        <w:spacing w:line="360" w:lineRule="auto"/>
        <w:rPr>
          <w:rFonts w:hint="eastAsia" w:ascii="宋体" w:hAnsi="宋体"/>
          <w:color w:val="000000" w:themeColor="text1"/>
          <w:szCs w:val="21"/>
          <w:highlight w:val="none"/>
          <w14:textFill>
            <w14:solidFill>
              <w14:schemeClr w14:val="tx1"/>
            </w14:solidFill>
          </w14:textFill>
        </w:rPr>
      </w:pPr>
    </w:p>
    <w:p w14:paraId="300E677B">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8.磋商文件的构成</w:t>
      </w:r>
    </w:p>
    <w:p w14:paraId="55EB8CC1">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竞争性磋商公告；</w:t>
      </w:r>
    </w:p>
    <w:p w14:paraId="61B97260">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第二章  供应商须知； </w:t>
      </w:r>
    </w:p>
    <w:p w14:paraId="23FA3A40">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  采购需求；</w:t>
      </w:r>
    </w:p>
    <w:p w14:paraId="276B8B9E">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评审程序、评审方法和评审标准；</w:t>
      </w:r>
    </w:p>
    <w:p w14:paraId="484277EA">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工程量清单及图纸；</w:t>
      </w:r>
    </w:p>
    <w:p w14:paraId="0E9B0ADE">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响应文件格式；</w:t>
      </w:r>
    </w:p>
    <w:p w14:paraId="6E1692C5">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  合同文本。</w:t>
      </w:r>
    </w:p>
    <w:p w14:paraId="6D103EFC">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9.供应商的询问</w:t>
      </w:r>
    </w:p>
    <w:p w14:paraId="549DE8A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供应商应认真阅读磋商文件的采购需求，如供应商对磋商文件有疑问的，如要求采购人作出澄清或者修改的，供应商尽可能在</w:t>
      </w:r>
      <w:r>
        <w:rPr>
          <w:rFonts w:ascii="宋体" w:hAnsi="宋体"/>
          <w:color w:val="000000" w:themeColor="text1"/>
          <w:szCs w:val="21"/>
          <w:highlight w:val="none"/>
          <w14:textFill>
            <w14:solidFill>
              <w14:schemeClr w14:val="tx1"/>
            </w14:solidFill>
          </w14:textFill>
        </w:rPr>
        <w:t>提交首次响应文件截止之日前</w:t>
      </w:r>
      <w:r>
        <w:rPr>
          <w:rFonts w:hint="eastAsia" w:ascii="宋体" w:hAnsi="宋体"/>
          <w:color w:val="000000" w:themeColor="text1"/>
          <w:szCs w:val="21"/>
          <w:highlight w:val="none"/>
          <w14:textFill>
            <w14:solidFill>
              <w14:schemeClr w14:val="tx1"/>
            </w14:solidFill>
          </w14:textFill>
        </w:rPr>
        <w:t>，以书面形式向</w:t>
      </w:r>
      <w:r>
        <w:rPr>
          <w:rFonts w:ascii="宋体" w:hAnsi="宋体"/>
          <w:color w:val="000000" w:themeColor="text1"/>
          <w:szCs w:val="21"/>
          <w:highlight w:val="none"/>
          <w14:textFill>
            <w14:solidFill>
              <w14:schemeClr w14:val="tx1"/>
            </w14:solidFill>
          </w14:textFill>
        </w:rPr>
        <w:t>采购人、采购代理机构</w:t>
      </w:r>
      <w:r>
        <w:rPr>
          <w:rFonts w:hint="eastAsia" w:ascii="宋体" w:hAnsi="宋体"/>
          <w:color w:val="000000" w:themeColor="text1"/>
          <w:szCs w:val="21"/>
          <w:highlight w:val="none"/>
          <w14:textFill>
            <w14:solidFill>
              <w14:schemeClr w14:val="tx1"/>
            </w14:solidFill>
          </w14:textFill>
        </w:rPr>
        <w:t>提出。</w:t>
      </w:r>
    </w:p>
    <w:p w14:paraId="61E566FA">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10.磋商文件的澄清和修改</w:t>
      </w:r>
    </w:p>
    <w:p w14:paraId="1AC391E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000000" w:themeColor="text1"/>
          <w:szCs w:val="21"/>
          <w:highlight w:val="none"/>
          <w14:textFill>
            <w14:solidFill>
              <w14:schemeClr w14:val="tx1"/>
            </w14:solidFill>
          </w14:textFill>
        </w:rPr>
        <w:t>采购人或者采购代理机构应当</w:t>
      </w:r>
      <w:r>
        <w:rPr>
          <w:rFonts w:ascii="宋体" w:hAnsi="宋体"/>
          <w:color w:val="000000" w:themeColor="text1"/>
          <w:szCs w:val="21"/>
          <w:highlight w:val="none"/>
          <w14:textFill>
            <w14:solidFill>
              <w14:schemeClr w14:val="tx1"/>
            </w14:solidFill>
          </w14:textFill>
        </w:rPr>
        <w:t>在提交首次响应文件截止之日</w:t>
      </w:r>
      <w:r>
        <w:rPr>
          <w:rFonts w:hint="eastAsia" w:ascii="宋体" w:hAnsi="宋体"/>
          <w:color w:val="000000" w:themeColor="text1"/>
          <w:szCs w:val="21"/>
          <w:highlight w:val="none"/>
          <w:lang w:val="en-US" w:eastAsia="zh-CN"/>
          <w14:textFill>
            <w14:solidFill>
              <w14:schemeClr w14:val="tx1"/>
            </w14:solidFill>
          </w14:textFill>
        </w:rPr>
        <w:t>3</w:t>
      </w:r>
      <w:r>
        <w:rPr>
          <w:rFonts w:ascii="宋体" w:hAnsi="宋体"/>
          <w:color w:val="000000" w:themeColor="text1"/>
          <w:szCs w:val="21"/>
          <w:highlight w:val="none"/>
          <w14:textFill>
            <w14:solidFill>
              <w14:schemeClr w14:val="tx1"/>
            </w14:solidFill>
          </w14:textFill>
        </w:rPr>
        <w:t>个</w:t>
      </w:r>
      <w:r>
        <w:rPr>
          <w:rFonts w:hint="eastAsia" w:ascii="宋体" w:hAnsi="宋体"/>
          <w:color w:val="000000" w:themeColor="text1"/>
          <w:szCs w:val="21"/>
          <w:highlight w:val="none"/>
          <w:lang w:eastAsia="zh-CN"/>
          <w14:textFill>
            <w14:solidFill>
              <w14:schemeClr w14:val="tx1"/>
            </w14:solidFill>
          </w14:textFill>
        </w:rPr>
        <w:t>工作日</w:t>
      </w:r>
      <w:r>
        <w:rPr>
          <w:rFonts w:ascii="宋体" w:hAnsi="宋体"/>
          <w:color w:val="000000" w:themeColor="text1"/>
          <w:szCs w:val="21"/>
          <w:highlight w:val="none"/>
          <w14:textFill>
            <w14:solidFill>
              <w14:schemeClr w14:val="tx1"/>
            </w14:solidFill>
          </w14:textFill>
        </w:rPr>
        <w:t>前，以书面形式通知所有</w:t>
      </w:r>
      <w:r>
        <w:rPr>
          <w:rFonts w:hint="eastAsia" w:ascii="宋体" w:hAnsi="宋体"/>
          <w:color w:val="000000" w:themeColor="text1"/>
          <w:szCs w:val="21"/>
          <w:highlight w:val="none"/>
          <w14:textFill>
            <w14:solidFill>
              <w14:schemeClr w14:val="tx1"/>
            </w14:solidFill>
          </w14:textFill>
        </w:rPr>
        <w:t>获取</w:t>
      </w:r>
      <w:r>
        <w:rPr>
          <w:rFonts w:ascii="宋体" w:hAnsi="宋体"/>
          <w:color w:val="000000" w:themeColor="text1"/>
          <w:szCs w:val="21"/>
          <w:highlight w:val="none"/>
          <w14:textFill>
            <w14:solidFill>
              <w14:schemeClr w14:val="tx1"/>
            </w14:solidFill>
          </w14:textFill>
        </w:rPr>
        <w:t>磋商文件的供应商，不足</w:t>
      </w:r>
      <w:r>
        <w:rPr>
          <w:rFonts w:hint="eastAsia" w:ascii="宋体" w:hAnsi="宋体"/>
          <w:color w:val="000000" w:themeColor="text1"/>
          <w:szCs w:val="21"/>
          <w:highlight w:val="none"/>
          <w:lang w:val="en-US" w:eastAsia="zh-CN"/>
          <w14:textFill>
            <w14:solidFill>
              <w14:schemeClr w14:val="tx1"/>
            </w14:solidFill>
          </w14:textFill>
        </w:rPr>
        <w:t>3</w:t>
      </w:r>
      <w:r>
        <w:rPr>
          <w:rFonts w:ascii="宋体" w:hAnsi="宋体"/>
          <w:color w:val="000000" w:themeColor="text1"/>
          <w:szCs w:val="21"/>
          <w:highlight w:val="none"/>
          <w14:textFill>
            <w14:solidFill>
              <w14:schemeClr w14:val="tx1"/>
            </w14:solidFill>
          </w14:textFill>
        </w:rPr>
        <w:t>个</w:t>
      </w:r>
      <w:r>
        <w:rPr>
          <w:rFonts w:hint="eastAsia" w:ascii="宋体" w:hAnsi="宋体"/>
          <w:color w:val="000000" w:themeColor="text1"/>
          <w:szCs w:val="21"/>
          <w:highlight w:val="none"/>
          <w:lang w:eastAsia="zh-CN"/>
          <w14:textFill>
            <w14:solidFill>
              <w14:schemeClr w14:val="tx1"/>
            </w14:solidFill>
          </w14:textFill>
        </w:rPr>
        <w:t>工作日</w:t>
      </w:r>
      <w:r>
        <w:rPr>
          <w:rFonts w:ascii="宋体" w:hAnsi="宋体"/>
          <w:color w:val="000000" w:themeColor="text1"/>
          <w:szCs w:val="21"/>
          <w:highlight w:val="none"/>
          <w14:textFill>
            <w14:solidFill>
              <w14:schemeClr w14:val="tx1"/>
            </w14:solidFill>
          </w14:textFill>
        </w:rPr>
        <w:t>的，应当顺延提交首次响应文件截止之日。</w:t>
      </w:r>
    </w:p>
    <w:p w14:paraId="565106C1">
      <w:pPr>
        <w:spacing w:line="360" w:lineRule="auto"/>
        <w:rPr>
          <w:rFonts w:hint="eastAsia" w:ascii="宋体" w:hAnsi="宋体"/>
          <w:color w:val="000000" w:themeColor="text1"/>
          <w:szCs w:val="21"/>
          <w:highlight w:val="none"/>
          <w14:textFill>
            <w14:solidFill>
              <w14:schemeClr w14:val="tx1"/>
            </w14:solidFill>
          </w14:textFill>
        </w:rPr>
      </w:pPr>
    </w:p>
    <w:p w14:paraId="35DB0A6B">
      <w:pPr>
        <w:spacing w:line="360" w:lineRule="auto"/>
        <w:jc w:val="center"/>
        <w:outlineLvl w:val="1"/>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三、响应文件的编制</w:t>
      </w:r>
    </w:p>
    <w:p w14:paraId="67D2E4B5">
      <w:pPr>
        <w:spacing w:line="360" w:lineRule="auto"/>
        <w:rPr>
          <w:rFonts w:hint="eastAsia" w:ascii="宋体" w:hAnsi="宋体"/>
          <w:color w:val="000000" w:themeColor="text1"/>
          <w:szCs w:val="21"/>
          <w:highlight w:val="none"/>
          <w14:textFill>
            <w14:solidFill>
              <w14:schemeClr w14:val="tx1"/>
            </w14:solidFill>
          </w14:textFill>
        </w:rPr>
      </w:pPr>
    </w:p>
    <w:p w14:paraId="61BE8AC1">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11.响应文件的编制原则</w:t>
      </w:r>
    </w:p>
    <w:p w14:paraId="04E4C4F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0C743861">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12.响应文件的组成</w:t>
      </w:r>
    </w:p>
    <w:p w14:paraId="0FA89C1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12.1响应文件由资格证明文件、报价文件、商务技术文件三部分组成。</w:t>
      </w:r>
    </w:p>
    <w:p w14:paraId="26D3B1DC">
      <w:pPr>
        <w:spacing w:line="360" w:lineRule="auto"/>
        <w:ind w:left="840" w:leftChars="200" w:hanging="420" w:hanging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12.1.1资格证明文件：详见“供应商须知前附表”</w:t>
      </w:r>
    </w:p>
    <w:p w14:paraId="05A626D1">
      <w:pPr>
        <w:spacing w:line="360" w:lineRule="auto"/>
        <w:ind w:left="840" w:leftChars="200" w:hanging="420" w:hanging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12.1.2报价文件：详见“供应商须知前附表”</w:t>
      </w:r>
    </w:p>
    <w:p w14:paraId="31CE0703">
      <w:pPr>
        <w:spacing w:line="360" w:lineRule="auto"/>
        <w:ind w:left="840" w:leftChars="200" w:hanging="420" w:hanging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12.1.3商务技术文件：详见“供应商须知前附表”</w:t>
      </w:r>
    </w:p>
    <w:p w14:paraId="00AD3617">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13.计量单位</w:t>
      </w:r>
    </w:p>
    <w:p w14:paraId="242B202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5C9CD2E1">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14.竞标的风险</w:t>
      </w:r>
    </w:p>
    <w:p w14:paraId="35E398A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3EE8AC78">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15.竞标报价</w:t>
      </w:r>
    </w:p>
    <w:p w14:paraId="1B24F8EE">
      <w:pPr>
        <w:tabs>
          <w:tab w:val="left" w:pos="2492"/>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15.1竞标报价应按磋商文件第五章“工程量清单及图纸”的要求及第六章“响应文件格式”填写相应表格。</w:t>
      </w:r>
    </w:p>
    <w:p w14:paraId="372B827F">
      <w:pPr>
        <w:tabs>
          <w:tab w:val="left" w:pos="2492"/>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15.2竞标报价的内容见“供应商须知前附表”。</w:t>
      </w:r>
    </w:p>
    <w:p w14:paraId="3513D44C">
      <w:pPr>
        <w:tabs>
          <w:tab w:val="left" w:pos="2492"/>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15.3本项目的增值税计税方法见“供应商须知前附表”。</w:t>
      </w:r>
    </w:p>
    <w:p w14:paraId="7FE8CB49">
      <w:pPr>
        <w:spacing w:line="360" w:lineRule="auto"/>
        <w:ind w:left="426" w:leftChars="20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15.4竞标报价要求</w:t>
      </w:r>
    </w:p>
    <w:p w14:paraId="25451CF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供应商的竞标报价应符合以下要求，否则响应文件按无效处理：</w:t>
      </w:r>
    </w:p>
    <w:p w14:paraId="07CBCBC7">
      <w:pPr>
        <w:spacing w:line="360" w:lineRule="auto"/>
        <w:ind w:left="420" w:left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（1）供应商必须就“采购需求”中所竞标的每个分标的全部内容分别作完整唯一总价报价，不得存在漏项报价；</w:t>
      </w:r>
    </w:p>
    <w:p w14:paraId="5E4EECB6">
      <w:pPr>
        <w:spacing w:line="360" w:lineRule="auto"/>
        <w:ind w:firstLine="422" w:firstLineChars="200"/>
        <w:outlineLvl w:val="3"/>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）供应商必须就所竞标的分标的单项内容作唯一报价。</w:t>
      </w:r>
    </w:p>
    <w:p w14:paraId="77C580B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竞标报价（包含首次报价、最后报价）超过所竞标分标规定的采购预算金额或者最高限价的，其响应文件将按无效处理。</w:t>
      </w:r>
    </w:p>
    <w:p w14:paraId="58346AB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w:t>
      </w:r>
      <w:r>
        <w:rPr>
          <w:rFonts w:ascii="宋体" w:hAnsi="宋体" w:cs="宋体"/>
          <w:color w:val="000000" w:themeColor="text1"/>
          <w:szCs w:val="21"/>
          <w:highlight w:val="none"/>
          <w14:textFill>
            <w14:solidFill>
              <w14:schemeClr w14:val="tx1"/>
            </w14:solidFill>
          </w14:textFill>
        </w:rPr>
        <w:t>3</w:t>
      </w:r>
      <w:bookmarkStart w:id="76" w:name="_Hlk42592874"/>
      <w:r>
        <w:rPr>
          <w:rFonts w:hint="eastAsia" w:ascii="宋体" w:hAnsi="宋体" w:cs="宋体"/>
          <w:b/>
          <w:bCs/>
          <w:color w:val="000000" w:themeColor="text1"/>
          <w:szCs w:val="21"/>
          <w:highlight w:val="none"/>
          <w14:textFill>
            <w14:solidFill>
              <w14:schemeClr w14:val="tx1"/>
            </w14:solidFill>
          </w14:textFill>
        </w:rPr>
        <w:t>竞标报价（包含首次报价、最后报价）超过分项采购预算金额或者最高限价的（如有要求），其响应文件将按无效处理。</w:t>
      </w:r>
    </w:p>
    <w:p w14:paraId="361170E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15.4.4供应商在提交响应文件截止时间前修改竞标函中的竞标总报价，应同时修改响应文件“已标价工程量清单”中的相应报价。此修改须符合本须知正文第20条、第21条的有关要求。</w:t>
      </w:r>
    </w:p>
    <w:bookmarkEnd w:id="76"/>
    <w:p w14:paraId="39B51C5F">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16.竞标有效期</w:t>
      </w:r>
    </w:p>
    <w:p w14:paraId="44D274F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0B405A2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 竞标有效期应由供应商按“供应商须知前附表”规定的期限作出响应。</w:t>
      </w:r>
    </w:p>
    <w:p w14:paraId="418E5D53">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14:paraId="0302D9DC">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17.磋商保证金</w:t>
      </w:r>
    </w:p>
    <w:p w14:paraId="5C38DE0D">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17.1供应商须按“供应商须知前附表”的规定提交磋商保证金。</w:t>
      </w:r>
    </w:p>
    <w:p w14:paraId="4E23A48A">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17.2磋商保证金的退还</w:t>
      </w:r>
    </w:p>
    <w:p w14:paraId="743039E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77" w:name="_Hlk66782243"/>
      <w:r>
        <w:rPr>
          <w:rFonts w:hint="eastAsia" w:ascii="宋体" w:hAnsi="宋体" w:cs="宋体"/>
          <w:color w:val="000000" w:themeColor="text1"/>
          <w:szCs w:val="21"/>
          <w:highlight w:val="none"/>
          <w14:textFill>
            <w14:solidFill>
              <w14:schemeClr w14:val="tx1"/>
            </w14:solidFill>
          </w14:textFill>
        </w:rPr>
        <w:t>未成交供应商的磋商保证金自成交通知书发出之日起</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个工作日内退还；成交供应商的磋商保证金自签订合同之日起</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个工作日内退还或者转为成交供应商的履约保证金。</w:t>
      </w:r>
      <w:bookmarkEnd w:id="77"/>
    </w:p>
    <w:p w14:paraId="05B85D20">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17.3磋商保证金不计息。</w:t>
      </w:r>
    </w:p>
    <w:p w14:paraId="6FF01B94">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17.4供应商有下列情形之一的，磋商保证金将不予退还： </w:t>
      </w:r>
    </w:p>
    <w:p w14:paraId="097A7CCA">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（1）供应商在提交响应文件截止时间后撤回响应文件的；</w:t>
      </w:r>
    </w:p>
    <w:p w14:paraId="595DE020">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（2）未按规定提交履约保证金的；</w:t>
      </w:r>
    </w:p>
    <w:p w14:paraId="3F631744">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（3）供应商在响应文件中提供虚假材料的；</w:t>
      </w:r>
    </w:p>
    <w:p w14:paraId="760E53C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（4）除因不可抗力或者磋商文件认可的情形以外，成交供应商不与采购人签订合同的；</w:t>
      </w:r>
    </w:p>
    <w:p w14:paraId="67CBC20D">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（5）供应商与采购人、其他供应商或者采购代理机构恶意串通的；</w:t>
      </w:r>
    </w:p>
    <w:p w14:paraId="61EB90C3">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（6）法律法规规定的其他情形。</w:t>
      </w:r>
    </w:p>
    <w:p w14:paraId="3A560A46">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18.响应文件编制的要求</w:t>
      </w:r>
    </w:p>
    <w:p w14:paraId="3B36E76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18.1供应商应先安装</w:t>
      </w:r>
      <w:r>
        <w:rPr>
          <w:rFonts w:hint="eastAsia" w:ascii="宋体" w:hAnsi="宋体" w:cs="宋体"/>
          <w:color w:val="000000" w:themeColor="text1"/>
          <w:szCs w:val="21"/>
          <w:highlight w:val="none"/>
          <w:lang w:eastAsia="zh-CN"/>
          <w14:textFill>
            <w14:solidFill>
              <w14:schemeClr w14:val="tx1"/>
            </w14:solidFill>
          </w14:textFill>
        </w:rPr>
        <w:t>“广西政府采购云平台新版客户端</w:t>
      </w:r>
      <w:r>
        <w:rPr>
          <w:rFonts w:hint="eastAsia" w:ascii="宋体" w:hAnsi="宋体" w:cs="宋体"/>
          <w:color w:val="000000" w:themeColor="text1"/>
          <w:szCs w:val="21"/>
          <w:highlight w:val="none"/>
          <w14:textFill>
            <w14:solidFill>
              <w14:schemeClr w14:val="tx1"/>
            </w14:solidFill>
          </w14:textFill>
        </w:rPr>
        <w:t>”（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4E52498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18.2为确保网上操作合法、有效和安全，供应商应当在提交响应文件截止时间前完成在广西政府采购云平台的身份认证，确保在电子竞标过程中能够对相关数据电文进行加密和使用电子签章。</w:t>
      </w:r>
    </w:p>
    <w:p w14:paraId="073E0F2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18.3响应文件须由供应商在规定位置签字、盖章（具体以供应商须知前附表或响应文件格式规定为准），否则按无效响应处理。</w:t>
      </w:r>
    </w:p>
    <w:p w14:paraId="4670629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18.4响应文件中标注的供应商名称应与主体资格证明（如营业执照或者事业单位法人证书或者执业许可证或者登记证书等）及公章一致，并与广西政府采购云平台中获取磋商文件的供应商名称一致，否则其响应文件按无效处理。</w:t>
      </w:r>
    </w:p>
    <w:p w14:paraId="2B699A5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44D96062">
      <w:pPr>
        <w:spacing w:line="360" w:lineRule="auto"/>
        <w:ind w:firstLine="482" w:firstLineChars="200"/>
        <w:outlineLvl w:val="2"/>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19.电子</w:t>
      </w:r>
      <w:r>
        <w:rPr>
          <w:rFonts w:hint="eastAsia" w:ascii="黑体" w:hAnsi="黑体" w:eastAsia="黑体"/>
          <w:b/>
          <w:color w:val="000000" w:themeColor="text1"/>
          <w:sz w:val="24"/>
          <w:highlight w:val="none"/>
          <w14:textFill>
            <w14:solidFill>
              <w14:schemeClr w14:val="tx1"/>
            </w14:solidFill>
          </w14:textFill>
        </w:rPr>
        <w:t>备份响应文件</w:t>
      </w:r>
    </w:p>
    <w:p w14:paraId="292C85C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电子备份响应文件是指通过“</w:t>
      </w:r>
      <w:r>
        <w:rPr>
          <w:rFonts w:hint="eastAsia" w:ascii="宋体" w:hAnsi="宋体" w:cs="宋体"/>
          <w:color w:val="000000" w:themeColor="text1"/>
          <w:szCs w:val="21"/>
          <w:highlight w:val="none"/>
          <w:lang w:eastAsia="zh-CN"/>
          <w14:textFill>
            <w14:solidFill>
              <w14:schemeClr w14:val="tx1"/>
            </w14:solidFill>
          </w14:textFill>
        </w:rPr>
        <w:t>广西政府采购云平台新版客户端</w:t>
      </w:r>
      <w:r>
        <w:rPr>
          <w:rFonts w:hint="eastAsia"/>
          <w:color w:val="000000" w:themeColor="text1"/>
          <w:highlight w:val="none"/>
          <w14:textFill>
            <w14:solidFill>
              <w14:schemeClr w14:val="tx1"/>
            </w14:solidFill>
          </w14:textFill>
        </w:rPr>
        <w:t>”在线编制生成且后缀名为“</w:t>
      </w:r>
      <w:r>
        <w:rPr>
          <w:color w:val="000000" w:themeColor="text1"/>
          <w:highlight w:val="none"/>
          <w14:textFill>
            <w14:solidFill>
              <w14:schemeClr w14:val="tx1"/>
            </w14:solidFill>
          </w14:textFill>
        </w:rPr>
        <w:t>bfbs</w:t>
      </w:r>
      <w:r>
        <w:rPr>
          <w:rFonts w:hint="eastAsia"/>
          <w:color w:val="000000" w:themeColor="text1"/>
          <w:highlight w:val="none"/>
          <w14:textFill>
            <w14:solidFill>
              <w14:schemeClr w14:val="tx1"/>
            </w14:solidFill>
          </w14:textFill>
        </w:rPr>
        <w:t>”的文件，是否接受电子备份响应文件</w:t>
      </w:r>
      <w:r>
        <w:rPr>
          <w:rFonts w:hint="eastAsia" w:hAnsi="宋体"/>
          <w:bCs/>
          <w:color w:val="000000" w:themeColor="text1"/>
          <w:szCs w:val="21"/>
          <w:highlight w:val="none"/>
          <w14:textFill>
            <w14:solidFill>
              <w14:schemeClr w14:val="tx1"/>
            </w14:solidFill>
          </w14:textFill>
        </w:rPr>
        <w:t>详见“供应商须知前附表”。</w:t>
      </w:r>
    </w:p>
    <w:p w14:paraId="78E2A951">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20.响应文件的提交</w:t>
      </w:r>
    </w:p>
    <w:p w14:paraId="689CD93F">
      <w:pPr>
        <w:spacing w:line="360" w:lineRule="auto"/>
        <w:ind w:firstLine="420" w:firstLineChars="200"/>
        <w:rPr>
          <w:rFonts w:hint="eastAsia" w:hAnsi="宋体"/>
          <w:b/>
          <w:color w:val="000000" w:themeColor="text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20.1供应商必须按“供应商须知前附表”规定的</w:t>
      </w:r>
      <w:r>
        <w:rPr>
          <w:rFonts w:hint="eastAsia" w:ascii="宋体" w:hAnsi="宋体" w:cs="宋体"/>
          <w:color w:val="000000" w:themeColor="text1"/>
          <w:szCs w:val="21"/>
          <w:highlight w:val="none"/>
          <w14:textFill>
            <w14:solidFill>
              <w14:schemeClr w14:val="tx1"/>
            </w14:solidFill>
          </w14:textFill>
        </w:rPr>
        <w:t>时间</w:t>
      </w:r>
      <w:r>
        <w:rPr>
          <w:rFonts w:hint="eastAsia" w:ascii="宋体" w:hAnsi="宋体"/>
          <w:color w:val="000000" w:themeColor="text1"/>
          <w:szCs w:val="21"/>
          <w:highlight w:val="none"/>
          <w14:textFill>
            <w14:solidFill>
              <w14:schemeClr w14:val="tx1"/>
            </w14:solidFill>
          </w14:textFill>
        </w:rPr>
        <w:t>及</w:t>
      </w:r>
      <w:r>
        <w:rPr>
          <w:rFonts w:hint="eastAsia" w:hAnsi="宋体"/>
          <w:bCs/>
          <w:color w:val="000000" w:themeColor="text1"/>
          <w:szCs w:val="21"/>
          <w:highlight w:val="none"/>
          <w14:textFill>
            <w14:solidFill>
              <w14:schemeClr w14:val="tx1"/>
            </w14:solidFill>
          </w14:textFill>
        </w:rPr>
        <w:t>地点提交响应文件。电子响应文件应在制作完成后，</w:t>
      </w:r>
      <w:r>
        <w:rPr>
          <w:rFonts w:hAnsi="宋体"/>
          <w:bCs/>
          <w:color w:val="000000" w:themeColor="text1"/>
          <w:szCs w:val="21"/>
          <w:highlight w:val="none"/>
          <w14:textFill>
            <w14:solidFill>
              <w14:schemeClr w14:val="tx1"/>
            </w14:solidFill>
          </w14:textFill>
        </w:rPr>
        <w:t>在</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时间前</w:t>
      </w:r>
      <w:r>
        <w:rPr>
          <w:rFonts w:hint="eastAsia" w:hAnsi="宋体"/>
          <w:bCs/>
          <w:color w:val="000000" w:themeColor="text1"/>
          <w:szCs w:val="21"/>
          <w:highlight w:val="none"/>
          <w14:textFill>
            <w14:solidFill>
              <w14:schemeClr w14:val="tx1"/>
            </w14:solidFill>
          </w14:textFill>
        </w:rPr>
        <w:t>通过有效数字证书（CA认证锁）进行电子签章、加密，然后通过网络将加密的电子响应文件提交至</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 xml:space="preserve">。 </w:t>
      </w:r>
    </w:p>
    <w:p w14:paraId="127FC6C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未在规定时间内提交或者未按照磋商文件要求加密的电子响应文件，</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将拒收。</w:t>
      </w:r>
    </w:p>
    <w:p w14:paraId="753204BF">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21.首次响应文件的补充、修改与撤回</w:t>
      </w:r>
    </w:p>
    <w:p w14:paraId="663316E0">
      <w:pPr>
        <w:spacing w:line="360" w:lineRule="auto"/>
        <w:ind w:firstLine="420" w:firstLineChars="200"/>
        <w:rPr>
          <w:rFonts w:hint="eastAsia" w:hAnsi="宋体"/>
          <w:bCs/>
          <w:color w:val="000000" w:themeColor="text1"/>
          <w:szCs w:val="21"/>
          <w:highlight w:val="none"/>
          <w14:textFill>
            <w14:solidFill>
              <w14:schemeClr w14:val="tx1"/>
            </w14:solidFill>
          </w14:textFill>
        </w:rPr>
      </w:pPr>
      <w:bookmarkStart w:id="78" w:name="_Toc254970684"/>
      <w:bookmarkStart w:id="79" w:name="_Toc254970543"/>
      <w:r>
        <w:rPr>
          <w:rFonts w:hAnsi="宋体"/>
          <w:bCs/>
          <w:color w:val="000000" w:themeColor="text1"/>
          <w:szCs w:val="21"/>
          <w:highlight w:val="none"/>
          <w14:textFill>
            <w14:solidFill>
              <w14:schemeClr w14:val="tx1"/>
            </w14:solidFill>
          </w14:textFill>
        </w:rPr>
        <w:t>2</w:t>
      </w:r>
      <w:r>
        <w:rPr>
          <w:rFonts w:hint="eastAsia" w:hAnsi="宋体"/>
          <w:bCs/>
          <w:color w:val="000000" w:themeColor="text1"/>
          <w:szCs w:val="21"/>
          <w:highlight w:val="none"/>
          <w14:textFill>
            <w14:solidFill>
              <w14:schemeClr w14:val="tx1"/>
            </w14:solidFill>
          </w14:textFill>
        </w:rPr>
        <w:t>1.1供应商应当在提交响应文件截止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前完成电子响应文件的提交（上传），提交响应文件截止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前可以补充、修改或者撤回响应文件。补充或者修改响应文件的，应当先行撤回原响应文件，补充、修改后重新提交（上传），提交响应文件截止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前未完成提交（上传）的，视为撤回响应文件。提交响应文件截止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以后提交（上传）的响应文件，</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将予以拒收。（注：补充、修改或者撤回方式可登录</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，进入“服务中心”中查看 “电子投标文件制作与投送教程”）</w:t>
      </w:r>
    </w:p>
    <w:bookmarkEnd w:id="78"/>
    <w:bookmarkEnd w:id="79"/>
    <w:p w14:paraId="1C99FEE4">
      <w:pPr>
        <w:pStyle w:val="161"/>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14:textFill>
            <w14:solidFill>
              <w14:schemeClr w14:val="tx1"/>
            </w14:solidFill>
          </w14:textFill>
        </w:rPr>
        <w:t>1</w:t>
      </w:r>
      <w:r>
        <w:rPr>
          <w:rFonts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2在提交响应文件截止时间前，除供应商补充、修改或者撤回响应文件外，任何单位和个人不得解密或提取响应文件。</w:t>
      </w:r>
    </w:p>
    <w:p w14:paraId="6ED7F90C">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bookmarkStart w:id="80" w:name="_Hlk45702405"/>
      <w:r>
        <w:rPr>
          <w:rFonts w:hint="eastAsia" w:ascii="黑体" w:hAnsi="黑体" w:eastAsia="黑体" w:cs="宋体"/>
          <w:b/>
          <w:bCs/>
          <w:color w:val="000000" w:themeColor="text1"/>
          <w:sz w:val="24"/>
          <w:highlight w:val="none"/>
          <w14:textFill>
            <w14:solidFill>
              <w14:schemeClr w14:val="tx1"/>
            </w14:solidFill>
          </w14:textFill>
        </w:rPr>
        <w:t>22.响应文件的退回</w:t>
      </w:r>
    </w:p>
    <w:p w14:paraId="2181BD0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采购人和采购代理机构对已提交的响应文件概不退回。</w:t>
      </w:r>
    </w:p>
    <w:p w14:paraId="5139C1BF">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23.截止时间后的撤回</w:t>
      </w:r>
    </w:p>
    <w:p w14:paraId="4A7FFE7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供应商在响应文件提交截止时间后向采购人、采购代理机构书面申请撤回响应文件的，将根据本须知正文第17.4条的规定不予退还其磋商保证金。</w:t>
      </w:r>
    </w:p>
    <w:bookmarkEnd w:id="80"/>
    <w:p w14:paraId="4C75685F">
      <w:pPr>
        <w:spacing w:line="360" w:lineRule="auto"/>
        <w:rPr>
          <w:rFonts w:hint="eastAsia" w:ascii="宋体" w:hAnsi="宋体"/>
          <w:color w:val="000000" w:themeColor="text1"/>
          <w:szCs w:val="21"/>
          <w:highlight w:val="none"/>
          <w14:textFill>
            <w14:solidFill>
              <w14:schemeClr w14:val="tx1"/>
            </w14:solidFill>
          </w14:textFill>
        </w:rPr>
      </w:pPr>
    </w:p>
    <w:p w14:paraId="5472E37B">
      <w:pPr>
        <w:spacing w:line="360" w:lineRule="auto"/>
        <w:ind w:left="420" w:leftChars="0" w:firstLine="420" w:firstLineChars="0"/>
        <w:jc w:val="center"/>
        <w:outlineLvl w:val="1"/>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四、评审及磋商</w:t>
      </w:r>
    </w:p>
    <w:p w14:paraId="0C32D60E">
      <w:pPr>
        <w:spacing w:line="360" w:lineRule="auto"/>
        <w:ind w:left="420" w:firstLine="420"/>
        <w:rPr>
          <w:rFonts w:hint="eastAsia" w:ascii="宋体" w:hAnsi="宋体"/>
          <w:color w:val="000000" w:themeColor="text1"/>
          <w:szCs w:val="21"/>
          <w:highlight w:val="none"/>
          <w14:textFill>
            <w14:solidFill>
              <w14:schemeClr w14:val="tx1"/>
            </w14:solidFill>
          </w14:textFill>
        </w:rPr>
      </w:pPr>
    </w:p>
    <w:p w14:paraId="210CFC76">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24.磋商小组成立</w:t>
      </w:r>
    </w:p>
    <w:p w14:paraId="6ADBDCB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61F0F39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A7C7663">
      <w:pPr>
        <w:spacing w:line="360" w:lineRule="auto"/>
        <w:ind w:firstLine="420" w:firstLineChars="200"/>
        <w:rPr>
          <w:rFonts w:hint="eastAsia" w:hAnsi="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w:t>
      </w:r>
      <w:r>
        <w:rPr>
          <w:rFonts w:hint="eastAsia" w:hAnsi="宋体"/>
          <w:bCs/>
          <w:color w:val="000000" w:themeColor="text1"/>
          <w:szCs w:val="2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应当</w:t>
      </w:r>
      <w:r>
        <w:rPr>
          <w:rFonts w:hint="eastAsia" w:hAnsi="宋体"/>
          <w:bCs/>
          <w:color w:val="000000" w:themeColor="text1"/>
          <w:szCs w:val="21"/>
          <w:highlight w:val="none"/>
          <w14:textFill>
            <w14:solidFill>
              <w14:schemeClr w14:val="tx1"/>
            </w14:solidFill>
          </w14:textFill>
        </w:rPr>
        <w:t>基于“</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w:t>
      </w:r>
      <w:r>
        <w:rPr>
          <w:rFonts w:hint="eastAsia" w:hAnsi="宋体"/>
          <w:bCs/>
          <w:color w:val="000000" w:themeColor="text1"/>
          <w:highlight w:val="none"/>
          <w14:textFill>
            <w14:solidFill>
              <w14:schemeClr w14:val="tx1"/>
            </w14:solidFill>
          </w14:textFill>
        </w:rPr>
        <w:t>抽（选）取</w:t>
      </w:r>
      <w:r>
        <w:rPr>
          <w:rFonts w:hint="eastAsia" w:hAnsi="宋体"/>
          <w:bCs/>
          <w:color w:val="000000" w:themeColor="text1"/>
          <w:szCs w:val="21"/>
          <w:highlight w:val="none"/>
          <w14:textFill>
            <w14:solidFill>
              <w14:schemeClr w14:val="tx1"/>
            </w14:solidFill>
          </w14:textFill>
        </w:rPr>
        <w:t>评审专家。</w:t>
      </w:r>
    </w:p>
    <w:p w14:paraId="4C12C072">
      <w:pPr>
        <w:spacing w:line="360" w:lineRule="auto"/>
        <w:ind w:firstLine="420" w:firstLineChars="200"/>
        <w:rPr>
          <w:rFonts w:hint="eastAsia" w:hAnsi="宋体"/>
          <w:bCs/>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24.4参加过采购项目前期咨询论证的专家，不得参加该采购项目的评审活动。</w:t>
      </w:r>
    </w:p>
    <w:p w14:paraId="323259C4">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25.</w:t>
      </w:r>
      <w:r>
        <w:rPr>
          <w:rFonts w:hint="eastAsia" w:ascii="黑体" w:hAnsi="黑体" w:eastAsia="黑体" w:cs="宋体"/>
          <w:b/>
          <w:bCs/>
          <w:color w:val="000000" w:themeColor="text1"/>
          <w:sz w:val="24"/>
          <w:highlight w:val="none"/>
          <w14:textFill>
            <w14:solidFill>
              <w14:schemeClr w14:val="tx1"/>
            </w14:solidFill>
          </w14:textFill>
        </w:rPr>
        <w:t>首次响应文件的开启和解密</w:t>
      </w:r>
    </w:p>
    <w:p w14:paraId="21709E4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采购代理机构将在“供应商须知前附表”规定的时</w:t>
      </w:r>
      <w:r>
        <w:rPr>
          <w:rFonts w:hint="eastAsia" w:hAnsi="宋体"/>
          <w:color w:val="000000" w:themeColor="text1"/>
          <w:highlight w:val="none"/>
          <w14:textFill>
            <w14:solidFill>
              <w14:schemeClr w14:val="tx1"/>
            </w14:solidFill>
          </w14:textFill>
        </w:rPr>
        <w:t>间通过电子交易平台组织响应文件开启，供应商的法定代表人或其委托代理人须携带加密时所用的CA锁，按平台提示和磋商文件的规定登录到</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hAnsi="宋体"/>
          <w:color w:val="000000" w:themeColor="text1"/>
          <w:highlight w:val="none"/>
          <w14:textFill>
            <w14:solidFill>
              <w14:schemeClr w14:val="tx1"/>
            </w14:solidFill>
          </w14:textFill>
        </w:rPr>
        <w:t>电子开标大厅签到，</w:t>
      </w:r>
      <w:r>
        <w:rPr>
          <w:rFonts w:hint="eastAsia"/>
          <w:color w:val="000000" w:themeColor="text1"/>
          <w:highlight w:val="none"/>
          <w14:textFill>
            <w14:solidFill>
              <w14:schemeClr w14:val="tx1"/>
            </w14:solidFill>
          </w14:textFill>
        </w:rPr>
        <w:t>采购代理机构依托</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color w:val="000000" w:themeColor="text1"/>
          <w:highlight w:val="none"/>
          <w14:textFill>
            <w14:solidFill>
              <w14:schemeClr w14:val="tx1"/>
            </w14:solidFill>
          </w14:textFill>
        </w:rPr>
        <w:t>向各供应商发出电子加密响应文件【开始解密】通知，由供应商按</w:t>
      </w:r>
      <w:r>
        <w:rPr>
          <w:rFonts w:hint="eastAsia" w:hAnsi="宋体"/>
          <w:bCs/>
          <w:color w:val="000000" w:themeColor="text1"/>
          <w:szCs w:val="21"/>
          <w:highlight w:val="none"/>
          <w14:textFill>
            <w14:solidFill>
              <w14:schemeClr w14:val="tx1"/>
            </w14:solidFill>
          </w14:textFill>
        </w:rPr>
        <w:t>“供应商须知前附表”</w:t>
      </w:r>
      <w:r>
        <w:rPr>
          <w:rFonts w:hint="eastAsia"/>
          <w:color w:val="000000" w:themeColor="text1"/>
          <w:highlight w:val="none"/>
          <w14:textFill>
            <w14:solidFill>
              <w14:schemeClr w14:val="tx1"/>
            </w14:solidFill>
          </w14:textFill>
        </w:rPr>
        <w:t>规定的时间内自行进行响应文件解密</w:t>
      </w:r>
      <w:r>
        <w:rPr>
          <w:rFonts w:hint="eastAsia" w:hAnsi="宋体"/>
          <w:color w:val="000000" w:themeColor="text1"/>
          <w:highlight w:val="none"/>
          <w14:textFill>
            <w14:solidFill>
              <w14:schemeClr w14:val="tx1"/>
            </w14:solidFill>
          </w14:textFill>
        </w:rPr>
        <w:t>。</w:t>
      </w:r>
      <w:r>
        <w:rPr>
          <w:rFonts w:hint="eastAsia"/>
          <w:b/>
          <w:color w:val="000000" w:themeColor="text1"/>
          <w:highlight w:val="none"/>
          <w14:textFill>
            <w14:solidFill>
              <w14:schemeClr w14:val="tx1"/>
            </w14:solidFill>
          </w14:textFill>
        </w:rPr>
        <w:t>供应商未在</w:t>
      </w:r>
      <w:r>
        <w:rPr>
          <w:b/>
          <w:color w:val="000000" w:themeColor="text1"/>
          <w:highlight w:val="none"/>
          <w14:textFill>
            <w14:solidFill>
              <w14:schemeClr w14:val="tx1"/>
            </w14:solidFill>
          </w14:textFill>
        </w:rPr>
        <w:t>规定的时间内解密</w:t>
      </w:r>
      <w:r>
        <w:rPr>
          <w:rFonts w:hint="eastAsia"/>
          <w:b/>
          <w:color w:val="000000" w:themeColor="text1"/>
          <w:highlight w:val="none"/>
          <w14:textFill>
            <w14:solidFill>
              <w14:schemeClr w14:val="tx1"/>
            </w14:solidFill>
          </w14:textFill>
        </w:rPr>
        <w:t>响应文件</w:t>
      </w:r>
      <w:r>
        <w:rPr>
          <w:b/>
          <w:color w:val="000000" w:themeColor="text1"/>
          <w:highlight w:val="none"/>
          <w14:textFill>
            <w14:solidFill>
              <w14:schemeClr w14:val="tx1"/>
            </w14:solidFill>
          </w14:textFill>
        </w:rPr>
        <w:t>或</w:t>
      </w:r>
      <w:r>
        <w:rPr>
          <w:rFonts w:hint="eastAsia"/>
          <w:b/>
          <w:color w:val="000000" w:themeColor="text1"/>
          <w:highlight w:val="none"/>
          <w14:textFill>
            <w14:solidFill>
              <w14:schemeClr w14:val="tx1"/>
            </w14:solidFill>
          </w14:textFill>
        </w:rPr>
        <w:t>者</w:t>
      </w:r>
      <w:r>
        <w:rPr>
          <w:b/>
          <w:color w:val="000000" w:themeColor="text1"/>
          <w:highlight w:val="none"/>
          <w14:textFill>
            <w14:solidFill>
              <w14:schemeClr w14:val="tx1"/>
            </w14:solidFill>
          </w14:textFill>
        </w:rPr>
        <w:t>解密失败的</w:t>
      </w:r>
      <w:r>
        <w:rPr>
          <w:rFonts w:hint="eastAsia"/>
          <w:b/>
          <w:color w:val="000000" w:themeColor="text1"/>
          <w:highlight w:val="none"/>
          <w14:textFill>
            <w14:solidFill>
              <w14:schemeClr w14:val="tx1"/>
            </w14:solidFill>
          </w14:textFill>
        </w:rPr>
        <w:t>，供应商</w:t>
      </w:r>
      <w:r>
        <w:rPr>
          <w:rFonts w:hint="eastAsia" w:ascii="宋体" w:hAnsi="宋体"/>
          <w:b/>
          <w:color w:val="000000" w:themeColor="text1"/>
          <w:szCs w:val="21"/>
          <w:highlight w:val="none"/>
          <w14:textFill>
            <w14:solidFill>
              <w14:schemeClr w14:val="tx1"/>
            </w14:solidFill>
          </w14:textFill>
        </w:rPr>
        <w:t>的响应文件按无效处理</w:t>
      </w:r>
      <w:r>
        <w:rPr>
          <w:b/>
          <w:color w:val="000000" w:themeColor="text1"/>
          <w:highlight w:val="none"/>
          <w14:textFill>
            <w14:solidFill>
              <w14:schemeClr w14:val="tx1"/>
            </w14:solidFill>
          </w14:textFill>
        </w:rPr>
        <w:t>。</w:t>
      </w:r>
    </w:p>
    <w:p w14:paraId="1F697B17">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26</w:t>
      </w:r>
      <w:r>
        <w:rPr>
          <w:rFonts w:hint="eastAsia" w:ascii="黑体" w:hAnsi="黑体" w:eastAsia="黑体" w:cs="宋体"/>
          <w:b/>
          <w:bCs/>
          <w:color w:val="000000" w:themeColor="text1"/>
          <w:sz w:val="24"/>
          <w:highlight w:val="none"/>
          <w14:textFill>
            <w14:solidFill>
              <w14:schemeClr w14:val="tx1"/>
            </w14:solidFill>
          </w14:textFill>
        </w:rPr>
        <w:t>.评审程序、评审方法和评审标准</w:t>
      </w:r>
    </w:p>
    <w:p w14:paraId="0134EFBD">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.1本项目的评审方法为综合评分法。</w:t>
      </w:r>
    </w:p>
    <w:p w14:paraId="0746FE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26.2</w:t>
      </w:r>
      <w:r>
        <w:rPr>
          <w:rFonts w:hint="eastAsia" w:ascii="宋体" w:hAnsi="宋体" w:cs="宋体"/>
          <w:color w:val="000000" w:themeColor="text1"/>
          <w:szCs w:val="21"/>
          <w:highlight w:val="none"/>
          <w14:textFill>
            <w14:solidFill>
              <w14:schemeClr w14:val="tx1"/>
            </w14:solidFill>
          </w14:textFill>
        </w:rPr>
        <w:t>磋商小组</w:t>
      </w:r>
      <w:r>
        <w:rPr>
          <w:rFonts w:ascii="宋体" w:hAnsi="宋体" w:cs="宋体"/>
          <w:color w:val="000000" w:themeColor="text1"/>
          <w:szCs w:val="21"/>
          <w:highlight w:val="none"/>
          <w14:textFill>
            <w14:solidFill>
              <w14:schemeClr w14:val="tx1"/>
            </w14:solidFill>
          </w14:textFill>
        </w:rPr>
        <w:t>按照</w:t>
      </w:r>
      <w:r>
        <w:rPr>
          <w:rFonts w:hint="eastAsia" w:ascii="宋体" w:hAnsi="宋体" w:cs="宋体"/>
          <w:color w:val="000000" w:themeColor="text1"/>
          <w:szCs w:val="21"/>
          <w:highlight w:val="none"/>
          <w14:textFill>
            <w14:solidFill>
              <w14:schemeClr w14:val="tx1"/>
            </w14:solidFill>
          </w14:textFill>
        </w:rPr>
        <w:t>“第四章 评审程序、评审方法和评审标准”</w:t>
      </w:r>
      <w:r>
        <w:rPr>
          <w:rFonts w:ascii="宋体" w:hAnsi="宋体" w:cs="宋体"/>
          <w:color w:val="000000" w:themeColor="text1"/>
          <w:szCs w:val="21"/>
          <w:highlight w:val="none"/>
          <w14:textFill>
            <w14:solidFill>
              <w14:schemeClr w14:val="tx1"/>
            </w14:solidFill>
          </w14:textFill>
        </w:rPr>
        <w:t>规定的方法、评审因素、标准和程序对</w:t>
      </w:r>
      <w:r>
        <w:rPr>
          <w:rFonts w:hint="eastAsia" w:ascii="宋体" w:hAnsi="宋体" w:cs="宋体"/>
          <w:color w:val="000000" w:themeColor="text1"/>
          <w:szCs w:val="21"/>
          <w:highlight w:val="none"/>
          <w14:textFill>
            <w14:solidFill>
              <w14:schemeClr w14:val="tx1"/>
            </w14:solidFill>
          </w14:textFill>
        </w:rPr>
        <w:t>响应</w:t>
      </w:r>
      <w:r>
        <w:rPr>
          <w:rFonts w:ascii="宋体" w:hAnsi="宋体" w:cs="宋体"/>
          <w:color w:val="000000" w:themeColor="text1"/>
          <w:szCs w:val="21"/>
          <w:highlight w:val="none"/>
          <w14:textFill>
            <w14:solidFill>
              <w14:schemeClr w14:val="tx1"/>
            </w14:solidFill>
          </w14:textFill>
        </w:rPr>
        <w:t>文件进行评审</w:t>
      </w:r>
      <w:r>
        <w:rPr>
          <w:rFonts w:hint="eastAsia" w:ascii="宋体" w:hAnsi="宋体" w:cs="宋体"/>
          <w:color w:val="000000" w:themeColor="text1"/>
          <w:szCs w:val="21"/>
          <w:highlight w:val="none"/>
          <w14:textFill>
            <w14:solidFill>
              <w14:schemeClr w14:val="tx1"/>
            </w14:solidFill>
          </w14:textFill>
        </w:rPr>
        <w:t>并推荐成交候选供应商</w:t>
      </w:r>
      <w:r>
        <w:rPr>
          <w:rFonts w:ascii="宋体" w:hAnsi="宋体" w:cs="宋体"/>
          <w:color w:val="000000" w:themeColor="text1"/>
          <w:szCs w:val="21"/>
          <w:highlight w:val="none"/>
          <w14:textFill>
            <w14:solidFill>
              <w14:schemeClr w14:val="tx1"/>
            </w14:solidFill>
          </w14:textFill>
        </w:rPr>
        <w:t>。</w:t>
      </w:r>
    </w:p>
    <w:p w14:paraId="14CE34D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6.3 </w:t>
      </w:r>
      <w:r>
        <w:rPr>
          <w:rFonts w:hint="eastAsia" w:ascii="宋体" w:hAnsi="宋体"/>
          <w:color w:val="000000" w:themeColor="text1"/>
          <w:szCs w:val="21"/>
          <w:highlight w:val="none"/>
          <w14:textFill>
            <w14:solidFill>
              <w14:schemeClr w14:val="tx1"/>
            </w14:solidFill>
          </w14:textFill>
        </w:rPr>
        <w:t>商务/技术要求允许负偏离的条款数详见“供应商须知前附表”。</w:t>
      </w:r>
    </w:p>
    <w:p w14:paraId="5B5601CF">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w:t>
      </w:r>
      <w:r>
        <w:rPr>
          <w:rFonts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25E60C1F">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ascii="宋体" w:hAnsi="宋体" w:cs="宋体"/>
          <w:color w:val="000000" w:themeColor="text1"/>
          <w:highlight w:val="none"/>
          <w14:textFill>
            <w14:solidFill>
              <w14:schemeClr w14:val="tx1"/>
            </w14:solidFill>
          </w14:textFill>
        </w:rPr>
        <w:t>6.5</w:t>
      </w:r>
      <w:r>
        <w:rPr>
          <w:rFonts w:hint="eastAsia" w:hAnsi="宋体"/>
          <w:color w:val="000000" w:themeColor="text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6BA9D577">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（1）电子交易平台发生故障而无法登录访问的； </w:t>
      </w:r>
    </w:p>
    <w:p w14:paraId="465CA6EA">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（2）电子交易平台应用或数据库出现错误，不能进行正常操作的；</w:t>
      </w:r>
    </w:p>
    <w:p w14:paraId="026648D1">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（3）电子交易平台发现严重安全漏洞，有潜在泄密危险的；</w:t>
      </w:r>
    </w:p>
    <w:p w14:paraId="5988BE31">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（4）病毒发作导致不能进行正常操作的； </w:t>
      </w:r>
    </w:p>
    <w:p w14:paraId="4B01D422">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（5）其他无法保证电子交易的公平、公正和安全的情况。</w:t>
      </w:r>
    </w:p>
    <w:p w14:paraId="6077FD9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26.</w:t>
      </w:r>
      <w:r>
        <w:rPr>
          <w:rFonts w:ascii="宋体" w:hAnsi="宋体"/>
          <w:color w:val="000000" w:themeColor="text1"/>
          <w:highlight w:val="none"/>
          <w14:textFill>
            <w14:solidFill>
              <w14:schemeClr w14:val="tx1"/>
            </w14:solidFill>
          </w14:textFill>
        </w:rPr>
        <w:t>6</w:t>
      </w:r>
      <w:r>
        <w:rPr>
          <w:rFonts w:hint="eastAsia" w:hAnsi="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7A416BE">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27</w:t>
      </w:r>
      <w:r>
        <w:rPr>
          <w:rFonts w:hint="eastAsia" w:ascii="黑体" w:hAnsi="黑体" w:eastAsia="黑体" w:cs="宋体"/>
          <w:b/>
          <w:bCs/>
          <w:color w:val="000000" w:themeColor="text1"/>
          <w:sz w:val="24"/>
          <w:highlight w:val="none"/>
          <w14:textFill>
            <w14:solidFill>
              <w14:schemeClr w14:val="tx1"/>
            </w14:solidFill>
          </w14:textFill>
        </w:rPr>
        <w:t>.确定成交供应商及结果公告</w:t>
      </w:r>
    </w:p>
    <w:p w14:paraId="6E39817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1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E2E0FAD">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.2采购代理机构应当在</w:t>
      </w:r>
      <w:r>
        <w:rPr>
          <w:rFonts w:hint="eastAsia" w:ascii="宋体" w:hAnsi="宋体" w:cs="宋体"/>
          <w:color w:val="000000" w:themeColor="text1"/>
          <w:kern w:val="0"/>
          <w:szCs w:val="21"/>
          <w:highlight w:val="none"/>
          <w14:textFill>
            <w14:solidFill>
              <w14:schemeClr w14:val="tx1"/>
            </w14:solidFill>
          </w14:textFill>
        </w:rPr>
        <w:t>成交</w:t>
      </w:r>
      <w:r>
        <w:rPr>
          <w:rFonts w:hint="eastAsia" w:ascii="宋体" w:hAnsi="宋体" w:cs="宋体"/>
          <w:color w:val="000000" w:themeColor="text1"/>
          <w:szCs w:val="21"/>
          <w:highlight w:val="none"/>
          <w14:textFill>
            <w14:solidFill>
              <w14:schemeClr w14:val="tx1"/>
            </w14:solidFill>
          </w14:textFill>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81" w:name="_Hlk66782294"/>
      <w:r>
        <w:rPr>
          <w:rFonts w:hint="eastAsia" w:ascii="宋体" w:hAnsi="宋体" w:cs="Courier New"/>
          <w:color w:val="000000" w:themeColor="text1"/>
          <w:szCs w:val="21"/>
          <w:highlight w:val="none"/>
          <w14:textFill>
            <w14:solidFill>
              <w14:schemeClr w14:val="tx1"/>
            </w14:solidFill>
          </w14:textFill>
        </w:rPr>
        <w:t>成交供应商享受</w:t>
      </w:r>
      <w:r>
        <w:rPr>
          <w:rFonts w:hint="eastAsia" w:ascii="宋体" w:hAnsi="宋体"/>
          <w:color w:val="000000" w:themeColor="text1"/>
          <w:szCs w:val="21"/>
          <w:highlight w:val="none"/>
          <w14:textFill>
            <w14:solidFill>
              <w14:schemeClr w14:val="tx1"/>
            </w14:solidFill>
          </w14:textFill>
        </w:rPr>
        <w:t>《政府采购促进中小企业发展管理办法》（财库〔2020〕46号）规定的中小企业扶持</w:t>
      </w:r>
      <w:r>
        <w:rPr>
          <w:rFonts w:hint="eastAsia" w:ascii="宋体" w:hAnsi="宋体" w:cs="Courier New"/>
          <w:color w:val="000000" w:themeColor="text1"/>
          <w:szCs w:val="21"/>
          <w:highlight w:val="none"/>
          <w14:textFill>
            <w14:solidFill>
              <w14:schemeClr w14:val="tx1"/>
            </w14:solidFill>
          </w14:textFill>
        </w:rPr>
        <w:t>政策的，采购人、采购代理机构应当随成交结果公开成交供应商的《中小企业声明函》。</w:t>
      </w:r>
      <w:bookmarkEnd w:id="81"/>
    </w:p>
    <w:p w14:paraId="6B0716E9">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27.3出现下列情形之一的，采购人或者采购代理机构应当终止竞争性磋商采购活动，发布项目终止公告并说明原因，重新开展采购活动：</w:t>
      </w:r>
    </w:p>
    <w:p w14:paraId="46331657">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（1）因情况变化，不再符合规定的竞争性磋商采购方式适用情形的；</w:t>
      </w:r>
    </w:p>
    <w:p w14:paraId="5A1C974A">
      <w:pPr>
        <w:spacing w:line="360" w:lineRule="auto"/>
        <w:ind w:firstLine="420" w:firstLineChars="200"/>
        <w:outlineLvl w:val="3"/>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（2）出现影响采购公正的违法、违规行为的；</w:t>
      </w:r>
    </w:p>
    <w:p w14:paraId="6A0E0984">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（3）除“第四章 评审程序、评审方法和评审标准”第4.3条规定的情形外，在采购过程中符合要求的供应商或者报价未超过采购预算的供应商不足3家的。</w:t>
      </w:r>
    </w:p>
    <w:p w14:paraId="0B64142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27.4 在采购活动中因重大变故，采购任务取消的，采购人或者采购代理机构应当终止采购活动，通知所有参加采购活动的供应商，并将项目实施情况和采购任务取消原因报送本级财政部门。</w:t>
      </w:r>
    </w:p>
    <w:p w14:paraId="70FD40E7">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28</w:t>
      </w:r>
      <w:r>
        <w:rPr>
          <w:rFonts w:hint="eastAsia" w:ascii="黑体" w:hAnsi="黑体" w:eastAsia="黑体" w:cs="宋体"/>
          <w:b/>
          <w:bCs/>
          <w:color w:val="000000" w:themeColor="text1"/>
          <w:sz w:val="24"/>
          <w:highlight w:val="none"/>
          <w14:textFill>
            <w14:solidFill>
              <w14:schemeClr w14:val="tx1"/>
            </w14:solidFill>
          </w14:textFill>
        </w:rPr>
        <w:t>.履约保证金</w:t>
      </w:r>
    </w:p>
    <w:p w14:paraId="79A23803">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.1履约保证金的金额、提交方式、退付的时间和条件详见 “供应商须知前附表”。成交供应商未按规定提交履约保证金的，视为拒绝</w:t>
      </w:r>
      <w:r>
        <w:rPr>
          <w:rFonts w:ascii="宋体" w:hAnsi="宋体"/>
          <w:color w:val="000000" w:themeColor="text1"/>
          <w:highlight w:val="none"/>
          <w14:textFill>
            <w14:solidFill>
              <w14:schemeClr w14:val="tx1"/>
            </w14:solidFill>
          </w14:textFill>
        </w:rPr>
        <w:t>与采购人</w:t>
      </w:r>
      <w:r>
        <w:rPr>
          <w:rFonts w:hint="eastAsia" w:ascii="宋体" w:hAnsi="宋体" w:cs="宋体"/>
          <w:color w:val="000000" w:themeColor="text1"/>
          <w:szCs w:val="21"/>
          <w:highlight w:val="none"/>
          <w14:textFill>
            <w14:solidFill>
              <w14:schemeClr w14:val="tx1"/>
            </w14:solidFill>
          </w14:textFill>
        </w:rPr>
        <w:t>签订合同。</w:t>
      </w:r>
    </w:p>
    <w:p w14:paraId="2F8C1804">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.2在履约保证金退还日期前，若成交供应商的开户名称、开户银行、账号有变动的，请以书面形式通知履约保证金收取单位，否则由此产生的后果由成交供应商自行承担。</w:t>
      </w:r>
    </w:p>
    <w:p w14:paraId="23001C76">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29</w:t>
      </w:r>
      <w:r>
        <w:rPr>
          <w:rFonts w:hint="eastAsia" w:ascii="黑体" w:hAnsi="黑体" w:eastAsia="黑体" w:cs="宋体"/>
          <w:b/>
          <w:bCs/>
          <w:color w:val="000000" w:themeColor="text1"/>
          <w:sz w:val="24"/>
          <w:highlight w:val="none"/>
          <w14:textFill>
            <w14:solidFill>
              <w14:schemeClr w14:val="tx1"/>
            </w14:solidFill>
          </w14:textFill>
        </w:rPr>
        <w:t>.签订合同</w:t>
      </w:r>
    </w:p>
    <w:p w14:paraId="6ABCB813">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29.1签订电子采购合同：成交供应商领取电子成交通知书后，在</w:t>
      </w:r>
      <w:r>
        <w:rPr>
          <w:rFonts w:hint="eastAsia" w:ascii="宋体" w:hAnsi="宋体" w:cs="宋体"/>
          <w:color w:val="000000" w:themeColor="text1"/>
          <w:szCs w:val="21"/>
          <w:highlight w:val="none"/>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0BE98662">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线下签订纸质合同：供应商领取成交通知书后，按“供应商须知前附表”规定向采购人出示相关证明材料，经采购人核验合格后方可签订合同。</w:t>
      </w:r>
    </w:p>
    <w:p w14:paraId="4E65F6F7">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29.2签订合同时间：按成交通知书规定的时间与采购人签订合同。</w:t>
      </w:r>
    </w:p>
    <w:p w14:paraId="5FE2C8EE">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2EE5E06D">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E787F1E">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14:paraId="1968ABC1">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29.6如签订合同并生效后，供应商无故拒绝或延期，除按照合同条款处理外，将承担相应的法律责任。</w:t>
      </w:r>
    </w:p>
    <w:p w14:paraId="151B400F">
      <w:pPr>
        <w:spacing w:line="360" w:lineRule="auto"/>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670CDF2D">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30</w:t>
      </w:r>
      <w:r>
        <w:rPr>
          <w:rFonts w:hint="eastAsia" w:ascii="黑体" w:hAnsi="黑体" w:eastAsia="黑体" w:cs="宋体"/>
          <w:b/>
          <w:bCs/>
          <w:color w:val="000000" w:themeColor="text1"/>
          <w:sz w:val="24"/>
          <w:highlight w:val="none"/>
          <w14:textFill>
            <w14:solidFill>
              <w14:schemeClr w14:val="tx1"/>
            </w14:solidFill>
          </w14:textFill>
        </w:rPr>
        <w:t>.政府采购合同公告</w:t>
      </w:r>
    </w:p>
    <w:p w14:paraId="6FE6BE1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7203EBC">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31</w:t>
      </w:r>
      <w:r>
        <w:rPr>
          <w:rFonts w:hint="eastAsia" w:ascii="黑体" w:hAnsi="黑体" w:eastAsia="黑体" w:cs="宋体"/>
          <w:b/>
          <w:bCs/>
          <w:color w:val="000000" w:themeColor="text1"/>
          <w:sz w:val="24"/>
          <w:highlight w:val="none"/>
          <w14:textFill>
            <w14:solidFill>
              <w14:schemeClr w14:val="tx1"/>
            </w14:solidFill>
          </w14:textFill>
        </w:rPr>
        <w:t>. 询问、质疑和投诉</w:t>
      </w:r>
    </w:p>
    <w:p w14:paraId="601C2DFB">
      <w:pPr>
        <w:pStyle w:val="7"/>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themeColor="text1"/>
          <w:szCs w:val="21"/>
          <w:highlight w:val="none"/>
          <w14:textFill>
            <w14:solidFill>
              <w14:schemeClr w14:val="tx1"/>
            </w14:solidFill>
          </w14:textFill>
        </w:rPr>
        <w:t>但答复的内容不得涉及商业秘密</w:t>
      </w:r>
      <w:r>
        <w:rPr>
          <w:rFonts w:hint="eastAsia" w:ascii="宋体" w:hAnsi="宋体" w:cs="宋体"/>
          <w:color w:val="000000" w:themeColor="text1"/>
          <w:highlight w:val="none"/>
          <w14:textFill>
            <w14:solidFill>
              <w14:schemeClr w14:val="tx1"/>
            </w14:solidFill>
          </w14:textFill>
        </w:rPr>
        <w:t>。</w:t>
      </w:r>
    </w:p>
    <w:p w14:paraId="7E080F3A">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000000" w:themeColor="text1"/>
          <w:highlight w:val="none"/>
          <w:shd w:val="clear" w:color="auto" w:fill="FFFFFF"/>
          <w14:textFill>
            <w14:solidFill>
              <w14:schemeClr w14:val="tx1"/>
            </w14:solidFill>
          </w14:textFill>
        </w:rPr>
        <w:t>接收质疑函的方式、联系部门、联系电话和通讯地址等信息</w:t>
      </w:r>
      <w:r>
        <w:rPr>
          <w:rFonts w:hint="eastAsia" w:ascii="宋体" w:hAnsi="宋体" w:cs="Arial"/>
          <w:color w:val="000000" w:themeColor="text1"/>
          <w:highlight w:val="none"/>
          <w:shd w:val="clear" w:color="auto" w:fill="FFFFFF"/>
          <w14:textFill>
            <w14:solidFill>
              <w14:schemeClr w14:val="tx1"/>
            </w14:solidFill>
          </w14:textFill>
        </w:rPr>
        <w:t>详见</w:t>
      </w:r>
      <w:r>
        <w:rPr>
          <w:rFonts w:hint="eastAsia" w:ascii="宋体" w:hAnsi="宋体" w:cs="宋体"/>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highlight w:val="none"/>
          <w14:textFill>
            <w14:solidFill>
              <w14:schemeClr w14:val="tx1"/>
            </w14:solidFill>
          </w14:textFill>
        </w:rPr>
        <w:t>。具体质疑起算时间如下：</w:t>
      </w:r>
    </w:p>
    <w:p w14:paraId="2E6C206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（1）对可以质疑的磋商文件提出质疑的，为获取磋商文件之日或者</w:t>
      </w:r>
      <w:r>
        <w:rPr>
          <w:rFonts w:hint="eastAsia" w:ascii="宋体" w:hAnsi="宋体"/>
          <w:color w:val="000000" w:themeColor="text1"/>
          <w:highlight w:val="none"/>
          <w14:textFill>
            <w14:solidFill>
              <w14:schemeClr w14:val="tx1"/>
            </w14:solidFill>
          </w14:textFill>
        </w:rPr>
        <w:t>竞争性磋商公告期限届满之日</w:t>
      </w:r>
      <w:r>
        <w:rPr>
          <w:rFonts w:hint="eastAsia" w:ascii="宋体" w:hAnsi="宋体" w:cs="宋体"/>
          <w:color w:val="000000" w:themeColor="text1"/>
          <w:highlight w:val="none"/>
          <w14:textFill>
            <w14:solidFill>
              <w14:schemeClr w14:val="tx1"/>
            </w14:solidFill>
          </w14:textFill>
        </w:rPr>
        <w:t>；</w:t>
      </w:r>
    </w:p>
    <w:p w14:paraId="2DA47AA6">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（2）对采购过程提出质疑的，为各采购程序环节结束之日；</w:t>
      </w:r>
    </w:p>
    <w:p w14:paraId="79217931">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（3）对成交结果提出质疑的，为成交结果公告期限届满之日。</w:t>
      </w:r>
    </w:p>
    <w:p w14:paraId="6E77F01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77E811C">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.4 供应商提出质疑应当提交质疑函和必要的证明材料，针对同一采购程序环节的质疑必须在法定质疑期内一次性提出。质疑函应当包括下列内容</w:t>
      </w:r>
      <w:r>
        <w:rPr>
          <w:rFonts w:hint="eastAsia" w:hAnsi="宋体"/>
          <w:bCs/>
          <w:color w:val="000000" w:themeColor="text1"/>
          <w:highlight w:val="none"/>
          <w14:textFill>
            <w14:solidFill>
              <w14:schemeClr w14:val="tx1"/>
            </w14:solidFill>
          </w14:textFill>
        </w:rPr>
        <w:t>（质疑函格式后附）</w:t>
      </w:r>
      <w:r>
        <w:rPr>
          <w:rFonts w:hint="eastAsia" w:ascii="宋体" w:hAnsi="宋体" w:cs="宋体"/>
          <w:color w:val="000000" w:themeColor="text1"/>
          <w:highlight w:val="none"/>
          <w14:textFill>
            <w14:solidFill>
              <w14:schemeClr w14:val="tx1"/>
            </w14:solidFill>
          </w14:textFill>
        </w:rPr>
        <w:t>：</w:t>
      </w:r>
    </w:p>
    <w:p w14:paraId="3A5CB76D">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（1）供应商的姓名或者名称、地址、邮编、联系人及联系电话；</w:t>
      </w:r>
    </w:p>
    <w:p w14:paraId="47609CC4">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（2）质疑项目的名称、编号；</w:t>
      </w:r>
    </w:p>
    <w:p w14:paraId="1A6C98F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（3）具体、明确的质疑事项和与质疑事项相关的请求；</w:t>
      </w:r>
    </w:p>
    <w:p w14:paraId="53FBDD1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14:paraId="23CC3C5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（5）必要的法律依据；</w:t>
      </w:r>
    </w:p>
    <w:p w14:paraId="45C3F559">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（6）提出质疑的日期。</w:t>
      </w:r>
    </w:p>
    <w:p w14:paraId="71739F24">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126A6F41">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1.5</w:t>
      </w:r>
      <w:r>
        <w:rPr>
          <w:rFonts w:hint="eastAsia" w:ascii="宋体" w:hAnsi="宋体" w:cs="宋体"/>
          <w:color w:val="000000" w:themeColor="text1"/>
          <w:highlight w:val="none"/>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60AABD6F">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2823E8B2">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6ABCFDF8">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14:paraId="6147668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31</w:t>
      </w:r>
      <w:r>
        <w:rPr>
          <w:rFonts w:hint="eastAsia" w:ascii="宋体" w:hAnsi="宋体" w:cs="宋体"/>
          <w:color w:val="000000" w:themeColor="text1"/>
          <w:highlight w:val="none"/>
          <w14:textFill>
            <w14:solidFill>
              <w14:schemeClr w14:val="tx1"/>
            </w14:solidFill>
          </w14:textFill>
        </w:rPr>
        <w:t>.</w:t>
      </w:r>
      <w:r>
        <w:rPr>
          <w:rFonts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67F3E83">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32</w:t>
      </w:r>
      <w:r>
        <w:rPr>
          <w:rFonts w:hint="eastAsia" w:ascii="黑体" w:hAnsi="黑体" w:eastAsia="黑体" w:cs="宋体"/>
          <w:b/>
          <w:bCs/>
          <w:color w:val="000000" w:themeColor="text1"/>
          <w:sz w:val="24"/>
          <w:highlight w:val="none"/>
          <w14:textFill>
            <w14:solidFill>
              <w14:schemeClr w14:val="tx1"/>
            </w14:solidFill>
          </w14:textFill>
        </w:rPr>
        <w:t>.其他内容</w:t>
      </w:r>
    </w:p>
    <w:p w14:paraId="237755A9">
      <w:pPr>
        <w:tabs>
          <w:tab w:val="left" w:pos="2835"/>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.1代理服务</w:t>
      </w:r>
      <w:r>
        <w:rPr>
          <w:rFonts w:hint="eastAsia" w:ascii="宋体" w:hAnsi="宋体" w:cs="宋体"/>
          <w:color w:val="000000" w:themeColor="text1"/>
          <w:szCs w:val="21"/>
          <w:highlight w:val="none"/>
          <w:lang w:eastAsia="zh-CN"/>
          <w14:textFill>
            <w14:solidFill>
              <w14:schemeClr w14:val="tx1"/>
            </w14:solidFill>
          </w14:textFill>
        </w:rPr>
        <w:t>费</w:t>
      </w:r>
      <w:r>
        <w:rPr>
          <w:rFonts w:hint="eastAsia" w:ascii="宋体" w:hAnsi="宋体" w:cs="宋体"/>
          <w:color w:val="000000" w:themeColor="text1"/>
          <w:szCs w:val="21"/>
          <w:highlight w:val="none"/>
          <w14:textFill>
            <w14:solidFill>
              <w14:schemeClr w14:val="tx1"/>
            </w14:solidFill>
          </w14:textFill>
        </w:rPr>
        <w:t>收取标准及缴费账户详见“供应商须知前附表”，供应商为联合体的，可以由联合体中的一方或者多方共同交纳代理服务费。</w:t>
      </w:r>
    </w:p>
    <w:p w14:paraId="34BC87C1">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w:t>
      </w:r>
      <w:r>
        <w:rPr>
          <w:rFonts w:ascii="黑体" w:hAnsi="黑体" w:eastAsia="黑体" w:cs="宋体"/>
          <w:b/>
          <w:bCs/>
          <w:color w:val="000000" w:themeColor="text1"/>
          <w:sz w:val="24"/>
          <w:highlight w:val="none"/>
          <w14:textFill>
            <w14:solidFill>
              <w14:schemeClr w14:val="tx1"/>
            </w14:solidFill>
          </w14:textFill>
        </w:rPr>
        <w:t>3.需要补充的其他内容</w:t>
      </w:r>
    </w:p>
    <w:p w14:paraId="66AFAF00">
      <w:pPr>
        <w:pStyle w:val="25"/>
        <w:spacing w:line="360" w:lineRule="auto"/>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w:t>
      </w:r>
      <w:r>
        <w:rPr>
          <w:rFonts w:hAnsi="宋体" w:cs="宋体"/>
          <w:color w:val="000000" w:themeColor="text1"/>
          <w:kern w:val="2"/>
          <w:sz w:val="21"/>
          <w:highlight w:val="none"/>
          <w14:textFill>
            <w14:solidFill>
              <w14:schemeClr w14:val="tx1"/>
            </w14:solidFill>
          </w14:textFill>
        </w:rPr>
        <w:t>3.1</w:t>
      </w:r>
      <w:r>
        <w:rPr>
          <w:rFonts w:hint="eastAsia" w:hAnsi="宋体" w:cs="宋体"/>
          <w:color w:val="000000" w:themeColor="text1"/>
          <w:kern w:val="2"/>
          <w:sz w:val="21"/>
          <w:highlight w:val="none"/>
          <w14:textFill>
            <w14:solidFill>
              <w14:schemeClr w14:val="tx1"/>
            </w14:solidFill>
          </w14:textFill>
        </w:rPr>
        <w:t>本磋商文件解释规则详见“供应商须知前附表”。</w:t>
      </w:r>
    </w:p>
    <w:p w14:paraId="7D82B426">
      <w:pPr>
        <w:pStyle w:val="25"/>
        <w:spacing w:line="360" w:lineRule="auto"/>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33.2农民工工资保证金见“供应商须知前附表”。</w:t>
      </w:r>
    </w:p>
    <w:p w14:paraId="0795932C">
      <w:pPr>
        <w:pStyle w:val="25"/>
        <w:spacing w:line="360" w:lineRule="auto"/>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Ansi="宋体" w:cs="宋体"/>
          <w:color w:val="000000" w:themeColor="text1"/>
          <w:kern w:val="2"/>
          <w:sz w:val="21"/>
          <w:highlight w:val="none"/>
          <w14:textFill>
            <w14:solidFill>
              <w14:schemeClr w14:val="tx1"/>
            </w14:solidFill>
          </w14:textFill>
        </w:rPr>
        <w:t>33.</w:t>
      </w:r>
      <w:r>
        <w:rPr>
          <w:rFonts w:hint="eastAsia" w:hAnsi="宋体" w:cs="宋体"/>
          <w:color w:val="000000" w:themeColor="text1"/>
          <w:kern w:val="2"/>
          <w:sz w:val="21"/>
          <w:highlight w:val="none"/>
          <w14:textFill>
            <w14:solidFill>
              <w14:schemeClr w14:val="tx1"/>
            </w14:solidFill>
          </w14:textFill>
        </w:rPr>
        <w:t>3 其他事项详见“供应商须知前附表”。</w:t>
      </w:r>
    </w:p>
    <w:p w14:paraId="446A2DA7">
      <w:pPr>
        <w:pStyle w:val="25"/>
        <w:spacing w:line="360" w:lineRule="auto"/>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w:t>
      </w:r>
      <w:r>
        <w:rPr>
          <w:rFonts w:hAnsi="宋体" w:cs="宋体"/>
          <w:color w:val="000000" w:themeColor="text1"/>
          <w:kern w:val="2"/>
          <w:sz w:val="21"/>
          <w:highlight w:val="none"/>
          <w14:textFill>
            <w14:solidFill>
              <w14:schemeClr w14:val="tx1"/>
            </w14:solidFill>
          </w14:textFill>
        </w:rPr>
        <w:t>3.</w:t>
      </w:r>
      <w:r>
        <w:rPr>
          <w:rFonts w:hint="eastAsia" w:hAnsi="宋体" w:cs="宋体"/>
          <w:color w:val="000000" w:themeColor="text1"/>
          <w:kern w:val="2"/>
          <w:sz w:val="21"/>
          <w:highlight w:val="none"/>
          <w14:textFill>
            <w14:solidFill>
              <w14:schemeClr w14:val="tx1"/>
            </w14:solidFill>
          </w14:textFill>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2D71CFDF">
      <w:pPr>
        <w:pStyle w:val="25"/>
        <w:spacing w:line="360" w:lineRule="auto"/>
        <w:ind w:firstLine="420" w:firstLineChars="20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5BBE5B2B">
      <w:pPr>
        <w:pStyle w:val="25"/>
        <w:spacing w:line="360" w:lineRule="auto"/>
        <w:ind w:firstLine="420" w:firstLineChars="20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7324C1D0">
      <w:pPr>
        <w:pStyle w:val="25"/>
        <w:spacing w:line="360" w:lineRule="auto"/>
        <w:ind w:firstLine="420" w:firstLineChars="20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7B1C73E1">
      <w:pPr>
        <w:pStyle w:val="25"/>
        <w:spacing w:line="360" w:lineRule="auto"/>
        <w:ind w:firstLine="420" w:firstLineChars="200"/>
        <w:contextualSpacing/>
        <w:rPr>
          <w:rFonts w:hint="eastAsia" w:hAnsi="宋体"/>
          <w:color w:val="000000" w:themeColor="text1"/>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000000" w:themeColor="text1"/>
          <w:sz w:val="21"/>
          <w:highlight w:val="none"/>
          <w14:textFill>
            <w14:solidFill>
              <w14:schemeClr w14:val="tx1"/>
            </w14:solidFill>
          </w14:textFill>
        </w:rPr>
        <w:t>中小企业的，联合体视同中小企业。其中，联合体各方均为小微企业的，联合体视同小微企业。</w:t>
      </w:r>
    </w:p>
    <w:p w14:paraId="72494B70">
      <w:pPr>
        <w:pStyle w:val="25"/>
        <w:spacing w:line="360" w:lineRule="auto"/>
        <w:ind w:firstLine="420" w:firstLineChars="20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依据本磋商文件规定享受扶持政策获得政府采购合同的，小微企业不得将合同分包给大中型企业，中型企业不得将合同分包给大型企业。</w:t>
      </w:r>
    </w:p>
    <w:p w14:paraId="3523BAB0">
      <w:pPr>
        <w:pStyle w:val="25"/>
        <w:spacing w:before="340" w:after="340" w:line="360" w:lineRule="auto"/>
        <w:ind w:firstLine="402" w:firstLineChars="200"/>
        <w:jc w:val="center"/>
        <w:textAlignment w:val="center"/>
        <w:outlineLvl w:val="0"/>
        <w:rPr>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bookmarkStart w:id="82" w:name="_Toc20633"/>
      <w:r>
        <w:rPr>
          <w:rFonts w:hint="eastAsia" w:ascii="Times New Roman" w:hAnsi="Times New Roman" w:eastAsia="宋体" w:cs="Times New Roman"/>
          <w:b/>
          <w:bCs/>
          <w:color w:val="000000" w:themeColor="text1"/>
          <w:kern w:val="44"/>
          <w:sz w:val="44"/>
          <w:szCs w:val="44"/>
          <w:highlight w:val="none"/>
          <w:lang w:val="en-US" w:eastAsia="zh-CN" w:bidi="ar-SA"/>
          <w14:textFill>
            <w14:solidFill>
              <w14:schemeClr w14:val="tx1"/>
            </w14:solidFill>
          </w14:textFill>
        </w:rPr>
        <w:t>第三章 采购需求</w:t>
      </w:r>
      <w:bookmarkEnd w:id="82"/>
    </w:p>
    <w:p w14:paraId="45D84C66">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3F30D6FF">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 为落实政府采购政策需满足的要求：</w:t>
      </w:r>
      <w:r>
        <w:rPr>
          <w:rFonts w:hint="eastAsia" w:ascii="宋体" w:hAnsi="宋体"/>
          <w:color w:val="000000" w:themeColor="text1"/>
          <w:szCs w:val="21"/>
          <w:highlight w:val="none"/>
          <w14:textFill>
            <w14:solidFill>
              <w14:schemeClr w14:val="tx1"/>
            </w14:solidFill>
          </w14:textFill>
        </w:rPr>
        <w:t>本项目属于专门面向中小</w:t>
      </w:r>
      <w:r>
        <w:rPr>
          <w:rFonts w:hint="eastAsia" w:ascii="宋体" w:hAnsi="宋体"/>
          <w:color w:val="000000" w:themeColor="text1"/>
          <w:szCs w:val="21"/>
          <w:highlight w:val="none"/>
          <w:lang w:eastAsia="zh-CN"/>
          <w14:textFill>
            <w14:solidFill>
              <w14:schemeClr w14:val="tx1"/>
            </w14:solidFill>
          </w14:textFill>
        </w:rPr>
        <w:t>微</w:t>
      </w:r>
      <w:r>
        <w:rPr>
          <w:rFonts w:hint="eastAsia" w:ascii="宋体" w:hAnsi="宋体"/>
          <w:color w:val="000000" w:themeColor="text1"/>
          <w:szCs w:val="21"/>
          <w:highlight w:val="none"/>
          <w14:textFill>
            <w14:solidFill>
              <w14:schemeClr w14:val="tx1"/>
            </w14:solidFill>
          </w14:textFill>
        </w:rPr>
        <w:t>企业采购的项目，供应商应为中小微企业或监狱企业或残疾人福利性单位。</w:t>
      </w:r>
    </w:p>
    <w:p w14:paraId="4A79389E">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2.“实质性要求”是指采购需求中带“▲”的条款或者不能负偏离的条款或者已经指明不满足响应文件按无效处理的条款。</w:t>
      </w:r>
    </w:p>
    <w:p w14:paraId="0563BF48">
      <w:pPr>
        <w:spacing w:line="360" w:lineRule="auto"/>
        <w:ind w:firstLine="424" w:firstLineChars="202"/>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color w:val="000000" w:themeColor="text1"/>
          <w:highlight w:val="none"/>
          <w14:textFill>
            <w14:solidFill>
              <w14:schemeClr w14:val="tx1"/>
            </w14:solidFill>
          </w14:textFill>
        </w:rPr>
        <w:t>供应商必须自行为其竞标产品侵犯他人的知识产权或者专利成果的行为承担相应法律责任。</w:t>
      </w:r>
    </w:p>
    <w:tbl>
      <w:tblPr>
        <w:tblStyle w:val="45"/>
        <w:tblW w:w="8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130"/>
        <w:gridCol w:w="315"/>
        <w:gridCol w:w="435"/>
        <w:gridCol w:w="736"/>
        <w:gridCol w:w="5534"/>
      </w:tblGrid>
      <w:tr w14:paraId="21B20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55" w:type="dxa"/>
            <w:vAlign w:val="center"/>
          </w:tcPr>
          <w:p w14:paraId="4E35A4CC">
            <w:pPr>
              <w:spacing w:line="360" w:lineRule="auto"/>
              <w:ind w:firstLine="310" w:firstLineChars="147"/>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序号</w:t>
            </w:r>
          </w:p>
        </w:tc>
        <w:tc>
          <w:tcPr>
            <w:tcW w:w="1130" w:type="dxa"/>
            <w:vAlign w:val="center"/>
          </w:tcPr>
          <w:p w14:paraId="49E76AA1">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标的的名称</w:t>
            </w:r>
          </w:p>
        </w:tc>
        <w:tc>
          <w:tcPr>
            <w:tcW w:w="750" w:type="dxa"/>
            <w:gridSpan w:val="2"/>
            <w:vAlign w:val="center"/>
          </w:tcPr>
          <w:p w14:paraId="2BE8B442">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w:t>
            </w:r>
          </w:p>
        </w:tc>
        <w:tc>
          <w:tcPr>
            <w:tcW w:w="736" w:type="dxa"/>
            <w:vAlign w:val="center"/>
          </w:tcPr>
          <w:p w14:paraId="644D759F">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所属</w:t>
            </w:r>
          </w:p>
          <w:p w14:paraId="13A892E7">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行业</w:t>
            </w:r>
          </w:p>
        </w:tc>
        <w:tc>
          <w:tcPr>
            <w:tcW w:w="5534" w:type="dxa"/>
            <w:vAlign w:val="center"/>
          </w:tcPr>
          <w:p w14:paraId="41DF4E9D">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技术要求▲</w:t>
            </w:r>
          </w:p>
        </w:tc>
      </w:tr>
      <w:tr w14:paraId="2D741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6" w:hRule="atLeast"/>
          <w:jc w:val="center"/>
        </w:trPr>
        <w:tc>
          <w:tcPr>
            <w:tcW w:w="655" w:type="dxa"/>
            <w:vAlign w:val="center"/>
          </w:tcPr>
          <w:p w14:paraId="0231FE62">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130" w:type="dxa"/>
            <w:vAlign w:val="center"/>
          </w:tcPr>
          <w:p w14:paraId="10BD5510">
            <w:pPr>
              <w:tabs>
                <w:tab w:val="left" w:pos="180"/>
                <w:tab w:val="left" w:pos="1620"/>
              </w:tabs>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贵港市港北区农村公路水毁修复工程项目</w:t>
            </w:r>
          </w:p>
        </w:tc>
        <w:tc>
          <w:tcPr>
            <w:tcW w:w="750" w:type="dxa"/>
            <w:gridSpan w:val="2"/>
            <w:vAlign w:val="center"/>
          </w:tcPr>
          <w:p w14:paraId="1A1C9B1B">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tc>
        <w:tc>
          <w:tcPr>
            <w:tcW w:w="736" w:type="dxa"/>
            <w:vAlign w:val="center"/>
          </w:tcPr>
          <w:p w14:paraId="60B79A7B">
            <w:pPr>
              <w:tabs>
                <w:tab w:val="left" w:pos="180"/>
                <w:tab w:val="left" w:pos="1620"/>
              </w:tabs>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建筑业</w:t>
            </w:r>
          </w:p>
        </w:tc>
        <w:tc>
          <w:tcPr>
            <w:tcW w:w="5534" w:type="dxa"/>
            <w:vAlign w:val="center"/>
          </w:tcPr>
          <w:p w14:paraId="0178943B">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一、项目基本概况：主要建设内容为挖除旧水泥混凝土路面354.0平方米；挖除旧路基 57.9立方米；挖除水沟土方1308立方米；借土填方90立方米；恢复C20混凝土挡土墙 3816立方米；设置1.5m高编织袋围堰20米；恢复0.5m单孔钢筋混凝土圆管涵40米；恢复级配碎石基层（厚15厘米）380.5平方米；恢复C30水泥混凝土面板（厚26厘米）162.5平方米；恢复C30水泥混凝土面板（厚20厘米）191.5平方米；恢复波形梁钢护栏918米。我区布山街道办蓝田社区北环立交至木麻道路水毁修复工程等5个项目均以水毁修复为主，重点针对路面破损、路基坍塌、边坡溜方等水毁病害进行系统性修复整治，同步完善沿线排水及防护工程，提升道路整体抗灾能力。各子项目根据实际水毁情况合理确定建设规模，确保修复后道路达到安全通行标准</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具体详见施工图纸和工程量清单所包含的全部施工内容。</w:t>
            </w:r>
          </w:p>
          <w:p w14:paraId="3FE12DF6">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二、质量要求：</w:t>
            </w:r>
            <w:r>
              <w:rPr>
                <w:rFonts w:hint="eastAsia" w:ascii="宋体" w:hAnsi="宋体" w:cs="宋体"/>
                <w:color w:val="000000" w:themeColor="text1"/>
                <w:szCs w:val="21"/>
                <w:highlight w:val="none"/>
                <w:lang w:eastAsia="zh-CN"/>
                <w14:textFill>
                  <w14:solidFill>
                    <w14:schemeClr w14:val="tx1"/>
                  </w14:solidFill>
                </w14:textFill>
              </w:rPr>
              <w:t>达到国家施工验收规范合格标准</w:t>
            </w:r>
            <w:r>
              <w:rPr>
                <w:rFonts w:hint="eastAsia" w:ascii="宋体" w:hAnsi="宋体" w:cs="宋体"/>
                <w:color w:val="000000" w:themeColor="text1"/>
                <w:szCs w:val="21"/>
                <w:highlight w:val="none"/>
                <w14:textFill>
                  <w14:solidFill>
                    <w14:schemeClr w14:val="tx1"/>
                  </w14:solidFill>
                </w14:textFill>
              </w:rPr>
              <w:t>。</w:t>
            </w:r>
          </w:p>
          <w:p w14:paraId="3A624E65">
            <w:pPr>
              <w:pStyle w:val="198"/>
              <w:spacing w:line="360"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三、安全</w:t>
            </w:r>
            <w:r>
              <w:rPr>
                <w:rFonts w:hint="eastAsia" w:ascii="宋体" w:hAnsi="宋体" w:cs="宋体"/>
                <w:color w:val="000000" w:themeColor="text1"/>
                <w:szCs w:val="21"/>
                <w:highlight w:val="none"/>
                <w:lang w:val="en-US" w:eastAsia="zh-CN"/>
                <w14:textFill>
                  <w14:solidFill>
                    <w14:schemeClr w14:val="tx1"/>
                  </w14:solidFill>
                </w14:textFill>
              </w:rPr>
              <w:t>目标</w:t>
            </w:r>
            <w:r>
              <w:rPr>
                <w:rFonts w:hint="eastAsia" w:ascii="宋体" w:hAnsi="宋体" w:cs="宋体"/>
                <w:color w:val="000000" w:themeColor="text1"/>
                <w:szCs w:val="21"/>
                <w:highlight w:val="none"/>
                <w14:textFill>
                  <w14:solidFill>
                    <w14:schemeClr w14:val="tx1"/>
                  </w14:solidFill>
                </w14:textFill>
              </w:rPr>
              <w:t>：</w:t>
            </w:r>
            <w:bookmarkStart w:id="83" w:name="EB03704fe102874bc7b5f789d9a93334a8"/>
            <w:r>
              <w:rPr>
                <w:rFonts w:hint="eastAsia" w:ascii="宋体" w:hAnsi="宋体" w:cs="宋体"/>
                <w:color w:val="000000" w:themeColor="text1"/>
                <w:szCs w:val="21"/>
                <w:highlight w:val="none"/>
                <w14:textFill>
                  <w14:solidFill>
                    <w14:schemeClr w14:val="tx1"/>
                  </w14:solidFill>
                </w14:textFill>
              </w:rPr>
              <w:t>无安全生产责任事故</w:t>
            </w:r>
            <w:bookmarkEnd w:id="83"/>
            <w:r>
              <w:rPr>
                <w:rFonts w:hint="eastAsia" w:ascii="宋体" w:hAnsi="宋体" w:cs="宋体"/>
                <w:color w:val="000000" w:themeColor="text1"/>
                <w:szCs w:val="21"/>
                <w:highlight w:val="none"/>
                <w14:textFill>
                  <w14:solidFill>
                    <w14:schemeClr w14:val="tx1"/>
                  </w14:solidFill>
                </w14:textFill>
              </w:rPr>
              <w:t>。</w:t>
            </w:r>
          </w:p>
          <w:p w14:paraId="525A01D7">
            <w:pPr>
              <w:pStyle w:val="198"/>
              <w:spacing w:line="360"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四、技术要求：本工程应该认真按照设计施工图纸的要求进行施工，同时也要严格执行国家现行行业验收标准、各专业相关的现行标准和技术规范。</w:t>
            </w:r>
          </w:p>
          <w:p w14:paraId="43B90C65">
            <w:pPr>
              <w:pStyle w:val="198"/>
              <w:spacing w:line="360"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五、需实现的功能或者目标：完成</w:t>
            </w:r>
            <w:r>
              <w:rPr>
                <w:rFonts w:hint="eastAsia" w:ascii="宋体" w:hAnsi="宋体" w:cs="宋体"/>
                <w:color w:val="000000" w:themeColor="text1"/>
                <w:szCs w:val="21"/>
                <w:highlight w:val="none"/>
                <w:lang w:eastAsia="zh-CN"/>
                <w14:textFill>
                  <w14:solidFill>
                    <w14:schemeClr w14:val="tx1"/>
                  </w14:solidFill>
                </w14:textFill>
              </w:rPr>
              <w:t>贵港市港北区农村公路水毁修复工程项目</w:t>
            </w:r>
            <w:r>
              <w:rPr>
                <w:rFonts w:hint="eastAsia" w:ascii="宋体" w:hAnsi="宋体" w:cs="宋体"/>
                <w:color w:val="000000" w:themeColor="text1"/>
                <w:szCs w:val="21"/>
                <w:highlight w:val="none"/>
                <w14:textFill>
                  <w14:solidFill>
                    <w14:schemeClr w14:val="tx1"/>
                  </w14:solidFill>
                </w14:textFill>
              </w:rPr>
              <w:t>建设工作</w:t>
            </w:r>
            <w:r>
              <w:rPr>
                <w:rFonts w:hint="eastAsia" w:ascii="宋体" w:hAnsi="宋体"/>
                <w:color w:val="000000" w:themeColor="text1"/>
                <w:szCs w:val="21"/>
                <w:highlight w:val="none"/>
                <w14:textFill>
                  <w14:solidFill>
                    <w14:schemeClr w14:val="tx1"/>
                  </w14:solidFill>
                </w14:textFill>
              </w:rPr>
              <w:t>。</w:t>
            </w:r>
          </w:p>
        </w:tc>
      </w:tr>
      <w:tr w14:paraId="743BA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tcPr>
          <w:p w14:paraId="6D485D80">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一、商务要求</w:t>
            </w:r>
          </w:p>
        </w:tc>
      </w:tr>
      <w:tr w14:paraId="3B55D5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087A8908">
            <w:pPr>
              <w:spacing w:line="312"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工期▲</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3B1E9EA5">
            <w:pPr>
              <w:spacing w:line="312" w:lineRule="auto"/>
              <w:rPr>
                <w:rFonts w:hint="eastAsia" w:ascii="宋体" w:hAnsi="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工期：</w:t>
            </w:r>
            <w:r>
              <w:rPr>
                <w:rFonts w:hint="eastAsia" w:ascii="宋体" w:hAnsi="宋体" w:cs="宋体"/>
                <w:b/>
                <w:bCs/>
                <w:color w:val="000000" w:themeColor="text1"/>
                <w:szCs w:val="21"/>
                <w:highlight w:val="none"/>
                <w:lang w:val="en-US" w:eastAsia="zh-CN"/>
                <w14:textFill>
                  <w14:solidFill>
                    <w14:schemeClr w14:val="tx1"/>
                  </w14:solidFill>
                </w14:textFill>
              </w:rPr>
              <w:t>210日历天</w:t>
            </w:r>
          </w:p>
        </w:tc>
      </w:tr>
      <w:tr w14:paraId="1D8203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6B904B6B">
            <w:pPr>
              <w:spacing w:line="312"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缺陷责任期</w:t>
            </w:r>
            <w:r>
              <w:rPr>
                <w:rFonts w:hint="eastAsia" w:ascii="宋体" w:hAnsi="宋体" w:cs="宋体"/>
                <w:b/>
                <w:bCs/>
                <w:color w:val="000000" w:themeColor="text1"/>
                <w:szCs w:val="21"/>
                <w:highlight w:val="none"/>
                <w14:textFill>
                  <w14:solidFill>
                    <w14:schemeClr w14:val="tx1"/>
                  </w14:solidFill>
                </w14:textFill>
              </w:rPr>
              <w:t>▲</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0EC60A0A">
            <w:pPr>
              <w:spacing w:line="312" w:lineRule="auto"/>
              <w:rPr>
                <w:rFonts w:hint="eastAsia" w:ascii="宋体" w:hAnsi="宋体" w:cs="宋体"/>
                <w:b/>
                <w:bCs/>
                <w:color w:val="000000" w:themeColor="text1"/>
                <w:highlight w:val="none"/>
                <w14:textFill>
                  <w14:solidFill>
                    <w14:schemeClr w14:val="tx1"/>
                  </w14:solidFill>
                </w14:textFill>
              </w:rPr>
            </w:pPr>
            <w:bookmarkStart w:id="84" w:name="EBc41232b82a1241caafd70b453a134160"/>
            <w:r>
              <w:rPr>
                <w:rFonts w:hint="eastAsia" w:ascii="宋体" w:hAnsi="宋体" w:cs="宋体"/>
                <w:b/>
                <w:bCs/>
                <w:color w:val="000000" w:themeColor="text1"/>
                <w:highlight w:val="none"/>
                <w14:textFill>
                  <w14:solidFill>
                    <w14:schemeClr w14:val="tx1"/>
                  </w14:solidFill>
                </w14:textFill>
              </w:rPr>
              <w:t>自实际交工日期起计算1年</w:t>
            </w:r>
            <w:bookmarkEnd w:id="84"/>
          </w:p>
        </w:tc>
      </w:tr>
      <w:tr w14:paraId="429ACE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64457793">
            <w:pPr>
              <w:spacing w:line="312"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建设地点</w:t>
            </w:r>
            <w:r>
              <w:rPr>
                <w:rFonts w:hint="eastAsia" w:ascii="宋体" w:hAnsi="宋体" w:cs="宋体"/>
                <w:b/>
                <w:bCs/>
                <w:color w:val="000000" w:themeColor="text1"/>
                <w:szCs w:val="21"/>
                <w:highlight w:val="none"/>
                <w14:textFill>
                  <w14:solidFill>
                    <w14:schemeClr w14:val="tx1"/>
                  </w14:solidFill>
                </w14:textFill>
              </w:rPr>
              <w:t>▲</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6076A1B1">
            <w:pPr>
              <w:spacing w:line="312" w:lineRule="auto"/>
              <w:rPr>
                <w:rFonts w:hint="eastAsia" w:ascii="宋体" w:hAnsi="宋体" w:eastAsia="宋体"/>
                <w:b/>
                <w:bCs/>
                <w:color w:val="000000" w:themeColor="text1"/>
                <w:szCs w:val="21"/>
                <w:highlight w:val="none"/>
                <w:lang w:eastAsia="zh-CN"/>
                <w14:textFill>
                  <w14:solidFill>
                    <w14:schemeClr w14:val="tx1"/>
                  </w14:solidFill>
                </w14:textFill>
              </w:rPr>
            </w:pPr>
            <w:r>
              <w:rPr>
                <w:rFonts w:hint="eastAsia" w:ascii="宋体" w:hAnsi="宋体" w:eastAsia="宋体"/>
                <w:b/>
                <w:bCs/>
                <w:color w:val="000000" w:themeColor="text1"/>
                <w:szCs w:val="21"/>
                <w:highlight w:val="none"/>
                <w:lang w:eastAsia="zh-CN"/>
                <w14:textFill>
                  <w14:solidFill>
                    <w14:schemeClr w14:val="tx1"/>
                  </w14:solidFill>
                </w14:textFill>
              </w:rPr>
              <w:t>项目地址位于贵港市港北区</w:t>
            </w:r>
            <w:r>
              <w:rPr>
                <w:rFonts w:hint="eastAsia" w:ascii="宋体" w:hAnsi="宋体"/>
                <w:b/>
                <w:bCs/>
                <w:color w:val="000000" w:themeColor="text1"/>
                <w:szCs w:val="21"/>
                <w:highlight w:val="none"/>
                <w:lang w:eastAsia="zh-CN"/>
                <w14:textFill>
                  <w14:solidFill>
                    <w14:schemeClr w14:val="tx1"/>
                  </w14:solidFill>
                </w14:textFill>
              </w:rPr>
              <w:t>：</w:t>
            </w:r>
            <w:r>
              <w:rPr>
                <w:rFonts w:hint="eastAsia" w:ascii="宋体" w:hAnsi="宋体" w:eastAsia="宋体"/>
                <w:b/>
                <w:bCs/>
                <w:color w:val="000000" w:themeColor="text1"/>
                <w:szCs w:val="21"/>
                <w:highlight w:val="none"/>
                <w:lang w:eastAsia="zh-CN"/>
                <w14:textFill>
                  <w14:solidFill>
                    <w14:schemeClr w14:val="tx1"/>
                  </w14:solidFill>
                </w14:textFill>
              </w:rPr>
              <w:t>1、布山街道办蓝田社区北环立交至木麻道路水毁修复工程；2、中里乡三陵村石牛水库至平天山道路水毁修复工程；3、</w:t>
            </w:r>
            <w:r>
              <w:rPr>
                <w:rFonts w:hint="eastAsia" w:ascii="宋体" w:hAnsi="宋体"/>
                <w:b/>
                <w:bCs/>
                <w:color w:val="000000" w:themeColor="text1"/>
                <w:szCs w:val="21"/>
                <w:highlight w:val="none"/>
                <w:lang w:eastAsia="zh-CN"/>
                <w14:textFill>
                  <w14:solidFill>
                    <w14:schemeClr w14:val="tx1"/>
                  </w14:solidFill>
                </w14:textFill>
              </w:rPr>
              <w:t>中里乡山鹤村中里至高山码头道路水毁修复工程</w:t>
            </w:r>
            <w:r>
              <w:rPr>
                <w:rFonts w:hint="eastAsia" w:ascii="宋体" w:hAnsi="宋体" w:eastAsia="宋体"/>
                <w:b/>
                <w:bCs/>
                <w:color w:val="000000" w:themeColor="text1"/>
                <w:szCs w:val="21"/>
                <w:highlight w:val="none"/>
                <w:lang w:eastAsia="zh-CN"/>
                <w14:textFill>
                  <w14:solidFill>
                    <w14:schemeClr w14:val="tx1"/>
                  </w14:solidFill>
                </w14:textFill>
              </w:rPr>
              <w:t>；4、中里乡秀地村龙山至秀地道路水毁修复工程；5、中里乡新村至那府道路水毁修复工程。</w:t>
            </w:r>
          </w:p>
        </w:tc>
      </w:tr>
      <w:tr w14:paraId="77223B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3C0E26D3">
            <w:pPr>
              <w:spacing w:line="312"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合同签订时间</w:t>
            </w:r>
            <w:r>
              <w:rPr>
                <w:rFonts w:hint="eastAsia" w:ascii="宋体" w:hAnsi="宋体" w:cs="宋体"/>
                <w:b/>
                <w:bCs/>
                <w:color w:val="000000" w:themeColor="text1"/>
                <w:szCs w:val="21"/>
                <w:highlight w:val="none"/>
                <w14:textFill>
                  <w14:solidFill>
                    <w14:schemeClr w14:val="tx1"/>
                  </w14:solidFill>
                </w14:textFill>
              </w:rPr>
              <w:t>▲</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26308037">
            <w:pPr>
              <w:spacing w:line="312" w:lineRule="auto"/>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 xml:space="preserve">自成交通知书发出之日起 </w:t>
            </w:r>
            <w:r>
              <w:rPr>
                <w:rFonts w:hint="eastAsia" w:ascii="宋体" w:hAnsi="宋体"/>
                <w:b/>
                <w:bCs/>
                <w:color w:val="000000" w:themeColor="text1"/>
                <w:szCs w:val="21"/>
                <w:highlight w:val="none"/>
                <w:u w:val="single"/>
                <w:lang w:val="en-US" w:eastAsia="zh-CN"/>
                <w14:textFill>
                  <w14:solidFill>
                    <w14:schemeClr w14:val="tx1"/>
                  </w14:solidFill>
                </w14:textFill>
              </w:rPr>
              <w:t>25</w:t>
            </w:r>
            <w:r>
              <w:rPr>
                <w:rFonts w:hint="eastAsia" w:ascii="宋体" w:hAnsi="宋体"/>
                <w:b/>
                <w:bCs/>
                <w:color w:val="000000" w:themeColor="text1"/>
                <w:szCs w:val="21"/>
                <w:highlight w:val="none"/>
                <w14:textFill>
                  <w14:solidFill>
                    <w14:schemeClr w14:val="tx1"/>
                  </w14:solidFill>
                </w14:textFill>
              </w:rPr>
              <w:t>日内</w:t>
            </w:r>
          </w:p>
        </w:tc>
      </w:tr>
      <w:tr w14:paraId="24C057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88" w:hRule="atLeast"/>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3D813C21">
            <w:pPr>
              <w:spacing w:line="312"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付款条件</w:t>
            </w:r>
            <w:r>
              <w:rPr>
                <w:rFonts w:hint="eastAsia" w:ascii="宋体" w:hAnsi="宋体" w:cs="宋体"/>
                <w:b/>
                <w:bCs/>
                <w:color w:val="000000" w:themeColor="text1"/>
                <w:szCs w:val="21"/>
                <w:highlight w:val="none"/>
                <w14:textFill>
                  <w14:solidFill>
                    <w14:schemeClr w14:val="tx1"/>
                  </w14:solidFill>
                </w14:textFill>
              </w:rPr>
              <w:t>▲</w:t>
            </w:r>
          </w:p>
        </w:tc>
        <w:tc>
          <w:tcPr>
            <w:tcW w:w="670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7E5252C">
            <w:pPr>
              <w:numPr>
                <w:ilvl w:val="0"/>
                <w:numId w:val="0"/>
              </w:numPr>
              <w:spacing w:line="360" w:lineRule="auto"/>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b/>
                <w:bCs/>
                <w:color w:val="000000" w:themeColor="text1"/>
                <w:kern w:val="0"/>
                <w:sz w:val="21"/>
                <w:szCs w:val="21"/>
                <w:highlight w:val="none"/>
                <w:lang w:val="en-US" w:eastAsia="zh-CN" w:bidi="ar-SA"/>
                <w14:textFill>
                  <w14:solidFill>
                    <w14:schemeClr w14:val="tx1"/>
                  </w14:solidFill>
                </w14:textFill>
              </w:rPr>
              <w:t>(1)根据桂人社发(2019)30 号文件要求:实行农民工工资保障金三方监管，并办理农民工工资保障金三方监管手续。(2)本工程约定预付款为合同价款的 30%（在签订合同时，承包人明确表示无需预付款或者主动要求降低预付款比例的，发包人人可不适用于预付款制度）。 (3)承包人可以按工程进度完成的工程数量向发包人申请进度款，申请进度款按发包人审定工程量的 80%支付，剩余 20%待工程竣工验收合格并经审计部门审定后，方可申请支付至审计审定价的100%；质量保证金待工程质量保修期(一年)满后，无质量问题一次性返还(无息)【开工前承包人按合同价的 3%向发包人缴纳工程质量保证金，保证金缴存港北财政局归集账户(贵港市港北区财政局623657503796中行港北支行，备注 :港北区交通运输局XXX 建设工程)]，质量保证金待工程质量保修期(1年)满后，无质量问题时一次性无息返还。</w:t>
            </w:r>
          </w:p>
        </w:tc>
      </w:tr>
      <w:tr w14:paraId="742060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2C4954D0">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二、与实现项目目标相关的其他要求</w:t>
            </w:r>
          </w:p>
        </w:tc>
      </w:tr>
      <w:tr w14:paraId="3DD04C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68606405">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（一）供应商的履约能力要求</w:t>
            </w:r>
          </w:p>
        </w:tc>
      </w:tr>
      <w:tr w14:paraId="16A251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3464154F">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管理体系要求</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07E508F9">
            <w:pPr>
              <w:spacing w:line="360" w:lineRule="auto"/>
              <w:rPr>
                <w:rFonts w:ascii="Calibri" w:hAnsi="Calibri"/>
                <w:color w:val="000000" w:themeColor="text1"/>
                <w:szCs w:val="22"/>
                <w:highlight w:val="none"/>
                <w14:textFill>
                  <w14:solidFill>
                    <w14:schemeClr w14:val="tx1"/>
                  </w14:solidFill>
                </w14:textFill>
              </w:rPr>
            </w:pPr>
            <w:r>
              <w:rPr>
                <w:rFonts w:hint="eastAsia" w:ascii="Calibri" w:hAnsi="Calibri"/>
                <w:color w:val="000000" w:themeColor="text1"/>
                <w:szCs w:val="22"/>
                <w:highlight w:val="none"/>
                <w14:textFill>
                  <w14:solidFill>
                    <w14:schemeClr w14:val="tx1"/>
                  </w14:solidFill>
                </w14:textFill>
              </w:rPr>
              <w:t>无</w:t>
            </w:r>
          </w:p>
        </w:tc>
      </w:tr>
      <w:tr w14:paraId="0BF60B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vAlign w:val="center"/>
          </w:tcPr>
          <w:p w14:paraId="4CFD5F16">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业绩要求</w:t>
            </w:r>
          </w:p>
        </w:tc>
        <w:tc>
          <w:tcPr>
            <w:tcW w:w="6705" w:type="dxa"/>
            <w:gridSpan w:val="3"/>
            <w:tcBorders>
              <w:top w:val="single" w:color="auto" w:sz="4" w:space="0"/>
              <w:left w:val="single" w:color="auto" w:sz="4" w:space="0"/>
              <w:bottom w:val="single" w:color="auto" w:sz="4" w:space="0"/>
              <w:right w:val="single" w:color="auto" w:sz="4" w:space="0"/>
            </w:tcBorders>
            <w:vAlign w:val="center"/>
          </w:tcPr>
          <w:p w14:paraId="04D9A07C">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Calibri" w:hAnsi="Calibri"/>
                <w:color w:val="000000" w:themeColor="text1"/>
                <w:szCs w:val="22"/>
                <w:highlight w:val="none"/>
                <w14:textFill>
                  <w14:solidFill>
                    <w14:schemeClr w14:val="tx1"/>
                  </w14:solidFill>
                </w14:textFill>
              </w:rPr>
              <w:t>无</w:t>
            </w:r>
          </w:p>
        </w:tc>
      </w:tr>
      <w:tr w14:paraId="748723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166F0C9B">
            <w:pPr>
              <w:tabs>
                <w:tab w:val="left" w:pos="180"/>
                <w:tab w:val="left" w:pos="1620"/>
              </w:tabs>
              <w:spacing w:line="360" w:lineRule="auto"/>
              <w:rPr>
                <w:rFonts w:hint="eastAsia" w:ascii="宋体" w:hAnsi="宋体" w:cs="宋体"/>
                <w:bCs/>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（二）验收标准</w:t>
            </w:r>
          </w:p>
        </w:tc>
      </w:tr>
      <w:tr w14:paraId="235CE9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3BA56214">
            <w:pPr>
              <w:spacing w:line="40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符合现行国家相关标准、行业标准、地方标准或者其他标准、规范</w:t>
            </w:r>
          </w:p>
        </w:tc>
      </w:tr>
      <w:tr w14:paraId="0A11FE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12FE1CAD">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（三）其他要求</w:t>
            </w:r>
          </w:p>
        </w:tc>
      </w:tr>
      <w:tr w14:paraId="4A1F3A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6"/>
            <w:tcBorders>
              <w:top w:val="single" w:color="auto" w:sz="4" w:space="0"/>
              <w:left w:val="single" w:color="auto" w:sz="4" w:space="0"/>
              <w:bottom w:val="single" w:color="auto" w:sz="4" w:space="0"/>
              <w:right w:val="single" w:color="auto" w:sz="4" w:space="0"/>
            </w:tcBorders>
            <w:vAlign w:val="center"/>
          </w:tcPr>
          <w:p w14:paraId="1FD5FFE4">
            <w:pPr>
              <w:tabs>
                <w:tab w:val="left" w:pos="180"/>
                <w:tab w:val="left" w:pos="1620"/>
              </w:tabs>
              <w:spacing w:line="360" w:lineRule="auto"/>
              <w:rPr>
                <w:rFonts w:hint="default" w:ascii="宋体" w:hAnsi="宋体" w:eastAsia="宋体" w:cs="宋体"/>
                <w:bCs/>
                <w:color w:val="000000" w:themeColor="text1"/>
                <w:szCs w:val="21"/>
                <w:highlight w:val="none"/>
                <w:lang w:val="en-US" w:eastAsia="zh-CN"/>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供应商按要求在响应文件中提供</w:t>
            </w:r>
            <w:r>
              <w:rPr>
                <w:rFonts w:hint="eastAsia" w:ascii="宋体" w:hAnsi="宋体" w:cs="宋体"/>
                <w:b w:val="0"/>
                <w:bCs w:val="0"/>
                <w:color w:val="000000" w:themeColor="text1"/>
                <w:spacing w:val="2"/>
                <w:sz w:val="21"/>
                <w:szCs w:val="21"/>
                <w:highlight w:val="none"/>
                <w:lang w:eastAsia="zh-CN"/>
                <w14:textFill>
                  <w14:solidFill>
                    <w14:schemeClr w14:val="tx1"/>
                  </w14:solidFill>
                </w14:textFill>
              </w:rPr>
              <w:t>施工员、材料员、</w:t>
            </w:r>
            <w:r>
              <w:rPr>
                <w:rFonts w:hint="eastAsia" w:ascii="宋体" w:hAnsi="宋体" w:cs="宋体"/>
                <w:b w:val="0"/>
                <w:bCs w:val="0"/>
                <w:color w:val="000000" w:themeColor="text1"/>
                <w:spacing w:val="2"/>
                <w:sz w:val="21"/>
                <w:szCs w:val="21"/>
                <w:highlight w:val="none"/>
                <w:lang w:val="en-US" w:eastAsia="zh-CN"/>
                <w14:textFill>
                  <w14:solidFill>
                    <w14:schemeClr w14:val="tx1"/>
                  </w14:solidFill>
                </w14:textFill>
              </w:rPr>
              <w:t>质量员等人员上岗证明资料。</w:t>
            </w:r>
          </w:p>
        </w:tc>
      </w:tr>
    </w:tbl>
    <w:p w14:paraId="3C124335">
      <w:pPr>
        <w:tabs>
          <w:tab w:val="left" w:pos="180"/>
          <w:tab w:val="left" w:pos="1620"/>
        </w:tabs>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p>
    <w:p w14:paraId="654030CD">
      <w:pPr>
        <w:tabs>
          <w:tab w:val="left" w:pos="180"/>
          <w:tab w:val="left" w:pos="1620"/>
        </w:tabs>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p>
    <w:p w14:paraId="3C01510B">
      <w:pPr>
        <w:pStyle w:val="2"/>
        <w:spacing w:before="0" w:after="0" w:line="360" w:lineRule="auto"/>
        <w:jc w:val="both"/>
        <w:rPr>
          <w:color w:val="000000" w:themeColor="text1"/>
          <w:highlight w:val="none"/>
          <w14:textFill>
            <w14:solidFill>
              <w14:schemeClr w14:val="tx1"/>
            </w14:solidFill>
          </w14:textFill>
        </w:rPr>
      </w:pPr>
      <w:r>
        <w:rPr>
          <w:rFonts w:ascii="宋体" w:hAnsi="宋体" w:cs="宋体"/>
          <w:color w:val="000000" w:themeColor="text1"/>
          <w:sz w:val="20"/>
          <w:szCs w:val="20"/>
          <w:highlight w:val="none"/>
          <w14:textFill>
            <w14:solidFill>
              <w14:schemeClr w14:val="tx1"/>
            </w14:solidFill>
          </w14:textFill>
        </w:rPr>
        <w:br w:type="page"/>
      </w:r>
      <w:bookmarkStart w:id="85" w:name="_Toc408"/>
      <w:bookmarkStart w:id="86" w:name="_Toc5971"/>
      <w:bookmarkStart w:id="87" w:name="_Toc24720"/>
      <w:r>
        <w:rPr>
          <w:rFonts w:hint="eastAsia"/>
          <w:color w:val="000000" w:themeColor="text1"/>
          <w:highlight w:val="none"/>
          <w14:textFill>
            <w14:solidFill>
              <w14:schemeClr w14:val="tx1"/>
            </w14:solidFill>
          </w14:textFill>
        </w:rPr>
        <w:t>第四章  评审程序、评审方法和评审标准</w:t>
      </w:r>
      <w:bookmarkEnd w:id="85"/>
      <w:bookmarkEnd w:id="86"/>
      <w:bookmarkEnd w:id="87"/>
    </w:p>
    <w:p w14:paraId="2F91F23A">
      <w:pPr>
        <w:spacing w:line="360" w:lineRule="auto"/>
        <w:jc w:val="center"/>
        <w:outlineLvl w:val="1"/>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一、评审程序和评审方法</w:t>
      </w:r>
    </w:p>
    <w:p w14:paraId="2FADE015">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1</w:t>
      </w:r>
      <w:r>
        <w:rPr>
          <w:rFonts w:hint="eastAsia" w:ascii="黑体" w:hAnsi="黑体" w:eastAsia="黑体" w:cs="宋体"/>
          <w:b/>
          <w:bCs/>
          <w:color w:val="000000" w:themeColor="text1"/>
          <w:sz w:val="24"/>
          <w:highlight w:val="none"/>
          <w14:textFill>
            <w14:solidFill>
              <w14:schemeClr w14:val="tx1"/>
            </w14:solidFill>
          </w14:textFill>
        </w:rPr>
        <w:t>.资格审查</w:t>
      </w:r>
    </w:p>
    <w:p w14:paraId="0353B164">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响应文件开启后，磋商小组依法对供应商的资格证明文件进行审查。</w:t>
      </w:r>
    </w:p>
    <w:p w14:paraId="25BA4BF1">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color w:val="000000" w:themeColor="text1"/>
          <w:highlight w:val="none"/>
          <w14:textFill>
            <w14:solidFill>
              <w14:schemeClr w14:val="tx1"/>
            </w14:solidFill>
          </w14:textFill>
        </w:rPr>
        <w:t>磋商小组</w:t>
      </w:r>
      <w:r>
        <w:rPr>
          <w:rFonts w:hint="eastAsia" w:ascii="宋体" w:hAnsi="宋体" w:cs="宋体"/>
          <w:color w:val="000000" w:themeColor="text1"/>
          <w:szCs w:val="21"/>
          <w:highlight w:val="none"/>
          <w14:textFill>
            <w14:solidFill>
              <w14:schemeClr w14:val="tx1"/>
            </w14:solidFill>
          </w14:textFill>
        </w:rPr>
        <w:t>在资格审查结束前，对供应商进行信用查询。</w:t>
      </w:r>
    </w:p>
    <w:p w14:paraId="77EC30FE">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（1）查询渠道：广西政府采购云平台“信用中国”网站（www.creditchina.gov.cn）、中国政府采购网（www.ccgp.gov.cn）链接入口。</w:t>
      </w:r>
    </w:p>
    <w:p w14:paraId="0F00122C">
      <w:pPr>
        <w:snapToGrid w:val="0"/>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05EEF552">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（3）查询记录和证据留存方式：在查询网站中直接查询，截图另存为电子文档作为评审资料保存。</w:t>
      </w:r>
    </w:p>
    <w:p w14:paraId="317C7DB6">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highlight w:val="none"/>
          <w14:textFill>
            <w14:solidFill>
              <w14:schemeClr w14:val="tx1"/>
            </w14:solidFill>
          </w14:textFill>
        </w:rPr>
        <w:t>。</w:t>
      </w:r>
    </w:p>
    <w:p w14:paraId="0A4F04F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.2资格审查标准为本磋商文件中载明对供应商资格要求的条件。资格审查采用合格制，凡符合磋商文件规定的供应商资格要求的响应文件均通过资格审查。</w:t>
      </w:r>
    </w:p>
    <w:p w14:paraId="58C1A3F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.3供应商有下列情形之一的，资格审查不通过，其响应文件按无效处理：</w:t>
      </w:r>
    </w:p>
    <w:p w14:paraId="0BE30B9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）不具备磋商文件中规定的资格要求的；</w:t>
      </w:r>
    </w:p>
    <w:p w14:paraId="75BB7E3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（2）未按磋商文件规定的方式获取本磋商文件的供应商；</w:t>
      </w:r>
    </w:p>
    <w:p w14:paraId="2DE3A0E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）响应文件的资格证明文件缺少任一项“供应商须知前附表”资格证明文件规定的“必须提供”的文件资料的；</w:t>
      </w:r>
    </w:p>
    <w:p w14:paraId="7CEDC66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）响应文件中的资格证明文件出现任一项不符合“供应商须知前附表”资格证明文件规定的“必须提供”的文件资料要求或者无效的；</w:t>
      </w:r>
    </w:p>
    <w:p w14:paraId="223E2D7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0CB21F0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.4通过资格审查的合格供应商不足3家的，不得进入符合性审查环节，</w:t>
      </w:r>
      <w:r>
        <w:rPr>
          <w:rFonts w:hint="eastAsia" w:ascii="宋体" w:hAnsi="宋体"/>
          <w:color w:val="000000" w:themeColor="text1"/>
          <w:szCs w:val="21"/>
          <w:highlight w:val="none"/>
          <w14:textFill>
            <w14:solidFill>
              <w14:schemeClr w14:val="tx1"/>
            </w14:solidFill>
          </w14:textFill>
        </w:rPr>
        <w:t>应当重新开展采购活动。</w:t>
      </w:r>
    </w:p>
    <w:p w14:paraId="72D04798">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w:t>
      </w:r>
      <w:r>
        <w:rPr>
          <w:rFonts w:hint="eastAsia" w:ascii="黑体" w:hAnsi="黑体" w:eastAsia="黑体" w:cs="宋体"/>
          <w:b/>
          <w:bCs/>
          <w:color w:val="000000" w:themeColor="text1"/>
          <w:sz w:val="24"/>
          <w:highlight w:val="none"/>
          <w14:textFill>
            <w14:solidFill>
              <w14:schemeClr w14:val="tx1"/>
            </w14:solidFill>
          </w14:textFill>
        </w:rPr>
        <w:t>.符合性审查</w:t>
      </w:r>
    </w:p>
    <w:p w14:paraId="17D8CB6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88" w:name="_Hlk42528882"/>
      <w:r>
        <w:rPr>
          <w:rFonts w:ascii="宋体" w:hAnsi="宋体" w:cs="宋体"/>
          <w:color w:val="000000" w:themeColor="text1"/>
          <w:szCs w:val="21"/>
          <w:highlight w:val="none"/>
          <w14:textFill>
            <w14:solidFill>
              <w14:schemeClr w14:val="tx1"/>
            </w14:solidFill>
          </w14:textFill>
        </w:rPr>
        <w:t>2.1</w:t>
      </w:r>
      <w:r>
        <w:rPr>
          <w:rFonts w:hint="eastAsia" w:ascii="宋体" w:hAnsi="宋体" w:cs="宋体"/>
          <w:color w:val="000000" w:themeColor="text1"/>
          <w:szCs w:val="21"/>
          <w:highlight w:val="none"/>
          <w14:textFill>
            <w14:solidFill>
              <w14:schemeClr w14:val="tx1"/>
            </w14:solidFill>
          </w14:textFill>
        </w:rPr>
        <w:t>磋商小组对</w:t>
      </w:r>
      <w:r>
        <w:rPr>
          <w:rFonts w:hint="eastAsia" w:ascii="宋体" w:hAnsi="宋体"/>
          <w:color w:val="000000" w:themeColor="text1"/>
          <w:szCs w:val="21"/>
          <w:highlight w:val="none"/>
          <w14:textFill>
            <w14:solidFill>
              <w14:schemeClr w14:val="tx1"/>
            </w14:solidFill>
          </w14:textFill>
        </w:rPr>
        <w:t>通过资格审查的合格供应商</w:t>
      </w:r>
      <w:r>
        <w:rPr>
          <w:rFonts w:hint="eastAsia" w:ascii="宋体" w:hAnsi="宋体" w:cs="宋体"/>
          <w:color w:val="000000" w:themeColor="text1"/>
          <w:szCs w:val="21"/>
          <w:highlight w:val="none"/>
          <w14:textFill>
            <w14:solidFill>
              <w14:schemeClr w14:val="tx1"/>
            </w14:solidFill>
          </w14:textFill>
        </w:rPr>
        <w:t>的响应文件的竞标报价、商务、技术等实质性要求进行符合性审查，以确定其是否满足磋商文件的实质性要求。</w:t>
      </w:r>
    </w:p>
    <w:bookmarkEnd w:id="88"/>
    <w:p w14:paraId="5C11A10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2.2</w:t>
      </w:r>
      <w:r>
        <w:rPr>
          <w:rFonts w:hint="eastAsia" w:ascii="宋体" w:hAnsi="宋体" w:cs="宋体"/>
          <w:color w:val="000000" w:themeColor="text1"/>
          <w:szCs w:val="21"/>
          <w:highlight w:val="none"/>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AE2C8CD">
      <w:pPr>
        <w:spacing w:line="360" w:lineRule="auto"/>
        <w:ind w:firstLine="420" w:firstLineChars="200"/>
        <w:rPr>
          <w:rFonts w:hint="eastAsia" w:ascii="宋体" w:hAnsi="宋体" w:cs="宋体"/>
          <w:color w:val="000000" w:themeColor="text1"/>
          <w:spacing w:val="-6"/>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磋商小组要求供应商澄清、说明或者更正响应文件应当以电子澄清函形式作出。供应商的澄清、说明或者更正应当</w:t>
      </w:r>
      <w:r>
        <w:rPr>
          <w:rFonts w:hint="eastAsia" w:ascii="宋体" w:hAnsi="宋体" w:cs="宋体"/>
          <w:color w:val="000000" w:themeColor="text1"/>
          <w:szCs w:val="21"/>
          <w:highlight w:val="none"/>
          <w:lang w:eastAsia="zh-CN"/>
          <w14:textFill>
            <w14:solidFill>
              <w14:schemeClr w14:val="tx1"/>
            </w14:solidFill>
          </w14:textFill>
        </w:rPr>
        <w:t>以</w:t>
      </w:r>
      <w:r>
        <w:rPr>
          <w:rFonts w:hint="eastAsia" w:ascii="宋体" w:hAnsi="宋体" w:cs="宋体"/>
          <w:color w:val="000000" w:themeColor="text1"/>
          <w:szCs w:val="21"/>
          <w:highlight w:val="none"/>
          <w14:textFill>
            <w14:solidFill>
              <w14:schemeClr w14:val="tx1"/>
            </w14:solidFill>
          </w14:textFill>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highlight w:val="none"/>
          <w14:textFill>
            <w14:solidFill>
              <w14:schemeClr w14:val="tx1"/>
            </w14:solidFill>
          </w14:textFill>
        </w:rPr>
        <w:t>签章</w:t>
      </w:r>
      <w:r>
        <w:rPr>
          <w:rFonts w:hint="eastAsia" w:ascii="宋体" w:hAnsi="宋体" w:cs="宋体"/>
          <w:color w:val="000000" w:themeColor="text1"/>
          <w:spacing w:val="-6"/>
          <w:szCs w:val="21"/>
          <w:highlight w:val="none"/>
          <w14:textFill>
            <w14:solidFill>
              <w14:schemeClr w14:val="tx1"/>
            </w14:solidFill>
          </w14:textFill>
        </w:rPr>
        <w:t>。</w:t>
      </w:r>
    </w:p>
    <w:p w14:paraId="1221FD1D">
      <w:pPr>
        <w:spacing w:line="360" w:lineRule="auto"/>
        <w:ind w:firstLine="420" w:firstLineChars="200"/>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08F401A3">
      <w:pPr>
        <w:spacing w:line="360" w:lineRule="auto"/>
        <w:ind w:firstLine="396" w:firstLineChars="200"/>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6"/>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首次响应文件报价出现前后不一致的，按照下列规定修正： </w:t>
      </w:r>
    </w:p>
    <w:p w14:paraId="44FF468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（1）响应文件中报价表内容与响应文件中相应内容不一致的，以报价表为准；</w:t>
      </w:r>
    </w:p>
    <w:p w14:paraId="268E613D">
      <w:pPr>
        <w:spacing w:line="360" w:lineRule="auto"/>
        <w:ind w:firstLine="420" w:firstLineChars="200"/>
        <w:outlineLvl w:val="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7BB9D69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049AA28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26EA8F1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同时出现两种以上不一致的，按照以上（1）-（4）规定的顺序逐条进行修正。修正后的报价经供应商确认后产生约束力，供应商不确认的，其响应文件按无效处理。</w:t>
      </w:r>
    </w:p>
    <w:p w14:paraId="0D4DED1D">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商务技术报价评审</w:t>
      </w:r>
    </w:p>
    <w:p w14:paraId="0EFB59B9">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在评审时，如发现下列情形之一的，将被视为响应文件无效处理：</w:t>
      </w:r>
    </w:p>
    <w:p w14:paraId="28507CA3">
      <w:pPr>
        <w:spacing w:line="360" w:lineRule="auto"/>
        <w:ind w:firstLine="422" w:firstLineChars="200"/>
        <w:outlineLvl w:val="4"/>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（1）商务技术评审</w:t>
      </w:r>
    </w:p>
    <w:p w14:paraId="7452C899">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1）响应文件未按磋商文件要求签署、盖章的；</w:t>
      </w:r>
    </w:p>
    <w:p w14:paraId="1EDFA5B8">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2）委托代理人未能出具有效身份证或者出具的身份证与授权委托书中的信息不符的； </w:t>
      </w:r>
    </w:p>
    <w:p w14:paraId="206DDC19">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5B3B0278">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4）未对竞标有效期作出响应或者响应文件承诺的竞标有效期不满足磋商文件要求的；</w:t>
      </w:r>
    </w:p>
    <w:p w14:paraId="57A2E0EC">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5）响应文件的实质性内容未使用中文表述、使用计量单位不符合磋商文件要求的；</w:t>
      </w:r>
    </w:p>
    <w:p w14:paraId="78FAC9E6">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6）响应文件中的文件资料因填写不齐全或者内容虚假或者出现其他情形而导致被磋商小组认定无效的；</w:t>
      </w:r>
    </w:p>
    <w:p w14:paraId="4BB41B65">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7）响应文件含有采购人不能接受的附加条件的；</w:t>
      </w:r>
    </w:p>
    <w:p w14:paraId="12C4BB64">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8）属于“供应商须知正文”第7.</w:t>
      </w:r>
      <w:r>
        <w:rPr>
          <w:rFonts w:ascii="宋体" w:hAnsi="宋体" w:cs="宋体"/>
          <w:b/>
          <w:color w:val="000000" w:themeColor="text1"/>
          <w:szCs w:val="21"/>
          <w:highlight w:val="none"/>
          <w14:textFill>
            <w14:solidFill>
              <w14:schemeClr w14:val="tx1"/>
            </w14:solidFill>
          </w14:textFill>
        </w:rPr>
        <w:t>5</w:t>
      </w:r>
      <w:r>
        <w:rPr>
          <w:rFonts w:hint="eastAsia" w:ascii="宋体" w:hAnsi="宋体" w:cs="宋体"/>
          <w:b/>
          <w:color w:val="000000" w:themeColor="text1"/>
          <w:szCs w:val="21"/>
          <w:highlight w:val="none"/>
          <w14:textFill>
            <w14:solidFill>
              <w14:schemeClr w14:val="tx1"/>
            </w14:solidFill>
          </w14:textFill>
        </w:rPr>
        <w:t>条供应商相互串通竞标情形的；</w:t>
      </w:r>
    </w:p>
    <w:p w14:paraId="7C2D0149">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9）虚假竞标，或者出现其他情形而导致被磋商小组认定无效的；</w:t>
      </w:r>
    </w:p>
    <w:p w14:paraId="77435191">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0）</w:t>
      </w:r>
      <w:bookmarkStart w:id="89" w:name="_Hlk71704147"/>
      <w:r>
        <w:rPr>
          <w:rFonts w:hint="eastAsia" w:ascii="宋体" w:hAnsi="宋体" w:cs="宋体"/>
          <w:b/>
          <w:color w:val="000000" w:themeColor="text1"/>
          <w:szCs w:val="21"/>
          <w:highlight w:val="none"/>
          <w14:textFill>
            <w14:solidFill>
              <w14:schemeClr w14:val="tx1"/>
            </w14:solidFill>
          </w14:textFill>
        </w:rPr>
        <w:t>磋商文件未载明允许提供备选（替代）竞标方案或明确不允许提供备选（替代）竞标方案时，供应商提供了备选（替代）竞标方案的；</w:t>
      </w:r>
      <w:bookmarkEnd w:id="89"/>
    </w:p>
    <w:p w14:paraId="1671CB92">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1）响应文件标注的项目名称或者项目编号与磋商文件标注的项目名称或者项目编号不一致的；</w:t>
      </w:r>
    </w:p>
    <w:p w14:paraId="37C3C85C">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12）</w:t>
      </w:r>
      <w:r>
        <w:rPr>
          <w:rFonts w:hint="eastAsia" w:ascii="宋体" w:hAnsi="宋体"/>
          <w:b/>
          <w:color w:val="000000" w:themeColor="text1"/>
          <w:szCs w:val="21"/>
          <w:highlight w:val="none"/>
          <w14:textFill>
            <w14:solidFill>
              <w14:schemeClr w14:val="tx1"/>
            </w14:solidFill>
          </w14:textFill>
        </w:rPr>
        <w:t>竞争性磋商文件明确不允许分包，响应文件拟分包的；</w:t>
      </w:r>
    </w:p>
    <w:p w14:paraId="58A7B9B1">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3）未响应磋商文件实质性要求的；</w:t>
      </w:r>
    </w:p>
    <w:p w14:paraId="7C0E6C1B">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14）磋商小组启动异常低价响应审查后，供应商不能提供书面说明、证明材料，或者提供的书面说明、证明材料不能证明其报价合理性的；</w:t>
      </w:r>
    </w:p>
    <w:p w14:paraId="4CEC4D1B">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15）</w:t>
      </w:r>
      <w:r>
        <w:rPr>
          <w:rFonts w:hint="eastAsia" w:ascii="宋体" w:hAnsi="宋体" w:cs="宋体"/>
          <w:b/>
          <w:color w:val="000000" w:themeColor="text1"/>
          <w:szCs w:val="21"/>
          <w:highlight w:val="none"/>
          <w14:textFill>
            <w14:solidFill>
              <w14:schemeClr w14:val="tx1"/>
            </w14:solidFill>
          </w14:textFill>
        </w:rPr>
        <w:t>法律、法规和磋商文件规定的其他无效情形。</w:t>
      </w:r>
    </w:p>
    <w:p w14:paraId="00A39CCF">
      <w:pPr>
        <w:spacing w:line="360" w:lineRule="auto"/>
        <w:ind w:firstLine="422" w:firstLineChars="200"/>
        <w:outlineLvl w:val="4"/>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w:t>
      </w:r>
      <w:r>
        <w:rPr>
          <w:rFonts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）报价评审</w:t>
      </w:r>
    </w:p>
    <w:p w14:paraId="60210D74">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r>
        <w:rPr>
          <w:rFonts w:ascii="宋体" w:hAnsi="宋体" w:cs="宋体"/>
          <w:b/>
          <w:color w:val="000000" w:themeColor="text1"/>
          <w:szCs w:val="21"/>
          <w:highlight w:val="none"/>
          <w14:textFill>
            <w14:solidFill>
              <w14:schemeClr w14:val="tx1"/>
            </w14:solidFill>
          </w14:textFill>
        </w:rPr>
        <w:t xml:space="preserve"> </w:t>
      </w:r>
      <w:r>
        <w:rPr>
          <w:rFonts w:hint="eastAsia" w:ascii="宋体" w:hAnsi="宋体" w:cs="宋体"/>
          <w:b/>
          <w:color w:val="000000" w:themeColor="text1"/>
          <w:szCs w:val="21"/>
          <w:highlight w:val="none"/>
          <w14:textFill>
            <w14:solidFill>
              <w14:schemeClr w14:val="tx1"/>
            </w14:solidFill>
          </w14:textFill>
        </w:rPr>
        <w:t>响应文件未提供“供应商须知前附表” 报价文件中规定的“竞标报价表”的；</w:t>
      </w:r>
    </w:p>
    <w:p w14:paraId="2C1D8DCE">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2）未采用人民币报价或者未按照磋商文件标明的币种报价的；</w:t>
      </w:r>
    </w:p>
    <w:p w14:paraId="43C78B13">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617F11ED">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4）竞标报价（包含首次报价、最后报价）超过所竞标分标规定的采购预算金额或者最高限价的（如本项目公布了最高限价）；</w:t>
      </w:r>
      <w:bookmarkStart w:id="90" w:name="_Hlk42596405"/>
      <w:r>
        <w:rPr>
          <w:rFonts w:hint="eastAsia" w:ascii="宋体" w:hAnsi="宋体" w:cs="宋体"/>
          <w:b/>
          <w:color w:val="000000" w:themeColor="text1"/>
          <w:szCs w:val="21"/>
          <w:highlight w:val="none"/>
          <w14:textFill>
            <w14:solidFill>
              <w14:schemeClr w14:val="tx1"/>
            </w14:solidFill>
          </w14:textFill>
        </w:rPr>
        <w:t>竞标报价（包含首次报价、最后报价）</w:t>
      </w:r>
      <w:bookmarkEnd w:id="90"/>
      <w:bookmarkStart w:id="91" w:name="_Hlk42596276"/>
      <w:r>
        <w:rPr>
          <w:rFonts w:hint="eastAsia" w:ascii="宋体" w:hAnsi="宋体" w:cs="宋体"/>
          <w:b/>
          <w:color w:val="000000" w:themeColor="text1"/>
          <w:szCs w:val="21"/>
          <w:highlight w:val="none"/>
          <w14:textFill>
            <w14:solidFill>
              <w14:schemeClr w14:val="tx1"/>
            </w14:solidFill>
          </w14:textFill>
        </w:rPr>
        <w:t>超过磋商文件分项采购预算金额或者单价最高限价的</w:t>
      </w:r>
      <w:bookmarkEnd w:id="91"/>
      <w:r>
        <w:rPr>
          <w:rFonts w:hint="eastAsia" w:ascii="宋体" w:hAnsi="宋体" w:cs="宋体"/>
          <w:b/>
          <w:color w:val="000000" w:themeColor="text1"/>
          <w:szCs w:val="21"/>
          <w:highlight w:val="none"/>
          <w14:textFill>
            <w14:solidFill>
              <w14:schemeClr w14:val="tx1"/>
            </w14:solidFill>
          </w14:textFill>
        </w:rPr>
        <w:t>（如项目有要求并公布了分项采购预算金额或者单价最高限价）；</w:t>
      </w:r>
    </w:p>
    <w:p w14:paraId="4D1CD226">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60962D6A">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6）在单价合同工程中供应商采用总价优惠或以总价百分比优惠的方式进行竞标报价的；</w:t>
      </w:r>
    </w:p>
    <w:p w14:paraId="10D9DD78">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7）竞标总报价与已标价工程量清单汇总表不一致的；</w:t>
      </w:r>
    </w:p>
    <w:p w14:paraId="5035CC40">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8）供应商已标价工程量清单的项目编码、项目名称、计量单位、工程量、主要技术条款码、备注任何一处与工程量清单不一致的；</w:t>
      </w:r>
    </w:p>
    <w:p w14:paraId="6E30ADE4">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9）设有暂估价、暂列金额的，竞标时未按工程量清单给出的暂估价总价、暂列金额总价计入竞标总报价中的；</w:t>
      </w:r>
    </w:p>
    <w:p w14:paraId="79B2D539">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10）供应商对工程量清单内容进行增减或对竞标范围进行调整的；</w:t>
      </w:r>
    </w:p>
    <w:p w14:paraId="0C3AABAF">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11）</w:t>
      </w:r>
      <w:r>
        <w:rPr>
          <w:rFonts w:hint="eastAsia" w:ascii="宋体" w:hAnsi="宋体"/>
          <w:b/>
          <w:color w:val="000000" w:themeColor="text1"/>
          <w:szCs w:val="21"/>
          <w:highlight w:val="none"/>
          <w14:textFill>
            <w14:solidFill>
              <w14:schemeClr w14:val="tx1"/>
            </w14:solidFill>
          </w14:textFill>
        </w:rPr>
        <w:t>响应文件响应的标的数量及单位与竞争性磋商采购文件要求实质性不一致的；</w:t>
      </w:r>
    </w:p>
    <w:p w14:paraId="2CAE531F">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12）未响应磋商文件实质性要求的。</w:t>
      </w:r>
    </w:p>
    <w:p w14:paraId="33656F4F">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w:t>
      </w:r>
      <w:r>
        <w:rPr>
          <w:rFonts w:hint="eastAsia" w:ascii="宋体" w:hAnsi="宋体"/>
          <w:b/>
          <w:color w:val="000000" w:themeColor="text1"/>
          <w:szCs w:val="21"/>
          <w:highlight w:val="none"/>
          <w14:textFill>
            <w14:solidFill>
              <w14:schemeClr w14:val="tx1"/>
            </w14:solidFill>
          </w14:textFill>
        </w:rPr>
        <w:t>响应文件响应的标的数量及单位与竞争性磋商采购文件要求实质性不一致的；</w:t>
      </w:r>
    </w:p>
    <w:p w14:paraId="7829DA5A">
      <w:pPr>
        <w:spacing w:line="360" w:lineRule="auto"/>
        <w:ind w:firstLine="422" w:firstLineChars="200"/>
        <w:rPr>
          <w:rFonts w:ascii="宋体" w:hAnsi="宋体"/>
          <w:b/>
          <w:color w:val="000000" w:themeColor="text1"/>
          <w:szCs w:val="21"/>
          <w:highlight w:val="none"/>
          <w14:textFill>
            <w14:solidFill>
              <w14:schemeClr w14:val="tx1"/>
            </w14:solidFill>
          </w14:textFill>
        </w:rPr>
      </w:pPr>
      <w:bookmarkStart w:id="92" w:name="_Hlk188371373"/>
      <w:r>
        <w:rPr>
          <w:rFonts w:hint="eastAsia" w:ascii="宋体" w:hAnsi="宋体"/>
          <w:b/>
          <w:color w:val="000000" w:themeColor="text1"/>
          <w:szCs w:val="21"/>
          <w:highlight w:val="none"/>
          <w14:textFill>
            <w14:solidFill>
              <w14:schemeClr w14:val="tx1"/>
            </w14:solidFill>
          </w14:textFill>
        </w:rPr>
        <w:t>14）竞标函附录的承诺</w:t>
      </w:r>
      <w:bookmarkStart w:id="93" w:name="_Hlk188372203"/>
      <w:r>
        <w:rPr>
          <w:rFonts w:hint="eastAsia" w:ascii="宋体" w:hAnsi="宋体"/>
          <w:b/>
          <w:color w:val="000000" w:themeColor="text1"/>
          <w:szCs w:val="21"/>
          <w:highlight w:val="none"/>
          <w14:textFill>
            <w14:solidFill>
              <w14:schemeClr w14:val="tx1"/>
            </w14:solidFill>
          </w14:textFill>
        </w:rPr>
        <w:t>不</w:t>
      </w:r>
      <w:bookmarkEnd w:id="93"/>
      <w:r>
        <w:rPr>
          <w:rFonts w:hint="eastAsia" w:ascii="宋体" w:hAnsi="宋体"/>
          <w:b/>
          <w:color w:val="000000" w:themeColor="text1"/>
          <w:szCs w:val="21"/>
          <w:highlight w:val="none"/>
          <w14:textFill>
            <w14:solidFill>
              <w14:schemeClr w14:val="tx1"/>
            </w14:solidFill>
          </w14:textFill>
        </w:rPr>
        <w:t>符合磋商文件规定的；</w:t>
      </w:r>
      <w:bookmarkEnd w:id="92"/>
    </w:p>
    <w:p w14:paraId="6CAC4811">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15）</w:t>
      </w:r>
      <w:bookmarkStart w:id="94" w:name="_Hlk220404454"/>
      <w:r>
        <w:rPr>
          <w:rFonts w:hint="eastAsia" w:ascii="宋体" w:hAnsi="宋体"/>
          <w:b/>
          <w:color w:val="000000" w:themeColor="text1"/>
          <w:szCs w:val="21"/>
          <w:highlight w:val="none"/>
          <w14:textFill>
            <w14:solidFill>
              <w14:schemeClr w14:val="tx1"/>
            </w14:solidFill>
          </w14:textFill>
        </w:rPr>
        <w:t>磋商小组启动异常低价响应审查后，供应商不能提供书面说明、证明材料，或者提供的书面说明、证明材料不能证明其报价合理性的</w:t>
      </w:r>
      <w:bookmarkEnd w:id="94"/>
      <w:r>
        <w:rPr>
          <w:rFonts w:hint="eastAsia" w:ascii="宋体" w:hAnsi="宋体"/>
          <w:b/>
          <w:color w:val="000000" w:themeColor="text1"/>
          <w:szCs w:val="21"/>
          <w:highlight w:val="none"/>
          <w14:textFill>
            <w14:solidFill>
              <w14:schemeClr w14:val="tx1"/>
            </w14:solidFill>
          </w14:textFill>
        </w:rPr>
        <w:t>；</w:t>
      </w:r>
    </w:p>
    <w:p w14:paraId="42547C98">
      <w:pPr>
        <w:spacing w:line="360" w:lineRule="auto"/>
        <w:ind w:firstLine="422" w:firstLineChars="200"/>
        <w:rPr>
          <w:rFonts w:ascii="宋体" w:hAnsi="宋体" w:cs="宋体"/>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6）未响应磋商文件实质性要求的。</w:t>
      </w:r>
    </w:p>
    <w:p w14:paraId="17417B7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w:t>
      </w:r>
      <w:r>
        <w:rPr>
          <w:rFonts w:hint="eastAsia" w:ascii="宋体" w:hAnsi="宋体" w:cs="宋体"/>
          <w:color w:val="000000" w:themeColor="text1"/>
          <w:szCs w:val="21"/>
          <w:highlight w:val="none"/>
          <w14:textFill>
            <w14:solidFill>
              <w14:schemeClr w14:val="tx1"/>
            </w14:solidFill>
          </w14:textFill>
        </w:rPr>
        <w:t>磋商小组对响应文件进行评审，未实质性响应磋商文件的响应文件按无效处理，磋商小组应当将资格和符合性不通过的情况告知有关供应商。</w:t>
      </w:r>
    </w:p>
    <w:p w14:paraId="3EB7988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olor w:val="000000" w:themeColor="text1"/>
          <w:szCs w:val="21"/>
          <w:highlight w:val="none"/>
          <w14:textFill>
            <w14:solidFill>
              <w14:schemeClr w14:val="tx1"/>
            </w14:solidFill>
          </w14:textFill>
        </w:rPr>
        <w:t>通过符合性审查的合格供应商不足3家的，不得进入磋商环节，应当重新开展采购活动。</w:t>
      </w:r>
    </w:p>
    <w:p w14:paraId="2225EA04">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w:t>
      </w:r>
      <w:r>
        <w:rPr>
          <w:rFonts w:hint="eastAsia" w:ascii="黑体" w:hAnsi="黑体" w:eastAsia="黑体" w:cs="宋体"/>
          <w:b/>
          <w:bCs/>
          <w:color w:val="000000" w:themeColor="text1"/>
          <w:sz w:val="24"/>
          <w:highlight w:val="none"/>
          <w14:textFill>
            <w14:solidFill>
              <w14:schemeClr w14:val="tx1"/>
            </w14:solidFill>
          </w14:textFill>
        </w:rPr>
        <w:t>.磋商程序</w:t>
      </w:r>
    </w:p>
    <w:p w14:paraId="07C478D1">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r>
        <w:rPr>
          <w:rFonts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kern w:val="0"/>
          <w:szCs w:val="21"/>
          <w:highlight w:val="none"/>
          <w14:textFill>
            <w14:solidFill>
              <w14:schemeClr w14:val="tx1"/>
            </w14:solidFill>
          </w14:textFill>
        </w:rPr>
        <w:t>磋商小组</w:t>
      </w:r>
      <w:r>
        <w:rPr>
          <w:rFonts w:hint="eastAsia" w:ascii="宋体" w:hAnsi="宋体" w:cs="宋体"/>
          <w:color w:val="000000" w:themeColor="text1"/>
          <w:szCs w:val="21"/>
          <w:highlight w:val="none"/>
          <w14:textFill>
            <w14:solidFill>
              <w14:schemeClr w14:val="tx1"/>
            </w14:solidFill>
          </w14:textFill>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38FC17F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B60D4C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3.3</w:t>
      </w:r>
      <w:r>
        <w:rPr>
          <w:rFonts w:hint="eastAsia" w:ascii="宋体" w:hAnsi="宋体" w:cs="宋体"/>
          <w:color w:val="000000" w:themeColor="text1"/>
          <w:szCs w:val="21"/>
          <w:highlight w:val="none"/>
          <w14:textFill>
            <w14:solidFill>
              <w14:schemeClr w14:val="tx1"/>
            </w14:solidFill>
          </w14:textFill>
        </w:rPr>
        <w:t>对磋商文件作出的实质性变动是磋商文件的有效组成部分，由磋商小组及时以电子澄清函形式同时通知所有参加磋商的供应商。</w:t>
      </w:r>
    </w:p>
    <w:p w14:paraId="7ECE73B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3.4</w:t>
      </w:r>
      <w:r>
        <w:rPr>
          <w:rFonts w:hint="eastAsia" w:ascii="宋体" w:hAnsi="宋体" w:cs="宋体"/>
          <w:color w:val="000000" w:themeColor="text1"/>
          <w:szCs w:val="21"/>
          <w:highlight w:val="none"/>
          <w14:textFill>
            <w14:solidFill>
              <w14:schemeClr w14:val="tx1"/>
            </w14:solidFill>
          </w14:textFill>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37B1364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3.5</w:t>
      </w:r>
      <w:r>
        <w:rPr>
          <w:rFonts w:hint="eastAsia" w:ascii="宋体" w:hAnsi="宋体" w:cs="宋体"/>
          <w:color w:val="000000" w:themeColor="text1"/>
          <w:szCs w:val="21"/>
          <w:highlight w:val="none"/>
          <w14:textFill>
            <w14:solidFill>
              <w14:schemeClr w14:val="tx1"/>
            </w14:solidFill>
          </w14:textFill>
        </w:rPr>
        <w:t>磋商中，磋商的任何一方不得透露与磋商有关的其他供应商的技术资料、价格和其他信息</w:t>
      </w:r>
      <w:r>
        <w:rPr>
          <w:rFonts w:hint="eastAsia" w:ascii="宋体" w:hAnsi="宋体" w:cs="宋体"/>
          <w:color w:val="000000" w:themeColor="text1"/>
          <w:spacing w:val="-6"/>
          <w:szCs w:val="21"/>
          <w:highlight w:val="none"/>
          <w14:textFill>
            <w14:solidFill>
              <w14:schemeClr w14:val="tx1"/>
            </w14:solidFill>
          </w14:textFill>
        </w:rPr>
        <w:t>。</w:t>
      </w:r>
    </w:p>
    <w:p w14:paraId="139339A3">
      <w:pPr>
        <w:widowControl/>
        <w:tabs>
          <w:tab w:val="left" w:pos="540"/>
        </w:tabs>
        <w:spacing w:line="360" w:lineRule="auto"/>
        <w:ind w:firstLine="420" w:firstLineChars="200"/>
        <w:jc w:val="left"/>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3.6</w:t>
      </w:r>
      <w:r>
        <w:rPr>
          <w:rFonts w:hint="eastAsia" w:ascii="宋体" w:hAnsi="宋体" w:cs="宋体"/>
          <w:color w:val="000000" w:themeColor="text1"/>
          <w:szCs w:val="21"/>
          <w:highlight w:val="none"/>
          <w14:textFill>
            <w14:solidFill>
              <w14:schemeClr w14:val="tx1"/>
            </w14:solidFill>
          </w14:textFill>
        </w:rPr>
        <w:t>采购代理机构对磋商过程和磋商内容进行记录。</w:t>
      </w:r>
    </w:p>
    <w:p w14:paraId="0030CF4D">
      <w:pPr>
        <w:widowControl/>
        <w:tabs>
          <w:tab w:val="left" w:pos="540"/>
        </w:tabs>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.7</w:t>
      </w:r>
      <w:r>
        <w:rPr>
          <w:color w:val="000000" w:themeColor="text1"/>
          <w:highlight w:val="none"/>
          <w14:textFill>
            <w14:solidFill>
              <w14:schemeClr w14:val="tx1"/>
            </w14:solidFill>
          </w14:textFill>
        </w:rPr>
        <w:t>根据《</w:t>
      </w:r>
      <w:r>
        <w:rPr>
          <w:rFonts w:ascii="宋体" w:hAnsi="宋体"/>
          <w:color w:val="000000" w:themeColor="text1"/>
          <w:highlight w:val="none"/>
          <w14:textFill>
            <w14:solidFill>
              <w14:schemeClr w14:val="tx1"/>
            </w14:solidFill>
          </w14:textFill>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44E0AF02">
      <w:pPr>
        <w:tabs>
          <w:tab w:val="left" w:pos="2835"/>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3.8除</w:t>
      </w:r>
      <w:r>
        <w:rPr>
          <w:rFonts w:ascii="宋体" w:hAnsi="宋体"/>
          <w:color w:val="000000" w:themeColor="text1"/>
          <w:highlight w:val="none"/>
          <w14:textFill>
            <w14:solidFill>
              <w14:schemeClr w14:val="tx1"/>
            </w14:solidFill>
          </w14:textFill>
        </w:rPr>
        <w:t>本章第3.7条</w:t>
      </w:r>
      <w:r>
        <w:rPr>
          <w:rFonts w:hint="eastAsia" w:ascii="宋体" w:hAnsi="宋体"/>
          <w:color w:val="000000" w:themeColor="text1"/>
          <w:highlight w:val="none"/>
          <w14:textFill>
            <w14:solidFill>
              <w14:schemeClr w14:val="tx1"/>
            </w14:solidFill>
          </w14:textFill>
        </w:rPr>
        <w:t>规定的</w:t>
      </w:r>
      <w:r>
        <w:rPr>
          <w:rFonts w:ascii="宋体" w:hAnsi="宋体"/>
          <w:color w:val="000000" w:themeColor="text1"/>
          <w:highlight w:val="none"/>
          <w14:textFill>
            <w14:solidFill>
              <w14:schemeClr w14:val="tx1"/>
            </w14:solidFill>
          </w14:textFill>
        </w:rPr>
        <w:t>情形</w:t>
      </w:r>
      <w:r>
        <w:rPr>
          <w:rFonts w:hint="eastAsia" w:ascii="宋体" w:hAnsi="宋体"/>
          <w:color w:val="000000" w:themeColor="text1"/>
          <w:highlight w:val="none"/>
          <w14:textFill>
            <w14:solidFill>
              <w14:schemeClr w14:val="tx1"/>
            </w14:solidFill>
          </w14:textFill>
        </w:rPr>
        <w:t>外，</w:t>
      </w:r>
      <w:r>
        <w:rPr>
          <w:rFonts w:hint="eastAsia" w:ascii="宋体" w:hAnsi="宋体"/>
          <w:color w:val="000000" w:themeColor="text1"/>
          <w:szCs w:val="21"/>
          <w:highlight w:val="none"/>
          <w14:textFill>
            <w14:solidFill>
              <w14:schemeClr w14:val="tx1"/>
            </w14:solidFill>
          </w14:textFill>
        </w:rPr>
        <w:t>对磋商过程提交的响应文件进行有效性、完整性和响应程度审查，通过审查的合格供应商不足3家的，应当重新开展采购活动。</w:t>
      </w:r>
    </w:p>
    <w:p w14:paraId="70DB8AF1">
      <w:pPr>
        <w:spacing w:line="360" w:lineRule="auto"/>
        <w:ind w:firstLine="482" w:firstLineChars="200"/>
        <w:outlineLvl w:val="2"/>
        <w:rPr>
          <w:rFonts w:hint="eastAsia" w:ascii="宋体" w:hAnsi="宋体" w:cs="宋体"/>
          <w:color w:val="000000" w:themeColor="text1"/>
          <w:szCs w:val="21"/>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4.</w:t>
      </w:r>
      <w:r>
        <w:rPr>
          <w:rFonts w:hint="eastAsia" w:ascii="黑体" w:hAnsi="黑体" w:eastAsia="黑体" w:cs="宋体"/>
          <w:b/>
          <w:bCs/>
          <w:color w:val="000000" w:themeColor="text1"/>
          <w:sz w:val="24"/>
          <w:highlight w:val="none"/>
          <w14:textFill>
            <w14:solidFill>
              <w14:schemeClr w14:val="tx1"/>
            </w14:solidFill>
          </w14:textFill>
        </w:rPr>
        <w:t xml:space="preserve"> 最后报价</w:t>
      </w:r>
    </w:p>
    <w:p w14:paraId="4DF668C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磋商文件能够详细列明采购标的的技术、服务要求的，磋商结束后，磋商小组应当要求所有继续参加磋商的供应商在规定时间内在广西政府采购云平台开标大厅提交加盖供应商电子签章的最后报价，除本章第</w:t>
      </w: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条规定的情形外，提交最后报价的供应商不得少于3家，否则应当重新</w:t>
      </w:r>
      <w:r>
        <w:rPr>
          <w:rFonts w:hint="eastAsia" w:ascii="宋体" w:hAnsi="宋体"/>
          <w:color w:val="000000" w:themeColor="text1"/>
          <w:szCs w:val="21"/>
          <w:highlight w:val="none"/>
          <w14:textFill>
            <w14:solidFill>
              <w14:schemeClr w14:val="tx1"/>
            </w14:solidFill>
          </w14:textFill>
        </w:rPr>
        <w:t>开展采购活动</w:t>
      </w:r>
      <w:r>
        <w:rPr>
          <w:rFonts w:hint="eastAsia" w:ascii="宋体" w:hAnsi="宋体" w:cs="宋体"/>
          <w:color w:val="000000" w:themeColor="text1"/>
          <w:szCs w:val="21"/>
          <w:highlight w:val="none"/>
          <w14:textFill>
            <w14:solidFill>
              <w14:schemeClr w14:val="tx1"/>
            </w14:solidFill>
          </w14:textFill>
        </w:rPr>
        <w:t>。</w:t>
      </w:r>
    </w:p>
    <w:p w14:paraId="1E30119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000000" w:themeColor="text1"/>
          <w:szCs w:val="21"/>
          <w:highlight w:val="none"/>
          <w14:textFill>
            <w14:solidFill>
              <w14:schemeClr w14:val="tx1"/>
            </w14:solidFill>
          </w14:textFill>
        </w:rPr>
        <w:t>如果供应商的最后报价与首次报价不一致的，不能只报竞标总报价，必须同时提供“已标价工程量清单”，否则做无效响应处理。</w:t>
      </w:r>
    </w:p>
    <w:p w14:paraId="321A2E43">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 xml:space="preserve"> 最后报价是供应商响应文件的有效组成部分。</w:t>
      </w:r>
    </w:p>
    <w:p w14:paraId="7C8AD4F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符合《政府采购竞争性磋商采购方式管理暂行办法》（财库〔2014〕214号）第三条第四项“市场竞争不充分的科研项目，以及需要扶持的科技成果转化项目”和</w:t>
      </w:r>
      <w:r>
        <w:rPr>
          <w:color w:val="000000" w:themeColor="text1"/>
          <w:highlight w:val="none"/>
          <w14:textFill>
            <w14:solidFill>
              <w14:schemeClr w14:val="tx1"/>
            </w14:solidFill>
          </w14:textFill>
        </w:rPr>
        <w:t>本章</w:t>
      </w:r>
      <w:r>
        <w:rPr>
          <w:rFonts w:ascii="宋体" w:hAnsi="宋体"/>
          <w:color w:val="000000" w:themeColor="text1"/>
          <w:highlight w:val="none"/>
          <w14:textFill>
            <w14:solidFill>
              <w14:schemeClr w14:val="tx1"/>
            </w14:solidFill>
          </w14:textFill>
        </w:rPr>
        <w:t>第3.7条</w:t>
      </w:r>
      <w:r>
        <w:rPr>
          <w:rFonts w:hint="eastAsia" w:ascii="宋体" w:hAnsi="宋体" w:cs="宋体"/>
          <w:color w:val="000000" w:themeColor="text1"/>
          <w:szCs w:val="21"/>
          <w:highlight w:val="none"/>
          <w14:textFill>
            <w14:solidFill>
              <w14:schemeClr w14:val="tx1"/>
            </w14:solidFill>
          </w14:textFill>
        </w:rPr>
        <w:t>规定</w:t>
      </w:r>
      <w:r>
        <w:rPr>
          <w:color w:val="000000" w:themeColor="text1"/>
          <w:highlight w:val="none"/>
          <w14:textFill>
            <w14:solidFill>
              <w14:schemeClr w14:val="tx1"/>
            </w14:solidFill>
          </w14:textFill>
        </w:rPr>
        <w:t>情形的，</w:t>
      </w:r>
      <w:r>
        <w:rPr>
          <w:rFonts w:hint="eastAsia" w:ascii="宋体" w:hAnsi="宋体" w:cs="宋体"/>
          <w:color w:val="000000" w:themeColor="text1"/>
          <w:szCs w:val="21"/>
          <w:highlight w:val="none"/>
          <w14:textFill>
            <w14:solidFill>
              <w14:schemeClr w14:val="tx1"/>
            </w14:solidFill>
          </w14:textFill>
        </w:rPr>
        <w:t>提交最后报价的供应商可以为2家。</w:t>
      </w:r>
    </w:p>
    <w:p w14:paraId="030C401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4.4</w:t>
      </w:r>
      <w:r>
        <w:rPr>
          <w:rFonts w:hint="eastAsia" w:ascii="宋体" w:hAnsi="宋体" w:cs="宋体"/>
          <w:color w:val="000000" w:themeColor="text1"/>
          <w:szCs w:val="21"/>
          <w:highlight w:val="none"/>
          <w14:textFill>
            <w14:solidFill>
              <w14:schemeClr w14:val="tx1"/>
            </w14:solidFill>
          </w14:textFill>
        </w:rPr>
        <w:t>已经提交响应文件的供应商，在提交最后报价之前，可以根据磋商情况退出磋商，退出磋商的供应商的响应文件按无效处理。采购人、采购代理机构将退还退出磋商的供应商的保证金。</w:t>
      </w:r>
    </w:p>
    <w:p w14:paraId="0F59E13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4.5</w:t>
      </w:r>
      <w:r>
        <w:rPr>
          <w:rFonts w:hint="eastAsia" w:ascii="宋体" w:hAnsi="宋体" w:cs="宋体"/>
          <w:color w:val="000000" w:themeColor="text1"/>
          <w:szCs w:val="21"/>
          <w:highlight w:val="none"/>
          <w14:textFill>
            <w14:solidFill>
              <w14:schemeClr w14:val="tx1"/>
            </w14:solidFill>
          </w14:textFill>
        </w:rPr>
        <w:t>供应商未在规定时间内提交最后报价的，视同退出磋商，其响应文件按无效处理。</w:t>
      </w:r>
    </w:p>
    <w:p w14:paraId="75D3F2C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4.6</w:t>
      </w:r>
      <w:r>
        <w:rPr>
          <w:rFonts w:hint="eastAsia" w:ascii="宋体" w:hAnsi="宋体" w:cs="宋体"/>
          <w:color w:val="000000" w:themeColor="text1"/>
          <w:szCs w:val="21"/>
          <w:highlight w:val="none"/>
          <w14:textFill>
            <w14:solidFill>
              <w14:schemeClr w14:val="tx1"/>
            </w14:solidFill>
          </w14:textFill>
        </w:rPr>
        <w:t>最后报价统一开启后，磋商小组对最后报价进行有效性、完整性和响应程度的审查。</w:t>
      </w:r>
    </w:p>
    <w:p w14:paraId="40EFBD9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4.7</w:t>
      </w:r>
      <w:r>
        <w:rPr>
          <w:rFonts w:hint="eastAsia" w:ascii="宋体" w:hAnsi="宋体" w:cs="宋体"/>
          <w:color w:val="000000" w:themeColor="text1"/>
          <w:szCs w:val="21"/>
          <w:highlight w:val="none"/>
          <w14:textFill>
            <w14:solidFill>
              <w14:schemeClr w14:val="tx1"/>
            </w14:solidFill>
          </w14:textFill>
        </w:rPr>
        <w:t>最后报价出现前后不一致的，按照本章第</w:t>
      </w:r>
      <w:r>
        <w:rPr>
          <w:rFonts w:ascii="宋体" w:hAnsi="宋体" w:cs="宋体"/>
          <w:color w:val="000000" w:themeColor="text1"/>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条的规定修正。 </w:t>
      </w:r>
    </w:p>
    <w:p w14:paraId="4A15B5C3">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4.8</w:t>
      </w:r>
      <w:r>
        <w:rPr>
          <w:rFonts w:hint="eastAsia" w:ascii="宋体" w:hAnsi="宋体" w:cs="宋体"/>
          <w:color w:val="000000" w:themeColor="text1"/>
          <w:szCs w:val="21"/>
          <w:highlight w:val="none"/>
          <w14:textFill>
            <w14:solidFill>
              <w14:schemeClr w14:val="tx1"/>
            </w14:solidFill>
          </w14:textFill>
        </w:rPr>
        <w:t>修正后的报价出现下列情形的，按无效响应处理：</w:t>
      </w:r>
    </w:p>
    <w:p w14:paraId="52898B9B">
      <w:pPr>
        <w:spacing w:line="360" w:lineRule="auto"/>
        <w:ind w:firstLine="420" w:firstLineChars="200"/>
        <w:outlineLvl w:val="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14:paraId="1EFE9D3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（2）经供应商确认修正后的竞标报价（包含首次报价、最后报价）超过所竞标分标规定的采购预算金额或者最高限价的（如本项目公布了最高限价）；</w:t>
      </w:r>
    </w:p>
    <w:p w14:paraId="18590E7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（3）经供应商确认修正后的竞标报价（包含首次报价、最后报价）超过分项采购预算金额或者最高限价的（如本项目公布了最高限价）。</w:t>
      </w:r>
    </w:p>
    <w:p w14:paraId="5B6A45A7">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4.9</w:t>
      </w:r>
      <w:r>
        <w:rPr>
          <w:rFonts w:hint="eastAsia" w:ascii="宋体" w:hAnsi="宋体" w:cs="宋体"/>
          <w:color w:val="000000" w:themeColor="text1"/>
          <w:szCs w:val="21"/>
          <w:highlight w:val="none"/>
          <w14:textFill>
            <w14:solidFill>
              <w14:schemeClr w14:val="tx1"/>
            </w14:solidFill>
          </w14:textFill>
        </w:rPr>
        <w:t>经供应商确认修正后的最后报价作为评审及签订合同的依据。</w:t>
      </w:r>
    </w:p>
    <w:p w14:paraId="737C628B">
      <w:pPr>
        <w:snapToGrid w:val="0"/>
        <w:spacing w:line="360" w:lineRule="auto"/>
        <w:ind w:firstLine="424" w:firstLineChars="202"/>
        <w:jc w:val="left"/>
        <w:rPr>
          <w:rFonts w:hint="eastAsia" w:ascii="宋体" w:hAnsi="宋体"/>
          <w:color w:val="000000" w:themeColor="text1"/>
          <w:spacing w:val="-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4.10</w:t>
      </w:r>
      <w:r>
        <w:rPr>
          <w:rFonts w:hint="eastAsia" w:ascii="宋体" w:hAnsi="宋体"/>
          <w:color w:val="000000" w:themeColor="text1"/>
          <w:szCs w:val="21"/>
          <w:highlight w:val="none"/>
          <w14:textFill>
            <w14:solidFill>
              <w14:schemeClr w14:val="tx1"/>
            </w14:solidFill>
          </w14:textFill>
        </w:rPr>
        <w:t>异常低价响应审查</w:t>
      </w:r>
    </w:p>
    <w:p w14:paraId="369D732A">
      <w:pPr>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（1）磋商小组在评审中发现下列情形之一的，应当启动异常低价响应审查程序：</w:t>
      </w:r>
    </w:p>
    <w:p w14:paraId="01497D25">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报价低于全部通过符合性审查供应商</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报价平均值</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报价＜全部通过符合性审查供应商</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报价平均值×</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21C29612">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报价低于通过符合性审查的次低报价供应商</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报价＜通过符合性审查的次低报价供应商</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581DE763">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报价低于采购项目最高限价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报价＜采购项目最高限价×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6608BD76">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④磋商小组基于专业判断，认为供应商报价过低，有可能影响产品质量或者不能诚信履约的其他情形。</w:t>
      </w:r>
    </w:p>
    <w:p w14:paraId="2EEFDB8F">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（2）磋商小组启动异常低价响应审查后，属于前述第1项至第4项情形的，应当要求相关供应商在评审现场合理的时间内对</w:t>
      </w:r>
      <w:r>
        <w:rPr>
          <w:rFonts w:hint="eastAsia" w:ascii="宋体" w:hAnsi="宋体"/>
          <w:color w:val="000000" w:themeColor="text1"/>
          <w:szCs w:val="21"/>
          <w:highlight w:val="none"/>
          <w:lang w:eastAsia="zh-CN"/>
          <w14:textFill>
            <w14:solidFill>
              <w14:schemeClr w14:val="tx1"/>
            </w14:solidFill>
          </w14:textFill>
        </w:rPr>
        <w:t>竞标</w:t>
      </w:r>
      <w:r>
        <w:rPr>
          <w:rFonts w:hint="eastAsia" w:ascii="宋体" w:hAnsi="宋体"/>
          <w:color w:val="000000" w:themeColor="text1"/>
          <w:szCs w:val="21"/>
          <w:highlight w:val="none"/>
          <w14:textFill>
            <w14:solidFill>
              <w14:schemeClr w14:val="tx1"/>
            </w14:solidFill>
          </w14:textFill>
        </w:rPr>
        <w:t>报价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C4C3D5E">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highlight w:val="none"/>
          <w14:textFill>
            <w14:solidFill>
              <w14:schemeClr w14:val="tx1"/>
            </w14:solidFill>
          </w14:textFill>
        </w:rPr>
        <w:t>相关供应商不能提供书面说明、证明材料，或者提供的书面说明、证明材料不能证明其报价合理性的，磋商小组应当将其作为无效响应处理。</w:t>
      </w:r>
    </w:p>
    <w:p w14:paraId="337A8BF0">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01121D0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异常低价响应审查的启动原因、审查意见和审查结果应当在评审报告中记录，并随供应商提供的相关书面说明及证明材料，以及磋商小组有关互联网浏览、查询历史一并归档。</w:t>
      </w:r>
    </w:p>
    <w:p w14:paraId="3E3045A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4.11供应商出现最后报价按无效响应处理或者响应文件按无效处理时</w:t>
      </w:r>
      <w:r>
        <w:rPr>
          <w:rFonts w:hint="eastAsia" w:ascii="宋体" w:hAnsi="宋体"/>
          <w:color w:val="000000" w:themeColor="text1"/>
          <w:sz w:val="22"/>
          <w:szCs w:val="22"/>
          <w:highlight w:val="none"/>
          <w14:textFill>
            <w14:solidFill>
              <w14:schemeClr w14:val="tx1"/>
            </w14:solidFill>
          </w14:textFill>
        </w:rPr>
        <w:t>，磋商小组应当告知有关供应商</w:t>
      </w:r>
      <w:r>
        <w:rPr>
          <w:rFonts w:hint="eastAsia" w:ascii="宋体" w:hAnsi="宋体" w:cs="宋体"/>
          <w:color w:val="000000" w:themeColor="text1"/>
          <w:szCs w:val="21"/>
          <w:highlight w:val="none"/>
          <w14:textFill>
            <w14:solidFill>
              <w14:schemeClr w14:val="tx1"/>
            </w14:solidFill>
          </w14:textFill>
        </w:rPr>
        <w:t>。</w:t>
      </w:r>
    </w:p>
    <w:p w14:paraId="2F1CA2C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最后报价结束后，磋商小组不得再与供应商进行任何形式的商谈。</w:t>
      </w:r>
    </w:p>
    <w:p w14:paraId="7DBEB743">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w:t>
      </w:r>
      <w:r>
        <w:rPr>
          <w:rFonts w:ascii="黑体" w:hAnsi="黑体" w:eastAsia="黑体" w:cs="宋体"/>
          <w:b/>
          <w:bCs/>
          <w:color w:val="000000" w:themeColor="text1"/>
          <w:sz w:val="24"/>
          <w:highlight w:val="none"/>
          <w14:textFill>
            <w14:solidFill>
              <w14:schemeClr w14:val="tx1"/>
            </w14:solidFill>
          </w14:textFill>
        </w:rPr>
        <w:t>.</w:t>
      </w:r>
      <w:r>
        <w:rPr>
          <w:rFonts w:hint="eastAsia" w:ascii="黑体" w:hAnsi="黑体" w:eastAsia="黑体" w:cs="宋体"/>
          <w:b/>
          <w:bCs/>
          <w:color w:val="000000" w:themeColor="text1"/>
          <w:sz w:val="24"/>
          <w:highlight w:val="none"/>
          <w14:textFill>
            <w14:solidFill>
              <w14:schemeClr w14:val="tx1"/>
            </w14:solidFill>
          </w14:textFill>
        </w:rPr>
        <w:t>比较与评价</w:t>
      </w:r>
    </w:p>
    <w:p w14:paraId="4D7CBB32">
      <w:pPr>
        <w:spacing w:line="360" w:lineRule="auto"/>
        <w:ind w:firstLine="420" w:firstLineChars="200"/>
        <w:outlineLvl w:val="3"/>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5.1</w:t>
      </w:r>
      <w:r>
        <w:rPr>
          <w:rFonts w:hint="eastAsia" w:ascii="宋体" w:hAnsi="宋体" w:cs="宋体"/>
          <w:color w:val="000000" w:themeColor="text1"/>
          <w:szCs w:val="21"/>
          <w:highlight w:val="none"/>
          <w14:textFill>
            <w14:solidFill>
              <w14:schemeClr w14:val="tx1"/>
            </w14:solidFill>
          </w14:textFill>
        </w:rPr>
        <w:t>评审方法：综合评分法。</w:t>
      </w:r>
    </w:p>
    <w:p w14:paraId="0E8CC15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5.2</w:t>
      </w:r>
      <w:r>
        <w:rPr>
          <w:rFonts w:hint="eastAsia" w:ascii="宋体" w:hAnsi="宋体" w:cs="宋体"/>
          <w:color w:val="000000" w:themeColor="text1"/>
          <w:szCs w:val="21"/>
          <w:highlight w:val="none"/>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5C04775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5.3</w:t>
      </w:r>
      <w:r>
        <w:rPr>
          <w:rFonts w:hint="eastAsia" w:ascii="宋体" w:hAnsi="宋体" w:cs="宋体"/>
          <w:color w:val="000000" w:themeColor="text1"/>
          <w:szCs w:val="21"/>
          <w:highlight w:val="none"/>
          <w14:textFill>
            <w14:solidFill>
              <w14:schemeClr w14:val="tx1"/>
            </w14:solidFill>
          </w14:textFill>
        </w:rPr>
        <w:t>评审时，磋商小组各成员应当独立对每个有效响应的文件进行评价、打分，然后汇总每个供应商每项评分因素的得分。</w:t>
      </w:r>
    </w:p>
    <w:p w14:paraId="5CD2CD0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（1）磋商小组按照磋商文件中规定的评审标准计算各供应商的报价得分。项目评审过程中，不得去掉最后报价中的最高报价和最低报价。</w:t>
      </w:r>
    </w:p>
    <w:p w14:paraId="01255BC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（2）各供应商的得分为磋商小组所有成员的有效评分的算术平均数。</w:t>
      </w:r>
    </w:p>
    <w:p w14:paraId="58E954F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5.4</w:t>
      </w:r>
      <w:r>
        <w:rPr>
          <w:rFonts w:hint="eastAsia" w:ascii="宋体" w:hAnsi="宋体" w:cs="宋体"/>
          <w:color w:val="000000" w:themeColor="text1"/>
          <w:szCs w:val="21"/>
          <w:highlight w:val="none"/>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6AB85F50">
      <w:pPr>
        <w:spacing w:line="360" w:lineRule="auto"/>
        <w:ind w:firstLine="482" w:firstLineChars="200"/>
        <w:outlineLvl w:val="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6. 成交供应商</w:t>
      </w:r>
      <w:r>
        <w:rPr>
          <w:rFonts w:hint="eastAsia" w:ascii="黑体" w:hAnsi="黑体" w:eastAsia="黑体" w:cs="宋体"/>
          <w:b/>
          <w:bCs/>
          <w:color w:val="000000" w:themeColor="text1"/>
          <w:sz w:val="24"/>
          <w:highlight w:val="none"/>
          <w:lang w:eastAsia="zh-CN"/>
          <w14:textFill>
            <w14:solidFill>
              <w14:schemeClr w14:val="tx1"/>
            </w14:solidFill>
          </w14:textFill>
        </w:rPr>
        <w:t>推</w:t>
      </w:r>
      <w:r>
        <w:rPr>
          <w:rFonts w:hint="eastAsia" w:ascii="黑体" w:hAnsi="黑体" w:eastAsia="黑体" w:cs="宋体"/>
          <w:b/>
          <w:bCs/>
          <w:color w:val="000000" w:themeColor="text1"/>
          <w:sz w:val="24"/>
          <w:highlight w:val="none"/>
          <w14:textFill>
            <w14:solidFill>
              <w14:schemeClr w14:val="tx1"/>
            </w14:solidFill>
          </w14:textFill>
        </w:rPr>
        <w:t>荐原则</w:t>
      </w:r>
    </w:p>
    <w:p w14:paraId="7CCB85A2">
      <w:pPr>
        <w:spacing w:line="360" w:lineRule="auto"/>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由磋商小组根据综合评分情况，按照评审得分由高到低顺序推荐3名以上成交候选供应商，并编写评审报告，</w:t>
      </w:r>
      <w:r>
        <w:rPr>
          <w:rFonts w:hint="eastAsia" w:ascii="宋体" w:hAnsi="宋体" w:cs="宋体"/>
          <w:color w:val="000000" w:themeColor="text1"/>
          <w:highlight w:val="none"/>
          <w14:textFill>
            <w14:solidFill>
              <w14:schemeClr w14:val="tx1"/>
            </w14:solidFill>
          </w14:textFill>
        </w:rPr>
        <w:t>评审报告</w:t>
      </w:r>
      <w:r>
        <w:rPr>
          <w:rFonts w:hint="eastAsia" w:hAnsi="宋体"/>
          <w:color w:val="000000" w:themeColor="text1"/>
          <w:highlight w:val="none"/>
          <w14:textFill>
            <w14:solidFill>
              <w14:schemeClr w14:val="tx1"/>
            </w14:solidFill>
          </w14:textFill>
        </w:rPr>
        <w:t>通过电子交易平台向采购人、采购代理机构提交。</w:t>
      </w:r>
      <w:r>
        <w:rPr>
          <w:rFonts w:hint="eastAsia" w:ascii="宋体" w:hAnsi="宋体"/>
          <w:bCs/>
          <w:color w:val="000000" w:themeColor="text1"/>
          <w:szCs w:val="21"/>
          <w:highlight w:val="none"/>
          <w14:textFill>
            <w14:solidFill>
              <w14:schemeClr w14:val="tx1"/>
            </w14:solidFill>
          </w14:textFill>
        </w:rPr>
        <w:t>符合本章第</w:t>
      </w:r>
      <w:r>
        <w:rPr>
          <w:rFonts w:ascii="宋体" w:hAnsi="宋体"/>
          <w:bCs/>
          <w:color w:val="000000" w:themeColor="text1"/>
          <w:szCs w:val="21"/>
          <w:highlight w:val="none"/>
          <w14:textFill>
            <w14:solidFill>
              <w14:schemeClr w14:val="tx1"/>
            </w14:solidFill>
          </w14:textFill>
        </w:rPr>
        <w:t>4.3</w:t>
      </w:r>
      <w:r>
        <w:rPr>
          <w:rFonts w:hint="eastAsia" w:ascii="宋体" w:hAnsi="宋体"/>
          <w:bCs/>
          <w:color w:val="000000" w:themeColor="text1"/>
          <w:szCs w:val="21"/>
          <w:highlight w:val="none"/>
          <w14:textFill>
            <w14:solidFill>
              <w14:schemeClr w14:val="tx1"/>
            </w14:solidFill>
          </w14:textFill>
        </w:rPr>
        <w:t>条情形的，可以推荐2家成交候选供应商。评审得分相同的，按照最后报价（不计算价格折扣）由低到高的顺序推荐。评审得分且最后报价（不计算价格折扣）相同的，按照技术得分由高到低顺序推荐。评审得分、最后报价（不计算价格折扣）、技术得分均相同的，由磋商小组随机抽取推荐</w:t>
      </w:r>
      <w:r>
        <w:rPr>
          <w:rFonts w:hint="eastAsia" w:ascii="宋体" w:hAnsi="宋体"/>
          <w:color w:val="000000" w:themeColor="text1"/>
          <w:kern w:val="0"/>
          <w:szCs w:val="21"/>
          <w:highlight w:val="none"/>
          <w14:textFill>
            <w14:solidFill>
              <w14:schemeClr w14:val="tx1"/>
            </w14:solidFill>
          </w14:textFill>
        </w:rPr>
        <w:t>。</w:t>
      </w:r>
    </w:p>
    <w:p w14:paraId="42DFD2AE">
      <w:pPr>
        <w:spacing w:line="360" w:lineRule="auto"/>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6</w:t>
      </w:r>
      <w:r>
        <w:rPr>
          <w:rFonts w:ascii="宋体" w:hAnsi="宋体"/>
          <w:color w:val="000000" w:themeColor="text1"/>
          <w:kern w:val="0"/>
          <w:szCs w:val="21"/>
          <w:highlight w:val="none"/>
          <w14:textFill>
            <w14:solidFill>
              <w14:schemeClr w14:val="tx1"/>
            </w14:solidFill>
          </w14:textFill>
        </w:rPr>
        <w:t>.</w:t>
      </w:r>
      <w:r>
        <w:rPr>
          <w:rFonts w:hint="eastAsia" w:ascii="宋体" w:hAnsi="宋体"/>
          <w:color w:val="000000" w:themeColor="text1"/>
          <w:kern w:val="0"/>
          <w:szCs w:val="21"/>
          <w:highlight w:val="none"/>
          <w14:textFill>
            <w14:solidFill>
              <w14:schemeClr w14:val="tx1"/>
            </w14:solidFill>
          </w14:textFill>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8804915">
      <w:pPr>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br w:type="page"/>
      </w:r>
    </w:p>
    <w:p w14:paraId="762B62A5">
      <w:pPr>
        <w:spacing w:line="360" w:lineRule="auto"/>
        <w:jc w:val="center"/>
        <w:outlineLvl w:val="1"/>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p w14:paraId="2EA7B5F6">
      <w:pPr>
        <w:pStyle w:val="25"/>
        <w:spacing w:line="360" w:lineRule="exact"/>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一、评标原则</w:t>
      </w:r>
    </w:p>
    <w:p w14:paraId="138D6D3F">
      <w:pPr>
        <w:pStyle w:val="25"/>
        <w:spacing w:line="360" w:lineRule="exact"/>
        <w:ind w:firstLine="420" w:firstLineChars="20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(一）评标依据：磋商小组将以竞争性磋商文件和响应文件为评定依据进行评审，对供应商的价格、商务技术按百分制打分。</w:t>
      </w:r>
    </w:p>
    <w:p w14:paraId="50AD3E93">
      <w:pPr>
        <w:pStyle w:val="25"/>
        <w:spacing w:line="360" w:lineRule="exact"/>
        <w:ind w:firstLine="420" w:firstLineChars="20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(二）评标方法：综合评分法。</w:t>
      </w:r>
    </w:p>
    <w:p w14:paraId="28F8D2B4">
      <w:pPr>
        <w:pStyle w:val="25"/>
        <w:spacing w:line="360" w:lineRule="exact"/>
        <w:ind w:firstLine="422" w:firstLineChars="200"/>
        <w:rPr>
          <w:rFonts w:hint="eastAsia" w:hAnsi="宋体" w:cs="宋体"/>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二、评标方法</w:t>
      </w:r>
      <w:r>
        <w:rPr>
          <w:rFonts w:hint="eastAsia" w:hAnsi="宋体" w:cs="宋体"/>
          <w:bCs/>
          <w:color w:val="000000" w:themeColor="text1"/>
          <w:sz w:val="21"/>
          <w:highlight w:val="none"/>
          <w14:textFill>
            <w14:solidFill>
              <w14:schemeClr w14:val="tx1"/>
            </w14:solidFill>
          </w14:textFill>
        </w:rPr>
        <w:t>（计分办法按四舍五入取至百分位）：</w:t>
      </w:r>
    </w:p>
    <w:p w14:paraId="075F1997">
      <w:pPr>
        <w:pStyle w:val="25"/>
        <w:spacing w:line="360" w:lineRule="exact"/>
        <w:ind w:firstLine="422" w:firstLineChars="200"/>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（一）</w:t>
      </w:r>
      <w:r>
        <w:rPr>
          <w:rFonts w:hint="eastAsia" w:hAnsi="宋体" w:cs="宋体"/>
          <w:b/>
          <w:color w:val="000000" w:themeColor="text1"/>
          <w:sz w:val="21"/>
          <w:highlight w:val="none"/>
          <w:lang w:eastAsia="zh-CN"/>
          <w14:textFill>
            <w14:solidFill>
              <w14:schemeClr w14:val="tx1"/>
            </w14:solidFill>
          </w14:textFill>
        </w:rPr>
        <w:t>报价</w:t>
      </w:r>
      <w:r>
        <w:rPr>
          <w:rFonts w:hint="eastAsia" w:hAnsi="宋体" w:cs="宋体"/>
          <w:b/>
          <w:color w:val="000000" w:themeColor="text1"/>
          <w:sz w:val="21"/>
          <w:highlight w:val="none"/>
          <w14:textFill>
            <w14:solidFill>
              <w14:schemeClr w14:val="tx1"/>
            </w14:solidFill>
          </w14:textFill>
        </w:rPr>
        <w:t>分</w:t>
      </w:r>
      <w:r>
        <w:rPr>
          <w:rFonts w:hint="eastAsia" w:hAnsi="宋体" w:cs="宋体"/>
          <w:b/>
          <w:bCs/>
          <w:color w:val="000000" w:themeColor="text1"/>
          <w:sz w:val="21"/>
          <w:highlight w:val="none"/>
          <w14:textFill>
            <w14:solidFill>
              <w14:schemeClr w14:val="tx1"/>
            </w14:solidFill>
          </w14:textFill>
        </w:rPr>
        <w:t>…………………………………………………………………</w:t>
      </w:r>
      <w:r>
        <w:rPr>
          <w:rFonts w:hint="eastAsia" w:hAnsi="宋体" w:cs="宋体"/>
          <w:b/>
          <w:bCs/>
          <w:color w:val="000000" w:themeColor="text1"/>
          <w:sz w:val="21"/>
          <w:highlight w:val="none"/>
          <w:lang w:val="en-US" w:eastAsia="zh-CN"/>
          <w14:textFill>
            <w14:solidFill>
              <w14:schemeClr w14:val="tx1"/>
            </w14:solidFill>
          </w14:textFill>
        </w:rPr>
        <w:t>3</w:t>
      </w:r>
      <w:r>
        <w:rPr>
          <w:rFonts w:hint="eastAsia" w:hAnsi="宋体" w:cs="宋体"/>
          <w:b/>
          <w:bCs/>
          <w:color w:val="000000" w:themeColor="text1"/>
          <w:sz w:val="21"/>
          <w:highlight w:val="none"/>
          <w14:textFill>
            <w14:solidFill>
              <w14:schemeClr w14:val="tx1"/>
            </w14:solidFill>
          </w14:textFill>
        </w:rPr>
        <w:t>0分</w:t>
      </w:r>
    </w:p>
    <w:p w14:paraId="09F7C880">
      <w:pPr>
        <w:autoSpaceDE w:val="0"/>
        <w:autoSpaceDN w:val="0"/>
        <w:adjustRightInd w:val="0"/>
        <w:spacing w:line="360" w:lineRule="exact"/>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（1）本</w:t>
      </w:r>
      <w:r>
        <w:rPr>
          <w:rFonts w:hint="eastAsia" w:ascii="宋体" w:hAnsi="宋体" w:cs="宋体"/>
          <w:color w:val="000000" w:themeColor="text1"/>
          <w:kern w:val="0"/>
          <w:szCs w:val="21"/>
          <w:highlight w:val="none"/>
          <w:lang w:eastAsia="zh-CN"/>
          <w14:textFill>
            <w14:solidFill>
              <w14:schemeClr w14:val="tx1"/>
            </w14:solidFill>
          </w14:textFill>
        </w:rPr>
        <w:t>项目</w:t>
      </w:r>
      <w:r>
        <w:rPr>
          <w:rFonts w:hint="eastAsia" w:ascii="宋体" w:hAnsi="宋体" w:cs="宋体"/>
          <w:color w:val="000000" w:themeColor="text1"/>
          <w:kern w:val="0"/>
          <w:szCs w:val="21"/>
          <w:highlight w:val="none"/>
          <w14:textFill>
            <w14:solidFill>
              <w14:schemeClr w14:val="tx1"/>
            </w14:solidFill>
          </w14:textFill>
        </w:rPr>
        <w:t>为专门面向中小企业项目，不再执行价格评审优惠的扶持政策，评标价为供应商的磋商报价。最终成交供应商的成交金额＝磋商报价。</w:t>
      </w:r>
    </w:p>
    <w:p w14:paraId="4969B1E7">
      <w:pPr>
        <w:autoSpaceDE w:val="0"/>
        <w:autoSpaceDN w:val="0"/>
        <w:adjustRightInd w:val="0"/>
        <w:spacing w:line="360" w:lineRule="exact"/>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（2）以进入综合评分环节的最低的评标报价为基准价，基准价报价得分为30分。</w:t>
      </w:r>
    </w:p>
    <w:p w14:paraId="10664321">
      <w:pPr>
        <w:autoSpaceDE w:val="0"/>
        <w:autoSpaceDN w:val="0"/>
        <w:adjustRightInd w:val="0"/>
        <w:spacing w:line="360" w:lineRule="exact"/>
        <w:ind w:firstLine="420" w:firstLineChars="200"/>
        <w:jc w:val="left"/>
        <w:rPr>
          <w:rFonts w:hint="eastAsia" w:hAnsi="宋体" w:cs="宋体"/>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（3）报价分计算公式：</w:t>
      </w:r>
      <w:r>
        <w:rPr>
          <w:rFonts w:hint="eastAsia" w:hAnsi="宋体" w:cs="宋体"/>
          <w:color w:val="000000" w:themeColor="text1"/>
          <w:highlight w:val="none"/>
          <w14:textFill>
            <w14:solidFill>
              <w14:schemeClr w14:val="tx1"/>
            </w14:solidFill>
          </w14:textFill>
        </w:rPr>
        <w:t>某磋商人价格分=基准价/某磋商人评标报价金额×30分。</w:t>
      </w:r>
    </w:p>
    <w:p w14:paraId="5CA7B2B8">
      <w:pPr>
        <w:pStyle w:val="25"/>
        <w:tabs>
          <w:tab w:val="left" w:pos="8820"/>
        </w:tabs>
        <w:adjustRightInd w:val="0"/>
        <w:snapToGrid w:val="0"/>
        <w:spacing w:line="360" w:lineRule="auto"/>
        <w:ind w:firstLine="402" w:firstLineChars="200"/>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（二）商务</w:t>
      </w:r>
      <w:r>
        <w:rPr>
          <w:rFonts w:hAnsi="宋体"/>
          <w:b/>
          <w:color w:val="000000" w:themeColor="text1"/>
          <w:highlight w:val="none"/>
          <w14:textFill>
            <w14:solidFill>
              <w14:schemeClr w14:val="tx1"/>
            </w14:solidFill>
          </w14:textFill>
        </w:rPr>
        <w:t>技术分</w:t>
      </w:r>
      <w:r>
        <w:rPr>
          <w:rFonts w:hint="eastAsia" w:hAnsi="宋体" w:cs="宋体"/>
          <w:b/>
          <w:bCs/>
          <w:color w:val="000000" w:themeColor="text1"/>
          <w:sz w:val="21"/>
          <w:highlight w:val="none"/>
          <w14:textFill>
            <w14:solidFill>
              <w14:schemeClr w14:val="tx1"/>
            </w14:solidFill>
          </w14:textFill>
        </w:rPr>
        <w:t>…………………………………………………………</w:t>
      </w:r>
      <w:r>
        <w:rPr>
          <w:rFonts w:hAnsi="宋体" w:cs="宋体"/>
          <w:b/>
          <w:bCs/>
          <w:color w:val="000000" w:themeColor="text1"/>
          <w:sz w:val="21"/>
          <w:highlight w:val="none"/>
          <w14:textFill>
            <w14:solidFill>
              <w14:schemeClr w14:val="tx1"/>
            </w14:solidFill>
          </w14:textFill>
        </w:rPr>
        <w:t>…</w:t>
      </w:r>
      <w:r>
        <w:rPr>
          <w:rFonts w:hint="eastAsia" w:hAnsi="宋体" w:cs="宋体"/>
          <w:b/>
          <w:bCs/>
          <w:color w:val="000000" w:themeColor="text1"/>
          <w:sz w:val="21"/>
          <w:highlight w:val="none"/>
          <w:lang w:val="en-US" w:eastAsia="zh-CN"/>
          <w14:textFill>
            <w14:solidFill>
              <w14:schemeClr w14:val="tx1"/>
            </w14:solidFill>
          </w14:textFill>
        </w:rPr>
        <w:t>7</w:t>
      </w:r>
      <w:r>
        <w:rPr>
          <w:rFonts w:hAnsi="宋体" w:cs="宋体"/>
          <w:b/>
          <w:bCs/>
          <w:color w:val="000000" w:themeColor="text1"/>
          <w:sz w:val="21"/>
          <w:highlight w:val="none"/>
          <w14:textFill>
            <w14:solidFill>
              <w14:schemeClr w14:val="tx1"/>
            </w14:solidFill>
          </w14:textFill>
        </w:rPr>
        <w:t>0</w:t>
      </w:r>
      <w:r>
        <w:rPr>
          <w:rFonts w:hint="eastAsia" w:hAnsi="宋体" w:cs="宋体"/>
          <w:b/>
          <w:bCs/>
          <w:color w:val="000000" w:themeColor="text1"/>
          <w:sz w:val="21"/>
          <w:highlight w:val="none"/>
          <w14:textFill>
            <w14:solidFill>
              <w14:schemeClr w14:val="tx1"/>
            </w14:solidFill>
          </w14:textFill>
        </w:rPr>
        <w:t>分</w:t>
      </w:r>
    </w:p>
    <w:p w14:paraId="35875CFB">
      <w:pPr>
        <w:pStyle w:val="25"/>
        <w:tabs>
          <w:tab w:val="left" w:pos="8820"/>
        </w:tabs>
        <w:adjustRightInd w:val="0"/>
        <w:snapToGrid w:val="0"/>
        <w:spacing w:line="360" w:lineRule="auto"/>
        <w:ind w:firstLine="402" w:firstLineChars="200"/>
        <w:rPr>
          <w:rFonts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1.</w:t>
      </w:r>
      <w:r>
        <w:rPr>
          <w:rFonts w:hint="eastAsia" w:hAnsi="宋体"/>
          <w:b/>
          <w:color w:val="000000" w:themeColor="text1"/>
          <w:highlight w:val="none"/>
          <w:lang w:eastAsia="zh-CN"/>
          <w14:textFill>
            <w14:solidFill>
              <w14:schemeClr w14:val="tx1"/>
            </w14:solidFill>
          </w14:textFill>
        </w:rPr>
        <w:t>施工组织设</w:t>
      </w:r>
      <w:r>
        <w:rPr>
          <w:rFonts w:hint="eastAsia" w:hAnsi="宋体" w:cs="宋体"/>
          <w:b/>
          <w:bCs/>
          <w:color w:val="000000" w:themeColor="text1"/>
          <w:sz w:val="21"/>
          <w:highlight w:val="none"/>
          <w:lang w:eastAsia="zh-CN"/>
          <w14:textFill>
            <w14:solidFill>
              <w14:schemeClr w14:val="tx1"/>
            </w14:solidFill>
          </w14:textFill>
        </w:rPr>
        <w:t>计</w:t>
      </w:r>
      <w:r>
        <w:rPr>
          <w:rFonts w:hint="eastAsia" w:hAnsi="宋体" w:cs="宋体"/>
          <w:b/>
          <w:bCs/>
          <w:color w:val="000000" w:themeColor="text1"/>
          <w:sz w:val="21"/>
          <w:highlight w:val="none"/>
          <w14:textFill>
            <w14:solidFill>
              <w14:schemeClr w14:val="tx1"/>
            </w14:solidFill>
          </w14:textFill>
        </w:rPr>
        <w:t>分……………………………………………………………</w:t>
      </w:r>
      <w:r>
        <w:rPr>
          <w:rFonts w:hint="eastAsia" w:hAnsi="宋体" w:cs="宋体"/>
          <w:b/>
          <w:bCs/>
          <w:color w:val="000000" w:themeColor="text1"/>
          <w:sz w:val="21"/>
          <w:highlight w:val="none"/>
          <w:lang w:val="en-US" w:eastAsia="zh-CN"/>
          <w14:textFill>
            <w14:solidFill>
              <w14:schemeClr w14:val="tx1"/>
            </w14:solidFill>
          </w14:textFill>
        </w:rPr>
        <w:t>65</w:t>
      </w:r>
      <w:r>
        <w:rPr>
          <w:rFonts w:hint="eastAsia" w:hAnsi="宋体" w:cs="宋体"/>
          <w:b/>
          <w:bCs/>
          <w:color w:val="000000" w:themeColor="text1"/>
          <w:sz w:val="21"/>
          <w:highlight w:val="none"/>
          <w14:textFill>
            <w14:solidFill>
              <w14:schemeClr w14:val="tx1"/>
            </w14:solidFill>
          </w14:textFill>
        </w:rPr>
        <w:t>分</w:t>
      </w:r>
    </w:p>
    <w:p w14:paraId="7A5F549A">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（1）主要施工方法</w:t>
      </w:r>
      <w:r>
        <w:rPr>
          <w:rFonts w:hint="eastAsia" w:ascii="宋体" w:hAnsi="宋体" w:cs="宋体"/>
          <w:b/>
          <w:bCs/>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10分</w:t>
      </w:r>
      <w:r>
        <w:rPr>
          <w:rFonts w:hint="eastAsia" w:ascii="宋体" w:hAnsi="宋体"/>
          <w:b/>
          <w:color w:val="000000" w:themeColor="text1"/>
          <w:highlight w:val="none"/>
          <w14:textFill>
            <w14:solidFill>
              <w14:schemeClr w14:val="tx1"/>
            </w14:solidFill>
          </w14:textFill>
        </w:rPr>
        <w:tab/>
      </w:r>
    </w:p>
    <w:p w14:paraId="059CAD8A">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优（10分）：各主要分部施工方法针对性强，施工技术方案详尽周密，工艺先进、方法科学、可行，能很好的指导具体施工并确保安全。</w:t>
      </w:r>
    </w:p>
    <w:p w14:paraId="5692F642">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7</w:t>
      </w:r>
      <w:r>
        <w:rPr>
          <w:rFonts w:hint="eastAsia" w:ascii="宋体" w:hAnsi="宋体"/>
          <w:bCs/>
          <w:color w:val="000000" w:themeColor="text1"/>
          <w:highlight w:val="none"/>
          <w14:textFill>
            <w14:solidFill>
              <w14:schemeClr w14:val="tx1"/>
            </w14:solidFill>
          </w14:textFill>
        </w:rPr>
        <w:t>分）：各主要分部施工方法符合项目实际，施工技术方案齐全，工艺成熟、方法合理、可行，能指导具体施工并确保安全。</w:t>
      </w:r>
    </w:p>
    <w:p w14:paraId="6E219FE2">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5</w:t>
      </w:r>
      <w:r>
        <w:rPr>
          <w:rFonts w:hint="eastAsia" w:ascii="宋体" w:hAnsi="宋体"/>
          <w:bCs/>
          <w:color w:val="000000" w:themeColor="text1"/>
          <w:highlight w:val="none"/>
          <w14:textFill>
            <w14:solidFill>
              <w14:schemeClr w14:val="tx1"/>
            </w14:solidFill>
          </w14:textFill>
        </w:rPr>
        <w:t>分）：各主要分部施工方法基本符合项目实际，施工技术方案基本齐全，方法基本合理、基本可行，基本能指导具体施工并确保安全。</w:t>
      </w:r>
    </w:p>
    <w:p w14:paraId="6048A700">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差（3分）：各主要分部施工方法针对性差，施工技术方案差，工艺落后、方法不太合理，不太能指导具体施工和确保安全。</w:t>
      </w:r>
    </w:p>
    <w:p w14:paraId="164CF963">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（2）拟投入的主要物资计划</w:t>
      </w:r>
      <w:r>
        <w:rPr>
          <w:rFonts w:hint="eastAsia" w:ascii="宋体" w:hAnsi="宋体" w:cs="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5分</w:t>
      </w:r>
    </w:p>
    <w:p w14:paraId="0FA2BBA3">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优（5分）：投入的施工材料有详细的组织计划且计划周密，投入计划与进度计划呼应，较好满足施工需要，调配投入计划合理、准确。 </w:t>
      </w:r>
    </w:p>
    <w:p w14:paraId="16EA044F">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3</w:t>
      </w:r>
      <w:r>
        <w:rPr>
          <w:rFonts w:hint="eastAsia" w:ascii="宋体" w:hAnsi="宋体"/>
          <w:bCs/>
          <w:color w:val="000000" w:themeColor="text1"/>
          <w:highlight w:val="none"/>
          <w14:textFill>
            <w14:solidFill>
              <w14:schemeClr w14:val="tx1"/>
            </w14:solidFill>
          </w14:textFill>
        </w:rPr>
        <w:t xml:space="preserve">分）：投入的施工材料有详细的组织计划，投入计划与进度计划呼应，基本满足施工需要，调配投入计划基本合理、准确。 </w:t>
      </w:r>
    </w:p>
    <w:p w14:paraId="55CEFD04">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2</w:t>
      </w:r>
      <w:r>
        <w:rPr>
          <w:rFonts w:hint="eastAsia" w:ascii="宋体" w:hAnsi="宋体"/>
          <w:bCs/>
          <w:color w:val="000000" w:themeColor="text1"/>
          <w:highlight w:val="none"/>
          <w14:textFill>
            <w14:solidFill>
              <w14:schemeClr w14:val="tx1"/>
            </w14:solidFill>
          </w14:textFill>
        </w:rPr>
        <w:t xml:space="preserve">分）：投入的施工材料有详细的组织计划，投入计划与进度计划呼应，基本满足施工需要，调配投入计划基本合理。 </w:t>
      </w:r>
    </w:p>
    <w:p w14:paraId="6DF15870">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w:t>
      </w:r>
      <w:r>
        <w:rPr>
          <w:rFonts w:hint="eastAsia" w:ascii="宋体" w:hAnsi="宋体"/>
          <w:bCs/>
          <w:color w:val="000000" w:themeColor="text1"/>
          <w:highlight w:val="none"/>
          <w:lang w:val="en-US" w:eastAsia="zh-CN"/>
          <w14:textFill>
            <w14:solidFill>
              <w14:schemeClr w14:val="tx1"/>
            </w14:solidFill>
          </w14:textFill>
        </w:rPr>
        <w:t>1</w:t>
      </w:r>
      <w:r>
        <w:rPr>
          <w:rFonts w:hint="eastAsia" w:ascii="宋体" w:hAnsi="宋体"/>
          <w:bCs/>
          <w:color w:val="000000" w:themeColor="text1"/>
          <w:highlight w:val="none"/>
          <w14:textFill>
            <w14:solidFill>
              <w14:schemeClr w14:val="tx1"/>
            </w14:solidFill>
          </w14:textFill>
        </w:rPr>
        <w:t>分）：投入的施工材料的组织计划差，投入计划与进度计划不太呼应，不太能满足施工需要。</w:t>
      </w:r>
    </w:p>
    <w:p w14:paraId="3C97EBD0">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（3）劳动力安排计划</w:t>
      </w:r>
      <w:r>
        <w:rPr>
          <w:rFonts w:hint="eastAsia" w:ascii="宋体" w:hAnsi="宋体" w:cs="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5分</w:t>
      </w:r>
      <w:r>
        <w:rPr>
          <w:rFonts w:hint="eastAsia" w:ascii="宋体" w:hAnsi="宋体"/>
          <w:b/>
          <w:color w:val="000000" w:themeColor="text1"/>
          <w:highlight w:val="none"/>
          <w14:textFill>
            <w14:solidFill>
              <w14:schemeClr w14:val="tx1"/>
            </w14:solidFill>
          </w14:textFill>
        </w:rPr>
        <w:tab/>
      </w:r>
    </w:p>
    <w:p w14:paraId="10D40028">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优（5分）：各主要施工工序有详细周密的劳动力安排计划，各工种劳动力安排计划齐全，劳动力投入与进度计划呼应合理，满足施工需要。 </w:t>
      </w:r>
    </w:p>
    <w:p w14:paraId="63CCD9D1">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3</w:t>
      </w:r>
      <w:r>
        <w:rPr>
          <w:rFonts w:hint="eastAsia" w:ascii="宋体" w:hAnsi="宋体"/>
          <w:bCs/>
          <w:color w:val="000000" w:themeColor="text1"/>
          <w:highlight w:val="none"/>
          <w14:textFill>
            <w14:solidFill>
              <w14:schemeClr w14:val="tx1"/>
            </w14:solidFill>
          </w14:textFill>
        </w:rPr>
        <w:t xml:space="preserve">分）：各主要施工工序有详细的劳动力安排计划，有各工种劳动力安排计划，劳动力投入合理，满足施工需要。 </w:t>
      </w:r>
    </w:p>
    <w:p w14:paraId="4C77B12F">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2</w:t>
      </w:r>
      <w:r>
        <w:rPr>
          <w:rFonts w:hint="eastAsia" w:ascii="宋体" w:hAnsi="宋体"/>
          <w:bCs/>
          <w:color w:val="000000" w:themeColor="text1"/>
          <w:highlight w:val="none"/>
          <w14:textFill>
            <w14:solidFill>
              <w14:schemeClr w14:val="tx1"/>
            </w14:solidFill>
          </w14:textFill>
        </w:rPr>
        <w:t xml:space="preserve">分）：各主要施工工序应有劳动力安排计划，有各工种劳动力安排计划，劳动力投入基本合理，基本满足施工需要。 </w:t>
      </w:r>
    </w:p>
    <w:p w14:paraId="3DE0A5FF">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w:t>
      </w:r>
      <w:r>
        <w:rPr>
          <w:rFonts w:hint="eastAsia" w:ascii="宋体" w:hAnsi="宋体"/>
          <w:bCs/>
          <w:color w:val="000000" w:themeColor="text1"/>
          <w:highlight w:val="none"/>
          <w:lang w:val="en-US" w:eastAsia="zh-CN"/>
          <w14:textFill>
            <w14:solidFill>
              <w14:schemeClr w14:val="tx1"/>
            </w14:solidFill>
          </w14:textFill>
        </w:rPr>
        <w:t>1</w:t>
      </w:r>
      <w:r>
        <w:rPr>
          <w:rFonts w:hint="eastAsia" w:ascii="宋体" w:hAnsi="宋体"/>
          <w:bCs/>
          <w:color w:val="000000" w:themeColor="text1"/>
          <w:highlight w:val="none"/>
          <w14:textFill>
            <w14:solidFill>
              <w14:schemeClr w14:val="tx1"/>
            </w14:solidFill>
          </w14:textFill>
        </w:rPr>
        <w:t>分）：各主要施工工序劳动力安排计划不太全，无各工种劳动力安排计划或计划不太全，劳动力投入不太合理，不太能满足施工需要。</w:t>
      </w:r>
    </w:p>
    <w:p w14:paraId="3809FED3">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（4）确保工程质量的技术组织措施</w:t>
      </w:r>
      <w:r>
        <w:rPr>
          <w:rFonts w:hint="eastAsia" w:ascii="宋体" w:hAnsi="宋体" w:cs="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10分</w:t>
      </w:r>
      <w:r>
        <w:rPr>
          <w:rFonts w:hint="eastAsia" w:ascii="宋体" w:hAnsi="宋体"/>
          <w:b/>
          <w:color w:val="000000" w:themeColor="text1"/>
          <w:highlight w:val="none"/>
          <w14:textFill>
            <w14:solidFill>
              <w14:schemeClr w14:val="tx1"/>
            </w14:solidFill>
          </w14:textFill>
        </w:rPr>
        <w:tab/>
      </w:r>
    </w:p>
    <w:p w14:paraId="48D93D28">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优（10分）：有专门的质量技术管理班子和制度，且人员配备合理，制度健全。主要工序有质量技术保证措施和手段，且先进、可行、具体，高于招标文件的质量要求及施工验收规范要求，达到承诺的质量标准。 </w:t>
      </w:r>
    </w:p>
    <w:p w14:paraId="3D19F949">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7</w:t>
      </w:r>
      <w:r>
        <w:rPr>
          <w:rFonts w:hint="eastAsia" w:ascii="宋体" w:hAnsi="宋体"/>
          <w:bCs/>
          <w:color w:val="000000" w:themeColor="text1"/>
          <w:highlight w:val="none"/>
          <w14:textFill>
            <w14:solidFill>
              <w14:schemeClr w14:val="tx1"/>
            </w14:solidFill>
          </w14:textFill>
        </w:rPr>
        <w:t>分）：有专门的质量技术管理班子和制度，且人员配备合理，制度健全。主要工序有质量技术保证措施和手段，自控体系完整，能有效保证技术质量，达到承诺的质量标准。 </w:t>
      </w:r>
    </w:p>
    <w:p w14:paraId="7988271C">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5</w:t>
      </w:r>
      <w:r>
        <w:rPr>
          <w:rFonts w:hint="eastAsia" w:ascii="宋体" w:hAnsi="宋体"/>
          <w:bCs/>
          <w:color w:val="000000" w:themeColor="text1"/>
          <w:highlight w:val="none"/>
          <w14:textFill>
            <w14:solidFill>
              <w14:schemeClr w14:val="tx1"/>
            </w14:solidFill>
          </w14:textFill>
        </w:rPr>
        <w:t>分）：质量技术管理班子人员配备基本合理，制度基本健全。主要工序有质量技术保证措施和手段，能有效保证技术质量，满足招标文件的质量要求。 </w:t>
      </w:r>
    </w:p>
    <w:p w14:paraId="3AA6BE2C">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差（3分）：质量技术管理班子人员配备不太合理，制度不太健全。质量技术保证措施和手段不太可行，质量违约责任承诺不完善。</w:t>
      </w:r>
    </w:p>
    <w:p w14:paraId="4541C664">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（5）确保安全生产的技术组织措施</w:t>
      </w:r>
      <w:r>
        <w:rPr>
          <w:rFonts w:hint="eastAsia" w:ascii="宋体" w:hAnsi="宋体" w:cs="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10分</w:t>
      </w:r>
      <w:r>
        <w:rPr>
          <w:rFonts w:hint="eastAsia" w:ascii="宋体" w:hAnsi="宋体"/>
          <w:b/>
          <w:color w:val="000000" w:themeColor="text1"/>
          <w:highlight w:val="none"/>
          <w14:textFill>
            <w14:solidFill>
              <w14:schemeClr w14:val="tx1"/>
            </w14:solidFill>
          </w14:textFill>
        </w:rPr>
        <w:tab/>
      </w:r>
    </w:p>
    <w:p w14:paraId="7A136B50">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优（10分）：安全人员配备合理；有健全的安全管理制度，各道工序安全技术措施针对性强，符合实际且高于国家有关安全技术标准要求。现场防火、应急救援、社会治安安全措施得力。 </w:t>
      </w:r>
    </w:p>
    <w:p w14:paraId="671E8E2F">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7</w:t>
      </w:r>
      <w:r>
        <w:rPr>
          <w:rFonts w:hint="eastAsia" w:ascii="宋体" w:hAnsi="宋体"/>
          <w:bCs/>
          <w:color w:val="000000" w:themeColor="text1"/>
          <w:highlight w:val="none"/>
          <w14:textFill>
            <w14:solidFill>
              <w14:schemeClr w14:val="tx1"/>
            </w14:solidFill>
          </w14:textFill>
        </w:rPr>
        <w:t xml:space="preserve">分）：安全人员配备合理；有健全的安全管理制度，各道工序安全技术措施符合实际且满足有关安全技术标准要求。现场防火、应急救援、社会治安安全措施合理。 </w:t>
      </w:r>
    </w:p>
    <w:p w14:paraId="63CA6E85">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5</w:t>
      </w:r>
      <w:r>
        <w:rPr>
          <w:rFonts w:hint="eastAsia" w:ascii="宋体" w:hAnsi="宋体"/>
          <w:bCs/>
          <w:color w:val="000000" w:themeColor="text1"/>
          <w:highlight w:val="none"/>
          <w14:textFill>
            <w14:solidFill>
              <w14:schemeClr w14:val="tx1"/>
            </w14:solidFill>
          </w14:textFill>
        </w:rPr>
        <w:t xml:space="preserve">分）：安全人员配备基本合理，安全管理制度基本健全，各道工序安全技术措施基本符合实际，基本满足有关安全技术标准要求。现场防火、应急救援、社会治安安全措施基本合理。 </w:t>
      </w:r>
    </w:p>
    <w:p w14:paraId="7F390E47">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差（3分）：安全人员配备不太合理，安全管理制度不太健全，各道工序安全技术措施基本符合实际，不太能满足有关安全技术标准要求。现场防火、应急救援、社会治安安全措施不太合理。</w:t>
      </w:r>
    </w:p>
    <w:p w14:paraId="597EE568">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（6）确保工期的技术组织措施</w:t>
      </w:r>
      <w:r>
        <w:rPr>
          <w:rFonts w:hint="eastAsia" w:ascii="宋体" w:hAnsi="宋体" w:cs="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10分</w:t>
      </w:r>
      <w:r>
        <w:rPr>
          <w:rFonts w:hint="eastAsia" w:ascii="宋体" w:hAnsi="宋体"/>
          <w:b/>
          <w:color w:val="000000" w:themeColor="text1"/>
          <w:highlight w:val="none"/>
          <w14:textFill>
            <w14:solidFill>
              <w14:schemeClr w14:val="tx1"/>
            </w14:solidFill>
          </w14:textFill>
        </w:rPr>
        <w:tab/>
      </w:r>
    </w:p>
    <w:p w14:paraId="4BFADB17">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优（10分）：有保证工期的具体措施且措施得力。各项计划图表编制详尽周密，安排科学合理，符合本项目施工实际要求。 </w:t>
      </w:r>
    </w:p>
    <w:p w14:paraId="6DBF6391">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7</w:t>
      </w:r>
      <w:r>
        <w:rPr>
          <w:rFonts w:hint="eastAsia" w:ascii="宋体" w:hAnsi="宋体"/>
          <w:bCs/>
          <w:color w:val="000000" w:themeColor="text1"/>
          <w:highlight w:val="none"/>
          <w14:textFill>
            <w14:solidFill>
              <w14:schemeClr w14:val="tx1"/>
            </w14:solidFill>
          </w14:textFill>
        </w:rPr>
        <w:t xml:space="preserve">分）：有保证工期的具体措施且措施得当。各项计划图表编制完善，安排较合理，符合本项目施工实际要求。 </w:t>
      </w:r>
    </w:p>
    <w:p w14:paraId="11DE8073">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5</w:t>
      </w:r>
      <w:r>
        <w:rPr>
          <w:rFonts w:hint="eastAsia" w:ascii="宋体" w:hAnsi="宋体"/>
          <w:bCs/>
          <w:color w:val="000000" w:themeColor="text1"/>
          <w:highlight w:val="none"/>
          <w14:textFill>
            <w14:solidFill>
              <w14:schemeClr w14:val="tx1"/>
            </w14:solidFill>
          </w14:textFill>
        </w:rPr>
        <w:t xml:space="preserve">分）：有保证工期的具体措施，措施基本得当。各项计划图表编制基本齐全，安排基本合理，基本符合本项目施工实际要求。 </w:t>
      </w:r>
    </w:p>
    <w:p w14:paraId="05A9C9A7">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差（3分）：有保证工期的具体措施。各项计划图表编制不太完善，安排不太合理，不太能满足本项目施工实际要求。</w:t>
      </w:r>
    </w:p>
    <w:p w14:paraId="21E20490">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（7）确保文明施工的技术组织措施</w:t>
      </w:r>
      <w:r>
        <w:rPr>
          <w:rFonts w:hint="eastAsia" w:ascii="宋体" w:hAnsi="宋体" w:cs="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10分</w:t>
      </w:r>
      <w:r>
        <w:rPr>
          <w:rFonts w:hint="eastAsia" w:ascii="宋体" w:hAnsi="宋体"/>
          <w:b/>
          <w:color w:val="000000" w:themeColor="text1"/>
          <w:highlight w:val="none"/>
          <w14:textFill>
            <w14:solidFill>
              <w14:schemeClr w14:val="tx1"/>
            </w14:solidFill>
          </w14:textFill>
        </w:rPr>
        <w:tab/>
      </w:r>
    </w:p>
    <w:p w14:paraId="048BE1E3">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优（10 分）：针对本工程项目特点，有现场文明施工、环境保护措施， 且措施符合国家、行业、地方标准和要求；有具体实现现场文明施工目标的工作计划和实施承诺，而且各项措施科学、具体、得力的。</w:t>
      </w:r>
    </w:p>
    <w:p w14:paraId="3136C5E0">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良（7分）：针对本工程项目特点，有现场文明施工、环境保护措施，且措施符合国家、行业、地方标准和要求；有具体实现现场文明施工目标的承诺，而且各项措施周全、具体、有效的。</w:t>
      </w:r>
    </w:p>
    <w:p w14:paraId="521B6225">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中（5分）：有现场文明施工、环境保护措施，且措施符合国家、行业、地方标准和要求；有具体实现现场文明施工目标的承诺，而且各项措施基本全面、具体、有效的。</w:t>
      </w:r>
    </w:p>
    <w:p w14:paraId="581CEB2D">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差（3 分）：有现场文明施工、环境保护措施，且措施符合国家、行业、地方标准和要求，无现场文明施工目标的承诺。</w:t>
      </w:r>
    </w:p>
    <w:p w14:paraId="794B43DC">
      <w:pPr>
        <w:numPr>
          <w:ilvl w:val="0"/>
          <w:numId w:val="1"/>
        </w:numPr>
        <w:adjustRightInd w:val="0"/>
        <w:snapToGrid w:val="0"/>
        <w:spacing w:line="360" w:lineRule="auto"/>
        <w:ind w:firstLine="422" w:firstLineChars="200"/>
        <w:rPr>
          <w:rFonts w:hint="eastAsia" w:ascii="宋体" w:hAnsi="宋体"/>
          <w:bCs/>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工程施工的重点和难点及保证措施</w:t>
      </w:r>
      <w:r>
        <w:rPr>
          <w:rFonts w:hint="eastAsia" w:ascii="宋体" w:hAnsi="宋体" w:cs="宋体"/>
          <w:b/>
          <w:color w:val="000000" w:themeColor="text1"/>
          <w:highlight w:val="none"/>
          <w14:textFill>
            <w14:solidFill>
              <w14:schemeClr w14:val="tx1"/>
            </w14:solidFill>
          </w14:textFill>
        </w:rPr>
        <w:t>………………………………………5</w:t>
      </w:r>
      <w:r>
        <w:rPr>
          <w:rFonts w:hint="eastAsia" w:ascii="宋体" w:hAnsi="宋体"/>
          <w:b/>
          <w:color w:val="000000" w:themeColor="text1"/>
          <w:highlight w:val="none"/>
          <w14:textFill>
            <w14:solidFill>
              <w14:schemeClr w14:val="tx1"/>
            </w14:solidFill>
          </w14:textFill>
        </w:rPr>
        <w:t>分</w:t>
      </w:r>
      <w:r>
        <w:rPr>
          <w:rFonts w:hint="eastAsia" w:ascii="宋体" w:hAnsi="宋体"/>
          <w:bCs/>
          <w:color w:val="000000" w:themeColor="text1"/>
          <w:highlight w:val="none"/>
          <w14:textFill>
            <w14:solidFill>
              <w14:schemeClr w14:val="tx1"/>
            </w14:solidFill>
          </w14:textFill>
        </w:rPr>
        <w:tab/>
      </w:r>
    </w:p>
    <w:p w14:paraId="40144D03">
      <w:pPr>
        <w:numPr>
          <w:ilvl w:val="0"/>
          <w:numId w:val="0"/>
        </w:num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优（5分）：对项目关键技术、工艺有深入的表述。对重点、难点有先进合理的施工措施并有可行的安全措施，解决方案完整、经济、安全、切实可行，措施得力。 </w:t>
      </w:r>
    </w:p>
    <w:p w14:paraId="3E543FCB">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良（</w:t>
      </w:r>
      <w:r>
        <w:rPr>
          <w:rFonts w:hint="eastAsia" w:ascii="宋体" w:hAnsi="宋体"/>
          <w:bCs/>
          <w:color w:val="000000" w:themeColor="text1"/>
          <w:highlight w:val="none"/>
          <w:lang w:val="en-US" w:eastAsia="zh-CN"/>
          <w14:textFill>
            <w14:solidFill>
              <w14:schemeClr w14:val="tx1"/>
            </w14:solidFill>
          </w14:textFill>
        </w:rPr>
        <w:t>3</w:t>
      </w:r>
      <w:r>
        <w:rPr>
          <w:rFonts w:hint="eastAsia" w:ascii="宋体" w:hAnsi="宋体"/>
          <w:bCs/>
          <w:color w:val="000000" w:themeColor="text1"/>
          <w:highlight w:val="none"/>
          <w14:textFill>
            <w14:solidFill>
              <w14:schemeClr w14:val="tx1"/>
            </w14:solidFill>
          </w14:textFill>
        </w:rPr>
        <w:t xml:space="preserve">分）：对项目关键技术、工艺有深入的表述，对重点、难点有合理的建议，解决方案经济、安全、基本可行。 </w:t>
      </w:r>
    </w:p>
    <w:p w14:paraId="3674BF5B">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中（</w:t>
      </w:r>
      <w:r>
        <w:rPr>
          <w:rFonts w:hint="eastAsia" w:ascii="宋体" w:hAnsi="宋体"/>
          <w:bCs/>
          <w:color w:val="000000" w:themeColor="text1"/>
          <w:highlight w:val="none"/>
          <w:lang w:val="en-US" w:eastAsia="zh-CN"/>
          <w14:textFill>
            <w14:solidFill>
              <w14:schemeClr w14:val="tx1"/>
            </w14:solidFill>
          </w14:textFill>
        </w:rPr>
        <w:t>2</w:t>
      </w:r>
      <w:r>
        <w:rPr>
          <w:rFonts w:hint="eastAsia" w:ascii="宋体" w:hAnsi="宋体"/>
          <w:bCs/>
          <w:color w:val="000000" w:themeColor="text1"/>
          <w:highlight w:val="none"/>
          <w14:textFill>
            <w14:solidFill>
              <w14:schemeClr w14:val="tx1"/>
            </w14:solidFill>
          </w14:textFill>
        </w:rPr>
        <w:t xml:space="preserve">分）：对项目关键技术有一定了解，对重点、难点有建议，解决方案基本可行。 </w:t>
      </w:r>
    </w:p>
    <w:p w14:paraId="2E31CFAA">
      <w:pPr>
        <w:adjustRightInd w:val="0"/>
        <w:snapToGrid w:val="0"/>
        <w:spacing w:line="360" w:lineRule="auto"/>
        <w:ind w:firstLine="420" w:firstLineChars="20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差（</w:t>
      </w:r>
      <w:r>
        <w:rPr>
          <w:rFonts w:hint="eastAsia" w:ascii="宋体" w:hAnsi="宋体"/>
          <w:bCs/>
          <w:color w:val="000000" w:themeColor="text1"/>
          <w:highlight w:val="none"/>
          <w:lang w:val="en-US" w:eastAsia="zh-CN"/>
          <w14:textFill>
            <w14:solidFill>
              <w14:schemeClr w14:val="tx1"/>
            </w14:solidFill>
          </w14:textFill>
        </w:rPr>
        <w:t>1</w:t>
      </w:r>
      <w:r>
        <w:rPr>
          <w:rFonts w:hint="eastAsia" w:ascii="宋体" w:hAnsi="宋体"/>
          <w:bCs/>
          <w:color w:val="000000" w:themeColor="text1"/>
          <w:highlight w:val="none"/>
          <w14:textFill>
            <w14:solidFill>
              <w14:schemeClr w14:val="tx1"/>
            </w14:solidFill>
          </w14:textFill>
        </w:rPr>
        <w:t>分）：对项目关键技术有表述，对重点、难点有建议，解决方案不太可行。</w:t>
      </w:r>
    </w:p>
    <w:p w14:paraId="76FEB008">
      <w:pPr>
        <w:adjustRightInd w:val="0"/>
        <w:snapToGrid w:val="0"/>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2.</w:t>
      </w:r>
      <w:r>
        <w:rPr>
          <w:rFonts w:hint="eastAsia" w:ascii="宋体" w:hAnsi="宋体"/>
          <w:b/>
          <w:color w:val="000000" w:themeColor="text1"/>
          <w:highlight w:val="none"/>
          <w:lang w:eastAsia="zh-CN"/>
          <w14:textFill>
            <w14:solidFill>
              <w14:schemeClr w14:val="tx1"/>
            </w14:solidFill>
          </w14:textFill>
        </w:rPr>
        <w:t>业绩</w:t>
      </w:r>
      <w:r>
        <w:rPr>
          <w:rFonts w:hint="eastAsia" w:ascii="宋体" w:hAnsi="宋体"/>
          <w:b/>
          <w:color w:val="000000" w:themeColor="text1"/>
          <w:highlight w:val="none"/>
          <w14:textFill>
            <w14:solidFill>
              <w14:schemeClr w14:val="tx1"/>
            </w14:solidFill>
          </w14:textFill>
        </w:rPr>
        <w:t>分…………………………………………………………………………5分</w:t>
      </w:r>
    </w:p>
    <w:p w14:paraId="642EAE5B">
      <w:pPr>
        <w:adjustRightInd w:val="0"/>
        <w:snapToGrid w:val="0"/>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（1）自</w:t>
      </w:r>
      <w:r>
        <w:rPr>
          <w:rFonts w:hint="eastAsia" w:ascii="宋体" w:hAnsi="宋体"/>
          <w:color w:val="000000" w:themeColor="text1"/>
          <w:highlight w:val="none"/>
          <w:lang w:val="en-US" w:eastAsia="zh-CN"/>
          <w14:textFill>
            <w14:solidFill>
              <w14:schemeClr w14:val="tx1"/>
            </w14:solidFill>
          </w14:textFill>
        </w:rPr>
        <w:t>2023年1月1日至截标时间止</w:t>
      </w:r>
      <w:r>
        <w:rPr>
          <w:rFonts w:hint="eastAsia" w:ascii="宋体" w:hAnsi="宋体"/>
          <w:color w:val="000000" w:themeColor="text1"/>
          <w:highlight w:val="none"/>
          <w14:textFill>
            <w14:solidFill>
              <w14:schemeClr w14:val="tx1"/>
            </w14:solidFill>
          </w14:textFill>
        </w:rPr>
        <w:t>磋商人承担过类似项目业绩的，每项得</w:t>
      </w:r>
      <w:r>
        <w:rPr>
          <w:rFonts w:hint="eastAsia" w:ascii="宋体" w:hAnsi="宋体"/>
          <w:color w:val="000000" w:themeColor="text1"/>
          <w:highlight w:val="none"/>
          <w:lang w:val="en-US" w:eastAsia="zh-CN"/>
          <w14:textFill>
            <w14:solidFill>
              <w14:schemeClr w14:val="tx1"/>
            </w14:solidFill>
          </w14:textFill>
        </w:rPr>
        <w:t>2.5</w:t>
      </w:r>
      <w:r>
        <w:rPr>
          <w:rFonts w:hint="eastAsia" w:ascii="宋体" w:hAnsi="宋体"/>
          <w:color w:val="000000" w:themeColor="text1"/>
          <w:highlight w:val="none"/>
          <w14:textFill>
            <w14:solidFill>
              <w14:schemeClr w14:val="tx1"/>
            </w14:solidFill>
          </w14:textFill>
        </w:rPr>
        <w:t>分，满分</w:t>
      </w:r>
      <w:r>
        <w:rPr>
          <w:rFonts w:hint="eastAsia" w:ascii="宋体" w:hAnsi="宋体"/>
          <w:color w:val="000000" w:themeColor="text1"/>
          <w:highlight w:val="none"/>
          <w:lang w:val="en-US" w:eastAsia="zh-CN"/>
          <w14:textFill>
            <w14:solidFill>
              <w14:schemeClr w14:val="tx1"/>
            </w14:solidFill>
          </w14:textFill>
        </w:rPr>
        <w:t>5</w:t>
      </w:r>
      <w:r>
        <w:rPr>
          <w:rFonts w:hint="eastAsia" w:ascii="宋体" w:hAnsi="宋体"/>
          <w:color w:val="000000" w:themeColor="text1"/>
          <w:highlight w:val="none"/>
          <w14:textFill>
            <w14:solidFill>
              <w14:schemeClr w14:val="tx1"/>
            </w14:solidFill>
          </w14:textFill>
        </w:rPr>
        <w:t>分。【以有效中标（成交）通知书复印件或合同复印件或竣工验收意见书复印件为准并加盖供应商公章，否则不得分。】</w:t>
      </w:r>
    </w:p>
    <w:p w14:paraId="4F6F95D7">
      <w:pPr>
        <w:pStyle w:val="25"/>
        <w:spacing w:line="360" w:lineRule="exact"/>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（三）总得分 =（一）+（二）</w:t>
      </w:r>
    </w:p>
    <w:p w14:paraId="0AA59795">
      <w:pPr>
        <w:pStyle w:val="25"/>
        <w:spacing w:line="360" w:lineRule="exact"/>
        <w:rPr>
          <w:rFonts w:hAnsi="宋体" w:cs="宋体"/>
          <w:color w:val="000000" w:themeColor="text1"/>
          <w:sz w:val="21"/>
          <w:highlight w:val="none"/>
          <w14:textFill>
            <w14:solidFill>
              <w14:schemeClr w14:val="tx1"/>
            </w14:solidFill>
          </w14:textFill>
        </w:rPr>
      </w:pPr>
    </w:p>
    <w:p w14:paraId="201D89E5">
      <w:pPr>
        <w:pStyle w:val="2"/>
        <w:jc w:val="center"/>
        <w:outlineLvl w:val="9"/>
        <w:rPr>
          <w:rFonts w:hint="eastAsia"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br w:type="page"/>
      </w:r>
    </w:p>
    <w:p w14:paraId="5E7A2DE9">
      <w:pPr>
        <w:keepNext/>
        <w:keepLines/>
        <w:widowControl w:val="0"/>
        <w:spacing w:before="340" w:after="330" w:line="578" w:lineRule="auto"/>
        <w:jc w:val="center"/>
        <w:outlineLvl w:val="9"/>
        <w:rPr>
          <w:rFonts w:hint="eastAsia" w:ascii="宋体" w:hAnsi="宋体" w:eastAsia="宋体" w:cs="宋体"/>
          <w:b/>
          <w:bCs/>
          <w:color w:val="000000" w:themeColor="text1"/>
          <w:kern w:val="44"/>
          <w:sz w:val="44"/>
          <w:szCs w:val="44"/>
          <w:highlight w:val="none"/>
          <w:lang w:val="en-US" w:eastAsia="zh-CN" w:bidi="ar-SA"/>
          <w14:textFill>
            <w14:solidFill>
              <w14:schemeClr w14:val="tx1"/>
            </w14:solidFill>
          </w14:textFill>
        </w:rPr>
      </w:pPr>
    </w:p>
    <w:p w14:paraId="647BA69C">
      <w:pPr>
        <w:keepNext/>
        <w:keepLines/>
        <w:widowControl w:val="0"/>
        <w:spacing w:before="340" w:after="330" w:line="578" w:lineRule="auto"/>
        <w:jc w:val="center"/>
        <w:outlineLvl w:val="9"/>
        <w:rPr>
          <w:rFonts w:hint="eastAsia" w:ascii="宋体" w:hAnsi="宋体" w:eastAsia="宋体" w:cs="宋体"/>
          <w:b/>
          <w:bCs/>
          <w:color w:val="000000" w:themeColor="text1"/>
          <w:kern w:val="44"/>
          <w:sz w:val="44"/>
          <w:szCs w:val="44"/>
          <w:highlight w:val="none"/>
          <w:lang w:val="en-US" w:eastAsia="zh-CN" w:bidi="ar-SA"/>
          <w14:textFill>
            <w14:solidFill>
              <w14:schemeClr w14:val="tx1"/>
            </w14:solidFill>
          </w14:textFill>
        </w:rPr>
      </w:pPr>
    </w:p>
    <w:p w14:paraId="25BABE7C">
      <w:pPr>
        <w:rPr>
          <w:color w:val="000000" w:themeColor="text1"/>
          <w:highlight w:val="none"/>
          <w14:textFill>
            <w14:solidFill>
              <w14:schemeClr w14:val="tx1"/>
            </w14:solidFill>
          </w14:textFill>
        </w:rPr>
      </w:pPr>
    </w:p>
    <w:p w14:paraId="0AC6AF42">
      <w:pPr>
        <w:pStyle w:val="2"/>
        <w:jc w:val="center"/>
        <w:rPr>
          <w:color w:val="000000" w:themeColor="text1"/>
          <w:highlight w:val="none"/>
          <w14:textFill>
            <w14:solidFill>
              <w14:schemeClr w14:val="tx1"/>
            </w14:solidFill>
          </w14:textFill>
        </w:rPr>
      </w:pPr>
      <w:bookmarkStart w:id="95" w:name="_Toc15461"/>
      <w:bookmarkStart w:id="96" w:name="_Toc11641"/>
      <w:bookmarkStart w:id="97" w:name="_Toc10955"/>
      <w:r>
        <w:rPr>
          <w:rFonts w:hint="eastAsia"/>
          <w:color w:val="000000" w:themeColor="text1"/>
          <w:highlight w:val="none"/>
          <w14:textFill>
            <w14:solidFill>
              <w14:schemeClr w14:val="tx1"/>
            </w14:solidFill>
          </w14:textFill>
        </w:rPr>
        <w:t>第五章 工程量清单及图纸</w:t>
      </w:r>
      <w:bookmarkEnd w:id="95"/>
      <w:bookmarkEnd w:id="96"/>
      <w:bookmarkEnd w:id="97"/>
    </w:p>
    <w:p w14:paraId="740FF908">
      <w:pPr>
        <w:keepNext/>
        <w:keepLines/>
        <w:widowControl w:val="0"/>
        <w:spacing w:before="340" w:after="330" w:line="578" w:lineRule="auto"/>
        <w:jc w:val="center"/>
        <w:outlineLvl w:val="9"/>
        <w:rPr>
          <w:rFonts w:ascii="Times New Roman" w:hAnsi="Times New Roman" w:eastAsia="宋体" w:cs="Times New Roman"/>
          <w:b/>
          <w:bCs/>
          <w:color w:val="000000" w:themeColor="text1"/>
          <w:kern w:val="44"/>
          <w:sz w:val="44"/>
          <w:szCs w:val="44"/>
          <w:highlight w:val="none"/>
          <w:lang w:val="en-US" w:eastAsia="zh-CN" w:bidi="ar-SA"/>
          <w14:textFill>
            <w14:solidFill>
              <w14:schemeClr w14:val="tx1"/>
            </w14:solidFill>
          </w14:textFill>
        </w:rPr>
      </w:pPr>
    </w:p>
    <w:p w14:paraId="511309ED">
      <w:pPr>
        <w:pStyle w:val="2"/>
        <w:spacing w:before="0" w:after="0" w:line="360" w:lineRule="auto"/>
        <w:jc w:val="center"/>
        <w:outlineLvl w:val="9"/>
        <w:rPr>
          <w:rFonts w:hint="eastAsia" w:ascii="宋体" w:hAnsi="宋体" w:cs="宋体"/>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br w:type="page"/>
      </w:r>
    </w:p>
    <w:p w14:paraId="13C66B73">
      <w:pPr>
        <w:pStyle w:val="4"/>
        <w:spacing w:before="0" w:after="0" w:line="360" w:lineRule="auto"/>
        <w:outlineLvl w:val="1"/>
        <w:rPr>
          <w:rFonts w:hint="default" w:eastAsia="宋体"/>
          <w:color w:val="000000" w:themeColor="text1"/>
          <w:highlight w:val="none"/>
          <w:lang w:val="en-US" w:eastAsia="zh-CN"/>
          <w14:textFill>
            <w14:solidFill>
              <w14:schemeClr w14:val="tx1"/>
            </w14:solidFill>
          </w14:textFill>
        </w:rPr>
      </w:pPr>
      <w:bookmarkStart w:id="98" w:name="_Toc10568"/>
      <w:bookmarkStart w:id="99" w:name="_Toc122424006"/>
      <w:bookmarkStart w:id="100" w:name="_Toc10850"/>
      <w:bookmarkStart w:id="101" w:name="_Toc27318"/>
      <w:bookmarkStart w:id="102" w:name="_Toc122424255"/>
      <w:bookmarkStart w:id="103" w:name="_Toc2117366857"/>
      <w:bookmarkStart w:id="104" w:name="bookmark1942"/>
      <w:bookmarkStart w:id="105" w:name="_Toc31914"/>
      <w:bookmarkStart w:id="106" w:name="bookmark1943"/>
      <w:bookmarkStart w:id="107" w:name="bookmark1945"/>
      <w:r>
        <w:rPr>
          <w:rFonts w:hint="eastAsia"/>
          <w:color w:val="000000" w:themeColor="text1"/>
          <w:highlight w:val="none"/>
          <w14:textFill>
            <w14:solidFill>
              <w14:schemeClr w14:val="tx1"/>
            </w14:solidFill>
          </w14:textFill>
        </w:rPr>
        <w:t>1. 工程量清单说明</w:t>
      </w:r>
      <w:bookmarkEnd w:id="98"/>
      <w:bookmarkEnd w:id="99"/>
      <w:bookmarkEnd w:id="100"/>
      <w:bookmarkEnd w:id="101"/>
      <w:bookmarkEnd w:id="102"/>
      <w:bookmarkEnd w:id="103"/>
      <w:bookmarkEnd w:id="104"/>
      <w:bookmarkEnd w:id="105"/>
      <w:bookmarkEnd w:id="106"/>
      <w:bookmarkEnd w:id="107"/>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如有）</w:t>
      </w:r>
    </w:p>
    <w:p w14:paraId="374F4206">
      <w:pPr>
        <w:spacing w:line="360" w:lineRule="auto"/>
        <w:outlineLvl w:val="2"/>
        <w:rPr>
          <w:rFonts w:hint="eastAsia" w:ascii="宋体" w:hAnsi="宋体"/>
          <w:b/>
          <w:color w:val="000000" w:themeColor="text1"/>
          <w:sz w:val="30"/>
          <w:szCs w:val="30"/>
          <w:highlight w:val="none"/>
          <w14:textFill>
            <w14:solidFill>
              <w14:schemeClr w14:val="tx1"/>
            </w14:solidFill>
          </w14:textFill>
        </w:rPr>
      </w:pPr>
      <w:bookmarkStart w:id="108" w:name="bookmark1952"/>
      <w:bookmarkEnd w:id="108"/>
      <w:bookmarkStart w:id="109" w:name="bookmark1953"/>
      <w:bookmarkStart w:id="110" w:name="_Toc12048"/>
      <w:bookmarkStart w:id="111" w:name="_Toc26458"/>
      <w:bookmarkStart w:id="112" w:name="_Toc17246"/>
      <w:bookmarkStart w:id="113" w:name="_Toc111540483"/>
      <w:bookmarkStart w:id="114" w:name="_Toc122424256"/>
      <w:bookmarkStart w:id="115" w:name="bookmark1950"/>
      <w:bookmarkStart w:id="116" w:name="_Toc30126"/>
      <w:bookmarkStart w:id="117" w:name="bookmark1951"/>
      <w:bookmarkStart w:id="118" w:name="_Toc122424007"/>
      <w:r>
        <w:rPr>
          <w:rFonts w:hint="eastAsia" w:ascii="Times New Roman" w:hAnsi="Times New Roman" w:eastAsia="宋体" w:cs="Times New Roman"/>
          <w:b/>
          <w:bCs/>
          <w:color w:val="000000" w:themeColor="text1"/>
          <w:kern w:val="2"/>
          <w:sz w:val="32"/>
          <w:szCs w:val="32"/>
          <w:highlight w:val="none"/>
          <w:lang w:val="en-US" w:eastAsia="zh-CN" w:bidi="ar-SA"/>
          <w14:textFill>
            <w14:solidFill>
              <w14:schemeClr w14:val="tx1"/>
            </w14:solidFill>
          </w14:textFill>
        </w:rPr>
        <w:t xml:space="preserve">2. </w:t>
      </w:r>
      <w:bookmarkEnd w:id="109"/>
      <w:bookmarkEnd w:id="110"/>
      <w:bookmarkEnd w:id="111"/>
      <w:bookmarkEnd w:id="112"/>
      <w:bookmarkEnd w:id="113"/>
      <w:bookmarkEnd w:id="114"/>
      <w:bookmarkEnd w:id="115"/>
      <w:bookmarkEnd w:id="116"/>
      <w:bookmarkEnd w:id="117"/>
      <w:bookmarkEnd w:id="118"/>
      <w:bookmarkStart w:id="119" w:name="bookmark1954"/>
      <w:bookmarkStart w:id="120" w:name="bookmark1956"/>
      <w:bookmarkStart w:id="121" w:name="bookmark1955"/>
      <w:r>
        <w:rPr>
          <w:rFonts w:hint="eastAsia" w:ascii="Times New Roman" w:hAnsi="Times New Roman" w:eastAsia="宋体" w:cs="Times New Roman"/>
          <w:b/>
          <w:bCs/>
          <w:color w:val="000000" w:themeColor="text1"/>
          <w:kern w:val="2"/>
          <w:sz w:val="32"/>
          <w:szCs w:val="32"/>
          <w:highlight w:val="none"/>
          <w:lang w:val="en-US" w:eastAsia="zh-CN" w:bidi="ar-SA"/>
          <w14:textFill>
            <w14:solidFill>
              <w14:schemeClr w14:val="tx1"/>
            </w14:solidFill>
          </w14:textFill>
        </w:rPr>
        <w:t>工程量</w:t>
      </w:r>
      <w:r>
        <w:rPr>
          <w:rFonts w:ascii="宋体" w:hAnsi="宋体"/>
          <w:b/>
          <w:color w:val="000000" w:themeColor="text1"/>
          <w:sz w:val="30"/>
          <w:szCs w:val="30"/>
          <w:highlight w:val="none"/>
          <w14:textFill>
            <w14:solidFill>
              <w14:schemeClr w14:val="tx1"/>
            </w14:solidFill>
          </w14:textFill>
        </w:rPr>
        <w:t>清单报价表组成</w:t>
      </w:r>
      <w:bookmarkEnd w:id="119"/>
      <w:bookmarkEnd w:id="120"/>
      <w:bookmarkEnd w:id="121"/>
    </w:p>
    <w:p w14:paraId="7AC46A9E">
      <w:pPr>
        <w:pStyle w:val="98"/>
        <w:ind w:firstLine="42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工程量清单报价表</w:t>
      </w:r>
      <w:r>
        <w:rPr>
          <w:rFonts w:hint="eastAsia" w:ascii="Times New Roman" w:hAnsi="Times New Roman" w:cs="Times New Roman"/>
          <w:color w:val="000000" w:themeColor="text1"/>
          <w:highlight w:val="none"/>
          <w:lang w:eastAsia="zh-CN"/>
          <w14:textFill>
            <w14:solidFill>
              <w14:schemeClr w14:val="tx1"/>
            </w14:solidFill>
          </w14:textFill>
        </w:rPr>
        <w:t>（具体以另外发出的工程量清单为准）</w:t>
      </w:r>
    </w:p>
    <w:p w14:paraId="59BA65B1">
      <w:pPr>
        <w:pStyle w:val="4"/>
        <w:spacing w:before="0" w:after="0" w:line="360" w:lineRule="auto"/>
        <w:outlineLvl w:val="1"/>
        <w:rPr>
          <w:color w:val="000000" w:themeColor="text1"/>
          <w:highlight w:val="none"/>
          <w14:textFill>
            <w14:solidFill>
              <w14:schemeClr w14:val="tx1"/>
            </w14:solidFill>
          </w14:textFill>
        </w:rPr>
      </w:pPr>
      <w:bookmarkStart w:id="122" w:name="bookmark2000"/>
      <w:bookmarkEnd w:id="122"/>
      <w:bookmarkStart w:id="123" w:name="bookmark1957"/>
      <w:bookmarkEnd w:id="123"/>
      <w:bookmarkStart w:id="124" w:name="_Toc26343"/>
      <w:bookmarkStart w:id="125" w:name="bookmark1999"/>
      <w:bookmarkStart w:id="126" w:name="bookmark2001"/>
      <w:bookmarkStart w:id="127" w:name="_Toc27429"/>
      <w:bookmarkStart w:id="128" w:name="_Toc122424008"/>
      <w:bookmarkStart w:id="129" w:name="_Toc22503"/>
      <w:bookmarkStart w:id="130" w:name="bookmark1998"/>
      <w:bookmarkStart w:id="131" w:name="_Toc665689976"/>
      <w:bookmarkStart w:id="132" w:name="_Toc122424257"/>
      <w:bookmarkStart w:id="133" w:name="_Toc29123"/>
      <w:r>
        <w:rPr>
          <w:rFonts w:hint="eastAsia"/>
          <w:color w:val="000000" w:themeColor="text1"/>
          <w:highlight w:val="none"/>
          <w14:textFill>
            <w14:solidFill>
              <w14:schemeClr w14:val="tx1"/>
            </w14:solidFill>
          </w14:textFill>
        </w:rPr>
        <w:t>3. 工程量清单及控制价</w:t>
      </w:r>
      <w:bookmarkEnd w:id="124"/>
      <w:bookmarkEnd w:id="125"/>
      <w:bookmarkEnd w:id="126"/>
      <w:bookmarkEnd w:id="127"/>
      <w:bookmarkEnd w:id="128"/>
      <w:bookmarkEnd w:id="129"/>
      <w:bookmarkEnd w:id="130"/>
      <w:bookmarkEnd w:id="131"/>
      <w:bookmarkEnd w:id="132"/>
      <w:bookmarkEnd w:id="133"/>
    </w:p>
    <w:p w14:paraId="467FA325">
      <w:pPr>
        <w:pStyle w:val="98"/>
        <w:tabs>
          <w:tab w:val="left" w:pos="916"/>
        </w:tabs>
        <w:ind w:firstLine="44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采购人确定（或由当地财政部门审定）并按规定公布总价（招标控制价）、分类分项目工程量清单（含工程量数量）、以及考核主要单价清单。</w:t>
      </w:r>
    </w:p>
    <w:p w14:paraId="45B1C8A7">
      <w:pPr>
        <w:pStyle w:val="4"/>
        <w:spacing w:before="0" w:after="0" w:line="360" w:lineRule="auto"/>
        <w:outlineLvl w:val="1"/>
        <w:rPr>
          <w:color w:val="000000" w:themeColor="text1"/>
          <w:highlight w:val="none"/>
          <w14:textFill>
            <w14:solidFill>
              <w14:schemeClr w14:val="tx1"/>
            </w14:solidFill>
          </w14:textFill>
        </w:rPr>
      </w:pPr>
      <w:bookmarkStart w:id="134" w:name="_Toc122424258"/>
      <w:bookmarkStart w:id="135" w:name="_Toc11932"/>
      <w:bookmarkStart w:id="136" w:name="_Toc122424009"/>
      <w:r>
        <w:rPr>
          <w:rFonts w:hint="eastAsia"/>
          <w:color w:val="000000" w:themeColor="text1"/>
          <w:highlight w:val="none"/>
          <w14:textFill>
            <w14:solidFill>
              <w14:schemeClr w14:val="tx1"/>
            </w14:solidFill>
          </w14:textFill>
        </w:rPr>
        <w:t>4. 图纸（另册）</w:t>
      </w:r>
      <w:bookmarkEnd w:id="134"/>
      <w:bookmarkEnd w:id="135"/>
      <w:bookmarkEnd w:id="136"/>
    </w:p>
    <w:p w14:paraId="0E1F45D5">
      <w:pPr>
        <w:pStyle w:val="4"/>
        <w:spacing w:before="0" w:after="0" w:line="360" w:lineRule="auto"/>
        <w:outlineLvl w:val="9"/>
        <w:rPr>
          <w:color w:val="000000" w:themeColor="text1"/>
          <w:highlight w:val="none"/>
          <w14:textFill>
            <w14:solidFill>
              <w14:schemeClr w14:val="tx1"/>
            </w14:solidFill>
          </w14:textFill>
        </w:rPr>
      </w:pPr>
      <w:r>
        <w:rPr>
          <w:rFonts w:cs="黑体"/>
          <w:color w:val="000000" w:themeColor="text1"/>
          <w:highlight w:val="none"/>
          <w14:textFill>
            <w14:solidFill>
              <w14:schemeClr w14:val="tx1"/>
            </w14:solidFill>
          </w14:textFill>
        </w:rPr>
        <w:br w:type="page"/>
      </w:r>
    </w:p>
    <w:p w14:paraId="23430D53">
      <w:pPr>
        <w:rPr>
          <w:color w:val="000000" w:themeColor="text1"/>
          <w:highlight w:val="none"/>
          <w14:textFill>
            <w14:solidFill>
              <w14:schemeClr w14:val="tx1"/>
            </w14:solidFill>
          </w14:textFill>
        </w:rPr>
      </w:pPr>
    </w:p>
    <w:p w14:paraId="003DA2BE">
      <w:pPr>
        <w:rPr>
          <w:color w:val="000000" w:themeColor="text1"/>
          <w:highlight w:val="none"/>
          <w14:textFill>
            <w14:solidFill>
              <w14:schemeClr w14:val="tx1"/>
            </w14:solidFill>
          </w14:textFill>
        </w:rPr>
      </w:pPr>
    </w:p>
    <w:p w14:paraId="5CE2D174">
      <w:pPr>
        <w:rPr>
          <w:color w:val="000000" w:themeColor="text1"/>
          <w:highlight w:val="none"/>
          <w14:textFill>
            <w14:solidFill>
              <w14:schemeClr w14:val="tx1"/>
            </w14:solidFill>
          </w14:textFill>
        </w:rPr>
      </w:pPr>
    </w:p>
    <w:p w14:paraId="79BFE747">
      <w:pPr>
        <w:rPr>
          <w:color w:val="000000" w:themeColor="text1"/>
          <w:highlight w:val="none"/>
          <w14:textFill>
            <w14:solidFill>
              <w14:schemeClr w14:val="tx1"/>
            </w14:solidFill>
          </w14:textFill>
        </w:rPr>
      </w:pPr>
    </w:p>
    <w:p w14:paraId="653EE365">
      <w:pPr>
        <w:rPr>
          <w:color w:val="000000" w:themeColor="text1"/>
          <w:highlight w:val="none"/>
          <w14:textFill>
            <w14:solidFill>
              <w14:schemeClr w14:val="tx1"/>
            </w14:solidFill>
          </w14:textFill>
        </w:rPr>
      </w:pPr>
    </w:p>
    <w:p w14:paraId="1001C4EF">
      <w:pPr>
        <w:rPr>
          <w:color w:val="000000" w:themeColor="text1"/>
          <w:highlight w:val="none"/>
          <w14:textFill>
            <w14:solidFill>
              <w14:schemeClr w14:val="tx1"/>
            </w14:solidFill>
          </w14:textFill>
        </w:rPr>
      </w:pPr>
    </w:p>
    <w:p w14:paraId="5359362A">
      <w:pPr>
        <w:rPr>
          <w:color w:val="000000" w:themeColor="text1"/>
          <w:highlight w:val="none"/>
          <w14:textFill>
            <w14:solidFill>
              <w14:schemeClr w14:val="tx1"/>
            </w14:solidFill>
          </w14:textFill>
        </w:rPr>
      </w:pPr>
    </w:p>
    <w:p w14:paraId="6271ED57">
      <w:pPr>
        <w:rPr>
          <w:color w:val="000000" w:themeColor="text1"/>
          <w:highlight w:val="none"/>
          <w14:textFill>
            <w14:solidFill>
              <w14:schemeClr w14:val="tx1"/>
            </w14:solidFill>
          </w14:textFill>
        </w:rPr>
      </w:pPr>
    </w:p>
    <w:p w14:paraId="02E3F46E">
      <w:pPr>
        <w:rPr>
          <w:color w:val="000000" w:themeColor="text1"/>
          <w:highlight w:val="none"/>
          <w14:textFill>
            <w14:solidFill>
              <w14:schemeClr w14:val="tx1"/>
            </w14:solidFill>
          </w14:textFill>
        </w:rPr>
      </w:pPr>
    </w:p>
    <w:p w14:paraId="23D896BE">
      <w:pPr>
        <w:rPr>
          <w:color w:val="000000" w:themeColor="text1"/>
          <w:highlight w:val="none"/>
          <w14:textFill>
            <w14:solidFill>
              <w14:schemeClr w14:val="tx1"/>
            </w14:solidFill>
          </w14:textFill>
        </w:rPr>
      </w:pPr>
    </w:p>
    <w:p w14:paraId="16C0E40C">
      <w:pPr>
        <w:rPr>
          <w:color w:val="000000" w:themeColor="text1"/>
          <w:highlight w:val="none"/>
          <w14:textFill>
            <w14:solidFill>
              <w14:schemeClr w14:val="tx1"/>
            </w14:solidFill>
          </w14:textFill>
        </w:rPr>
      </w:pPr>
    </w:p>
    <w:p w14:paraId="617DD308">
      <w:pPr>
        <w:rPr>
          <w:color w:val="000000" w:themeColor="text1"/>
          <w:highlight w:val="none"/>
          <w14:textFill>
            <w14:solidFill>
              <w14:schemeClr w14:val="tx1"/>
            </w14:solidFill>
          </w14:textFill>
        </w:rPr>
      </w:pPr>
    </w:p>
    <w:p w14:paraId="6A767F90">
      <w:pPr>
        <w:rPr>
          <w:color w:val="000000" w:themeColor="text1"/>
          <w:highlight w:val="none"/>
          <w14:textFill>
            <w14:solidFill>
              <w14:schemeClr w14:val="tx1"/>
            </w14:solidFill>
          </w14:textFill>
        </w:rPr>
      </w:pPr>
    </w:p>
    <w:p w14:paraId="4D5D0668">
      <w:pPr>
        <w:pStyle w:val="2"/>
        <w:jc w:val="center"/>
        <w:rPr>
          <w:color w:val="000000" w:themeColor="text1"/>
          <w:highlight w:val="none"/>
          <w14:textFill>
            <w14:solidFill>
              <w14:schemeClr w14:val="tx1"/>
            </w14:solidFill>
          </w14:textFill>
        </w:rPr>
      </w:pPr>
      <w:bookmarkStart w:id="137" w:name="_Toc3242"/>
      <w:bookmarkStart w:id="138" w:name="_Toc5995"/>
      <w:bookmarkStart w:id="139" w:name="_Toc125"/>
      <w:r>
        <w:rPr>
          <w:rFonts w:hint="eastAsia"/>
          <w:color w:val="000000" w:themeColor="text1"/>
          <w:highlight w:val="none"/>
          <w14:textFill>
            <w14:solidFill>
              <w14:schemeClr w14:val="tx1"/>
            </w14:solidFill>
          </w14:textFill>
        </w:rPr>
        <w:t>第六章 响应文件格式</w:t>
      </w:r>
      <w:bookmarkEnd w:id="137"/>
      <w:bookmarkEnd w:id="138"/>
      <w:bookmarkEnd w:id="139"/>
    </w:p>
    <w:p w14:paraId="5B0855AD">
      <w:pPr>
        <w:spacing w:line="240" w:lineRule="atLeast"/>
        <w:rPr>
          <w:rFonts w:hint="eastAsia" w:ascii="宋体" w:hAnsi="宋体"/>
          <w:b/>
          <w:color w:val="000000" w:themeColor="text1"/>
          <w:sz w:val="32"/>
          <w:szCs w:val="32"/>
          <w:highlight w:val="none"/>
          <w14:textFill>
            <w14:solidFill>
              <w14:schemeClr w14:val="tx1"/>
            </w14:solidFill>
          </w14:textFill>
        </w:rPr>
      </w:pPr>
    </w:p>
    <w:p w14:paraId="6505E184">
      <w:pPr>
        <w:spacing w:line="240" w:lineRule="atLeast"/>
        <w:rPr>
          <w:rFonts w:hint="eastAsia" w:ascii="宋体" w:hAnsi="宋体"/>
          <w:b/>
          <w:color w:val="000000" w:themeColor="text1"/>
          <w:sz w:val="32"/>
          <w:szCs w:val="32"/>
          <w:highlight w:val="none"/>
          <w14:textFill>
            <w14:solidFill>
              <w14:schemeClr w14:val="tx1"/>
            </w14:solidFill>
          </w14:textFill>
        </w:rPr>
      </w:pPr>
    </w:p>
    <w:p w14:paraId="69CF7041">
      <w:pPr>
        <w:spacing w:line="240" w:lineRule="atLeast"/>
        <w:rPr>
          <w:rFonts w:hint="eastAsia" w:ascii="宋体" w:hAnsi="宋体"/>
          <w:b/>
          <w:color w:val="000000" w:themeColor="text1"/>
          <w:sz w:val="32"/>
          <w:szCs w:val="32"/>
          <w:highlight w:val="none"/>
          <w14:textFill>
            <w14:solidFill>
              <w14:schemeClr w14:val="tx1"/>
            </w14:solidFill>
          </w14:textFill>
        </w:rPr>
      </w:pPr>
    </w:p>
    <w:p w14:paraId="22BF208E">
      <w:pPr>
        <w:spacing w:line="240" w:lineRule="atLeast"/>
        <w:rPr>
          <w:rFonts w:hint="eastAsia" w:ascii="宋体" w:hAnsi="宋体"/>
          <w:b/>
          <w:color w:val="000000" w:themeColor="text1"/>
          <w:sz w:val="32"/>
          <w:szCs w:val="32"/>
          <w:highlight w:val="none"/>
          <w14:textFill>
            <w14:solidFill>
              <w14:schemeClr w14:val="tx1"/>
            </w14:solidFill>
          </w14:textFill>
        </w:rPr>
      </w:pPr>
    </w:p>
    <w:p w14:paraId="7AE87D33">
      <w:pPr>
        <w:spacing w:line="240" w:lineRule="atLeast"/>
        <w:rPr>
          <w:rFonts w:hint="eastAsia" w:ascii="宋体" w:hAnsi="宋体"/>
          <w:b/>
          <w:color w:val="000000" w:themeColor="text1"/>
          <w:sz w:val="32"/>
          <w:szCs w:val="32"/>
          <w:highlight w:val="none"/>
          <w14:textFill>
            <w14:solidFill>
              <w14:schemeClr w14:val="tx1"/>
            </w14:solidFill>
          </w14:textFill>
        </w:rPr>
      </w:pPr>
    </w:p>
    <w:p w14:paraId="67B68FA2">
      <w:pPr>
        <w:spacing w:line="240" w:lineRule="atLeast"/>
        <w:rPr>
          <w:rFonts w:hint="eastAsia" w:ascii="宋体" w:hAnsi="宋体"/>
          <w:b/>
          <w:color w:val="000000" w:themeColor="text1"/>
          <w:sz w:val="32"/>
          <w:szCs w:val="32"/>
          <w:highlight w:val="none"/>
          <w14:textFill>
            <w14:solidFill>
              <w14:schemeClr w14:val="tx1"/>
            </w14:solidFill>
          </w14:textFill>
        </w:rPr>
      </w:pPr>
    </w:p>
    <w:p w14:paraId="75A6AEC0">
      <w:pPr>
        <w:spacing w:line="240" w:lineRule="atLeast"/>
        <w:rPr>
          <w:rFonts w:hint="eastAsia" w:ascii="宋体" w:hAnsi="宋体"/>
          <w:b/>
          <w:color w:val="000000" w:themeColor="text1"/>
          <w:sz w:val="32"/>
          <w:szCs w:val="32"/>
          <w:highlight w:val="none"/>
          <w14:textFill>
            <w14:solidFill>
              <w14:schemeClr w14:val="tx1"/>
            </w14:solidFill>
          </w14:textFill>
        </w:rPr>
      </w:pPr>
    </w:p>
    <w:p w14:paraId="3E31401F">
      <w:pPr>
        <w:spacing w:line="240" w:lineRule="atLeast"/>
        <w:rPr>
          <w:rFonts w:hint="eastAsia" w:ascii="宋体" w:hAnsi="宋体"/>
          <w:b/>
          <w:color w:val="000000" w:themeColor="text1"/>
          <w:sz w:val="32"/>
          <w:szCs w:val="32"/>
          <w:highlight w:val="none"/>
          <w14:textFill>
            <w14:solidFill>
              <w14:schemeClr w14:val="tx1"/>
            </w14:solidFill>
          </w14:textFill>
        </w:rPr>
      </w:pPr>
    </w:p>
    <w:p w14:paraId="2513BB1D">
      <w:pPr>
        <w:spacing w:line="240" w:lineRule="atLeast"/>
        <w:rPr>
          <w:rFonts w:hint="eastAsia" w:ascii="宋体" w:hAnsi="宋体"/>
          <w:b/>
          <w:color w:val="000000" w:themeColor="text1"/>
          <w:sz w:val="32"/>
          <w:szCs w:val="32"/>
          <w:highlight w:val="none"/>
          <w14:textFill>
            <w14:solidFill>
              <w14:schemeClr w14:val="tx1"/>
            </w14:solidFill>
          </w14:textFill>
        </w:rPr>
      </w:pPr>
    </w:p>
    <w:p w14:paraId="59805595">
      <w:pPr>
        <w:spacing w:line="240" w:lineRule="atLeast"/>
        <w:rPr>
          <w:rFonts w:hint="eastAsia" w:ascii="宋体" w:hAnsi="宋体"/>
          <w:b/>
          <w:color w:val="000000" w:themeColor="text1"/>
          <w:sz w:val="32"/>
          <w:szCs w:val="32"/>
          <w:highlight w:val="none"/>
          <w14:textFill>
            <w14:solidFill>
              <w14:schemeClr w14:val="tx1"/>
            </w14:solidFill>
          </w14:textFill>
        </w:rPr>
      </w:pPr>
    </w:p>
    <w:p w14:paraId="6A328B04">
      <w:pPr>
        <w:spacing w:line="240" w:lineRule="atLeast"/>
        <w:rPr>
          <w:rFonts w:hint="eastAsia" w:ascii="宋体" w:hAnsi="宋体"/>
          <w:b/>
          <w:color w:val="000000" w:themeColor="text1"/>
          <w:sz w:val="32"/>
          <w:szCs w:val="32"/>
          <w:highlight w:val="none"/>
          <w14:textFill>
            <w14:solidFill>
              <w14:schemeClr w14:val="tx1"/>
            </w14:solidFill>
          </w14:textFill>
        </w:rPr>
      </w:pPr>
    </w:p>
    <w:p w14:paraId="7E61F0AF">
      <w:pPr>
        <w:spacing w:line="240" w:lineRule="atLeast"/>
        <w:rPr>
          <w:rFonts w:hint="eastAsia" w:ascii="宋体" w:hAnsi="宋体"/>
          <w:b/>
          <w:color w:val="000000" w:themeColor="text1"/>
          <w:sz w:val="32"/>
          <w:szCs w:val="32"/>
          <w:highlight w:val="none"/>
          <w14:textFill>
            <w14:solidFill>
              <w14:schemeClr w14:val="tx1"/>
            </w14:solidFill>
          </w14:textFill>
        </w:rPr>
      </w:pPr>
    </w:p>
    <w:p w14:paraId="3307B520">
      <w:pPr>
        <w:spacing w:line="240" w:lineRule="atLeast"/>
        <w:rPr>
          <w:rFonts w:hint="eastAsia" w:ascii="宋体" w:hAnsi="宋体"/>
          <w:b/>
          <w:color w:val="000000" w:themeColor="text1"/>
          <w:sz w:val="32"/>
          <w:szCs w:val="32"/>
          <w:highlight w:val="none"/>
          <w14:textFill>
            <w14:solidFill>
              <w14:schemeClr w14:val="tx1"/>
            </w14:solidFill>
          </w14:textFill>
        </w:rPr>
      </w:pPr>
    </w:p>
    <w:p w14:paraId="4F28F09C">
      <w:pPr>
        <w:spacing w:line="240" w:lineRule="atLeast"/>
        <w:rPr>
          <w:rFonts w:hint="eastAsia" w:ascii="宋体" w:hAnsi="宋体"/>
          <w:b/>
          <w:color w:val="000000" w:themeColor="text1"/>
          <w:sz w:val="32"/>
          <w:szCs w:val="32"/>
          <w:highlight w:val="none"/>
          <w14:textFill>
            <w14:solidFill>
              <w14:schemeClr w14:val="tx1"/>
            </w14:solidFill>
          </w14:textFill>
        </w:rPr>
      </w:pPr>
    </w:p>
    <w:p w14:paraId="67B28BC6">
      <w:pPr>
        <w:spacing w:line="240" w:lineRule="atLeast"/>
        <w:rPr>
          <w:rFonts w:hint="eastAsia" w:ascii="宋体" w:hAnsi="宋体"/>
          <w:b/>
          <w:color w:val="000000" w:themeColor="text1"/>
          <w:sz w:val="32"/>
          <w:szCs w:val="32"/>
          <w:highlight w:val="none"/>
          <w14:textFill>
            <w14:solidFill>
              <w14:schemeClr w14:val="tx1"/>
            </w14:solidFill>
          </w14:textFill>
        </w:rPr>
      </w:pPr>
    </w:p>
    <w:p w14:paraId="248ED280">
      <w:pPr>
        <w:spacing w:line="240" w:lineRule="atLeast"/>
        <w:rPr>
          <w:rFonts w:hint="eastAsia" w:ascii="宋体" w:hAnsi="宋体"/>
          <w:b/>
          <w:color w:val="000000" w:themeColor="text1"/>
          <w:sz w:val="32"/>
          <w:szCs w:val="32"/>
          <w:highlight w:val="none"/>
          <w14:textFill>
            <w14:solidFill>
              <w14:schemeClr w14:val="tx1"/>
            </w14:solidFill>
          </w14:textFill>
        </w:rPr>
      </w:pPr>
    </w:p>
    <w:p w14:paraId="100A7164">
      <w:pPr>
        <w:spacing w:line="240" w:lineRule="atLeast"/>
        <w:rPr>
          <w:rFonts w:hint="eastAsia" w:ascii="宋体" w:hAnsi="宋体"/>
          <w:b/>
          <w:color w:val="000000" w:themeColor="text1"/>
          <w:sz w:val="32"/>
          <w:szCs w:val="32"/>
          <w:highlight w:val="none"/>
          <w14:textFill>
            <w14:solidFill>
              <w14:schemeClr w14:val="tx1"/>
            </w14:solidFill>
          </w14:textFill>
        </w:rPr>
      </w:pPr>
    </w:p>
    <w:p w14:paraId="0A5A5FB6">
      <w:pPr>
        <w:spacing w:line="240" w:lineRule="atLeast"/>
        <w:rPr>
          <w:rFonts w:hint="eastAsia" w:ascii="宋体" w:hAnsi="宋体"/>
          <w:b/>
          <w:color w:val="000000" w:themeColor="text1"/>
          <w:sz w:val="32"/>
          <w:szCs w:val="32"/>
          <w:highlight w:val="none"/>
          <w14:textFill>
            <w14:solidFill>
              <w14:schemeClr w14:val="tx1"/>
            </w14:solidFill>
          </w14:textFill>
        </w:rPr>
      </w:pPr>
    </w:p>
    <w:p w14:paraId="30A9BB93">
      <w:pPr>
        <w:snapToGrid w:val="0"/>
        <w:spacing w:before="50" w:after="50"/>
        <w:outlineLvl w:val="9"/>
        <w:rPr>
          <w:rFonts w:hint="eastAsia" w:ascii="宋体" w:hAnsi="宋体"/>
          <w:b/>
          <w:bCs/>
          <w:color w:val="000000" w:themeColor="text1"/>
          <w:sz w:val="24"/>
          <w:highlight w:val="none"/>
          <w14:textFill>
            <w14:solidFill>
              <w14:schemeClr w14:val="tx1"/>
            </w14:solidFill>
          </w14:textFill>
        </w:rPr>
      </w:pPr>
    </w:p>
    <w:p w14:paraId="44644FF3">
      <w:pPr>
        <w:snapToGrid w:val="0"/>
        <w:spacing w:before="120" w:beforeLines="50" w:after="50"/>
        <w:jc w:val="center"/>
        <w:rPr>
          <w:rFonts w:hint="eastAsia" w:ascii="仿宋_GB2312" w:hAnsi="仿宋_GB2312" w:eastAsia="仿宋_GB2312" w:cs="仿宋_GB2312"/>
          <w:bCs/>
          <w:color w:val="000000" w:themeColor="text1"/>
          <w:sz w:val="32"/>
          <w:szCs w:val="32"/>
          <w:highlight w:val="none"/>
          <w14:textFill>
            <w14:solidFill>
              <w14:schemeClr w14:val="tx1"/>
            </w14:solidFill>
          </w14:textFill>
        </w:rPr>
      </w:pPr>
    </w:p>
    <w:p w14:paraId="56EFA558">
      <w:pPr>
        <w:outlineLvl w:val="1"/>
        <w:rPr>
          <w:b/>
          <w:color w:val="000000" w:themeColor="text1"/>
          <w:sz w:val="32"/>
          <w:szCs w:val="32"/>
          <w:highlight w:val="none"/>
          <w14:textFill>
            <w14:solidFill>
              <w14:schemeClr w14:val="tx1"/>
            </w14:solidFill>
          </w14:textFill>
        </w:rPr>
      </w:pPr>
      <w:bookmarkStart w:id="140" w:name="_Toc31723070"/>
      <w:bookmarkStart w:id="141" w:name="_Toc35611438"/>
      <w:bookmarkStart w:id="142" w:name="_Toc44229899"/>
      <w:bookmarkStart w:id="143" w:name="_Toc71366186"/>
      <w:bookmarkStart w:id="144" w:name="_Toc31728084"/>
      <w:bookmarkStart w:id="145" w:name="_Toc35611516"/>
      <w:r>
        <w:rPr>
          <w:rFonts w:hint="eastAsia"/>
          <w:b/>
          <w:color w:val="000000" w:themeColor="text1"/>
          <w:sz w:val="32"/>
          <w:szCs w:val="32"/>
          <w:highlight w:val="none"/>
          <w14:textFill>
            <w14:solidFill>
              <w14:schemeClr w14:val="tx1"/>
            </w14:solidFill>
          </w14:textFill>
        </w:rPr>
        <w:t>一、资格证明文件格式</w:t>
      </w:r>
      <w:bookmarkEnd w:id="140"/>
      <w:bookmarkEnd w:id="141"/>
      <w:bookmarkEnd w:id="142"/>
      <w:bookmarkEnd w:id="143"/>
      <w:bookmarkEnd w:id="144"/>
      <w:bookmarkEnd w:id="145"/>
    </w:p>
    <w:p w14:paraId="3B7A6328">
      <w:pPr>
        <w:snapToGrid w:val="0"/>
        <w:spacing w:before="120" w:beforeLines="50" w:after="50" w:line="360" w:lineRule="auto"/>
        <w:jc w:val="left"/>
        <w:outlineLvl w:val="2"/>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1.资格证明文件封面格式：</w:t>
      </w:r>
    </w:p>
    <w:p w14:paraId="2E2A174E">
      <w:pPr>
        <w:snapToGrid w:val="0"/>
        <w:spacing w:before="120" w:beforeLines="50" w:after="50"/>
        <w:jc w:val="center"/>
        <w:rPr>
          <w:rFonts w:hint="eastAsia" w:ascii="宋体" w:hAnsi="宋体"/>
          <w:color w:val="000000" w:themeColor="text1"/>
          <w:sz w:val="44"/>
          <w:szCs w:val="44"/>
          <w:highlight w:val="none"/>
          <w14:textFill>
            <w14:solidFill>
              <w14:schemeClr w14:val="tx1"/>
            </w14:solidFill>
          </w14:textFill>
        </w:rPr>
      </w:pPr>
    </w:p>
    <w:p w14:paraId="2AD633C2">
      <w:pPr>
        <w:snapToGrid w:val="0"/>
        <w:spacing w:before="120" w:beforeLines="50" w:after="50"/>
        <w:jc w:val="center"/>
        <w:rPr>
          <w:rFonts w:hint="eastAsia" w:ascii="宋体" w:hAnsi="宋体"/>
          <w:color w:val="000000" w:themeColor="text1"/>
          <w:sz w:val="44"/>
          <w:szCs w:val="44"/>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14:paraId="70BA920D">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5477112E">
      <w:pPr>
        <w:snapToGrid w:val="0"/>
        <w:spacing w:before="120" w:beforeLines="5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资  格  证  明  文  件</w:t>
      </w:r>
    </w:p>
    <w:p w14:paraId="66D31F6C">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7F975036">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06759B91">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55DC3B64">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0B15BEAC">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26B40BAF">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6A3E100A">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7E2F5242">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35818E98">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3B3D9EFA">
      <w:pPr>
        <w:pStyle w:val="7"/>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4D6F3601">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p>
    <w:p w14:paraId="6DD53B57">
      <w:pPr>
        <w:pStyle w:val="7"/>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6AA1FBD1">
      <w:pPr>
        <w:pStyle w:val="7"/>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4B5392B9">
      <w:pPr>
        <w:pStyle w:val="7"/>
        <w:snapToGrid w:val="0"/>
        <w:spacing w:before="50" w:after="50"/>
        <w:ind w:firstLine="1280" w:firstLineChars="400"/>
        <w:rPr>
          <w:rFonts w:hint="eastAsia" w:ascii="宋体" w:hAnsi="宋体" w:cs="仿宋_GB2312"/>
          <w:bCs/>
          <w:color w:val="000000" w:themeColor="text1"/>
          <w:sz w:val="32"/>
          <w:szCs w:val="32"/>
          <w:highlight w:val="none"/>
          <w14:textFill>
            <w14:solidFill>
              <w14:schemeClr w14:val="tx1"/>
            </w14:solidFill>
          </w14:textFill>
        </w:rPr>
      </w:pPr>
    </w:p>
    <w:p w14:paraId="0137CC1D">
      <w:pPr>
        <w:snapToGrid w:val="0"/>
        <w:spacing w:before="120" w:beforeLines="5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79620DA3">
      <w:pPr>
        <w:snapToGrid w:val="0"/>
        <w:spacing w:before="120" w:beforeLines="50" w:after="50" w:line="360" w:lineRule="auto"/>
        <w:ind w:left="142" w:leftChars="0"/>
        <w:jc w:val="left"/>
        <w:outlineLvl w:val="2"/>
        <w:rPr>
          <w:rFonts w:hint="eastAsia" w:ascii="宋体" w:hAnsi="宋体"/>
          <w:b/>
          <w:bCs/>
          <w:color w:val="000000" w:themeColor="text1"/>
          <w:sz w:val="32"/>
          <w:szCs w:val="32"/>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2.资格证明文件目录</w:t>
      </w:r>
    </w:p>
    <w:p w14:paraId="5B8F09F6">
      <w:pPr>
        <w:snapToGrid w:val="0"/>
        <w:spacing w:before="120" w:beforeLines="50" w:after="50" w:line="360" w:lineRule="auto"/>
        <w:ind w:firstLine="645"/>
        <w:rPr>
          <w:rFonts w:hint="eastAsia"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14:paraId="259F0D7A">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6EEA4256">
      <w:pPr>
        <w:spacing w:line="300" w:lineRule="auto"/>
        <w:rPr>
          <w:rFonts w:hint="eastAsia" w:ascii="宋体" w:hAnsi="宋体"/>
          <w:color w:val="000000" w:themeColor="text1"/>
          <w:szCs w:val="21"/>
          <w:highlight w:val="none"/>
          <w14:textFill>
            <w14:solidFill>
              <w14:schemeClr w14:val="tx1"/>
            </w14:solidFill>
          </w14:textFill>
        </w:rPr>
      </w:pPr>
    </w:p>
    <w:p w14:paraId="0D0120F8">
      <w:pPr>
        <w:spacing w:line="300" w:lineRule="auto"/>
        <w:rPr>
          <w:rFonts w:hint="eastAsia" w:ascii="宋体" w:hAnsi="宋体"/>
          <w:color w:val="000000" w:themeColor="text1"/>
          <w:szCs w:val="21"/>
          <w:highlight w:val="none"/>
          <w14:textFill>
            <w14:solidFill>
              <w14:schemeClr w14:val="tx1"/>
            </w14:solidFill>
          </w14:textFill>
        </w:rPr>
      </w:pPr>
    </w:p>
    <w:p w14:paraId="4C88C385">
      <w:pPr>
        <w:spacing w:line="300" w:lineRule="auto"/>
        <w:rPr>
          <w:rFonts w:hint="eastAsia" w:ascii="宋体" w:hAnsi="宋体"/>
          <w:color w:val="000000" w:themeColor="text1"/>
          <w:szCs w:val="21"/>
          <w:highlight w:val="none"/>
          <w14:textFill>
            <w14:solidFill>
              <w14:schemeClr w14:val="tx1"/>
            </w14:solidFill>
          </w14:textFill>
        </w:rPr>
      </w:pPr>
    </w:p>
    <w:p w14:paraId="354B67F7">
      <w:pPr>
        <w:spacing w:line="300" w:lineRule="auto"/>
        <w:rPr>
          <w:rFonts w:hint="eastAsia" w:ascii="宋体" w:hAnsi="宋体"/>
          <w:color w:val="000000" w:themeColor="text1"/>
          <w:szCs w:val="21"/>
          <w:highlight w:val="none"/>
          <w14:textFill>
            <w14:solidFill>
              <w14:schemeClr w14:val="tx1"/>
            </w14:solidFill>
          </w14:textFill>
        </w:rPr>
      </w:pPr>
    </w:p>
    <w:p w14:paraId="193D5DFE">
      <w:pPr>
        <w:spacing w:line="300" w:lineRule="auto"/>
        <w:rPr>
          <w:rFonts w:hint="eastAsia" w:ascii="宋体" w:hAnsi="宋体"/>
          <w:color w:val="000000" w:themeColor="text1"/>
          <w:szCs w:val="21"/>
          <w:highlight w:val="none"/>
          <w14:textFill>
            <w14:solidFill>
              <w14:schemeClr w14:val="tx1"/>
            </w14:solidFill>
          </w14:textFill>
        </w:rPr>
      </w:pPr>
    </w:p>
    <w:p w14:paraId="05343E57">
      <w:pPr>
        <w:spacing w:line="300" w:lineRule="auto"/>
        <w:rPr>
          <w:rFonts w:hint="eastAsia" w:ascii="宋体" w:hAnsi="宋体"/>
          <w:color w:val="000000" w:themeColor="text1"/>
          <w:szCs w:val="21"/>
          <w:highlight w:val="none"/>
          <w14:textFill>
            <w14:solidFill>
              <w14:schemeClr w14:val="tx1"/>
            </w14:solidFill>
          </w14:textFill>
        </w:rPr>
      </w:pPr>
    </w:p>
    <w:p w14:paraId="1D0B12D0">
      <w:pPr>
        <w:spacing w:line="300" w:lineRule="auto"/>
        <w:rPr>
          <w:rFonts w:hint="eastAsia" w:ascii="宋体" w:hAnsi="宋体"/>
          <w:color w:val="000000" w:themeColor="text1"/>
          <w:szCs w:val="21"/>
          <w:highlight w:val="none"/>
          <w14:textFill>
            <w14:solidFill>
              <w14:schemeClr w14:val="tx1"/>
            </w14:solidFill>
          </w14:textFill>
        </w:rPr>
      </w:pPr>
    </w:p>
    <w:p w14:paraId="28E9D2B2">
      <w:pPr>
        <w:spacing w:line="300" w:lineRule="auto"/>
        <w:rPr>
          <w:rFonts w:hint="eastAsia" w:ascii="宋体" w:hAnsi="宋体"/>
          <w:color w:val="000000" w:themeColor="text1"/>
          <w:szCs w:val="21"/>
          <w:highlight w:val="none"/>
          <w14:textFill>
            <w14:solidFill>
              <w14:schemeClr w14:val="tx1"/>
            </w14:solidFill>
          </w14:textFill>
        </w:rPr>
      </w:pPr>
    </w:p>
    <w:p w14:paraId="2F0FFBEE">
      <w:pPr>
        <w:spacing w:line="300" w:lineRule="auto"/>
        <w:rPr>
          <w:rFonts w:hint="eastAsia" w:ascii="宋体" w:hAnsi="宋体"/>
          <w:color w:val="000000" w:themeColor="text1"/>
          <w:szCs w:val="21"/>
          <w:highlight w:val="none"/>
          <w14:textFill>
            <w14:solidFill>
              <w14:schemeClr w14:val="tx1"/>
            </w14:solidFill>
          </w14:textFill>
        </w:rPr>
      </w:pPr>
    </w:p>
    <w:p w14:paraId="2D3A6F8B">
      <w:pPr>
        <w:spacing w:line="300" w:lineRule="auto"/>
        <w:rPr>
          <w:rFonts w:hint="eastAsia" w:ascii="宋体" w:hAnsi="宋体"/>
          <w:color w:val="000000" w:themeColor="text1"/>
          <w:szCs w:val="21"/>
          <w:highlight w:val="none"/>
          <w14:textFill>
            <w14:solidFill>
              <w14:schemeClr w14:val="tx1"/>
            </w14:solidFill>
          </w14:textFill>
        </w:rPr>
      </w:pPr>
    </w:p>
    <w:p w14:paraId="7D365A93">
      <w:pPr>
        <w:spacing w:line="300" w:lineRule="auto"/>
        <w:rPr>
          <w:rFonts w:hint="eastAsia" w:ascii="宋体" w:hAnsi="宋体"/>
          <w:color w:val="000000" w:themeColor="text1"/>
          <w:szCs w:val="21"/>
          <w:highlight w:val="none"/>
          <w14:textFill>
            <w14:solidFill>
              <w14:schemeClr w14:val="tx1"/>
            </w14:solidFill>
          </w14:textFill>
        </w:rPr>
      </w:pPr>
    </w:p>
    <w:p w14:paraId="55269A01">
      <w:pPr>
        <w:spacing w:line="300" w:lineRule="auto"/>
        <w:rPr>
          <w:rFonts w:hint="eastAsia" w:ascii="宋体" w:hAnsi="宋体"/>
          <w:color w:val="000000" w:themeColor="text1"/>
          <w:szCs w:val="21"/>
          <w:highlight w:val="none"/>
          <w14:textFill>
            <w14:solidFill>
              <w14:schemeClr w14:val="tx1"/>
            </w14:solidFill>
          </w14:textFill>
        </w:rPr>
      </w:pPr>
    </w:p>
    <w:p w14:paraId="5B2DBEFE">
      <w:pPr>
        <w:spacing w:line="300" w:lineRule="auto"/>
        <w:rPr>
          <w:rFonts w:hint="eastAsia" w:ascii="宋体" w:hAnsi="宋体"/>
          <w:color w:val="000000" w:themeColor="text1"/>
          <w:szCs w:val="21"/>
          <w:highlight w:val="none"/>
          <w14:textFill>
            <w14:solidFill>
              <w14:schemeClr w14:val="tx1"/>
            </w14:solidFill>
          </w14:textFill>
        </w:rPr>
      </w:pPr>
    </w:p>
    <w:p w14:paraId="6520FEB4">
      <w:pPr>
        <w:spacing w:line="300" w:lineRule="auto"/>
        <w:rPr>
          <w:rFonts w:hint="eastAsia" w:ascii="宋体" w:hAnsi="宋体"/>
          <w:color w:val="000000" w:themeColor="text1"/>
          <w:szCs w:val="21"/>
          <w:highlight w:val="none"/>
          <w14:textFill>
            <w14:solidFill>
              <w14:schemeClr w14:val="tx1"/>
            </w14:solidFill>
          </w14:textFill>
        </w:rPr>
      </w:pPr>
    </w:p>
    <w:p w14:paraId="7C3A3959">
      <w:pPr>
        <w:spacing w:line="300" w:lineRule="auto"/>
        <w:rPr>
          <w:rFonts w:hint="eastAsia" w:ascii="宋体" w:hAnsi="宋体"/>
          <w:color w:val="000000" w:themeColor="text1"/>
          <w:szCs w:val="21"/>
          <w:highlight w:val="none"/>
          <w14:textFill>
            <w14:solidFill>
              <w14:schemeClr w14:val="tx1"/>
            </w14:solidFill>
          </w14:textFill>
        </w:rPr>
      </w:pPr>
    </w:p>
    <w:p w14:paraId="0C764C8D">
      <w:pPr>
        <w:spacing w:line="320" w:lineRule="exact"/>
        <w:jc w:val="left"/>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p>
    <w:p w14:paraId="4730D739">
      <w:pPr>
        <w:wordWrap w:val="0"/>
        <w:spacing w:before="120" w:beforeLines="50" w:after="50" w:line="320" w:lineRule="exact"/>
        <w:ind w:right="482" w:firstLine="210" w:firstLineChars="100"/>
        <w:contextualSpacing/>
        <w:jc w:val="center"/>
        <w:rPr>
          <w:rFonts w:hint="eastAsia" w:ascii="宋体" w:hAnsi="宋体"/>
          <w:color w:val="000000" w:themeColor="text1"/>
          <w:szCs w:val="21"/>
          <w:highlight w:val="none"/>
          <w14:textFill>
            <w14:solidFill>
              <w14:schemeClr w14:val="tx1"/>
            </w14:solidFill>
          </w14:textFill>
        </w:rPr>
      </w:pPr>
    </w:p>
    <w:p w14:paraId="37B6C5C4">
      <w:pPr>
        <w:spacing w:line="320" w:lineRule="exact"/>
        <w:jc w:val="center"/>
        <w:outlineLvl w:val="3"/>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供应商直接控股、管理关系信息表</w:t>
      </w:r>
    </w:p>
    <w:p w14:paraId="50B144CA">
      <w:pPr>
        <w:snapToGrid w:val="0"/>
        <w:spacing w:before="120" w:beforeLines="50" w:after="50" w:line="360" w:lineRule="auto"/>
        <w:jc w:val="center"/>
        <w:rPr>
          <w:rFonts w:hint="eastAsia" w:ascii="宋体" w:hAnsi="宋体"/>
          <w:b/>
          <w:color w:val="000000" w:themeColor="text1"/>
          <w:sz w:val="24"/>
          <w:highlight w:val="none"/>
          <w14:textFill>
            <w14:solidFill>
              <w14:schemeClr w14:val="tx1"/>
            </w14:solidFill>
          </w14:textFill>
        </w:rPr>
      </w:pPr>
    </w:p>
    <w:p w14:paraId="1C79CEEE">
      <w:pPr>
        <w:spacing w:line="360" w:lineRule="auto"/>
        <w:contextualSpacing/>
        <w:jc w:val="center"/>
        <w:outlineLvl w:val="9"/>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供应商直接控股股东信息表</w:t>
      </w:r>
    </w:p>
    <w:p w14:paraId="79424444">
      <w:pPr>
        <w:spacing w:line="360" w:lineRule="auto"/>
        <w:contextualSpacing/>
        <w:jc w:val="center"/>
        <w:rPr>
          <w:rFonts w:hint="eastAsia" w:ascii="宋体" w:hAnsi="宋体"/>
          <w:b/>
          <w:color w:val="000000" w:themeColor="text1"/>
          <w:sz w:val="24"/>
          <w:highlight w:val="none"/>
          <w14:textFill>
            <w14:solidFill>
              <w14:schemeClr w14:val="tx1"/>
            </w14:solidFill>
          </w14:textFill>
        </w:rPr>
      </w:pPr>
    </w:p>
    <w:tbl>
      <w:tblPr>
        <w:tblStyle w:val="45"/>
        <w:tblW w:w="10147" w:type="dxa"/>
        <w:jc w:val="center"/>
        <w:shd w:val="clear" w:color="auto" w:fill="FBFBFB"/>
        <w:tblLayout w:type="fixed"/>
        <w:tblCellMar>
          <w:top w:w="0" w:type="dxa"/>
          <w:left w:w="0" w:type="dxa"/>
          <w:bottom w:w="0" w:type="dxa"/>
          <w:right w:w="0" w:type="dxa"/>
        </w:tblCellMar>
      </w:tblPr>
      <w:tblGrid>
        <w:gridCol w:w="880"/>
        <w:gridCol w:w="2409"/>
        <w:gridCol w:w="1701"/>
        <w:gridCol w:w="4287"/>
        <w:gridCol w:w="870"/>
      </w:tblGrid>
      <w:tr w14:paraId="4107EA4C">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F75E1D">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879FBB4">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92A821">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4191E7">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8796D1">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4035689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37394F">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028795">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345D03">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EEED86">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30D39F">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1484EC97">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274ED1">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E0560D">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B48FA0">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D85E74">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FF7743E">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4B508A0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8BB2CB">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132E64">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6DA3C3">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A0E9A1">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47F002">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23B3E60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EEE272">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40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ACA149B">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BC785D">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327EF9">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A13F274">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bl>
    <w:p w14:paraId="73526E16">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0628E483">
      <w:pPr>
        <w:spacing w:line="360" w:lineRule="auto"/>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A41D9F6">
      <w:pPr>
        <w:spacing w:line="360" w:lineRule="auto"/>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2C409282">
      <w:pPr>
        <w:spacing w:line="360" w:lineRule="auto"/>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w:t>
      </w:r>
      <w:r>
        <w:rPr>
          <w:rFonts w:hint="eastAsia" w:ascii="宋体" w:hAnsi="宋体"/>
          <w:color w:val="000000" w:themeColor="text1"/>
          <w:sz w:val="24"/>
          <w:highlight w:val="none"/>
          <w14:textFill>
            <w14:solidFill>
              <w14:schemeClr w14:val="tx1"/>
            </w14:solidFill>
          </w14:textFill>
        </w:rPr>
        <w:t>则在“直接控股股东名称”填“无”</w:t>
      </w:r>
      <w:r>
        <w:rPr>
          <w:rFonts w:hint="eastAsia" w:ascii="宋体" w:hAnsi="宋体" w:cs="宋体"/>
          <w:color w:val="000000" w:themeColor="text1"/>
          <w:sz w:val="24"/>
          <w:highlight w:val="none"/>
          <w14:textFill>
            <w14:solidFill>
              <w14:schemeClr w14:val="tx1"/>
            </w14:solidFill>
          </w14:textFill>
        </w:rPr>
        <w:t>。</w:t>
      </w:r>
    </w:p>
    <w:p w14:paraId="07E3C302">
      <w:pPr>
        <w:spacing w:line="360" w:lineRule="auto"/>
        <w:ind w:firstLine="420" w:firstLineChars="200"/>
        <w:contextualSpacing/>
        <w:jc w:val="left"/>
        <w:rPr>
          <w:rFonts w:hint="eastAsia" w:ascii="宋体" w:hAnsi="宋体" w:cs="宋体"/>
          <w:color w:val="000000" w:themeColor="text1"/>
          <w:szCs w:val="21"/>
          <w:highlight w:val="none"/>
          <w14:textFill>
            <w14:solidFill>
              <w14:schemeClr w14:val="tx1"/>
            </w14:solidFill>
          </w14:textFill>
        </w:rPr>
      </w:pPr>
    </w:p>
    <w:p w14:paraId="7632B19F">
      <w:pPr>
        <w:spacing w:line="360" w:lineRule="auto"/>
        <w:ind w:firstLine="560" w:firstLineChars="200"/>
        <w:contextualSpacing/>
        <w:jc w:val="left"/>
        <w:rPr>
          <w:rFonts w:hint="eastAsia" w:ascii="宋体" w:hAnsi="宋体" w:cs="宋体"/>
          <w:color w:val="000000" w:themeColor="text1"/>
          <w:sz w:val="28"/>
          <w:szCs w:val="28"/>
          <w:highlight w:val="none"/>
          <w14:textFill>
            <w14:solidFill>
              <w14:schemeClr w14:val="tx1"/>
            </w14:solidFill>
          </w14:textFill>
        </w:rPr>
      </w:pPr>
    </w:p>
    <w:p w14:paraId="7DF049CD">
      <w:pPr>
        <w:spacing w:line="360" w:lineRule="auto"/>
        <w:ind w:right="480"/>
        <w:contextualSpacing/>
        <w:jc w:val="center"/>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z w:val="24"/>
          <w:highlight w:val="none"/>
          <w14:textFill>
            <w14:solidFill>
              <w14:schemeClr w14:val="tx1"/>
            </w14:solidFill>
          </w14:textFill>
        </w:rPr>
        <w:t>（签字</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盖章</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电子签名）</w:t>
      </w:r>
      <w:r>
        <w:rPr>
          <w:rFonts w:hint="eastAsia" w:ascii="宋体" w:hAnsi="宋体" w:cs="宋体"/>
          <w:color w:val="000000" w:themeColor="text1"/>
          <w:sz w:val="24"/>
          <w:highlight w:val="none"/>
          <w14:textFill>
            <w14:solidFill>
              <w14:schemeClr w14:val="tx1"/>
            </w14:solidFill>
          </w14:textFill>
        </w:rPr>
        <w:t>：</w:t>
      </w:r>
    </w:p>
    <w:p w14:paraId="1716A536">
      <w:pPr>
        <w:spacing w:line="360" w:lineRule="auto"/>
        <w:ind w:right="480" w:firstLine="3000" w:firstLineChars="125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（电子签章）</w:t>
      </w:r>
      <w:r>
        <w:rPr>
          <w:rFonts w:hint="eastAsia" w:ascii="宋体" w:hAnsi="宋体" w:cs="宋体"/>
          <w:color w:val="000000" w:themeColor="text1"/>
          <w:sz w:val="24"/>
          <w:highlight w:val="none"/>
          <w14:textFill>
            <w14:solidFill>
              <w14:schemeClr w14:val="tx1"/>
            </w14:solidFill>
          </w14:textFill>
        </w:rPr>
        <w:t xml:space="preserve">： </w:t>
      </w:r>
    </w:p>
    <w:p w14:paraId="61017CC2">
      <w:pPr>
        <w:spacing w:line="360" w:lineRule="auto"/>
        <w:ind w:firstLine="480" w:firstLineChars="200"/>
        <w:contextualSpacing/>
        <w:jc w:val="right"/>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088584CC">
      <w:pPr>
        <w:snapToGrid w:val="0"/>
        <w:jc w:val="center"/>
        <w:rPr>
          <w:rFonts w:hint="eastAsia" w:ascii="宋体" w:hAnsi="宋体"/>
          <w:b/>
          <w:color w:val="000000" w:themeColor="text1"/>
          <w:sz w:val="28"/>
          <w:szCs w:val="28"/>
          <w:highlight w:val="none"/>
          <w14:textFill>
            <w14:solidFill>
              <w14:schemeClr w14:val="tx1"/>
            </w14:solidFill>
          </w14:textFill>
        </w:rPr>
      </w:pPr>
      <w:r>
        <w:rPr>
          <w:rFonts w:ascii="宋体" w:hAnsi="宋体"/>
          <w:b/>
          <w:color w:val="000000" w:themeColor="text1"/>
          <w:sz w:val="28"/>
          <w:szCs w:val="28"/>
          <w:highlight w:val="none"/>
          <w14:textFill>
            <w14:solidFill>
              <w14:schemeClr w14:val="tx1"/>
            </w14:solidFill>
          </w14:textFill>
        </w:rPr>
        <w:br w:type="page"/>
      </w:r>
    </w:p>
    <w:p w14:paraId="425AAE30">
      <w:pPr>
        <w:spacing w:line="320" w:lineRule="exact"/>
        <w:jc w:val="center"/>
        <w:outlineLvl w:val="9"/>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供应商直接管理关系信息表</w:t>
      </w:r>
    </w:p>
    <w:p w14:paraId="5CACA15A">
      <w:pPr>
        <w:snapToGrid w:val="0"/>
        <w:spacing w:line="360" w:lineRule="auto"/>
        <w:jc w:val="center"/>
        <w:rPr>
          <w:rFonts w:hint="eastAsia" w:ascii="宋体" w:hAnsi="宋体"/>
          <w:b/>
          <w:color w:val="000000" w:themeColor="text1"/>
          <w:sz w:val="24"/>
          <w:highlight w:val="none"/>
          <w14:textFill>
            <w14:solidFill>
              <w14:schemeClr w14:val="tx1"/>
            </w14:solidFill>
          </w14:textFill>
        </w:rPr>
      </w:pPr>
    </w:p>
    <w:tbl>
      <w:tblPr>
        <w:tblStyle w:val="45"/>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7EE670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94DEFF">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759F28">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5FF87D">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62F9FE">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4315583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5BF79F">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C67F05">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2AEA5A">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772A6C">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73AF44C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DC7BDD">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7C7FF4">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42B122">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27B383">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05E3B51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717F72">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06C59F">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A70E68">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7F083F">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35BD6D6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B9C2C0">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6FC6AB">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745C62">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51D0AE">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bl>
    <w:p w14:paraId="37DF76BA">
      <w:pPr>
        <w:spacing w:line="360" w:lineRule="auto"/>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581C77B2">
      <w:pPr>
        <w:spacing w:line="360" w:lineRule="auto"/>
        <w:ind w:firstLine="480" w:firstLineChars="20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0E472E84">
      <w:pPr>
        <w:spacing w:line="360" w:lineRule="auto"/>
        <w:ind w:firstLine="480" w:firstLineChars="20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4012BF23">
      <w:pPr>
        <w:spacing w:line="360" w:lineRule="auto"/>
        <w:ind w:firstLine="480" w:firstLineChars="20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3.供应商不存在直接管理关系的，则在“直接管理关系单位名称”填“无”。</w:t>
      </w:r>
    </w:p>
    <w:p w14:paraId="3DD58F83">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14:paraId="4058E9B2">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14:paraId="4BC391E2">
      <w:pPr>
        <w:spacing w:line="360" w:lineRule="auto"/>
        <w:contextualSpacing/>
        <w:jc w:val="left"/>
        <w:rPr>
          <w:color w:val="000000" w:themeColor="text1"/>
          <w:sz w:val="28"/>
          <w:szCs w:val="28"/>
          <w:highlight w:val="none"/>
          <w14:textFill>
            <w14:solidFill>
              <w14:schemeClr w14:val="tx1"/>
            </w14:solidFill>
          </w14:textFill>
        </w:rPr>
      </w:pPr>
    </w:p>
    <w:p w14:paraId="2D165DC4">
      <w:pPr>
        <w:spacing w:line="360" w:lineRule="auto"/>
        <w:contextualSpacing/>
        <w:jc w:val="left"/>
        <w:rPr>
          <w:color w:val="000000" w:themeColor="text1"/>
          <w:sz w:val="28"/>
          <w:szCs w:val="28"/>
          <w:highlight w:val="none"/>
          <w14:textFill>
            <w14:solidFill>
              <w14:schemeClr w14:val="tx1"/>
            </w14:solidFill>
          </w14:textFill>
        </w:rPr>
      </w:pPr>
    </w:p>
    <w:p w14:paraId="184EB2B4">
      <w:pPr>
        <w:spacing w:line="360" w:lineRule="auto"/>
        <w:contextualSpacing/>
        <w:jc w:val="left"/>
        <w:rPr>
          <w:color w:val="000000" w:themeColor="text1"/>
          <w:sz w:val="28"/>
          <w:szCs w:val="28"/>
          <w:highlight w:val="none"/>
          <w14:textFill>
            <w14:solidFill>
              <w14:schemeClr w14:val="tx1"/>
            </w14:solidFill>
          </w14:textFill>
        </w:rPr>
      </w:pPr>
    </w:p>
    <w:p w14:paraId="68059033">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14:paraId="364A685F">
      <w:pPr>
        <w:spacing w:line="360" w:lineRule="auto"/>
        <w:ind w:right="480"/>
        <w:contextualSpacing/>
        <w:jc w:val="center"/>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法定代表人或者委托代理人（签字</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盖章</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电子签名）：</w:t>
      </w:r>
    </w:p>
    <w:p w14:paraId="227CA9BC">
      <w:pPr>
        <w:spacing w:line="360" w:lineRule="auto"/>
        <w:ind w:right="480" w:firstLine="3360" w:firstLineChars="140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供应商（电子签章）：</w:t>
      </w:r>
    </w:p>
    <w:p w14:paraId="393B33C9">
      <w:pPr>
        <w:spacing w:line="360" w:lineRule="auto"/>
        <w:ind w:firstLine="480" w:firstLineChars="200"/>
        <w:contextualSpacing/>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687184FF">
      <w:pPr>
        <w:spacing w:line="320" w:lineRule="exact"/>
        <w:jc w:val="center"/>
        <w:outlineLvl w:val="9"/>
        <w:rPr>
          <w:rFonts w:hint="eastAsia" w:ascii="宋体" w:hAnsi="宋体"/>
          <w:b/>
          <w:color w:val="000000" w:themeColor="text1"/>
          <w:sz w:val="32"/>
          <w:szCs w:val="32"/>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竞标声明</w:t>
      </w:r>
    </w:p>
    <w:p w14:paraId="4E4E1648">
      <w:pPr>
        <w:spacing w:line="320" w:lineRule="exact"/>
        <w:jc w:val="center"/>
        <w:rPr>
          <w:rFonts w:hint="eastAsia" w:ascii="宋体" w:hAnsi="宋体"/>
          <w:color w:val="000000" w:themeColor="text1"/>
          <w:sz w:val="24"/>
          <w:szCs w:val="20"/>
          <w:highlight w:val="none"/>
          <w14:textFill>
            <w14:solidFill>
              <w14:schemeClr w14:val="tx1"/>
            </w14:solidFill>
          </w14:textFill>
        </w:rPr>
      </w:pPr>
    </w:p>
    <w:p w14:paraId="3D82C99F">
      <w:pPr>
        <w:spacing w:line="360" w:lineRule="auto"/>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4BF6B0CD">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w:t>
      </w: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系中华人民共和国合法供应商，经营地址。</w:t>
      </w:r>
    </w:p>
    <w:p w14:paraId="6A73C96E">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我方愿意参加贵方组织的</w:t>
      </w:r>
      <w:r>
        <w:rPr>
          <w:rFonts w:hint="eastAsia" w:ascii="宋体" w:hAnsi="宋体" w:cs="宋体"/>
          <w:color w:val="000000" w:themeColor="text1"/>
          <w:sz w:val="24"/>
          <w:highlight w:val="none"/>
          <w:u w:val="single"/>
          <w14:textFill>
            <w14:solidFill>
              <w14:schemeClr w14:val="tx1"/>
            </w14:solidFill>
          </w14:textFill>
        </w:rPr>
        <w:t>（项目名称）（项目编号）</w:t>
      </w:r>
      <w:r>
        <w:rPr>
          <w:rFonts w:hint="eastAsia" w:ascii="宋体" w:hAnsi="宋体" w:cs="宋体"/>
          <w:color w:val="000000" w:themeColor="text1"/>
          <w:sz w:val="24"/>
          <w:highlight w:val="none"/>
          <w14:textFill>
            <w14:solidFill>
              <w14:schemeClr w14:val="tx1"/>
            </w14:solidFill>
          </w14:textFill>
        </w:rPr>
        <w:t>项目的竞标，为便于贵方公正、择优地确定成交供应商及其服务，我方就本次竞标有关事项郑重声明如下：</w:t>
      </w:r>
    </w:p>
    <w:p w14:paraId="35F838F4">
      <w:pPr>
        <w:spacing w:line="360" w:lineRule="auto"/>
        <w:ind w:firstLine="480" w:firstLineChars="200"/>
        <w:contextualSpacing/>
        <w:outlineLvl w:val="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1.我方向贵方提交的所有响应文件、资料都是准确的和真实的。</w:t>
      </w:r>
    </w:p>
    <w:p w14:paraId="7FE81679">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highlight w:val="none"/>
          <w14:textFill>
            <w14:solidFill>
              <w14:schemeClr w14:val="tx1"/>
            </w14:solidFill>
          </w14:textFill>
        </w:rPr>
        <w:t>。</w:t>
      </w:r>
    </w:p>
    <w:p w14:paraId="7D12E1C9">
      <w:pPr>
        <w:spacing w:line="360" w:lineRule="auto"/>
        <w:ind w:firstLine="480" w:firstLineChars="200"/>
        <w:contextualSpacing/>
        <w:outlineLvl w:val="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3.在此，我方宣布同意如下：</w:t>
      </w:r>
    </w:p>
    <w:p w14:paraId="372617F5">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（1）将按磋商文件的约定履行合同责任和义务；</w:t>
      </w:r>
    </w:p>
    <w:p w14:paraId="164835E8">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（2）已详细审查全部磋商文件，包括澄清或者更正公告（如有）；</w:t>
      </w:r>
    </w:p>
    <w:p w14:paraId="7D8D263A">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（3）同意提供按照贵方可能要求的与磋商有关的一切数据或者资料；</w:t>
      </w:r>
    </w:p>
    <w:p w14:paraId="103B0F14">
      <w:pPr>
        <w:spacing w:line="360" w:lineRule="auto"/>
        <w:ind w:firstLine="480" w:firstLineChars="200"/>
        <w:contextualSpacing/>
        <w:outlineLvl w:val="3"/>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（4）响应磋商文件规定的竞标有效期。</w:t>
      </w:r>
    </w:p>
    <w:p w14:paraId="41F81976">
      <w:pPr>
        <w:spacing w:line="360" w:lineRule="auto"/>
        <w:ind w:firstLine="480" w:firstLineChars="200"/>
        <w:contextualSpacing/>
        <w:outlineLvl w:val="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4.我方承诺符合《中华人民共和国政府采购法》第二十二条规定：</w:t>
      </w:r>
    </w:p>
    <w:p w14:paraId="190C2C71">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（1）具有独立承担民事责任的能力；</w:t>
      </w:r>
    </w:p>
    <w:p w14:paraId="4A429755">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（2）具有良好的商业信誉和健全的财务会计制度；</w:t>
      </w:r>
    </w:p>
    <w:p w14:paraId="6107F104">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（3）具有履行合同所必需的设备和专业技术能力；</w:t>
      </w:r>
    </w:p>
    <w:p w14:paraId="1B4AC542">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（4）有依法缴纳税收和社会保障资金的良好记录；</w:t>
      </w:r>
    </w:p>
    <w:p w14:paraId="2E615D7D">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（5）参加政府采购活动前三年内，在经营活动中没有重大违法记录；</w:t>
      </w:r>
    </w:p>
    <w:p w14:paraId="6D52B732">
      <w:pPr>
        <w:spacing w:line="360" w:lineRule="auto"/>
        <w:ind w:firstLine="480" w:firstLineChars="200"/>
        <w:contextualSpacing/>
        <w:outlineLvl w:val="3"/>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（6）法律、行政法规规定的其他条件。</w:t>
      </w:r>
    </w:p>
    <w:p w14:paraId="15E2A875">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E841526">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8FE5885">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w:t>
      </w:r>
      <w:r>
        <w:rPr>
          <w:rFonts w:hint="eastAsia" w:ascii="宋体" w:hAnsi="宋体" w:cs="宋体"/>
          <w:color w:val="000000" w:themeColor="text1"/>
          <w:kern w:val="0"/>
          <w:sz w:val="24"/>
          <w:highlight w:val="none"/>
          <w14:textFill>
            <w14:solidFill>
              <w14:schemeClr w14:val="tx1"/>
            </w14:solidFill>
          </w14:textFill>
        </w:rPr>
        <w:t>内容中</w:t>
      </w:r>
      <w:r>
        <w:rPr>
          <w:rFonts w:hint="eastAsia" w:ascii="宋体" w:hAnsi="宋体" w:cs="宋体"/>
          <w:color w:val="000000" w:themeColor="text1"/>
          <w:sz w:val="24"/>
          <w:highlight w:val="none"/>
          <w14:textFill>
            <w14:solidFill>
              <w14:schemeClr w14:val="tx1"/>
            </w14:solidFill>
          </w14:textFill>
        </w:rPr>
        <w:t>未</w:t>
      </w:r>
      <w:r>
        <w:rPr>
          <w:rFonts w:hint="eastAsia" w:ascii="宋体" w:hAnsi="宋体" w:cs="宋体"/>
          <w:color w:val="000000" w:themeColor="text1"/>
          <w:kern w:val="0"/>
          <w:sz w:val="24"/>
          <w:highlight w:val="none"/>
          <w14:textFill>
            <w14:solidFill>
              <w14:schemeClr w14:val="tx1"/>
            </w14:solidFill>
          </w14:textFill>
        </w:rPr>
        <w:t>涉及商业秘密；</w:t>
      </w:r>
    </w:p>
    <w:p w14:paraId="5F7B3EBC">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w:t>
      </w:r>
      <w:r>
        <w:rPr>
          <w:rFonts w:hint="eastAsia" w:ascii="宋体" w:hAnsi="宋体" w:cs="宋体"/>
          <w:color w:val="000000" w:themeColor="text1"/>
          <w:kern w:val="0"/>
          <w:sz w:val="24"/>
          <w:highlight w:val="none"/>
          <w14:textFill>
            <w14:solidFill>
              <w14:schemeClr w14:val="tx1"/>
            </w14:solidFill>
          </w14:textFill>
        </w:rPr>
        <w:t>涉及商业秘密的内容有：</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w:t>
      </w:r>
    </w:p>
    <w:p w14:paraId="5C8B340C">
      <w:pPr>
        <w:pStyle w:val="25"/>
        <w:spacing w:line="360" w:lineRule="auto"/>
        <w:ind w:firstLine="480" w:firstLineChars="200"/>
        <w:contextualSpacing/>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7.与本磋商有关的一切正式往来信函请寄：</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邮政编号：</w:t>
      </w:r>
      <w:r>
        <w:rPr>
          <w:rFonts w:hint="eastAsia" w:hAnsi="宋体" w:cs="宋体"/>
          <w:color w:val="000000" w:themeColor="text1"/>
          <w:sz w:val="24"/>
          <w:highlight w:val="none"/>
          <w:u w:val="single"/>
          <w14:textFill>
            <w14:solidFill>
              <w14:schemeClr w14:val="tx1"/>
            </w14:solidFill>
          </w14:textFill>
        </w:rPr>
        <w:t xml:space="preserve">      </w:t>
      </w:r>
    </w:p>
    <w:p w14:paraId="579C7DF1">
      <w:pPr>
        <w:pStyle w:val="25"/>
        <w:spacing w:line="360" w:lineRule="auto"/>
        <w:ind w:firstLine="480" w:firstLineChars="200"/>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电话/传真：</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电子邮箱：</w:t>
      </w:r>
      <w:r>
        <w:rPr>
          <w:rFonts w:hint="eastAsia" w:hAnsi="宋体" w:cs="宋体"/>
          <w:color w:val="000000" w:themeColor="text1"/>
          <w:sz w:val="24"/>
          <w:highlight w:val="none"/>
          <w:u w:val="single"/>
          <w14:textFill>
            <w14:solidFill>
              <w14:schemeClr w14:val="tx1"/>
            </w14:solidFill>
          </w14:textFill>
        </w:rPr>
        <w:t xml:space="preserve">              </w:t>
      </w:r>
    </w:p>
    <w:p w14:paraId="7E4FC482">
      <w:pPr>
        <w:pStyle w:val="21"/>
        <w:tabs>
          <w:tab w:val="left" w:pos="939"/>
        </w:tabs>
        <w:spacing w:line="360" w:lineRule="auto"/>
        <w:ind w:left="141" w:leftChars="67"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账号：</w:t>
      </w:r>
      <w:r>
        <w:rPr>
          <w:rFonts w:hint="eastAsia" w:ascii="宋体" w:hAnsi="宋体" w:cs="宋体"/>
          <w:color w:val="000000" w:themeColor="text1"/>
          <w:kern w:val="0"/>
          <w:sz w:val="24"/>
          <w:highlight w:val="none"/>
          <w:u w:val="single"/>
          <w14:textFill>
            <w14:solidFill>
              <w14:schemeClr w14:val="tx1"/>
            </w14:solidFill>
          </w14:textFill>
        </w:rPr>
        <w:t xml:space="preserve">              </w:t>
      </w:r>
    </w:p>
    <w:p w14:paraId="670D1C9D">
      <w:pPr>
        <w:pStyle w:val="21"/>
        <w:tabs>
          <w:tab w:val="left" w:pos="939"/>
        </w:tabs>
        <w:spacing w:line="360" w:lineRule="auto"/>
        <w:ind w:left="0" w:leftChars="0"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8.以上事项如有虚假或者隐瞒，我方愿意承担一切后果，并不再寻求任何旨在减轻或者免除法律责任的辩解。</w:t>
      </w:r>
    </w:p>
    <w:p w14:paraId="2FCD0D68">
      <w:pPr>
        <w:pStyle w:val="21"/>
        <w:tabs>
          <w:tab w:val="left" w:pos="939"/>
        </w:tabs>
        <w:spacing w:line="360" w:lineRule="auto"/>
        <w:ind w:left="141" w:leftChars="67" w:firstLine="360" w:firstLineChars="15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特此承诺。</w:t>
      </w:r>
    </w:p>
    <w:p w14:paraId="1D23E2AB">
      <w:pPr>
        <w:spacing w:line="360" w:lineRule="auto"/>
        <w:ind w:firstLine="482" w:firstLineChars="200"/>
        <w:contextualSpacing/>
        <w:jc w:val="left"/>
        <w:rPr>
          <w:rFonts w:hint="eastAsia" w:ascii="宋体" w:hAnsi="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w:t>
      </w:r>
      <w:r>
        <w:rPr>
          <w:rFonts w:hint="eastAsia" w:ascii="宋体" w:hAnsi="宋体"/>
          <w:b/>
          <w:color w:val="000000" w:themeColor="text1"/>
          <w:sz w:val="24"/>
          <w:highlight w:val="none"/>
          <w14:textFill>
            <w14:solidFill>
              <w14:schemeClr w14:val="tx1"/>
            </w14:solidFill>
          </w14:textFill>
        </w:rPr>
        <w:t>如为联合体竞标，盖章处须加盖联合体牵头人电子签章并由联合体牵头人法定代表人分别签字或者盖章或者电子签名，否则响应文件按无效处理。</w:t>
      </w:r>
    </w:p>
    <w:p w14:paraId="3EA3E8BA">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120D235D">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3B2788AD">
      <w:pPr>
        <w:spacing w:line="360" w:lineRule="auto"/>
        <w:ind w:firstLine="1800" w:firstLineChars="750"/>
        <w:contextualSpacing/>
        <w:rPr>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盖章</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电子签名</w:t>
      </w:r>
      <w:r>
        <w:rPr>
          <w:rFonts w:hint="eastAsia"/>
          <w:color w:val="000000" w:themeColor="text1"/>
          <w:highlight w:val="none"/>
          <w14:textFill>
            <w14:solidFill>
              <w14:schemeClr w14:val="tx1"/>
            </w14:solidFill>
          </w14:textFill>
        </w:rPr>
        <w:t>）：</w:t>
      </w:r>
    </w:p>
    <w:p w14:paraId="57A287FA">
      <w:pPr>
        <w:spacing w:line="360" w:lineRule="auto"/>
        <w:ind w:firstLine="1800" w:firstLineChars="75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供应商（电子签章）：</w:t>
      </w:r>
    </w:p>
    <w:p w14:paraId="385ADC40">
      <w:pPr>
        <w:spacing w:line="360" w:lineRule="auto"/>
        <w:ind w:firstLine="1800" w:firstLineChars="75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12CDEF1D">
      <w:pPr>
        <w:spacing w:line="360" w:lineRule="auto"/>
        <w:ind w:firstLine="240" w:firstLineChars="100"/>
        <w:contextualSpacing/>
        <w:jc w:val="center"/>
        <w:outlineLvl w:val="1"/>
        <w:rPr>
          <w:rFonts w:hint="eastAsia" w:ascii="宋体" w:hAnsi="宋体"/>
          <w:b/>
          <w:color w:val="000000" w:themeColor="text1"/>
          <w:sz w:val="32"/>
          <w:szCs w:val="32"/>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二、</w:t>
      </w:r>
      <w:r>
        <w:rPr>
          <w:rFonts w:hint="eastAsia" w:ascii="宋体" w:hAnsi="宋体"/>
          <w:b/>
          <w:color w:val="000000" w:themeColor="text1"/>
          <w:sz w:val="32"/>
          <w:szCs w:val="32"/>
          <w:highlight w:val="none"/>
          <w14:textFill>
            <w14:solidFill>
              <w14:schemeClr w14:val="tx1"/>
            </w14:solidFill>
          </w14:textFill>
        </w:rPr>
        <w:t xml:space="preserve">报价文件格式 </w:t>
      </w:r>
    </w:p>
    <w:p w14:paraId="329A5D2E">
      <w:pPr>
        <w:snapToGrid w:val="0"/>
        <w:spacing w:before="120" w:beforeLines="50" w:after="50" w:line="360" w:lineRule="auto"/>
        <w:jc w:val="left"/>
        <w:outlineLvl w:val="2"/>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1.报价文件封面格式</w:t>
      </w:r>
    </w:p>
    <w:p w14:paraId="5777770C">
      <w:pPr>
        <w:snapToGrid w:val="0"/>
        <w:spacing w:before="120" w:beforeLines="50" w:after="50"/>
        <w:rPr>
          <w:rFonts w:hint="eastAsia" w:ascii="宋体" w:hAnsi="宋体"/>
          <w:bCs/>
          <w:color w:val="000000" w:themeColor="text1"/>
          <w:sz w:val="32"/>
          <w:szCs w:val="20"/>
          <w:highlight w:val="none"/>
          <w14:textFill>
            <w14:solidFill>
              <w14:schemeClr w14:val="tx1"/>
            </w14:solidFill>
          </w14:textFill>
        </w:rPr>
      </w:pPr>
    </w:p>
    <w:p w14:paraId="5BC6A8AB">
      <w:pPr>
        <w:snapToGrid w:val="0"/>
        <w:spacing w:before="120" w:beforeLines="50" w:after="5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14:paraId="7E443E7F">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463C2900">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3AF7F62B">
      <w:pPr>
        <w:snapToGrid w:val="0"/>
        <w:spacing w:before="120" w:beforeLines="5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报  价  文  件</w:t>
      </w:r>
    </w:p>
    <w:p w14:paraId="3AB36444">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66CCB271">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4643658C">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1E23DBDA">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21EBC444">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76D92B72">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66CFB5AA">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562A08B3">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3DBC11D8">
      <w:pPr>
        <w:snapToGrid w:val="0"/>
        <w:spacing w:before="120" w:beforeLines="50" w:after="50"/>
        <w:rPr>
          <w:rFonts w:hint="eastAsia" w:ascii="宋体" w:hAnsi="宋体" w:cs="仿宋_GB2312"/>
          <w:bCs/>
          <w:color w:val="000000" w:themeColor="text1"/>
          <w:sz w:val="32"/>
          <w:szCs w:val="32"/>
          <w:highlight w:val="none"/>
          <w14:textFill>
            <w14:solidFill>
              <w14:schemeClr w14:val="tx1"/>
            </w14:solidFill>
          </w14:textFill>
        </w:rPr>
      </w:pPr>
    </w:p>
    <w:p w14:paraId="2914EABD">
      <w:pPr>
        <w:pStyle w:val="7"/>
        <w:snapToGrid w:val="0"/>
        <w:spacing w:before="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3C5E238E">
      <w:pPr>
        <w:pStyle w:val="7"/>
        <w:snapToGrid w:val="0"/>
        <w:spacing w:before="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p>
    <w:p w14:paraId="48F6277F">
      <w:pPr>
        <w:pStyle w:val="7"/>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32E2C587">
      <w:pPr>
        <w:pStyle w:val="7"/>
        <w:snapToGrid w:val="0"/>
        <w:spacing w:before="50" w:after="50"/>
        <w:ind w:firstLine="0"/>
        <w:rPr>
          <w:rFonts w:hint="eastAsia" w:ascii="宋体" w:hAnsi="宋体" w:cs="仿宋_GB2312"/>
          <w:bCs/>
          <w:color w:val="000000" w:themeColor="text1"/>
          <w:sz w:val="32"/>
          <w:szCs w:val="32"/>
          <w:highlight w:val="none"/>
          <w14:textFill>
            <w14:solidFill>
              <w14:schemeClr w14:val="tx1"/>
            </w14:solidFill>
          </w14:textFill>
        </w:rPr>
      </w:pPr>
    </w:p>
    <w:p w14:paraId="2E02B6A0">
      <w:pPr>
        <w:pStyle w:val="7"/>
        <w:snapToGrid w:val="0"/>
        <w:spacing w:before="50" w:after="50"/>
        <w:ind w:firstLine="1280" w:firstLineChars="400"/>
        <w:rPr>
          <w:rFonts w:hint="eastAsia" w:ascii="宋体" w:hAnsi="宋体" w:cs="仿宋_GB2312"/>
          <w:bCs/>
          <w:color w:val="000000" w:themeColor="text1"/>
          <w:sz w:val="32"/>
          <w:szCs w:val="32"/>
          <w:highlight w:val="none"/>
          <w14:textFill>
            <w14:solidFill>
              <w14:schemeClr w14:val="tx1"/>
            </w14:solidFill>
          </w14:textFill>
        </w:rPr>
      </w:pPr>
    </w:p>
    <w:p w14:paraId="61B58CA9">
      <w:pPr>
        <w:snapToGrid w:val="0"/>
        <w:spacing w:before="120" w:beforeLines="5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3C360FBD">
      <w:pPr>
        <w:snapToGrid w:val="0"/>
        <w:spacing w:before="120" w:beforeLines="50" w:after="50" w:line="360" w:lineRule="auto"/>
        <w:ind w:left="142" w:leftChars="0"/>
        <w:jc w:val="left"/>
        <w:outlineLvl w:val="2"/>
        <w:rPr>
          <w:rFonts w:hint="eastAsia" w:ascii="宋体" w:hAnsi="宋体"/>
          <w:b/>
          <w:bCs/>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2.报价文件目录</w:t>
      </w:r>
    </w:p>
    <w:p w14:paraId="35D99CB3">
      <w:pPr>
        <w:spacing w:line="520" w:lineRule="exact"/>
        <w:jc w:val="center"/>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r>
        <w:rPr>
          <w:rFonts w:ascii="宋体" w:hAnsi="宋体"/>
          <w:b/>
          <w:bCs/>
          <w:color w:val="000000" w:themeColor="text1"/>
          <w:sz w:val="32"/>
          <w:szCs w:val="32"/>
          <w:highlight w:val="none"/>
          <w14:textFill>
            <w14:solidFill>
              <w14:schemeClr w14:val="tx1"/>
            </w14:solidFill>
          </w14:textFill>
        </w:rPr>
        <w:br w:type="page"/>
      </w:r>
    </w:p>
    <w:p w14:paraId="5FA36411">
      <w:pPr>
        <w:spacing w:line="520" w:lineRule="exact"/>
        <w:jc w:val="center"/>
        <w:outlineLvl w:val="9"/>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方正小标宋简体"/>
          <w:b/>
          <w:bCs/>
          <w:color w:val="000000" w:themeColor="text1"/>
          <w:sz w:val="32"/>
          <w:szCs w:val="32"/>
          <w:highlight w:val="none"/>
          <w14:textFill>
            <w14:solidFill>
              <w14:schemeClr w14:val="tx1"/>
            </w14:solidFill>
          </w14:textFill>
        </w:rPr>
        <w:t>竞标函及竞标函附录</w:t>
      </w:r>
    </w:p>
    <w:p w14:paraId="717E0C0F">
      <w:pPr>
        <w:spacing w:line="520" w:lineRule="exact"/>
        <w:jc w:val="center"/>
        <w:outlineLvl w:val="3"/>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方正小标宋简体"/>
          <w:b/>
          <w:bCs/>
          <w:color w:val="000000" w:themeColor="text1"/>
          <w:sz w:val="32"/>
          <w:szCs w:val="32"/>
          <w:highlight w:val="none"/>
          <w14:textFill>
            <w14:solidFill>
              <w14:schemeClr w14:val="tx1"/>
            </w14:solidFill>
          </w14:textFill>
        </w:rPr>
        <w:t>（一）竞标函</w:t>
      </w:r>
    </w:p>
    <w:p w14:paraId="6BD77B58">
      <w:pPr>
        <w:spacing w:line="520" w:lineRule="exact"/>
        <w:jc w:val="center"/>
        <w:rPr>
          <w:rFonts w:hint="eastAsia" w:ascii="宋体" w:hAnsi="宋体" w:cs="方正小标宋简体"/>
          <w:b/>
          <w:bCs/>
          <w:color w:val="000000" w:themeColor="text1"/>
          <w:sz w:val="32"/>
          <w:szCs w:val="32"/>
          <w:highlight w:val="none"/>
          <w14:textFill>
            <w14:solidFill>
              <w14:schemeClr w14:val="tx1"/>
            </w14:solidFill>
          </w14:textFill>
        </w:rPr>
      </w:pPr>
    </w:p>
    <w:p w14:paraId="2FB96E6B">
      <w:pPr>
        <w:spacing w:line="360" w:lineRule="auto"/>
        <w:rPr>
          <w:color w:val="000000" w:themeColor="text1"/>
          <w:szCs w:val="21"/>
          <w:highlight w:val="none"/>
          <w14:textFill>
            <w14:solidFill>
              <w14:schemeClr w14:val="tx1"/>
            </w14:solidFill>
          </w14:textFill>
        </w:rPr>
      </w:pPr>
      <w:r>
        <w:rPr>
          <w:color w:val="000000" w:themeColor="text1"/>
          <w:szCs w:val="21"/>
          <w:highlight w:val="none"/>
          <w:u w:val="single"/>
          <w14:textFill>
            <w14:solidFill>
              <w14:schemeClr w14:val="tx1"/>
            </w14:solidFill>
          </w14:textFill>
        </w:rPr>
        <w:t>（</w:t>
      </w:r>
      <w:r>
        <w:rPr>
          <w:rFonts w:hint="eastAsia"/>
          <w:color w:val="000000" w:themeColor="text1"/>
          <w:szCs w:val="21"/>
          <w:highlight w:val="none"/>
          <w:u w:val="single"/>
          <w:lang w:val="zh-CN" w:bidi="zh-CN"/>
          <w14:textFill>
            <w14:solidFill>
              <w14:schemeClr w14:val="tx1"/>
            </w14:solidFill>
          </w14:textFill>
        </w:rPr>
        <w:t>采购人</w:t>
      </w:r>
      <w:r>
        <w:rPr>
          <w:color w:val="000000" w:themeColor="text1"/>
          <w:szCs w:val="21"/>
          <w:highlight w:val="none"/>
          <w:u w:val="single"/>
          <w:lang w:val="zh-CN" w:bidi="zh-CN"/>
          <w14:textFill>
            <w14:solidFill>
              <w14:schemeClr w14:val="tx1"/>
            </w14:solidFill>
          </w14:textFill>
        </w:rPr>
        <w:t>名称</w:t>
      </w:r>
      <w:r>
        <w:rPr>
          <w:color w:val="000000" w:themeColor="text1"/>
          <w:szCs w:val="21"/>
          <w:highlight w:val="none"/>
          <w:u w:val="single"/>
          <w14:textFill>
            <w14:solidFill>
              <w14:schemeClr w14:val="tx1"/>
            </w14:solidFill>
          </w14:textFill>
        </w:rPr>
        <w:t>）</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w:t>
      </w:r>
    </w:p>
    <w:p w14:paraId="1CEA1462">
      <w:pPr>
        <w:pStyle w:val="98"/>
        <w:numPr>
          <w:ilvl w:val="0"/>
          <w:numId w:val="2"/>
        </w:numPr>
        <w:tabs>
          <w:tab w:val="left" w:pos="762"/>
          <w:tab w:val="left" w:pos="2074"/>
          <w:tab w:val="left" w:pos="3430"/>
          <w:tab w:val="left" w:pos="4687"/>
          <w:tab w:val="left" w:pos="7898"/>
        </w:tabs>
        <w:ind w:firstLine="440"/>
        <w:rPr>
          <w:rFonts w:ascii="Times New Roman" w:hAnsi="Times New Roman" w:cs="Times New Roman"/>
          <w:color w:val="000000" w:themeColor="text1"/>
          <w:szCs w:val="21"/>
          <w:highlight w:val="none"/>
          <w14:textFill>
            <w14:solidFill>
              <w14:schemeClr w14:val="tx1"/>
            </w14:solidFill>
          </w14:textFill>
        </w:rPr>
      </w:pPr>
      <w:bookmarkStart w:id="146" w:name="bookmark2065"/>
      <w:bookmarkEnd w:id="146"/>
      <w:r>
        <w:rPr>
          <w:rFonts w:ascii="Times New Roman" w:hAnsi="Times New Roman" w:cs="Times New Roman"/>
          <w:color w:val="000000" w:themeColor="text1"/>
          <w:szCs w:val="21"/>
          <w:highlight w:val="none"/>
          <w14:textFill>
            <w14:solidFill>
              <w14:schemeClr w14:val="tx1"/>
            </w14:solidFill>
          </w14:textFill>
        </w:rPr>
        <w:t>我方已仔细研究了</w:t>
      </w:r>
      <w:r>
        <w:rPr>
          <w:rFonts w:ascii="Times New Roman" w:hAnsi="Times New Roman" w:cs="Times New Roman"/>
          <w:color w:val="000000" w:themeColor="text1"/>
          <w:szCs w:val="21"/>
          <w:highlight w:val="none"/>
          <w:u w:val="single"/>
          <w14:textFill>
            <w14:solidFill>
              <w14:schemeClr w14:val="tx1"/>
            </w14:solidFill>
          </w14:textFill>
        </w:rPr>
        <w:t>（项目名称</w:t>
      </w:r>
      <w:r>
        <w:rPr>
          <w:rFonts w:hint="eastAsia" w:ascii="Times New Roman" w:hAnsi="Times New Roman" w:cs="Times New Roman"/>
          <w:color w:val="000000" w:themeColor="text1"/>
          <w:szCs w:val="21"/>
          <w:highlight w:val="none"/>
          <w:u w:val="single"/>
          <w14:textFill>
            <w14:solidFill>
              <w14:schemeClr w14:val="tx1"/>
            </w14:solidFill>
          </w14:textFill>
        </w:rPr>
        <w:t>、项目编号</w:t>
      </w:r>
      <w:r>
        <w:rPr>
          <w:rFonts w:ascii="Times New Roman" w:hAnsi="Times New Roman" w:cs="Times New Roman"/>
          <w:color w:val="000000" w:themeColor="text1"/>
          <w:szCs w:val="21"/>
          <w:highlight w:val="none"/>
          <w:u w:val="single"/>
          <w14:textFill>
            <w14:solidFill>
              <w14:schemeClr w14:val="tx1"/>
            </w14:solidFill>
          </w14:textFill>
        </w:rPr>
        <w:t>）</w:t>
      </w:r>
      <w:r>
        <w:rPr>
          <w:rFonts w:hint="eastAsia" w:ascii="Times New Roman" w:hAnsi="Times New Roman" w:cs="Times New Roman"/>
          <w:color w:val="000000" w:themeColor="text1"/>
          <w:szCs w:val="21"/>
          <w:highlight w:val="none"/>
          <w14:textFill>
            <w14:solidFill>
              <w14:schemeClr w14:val="tx1"/>
            </w14:solidFill>
          </w14:textFill>
        </w:rPr>
        <w:t>磋商</w:t>
      </w:r>
      <w:r>
        <w:rPr>
          <w:rFonts w:ascii="Times New Roman" w:hAnsi="Times New Roman" w:cs="Times New Roman"/>
          <w:color w:val="000000" w:themeColor="text1"/>
          <w:szCs w:val="21"/>
          <w:highlight w:val="none"/>
          <w14:textFill>
            <w14:solidFill>
              <w14:schemeClr w14:val="tx1"/>
            </w14:solidFill>
          </w14:textFill>
        </w:rPr>
        <w:t>文件的全部内容，愿意以人民币大写</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u w:val="single"/>
          <w14:textFill>
            <w14:solidFill>
              <w14:schemeClr w14:val="tx1"/>
            </w14:solidFill>
          </w14:textFill>
        </w:rPr>
        <w:t>元（¥</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u w:val="single"/>
          <w14:textFill>
            <w14:solidFill>
              <w14:schemeClr w14:val="tx1"/>
            </w14:solidFill>
          </w14:textFill>
        </w:rPr>
        <w:t>）</w:t>
      </w:r>
      <w:r>
        <w:rPr>
          <w:rFonts w:ascii="Times New Roman" w:hAnsi="Times New Roman" w:cs="Times New Roman"/>
          <w:color w:val="000000" w:themeColor="text1"/>
          <w:szCs w:val="21"/>
          <w:highlight w:val="none"/>
          <w14:textFill>
            <w14:solidFill>
              <w14:schemeClr w14:val="tx1"/>
            </w14:solidFill>
          </w14:textFill>
        </w:rPr>
        <w:t>的</w:t>
      </w:r>
      <w:r>
        <w:rPr>
          <w:rFonts w:hint="eastAsia" w:ascii="Times New Roman" w:hAnsi="Times New Roman" w:cs="Times New Roman"/>
          <w:color w:val="000000" w:themeColor="text1"/>
          <w:szCs w:val="21"/>
          <w:highlight w:val="none"/>
          <w14:textFill>
            <w14:solidFill>
              <w14:schemeClr w14:val="tx1"/>
            </w14:solidFill>
          </w14:textFill>
        </w:rPr>
        <w:t>竞</w:t>
      </w:r>
      <w:r>
        <w:rPr>
          <w:rFonts w:ascii="Times New Roman" w:hAnsi="Times New Roman" w:cs="Times New Roman"/>
          <w:color w:val="000000" w:themeColor="text1"/>
          <w:szCs w:val="21"/>
          <w:highlight w:val="none"/>
          <w14:textFill>
            <w14:solidFill>
              <w14:schemeClr w14:val="tx1"/>
            </w14:solidFill>
          </w14:textFill>
        </w:rPr>
        <w:t>标总报价，工期</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日历天，按合同约定实施和完成承包工程，修补工程中的任何缺陷，工程质量达到</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lang w:val="en-US" w:bidi="en-US"/>
          <w14:textFill>
            <w14:solidFill>
              <w14:schemeClr w14:val="tx1"/>
            </w14:solidFill>
          </w14:textFill>
        </w:rPr>
        <w:t>。</w:t>
      </w:r>
    </w:p>
    <w:p w14:paraId="096CD10E">
      <w:pPr>
        <w:pStyle w:val="98"/>
        <w:numPr>
          <w:ilvl w:val="0"/>
          <w:numId w:val="2"/>
        </w:numPr>
        <w:tabs>
          <w:tab w:val="left" w:pos="762"/>
        </w:tabs>
        <w:ind w:firstLine="420"/>
        <w:rPr>
          <w:rFonts w:ascii="Times New Roman" w:hAnsi="Times New Roman" w:cs="Times New Roman"/>
          <w:color w:val="000000" w:themeColor="text1"/>
          <w:szCs w:val="21"/>
          <w:highlight w:val="none"/>
          <w14:textFill>
            <w14:solidFill>
              <w14:schemeClr w14:val="tx1"/>
            </w14:solidFill>
          </w14:textFill>
        </w:rPr>
      </w:pPr>
      <w:bookmarkStart w:id="147" w:name="bookmark2068"/>
      <w:bookmarkEnd w:id="147"/>
      <w:bookmarkStart w:id="148" w:name="bookmark2067"/>
      <w:bookmarkEnd w:id="148"/>
      <w:bookmarkStart w:id="149" w:name="bookmark2066"/>
      <w:bookmarkEnd w:id="149"/>
      <w:r>
        <w:rPr>
          <w:rFonts w:hint="eastAsia"/>
          <w:color w:val="000000" w:themeColor="text1"/>
          <w:highlight w:val="none"/>
          <w14:textFill>
            <w14:solidFill>
              <w14:schemeClr w14:val="tx1"/>
            </w14:solidFill>
          </w14:textFill>
        </w:rPr>
        <w:t>我方承认竞标函附录是我方竞标函的组成部分。</w:t>
      </w:r>
    </w:p>
    <w:p w14:paraId="34F8DC3D">
      <w:pPr>
        <w:pStyle w:val="98"/>
        <w:numPr>
          <w:ilvl w:val="0"/>
          <w:numId w:val="2"/>
        </w:numPr>
        <w:tabs>
          <w:tab w:val="left" w:pos="762"/>
        </w:tabs>
        <w:ind w:firstLine="42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如我方</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w:t>
      </w:r>
    </w:p>
    <w:p w14:paraId="4D801743">
      <w:pPr>
        <w:pStyle w:val="98"/>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50" w:name="bookmark2069"/>
      <w:r>
        <w:rPr>
          <w:rFonts w:ascii="Times New Roman" w:hAnsi="Times New Roman" w:cs="Times New Roman"/>
          <w:color w:val="000000" w:themeColor="text1"/>
          <w:szCs w:val="21"/>
          <w:highlight w:val="none"/>
          <w14:textFill>
            <w14:solidFill>
              <w14:schemeClr w14:val="tx1"/>
            </w14:solidFill>
          </w14:textFill>
        </w:rPr>
        <w:t>（</w:t>
      </w:r>
      <w:bookmarkEnd w:id="150"/>
      <w:r>
        <w:rPr>
          <w:rFonts w:ascii="Times New Roman" w:hAnsi="Times New Roman" w:cs="Times New Roman"/>
          <w:color w:val="000000" w:themeColor="text1"/>
          <w:szCs w:val="21"/>
          <w:highlight w:val="none"/>
          <w14:textFill>
            <w14:solidFill>
              <w14:schemeClr w14:val="tx1"/>
            </w14:solidFill>
          </w14:textFill>
        </w:rPr>
        <w:t>1）我方承诺在收到</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通知书后，在</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通知书规定的期限内与你方签订合同。</w:t>
      </w:r>
    </w:p>
    <w:p w14:paraId="239FD7D4">
      <w:pPr>
        <w:pStyle w:val="98"/>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51" w:name="bookmark2070"/>
      <w:r>
        <w:rPr>
          <w:rFonts w:ascii="Times New Roman" w:hAnsi="Times New Roman" w:cs="Times New Roman"/>
          <w:color w:val="000000" w:themeColor="text1"/>
          <w:szCs w:val="21"/>
          <w:highlight w:val="none"/>
          <w14:textFill>
            <w14:solidFill>
              <w14:schemeClr w14:val="tx1"/>
            </w14:solidFill>
          </w14:textFill>
        </w:rPr>
        <w:t>（</w:t>
      </w:r>
      <w:bookmarkEnd w:id="151"/>
      <w:r>
        <w:rPr>
          <w:rFonts w:ascii="Times New Roman" w:hAnsi="Times New Roman" w:cs="Times New Roman"/>
          <w:color w:val="000000" w:themeColor="text1"/>
          <w:szCs w:val="21"/>
          <w:highlight w:val="none"/>
          <w14:textFill>
            <w14:solidFill>
              <w14:schemeClr w14:val="tx1"/>
            </w14:solidFill>
          </w14:textFill>
        </w:rPr>
        <w:t>2）</w:t>
      </w:r>
      <w:r>
        <w:rPr>
          <w:color w:val="000000" w:themeColor="text1"/>
          <w:highlight w:val="none"/>
          <w14:textFill>
            <w14:solidFill>
              <w14:schemeClr w14:val="tx1"/>
            </w14:solidFill>
          </w14:textFill>
        </w:rPr>
        <w:t>在签订合同时不向你方提出附加条件</w:t>
      </w:r>
      <w:r>
        <w:rPr>
          <w:rFonts w:ascii="Times New Roman" w:hAnsi="Times New Roman" w:cs="Times New Roman"/>
          <w:color w:val="000000" w:themeColor="text1"/>
          <w:szCs w:val="21"/>
          <w:highlight w:val="none"/>
          <w14:textFill>
            <w14:solidFill>
              <w14:schemeClr w14:val="tx1"/>
            </w14:solidFill>
          </w14:textFill>
        </w:rPr>
        <w:t>。</w:t>
      </w:r>
    </w:p>
    <w:p w14:paraId="5683D1BF">
      <w:pPr>
        <w:pStyle w:val="98"/>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52" w:name="bookmark2071"/>
      <w:r>
        <w:rPr>
          <w:rFonts w:ascii="Times New Roman" w:hAnsi="Times New Roman" w:cs="Times New Roman"/>
          <w:color w:val="000000" w:themeColor="text1"/>
          <w:szCs w:val="21"/>
          <w:highlight w:val="none"/>
          <w14:textFill>
            <w14:solidFill>
              <w14:schemeClr w14:val="tx1"/>
            </w14:solidFill>
          </w14:textFill>
        </w:rPr>
        <w:t>（</w:t>
      </w:r>
      <w:bookmarkEnd w:id="152"/>
      <w:r>
        <w:rPr>
          <w:rFonts w:ascii="Times New Roman" w:hAnsi="Times New Roman" w:cs="Times New Roman"/>
          <w:color w:val="000000" w:themeColor="text1"/>
          <w:szCs w:val="21"/>
          <w:highlight w:val="none"/>
          <w14:textFill>
            <w14:solidFill>
              <w14:schemeClr w14:val="tx1"/>
            </w14:solidFill>
          </w14:textFill>
        </w:rPr>
        <w:t>3）我方承诺按照</w:t>
      </w:r>
      <w:r>
        <w:rPr>
          <w:rFonts w:hint="eastAsia" w:ascii="Times New Roman" w:hAnsi="Times New Roman" w:cs="Times New Roman"/>
          <w:color w:val="000000" w:themeColor="text1"/>
          <w:szCs w:val="21"/>
          <w:highlight w:val="none"/>
          <w14:textFill>
            <w14:solidFill>
              <w14:schemeClr w14:val="tx1"/>
            </w14:solidFill>
          </w14:textFill>
        </w:rPr>
        <w:t>磋商</w:t>
      </w:r>
      <w:r>
        <w:rPr>
          <w:rFonts w:ascii="Times New Roman" w:hAnsi="Times New Roman" w:cs="Times New Roman"/>
          <w:color w:val="000000" w:themeColor="text1"/>
          <w:szCs w:val="21"/>
          <w:highlight w:val="none"/>
          <w14:textFill>
            <w14:solidFill>
              <w14:schemeClr w14:val="tx1"/>
            </w14:solidFill>
          </w14:textFill>
        </w:rPr>
        <w:t>文件规定向你方递交履约担保。</w:t>
      </w:r>
    </w:p>
    <w:p w14:paraId="343C07CE">
      <w:pPr>
        <w:pStyle w:val="98"/>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53" w:name="bookmark2072"/>
      <w:r>
        <w:rPr>
          <w:rFonts w:ascii="Times New Roman" w:hAnsi="Times New Roman" w:cs="Times New Roman"/>
          <w:color w:val="000000" w:themeColor="text1"/>
          <w:szCs w:val="21"/>
          <w:highlight w:val="none"/>
          <w14:textFill>
            <w14:solidFill>
              <w14:schemeClr w14:val="tx1"/>
            </w14:solidFill>
          </w14:textFill>
        </w:rPr>
        <w:t>（</w:t>
      </w:r>
      <w:bookmarkEnd w:id="153"/>
      <w:r>
        <w:rPr>
          <w:rFonts w:ascii="Times New Roman" w:hAnsi="Times New Roman" w:cs="Times New Roman"/>
          <w:color w:val="000000" w:themeColor="text1"/>
          <w:szCs w:val="21"/>
          <w:highlight w:val="none"/>
          <w14:textFill>
            <w14:solidFill>
              <w14:schemeClr w14:val="tx1"/>
            </w14:solidFill>
          </w14:textFill>
        </w:rPr>
        <w:t>4）我方承诺在合同约定的期限内完成并移交全部合同工程。</w:t>
      </w:r>
    </w:p>
    <w:p w14:paraId="5EB92985">
      <w:pPr>
        <w:pStyle w:val="98"/>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color w:val="000000" w:themeColor="text1"/>
          <w:szCs w:val="21"/>
          <w:highlight w:val="none"/>
          <w14:textFill>
            <w14:solidFill>
              <w14:schemeClr w14:val="tx1"/>
            </w14:solidFill>
          </w14:textFill>
        </w:rPr>
        <w:t>（5）</w:t>
      </w:r>
      <w:r>
        <w:rPr>
          <w:rFonts w:ascii="Times New Roman" w:hAnsi="Times New Roman" w:cs="Times New Roman"/>
          <w:color w:val="000000" w:themeColor="text1"/>
          <w:szCs w:val="21"/>
          <w:highlight w:val="none"/>
          <w14:textFill>
            <w14:solidFill>
              <w14:schemeClr w14:val="tx1"/>
            </w14:solidFill>
          </w14:textFill>
        </w:rPr>
        <w:t>在你方和我方进行合同谈判之前，我方将按照合同附件提出的最低要求填报派驻本标段的其他管理和技术人员及主要机械设备和试验检测设备，经你方审批后作为派驻本标段的项目管理机构主要人员和主要设备且不进行更换。如我方拟派驻的人员和设备不满足合同附件要求，你方有权取消我方</w:t>
      </w:r>
      <w:r>
        <w:rPr>
          <w:rFonts w:hint="eastAsia" w:ascii="Times New Roman" w:hAnsi="Times New Roman" w:cs="Times New Roman"/>
          <w:color w:val="000000" w:themeColor="text1"/>
          <w:szCs w:val="21"/>
          <w:highlight w:val="none"/>
          <w14:textFill>
            <w14:solidFill>
              <w14:schemeClr w14:val="tx1"/>
            </w14:solidFill>
          </w14:textFill>
        </w:rPr>
        <w:t>成交</w:t>
      </w:r>
      <w:r>
        <w:rPr>
          <w:color w:val="000000" w:themeColor="text1"/>
          <w:highlight w:val="none"/>
          <w14:textFill>
            <w14:solidFill>
              <w14:schemeClr w14:val="tx1"/>
            </w14:solidFill>
          </w14:textFill>
        </w:rPr>
        <w:t>资格。</w:t>
      </w:r>
    </w:p>
    <w:p w14:paraId="2EC9956C">
      <w:pPr>
        <w:pStyle w:val="98"/>
        <w:numPr>
          <w:ilvl w:val="0"/>
          <w:numId w:val="2"/>
        </w:numPr>
        <w:tabs>
          <w:tab w:val="left" w:pos="762"/>
        </w:tabs>
        <w:ind w:firstLine="440"/>
        <w:rPr>
          <w:rFonts w:ascii="Times New Roman" w:hAnsi="Times New Roman" w:cs="Times New Roman"/>
          <w:color w:val="000000" w:themeColor="text1"/>
          <w:szCs w:val="21"/>
          <w:highlight w:val="none"/>
          <w14:textFill>
            <w14:solidFill>
              <w14:schemeClr w14:val="tx1"/>
            </w14:solidFill>
          </w14:textFill>
        </w:rPr>
      </w:pPr>
      <w:bookmarkStart w:id="154" w:name="bookmark2073"/>
      <w:bookmarkEnd w:id="154"/>
      <w:r>
        <w:rPr>
          <w:color w:val="000000" w:themeColor="text1"/>
          <w:highlight w:val="none"/>
          <w14:textFill>
            <w14:solidFill>
              <w14:schemeClr w14:val="tx1"/>
            </w14:solidFill>
          </w14:textFill>
        </w:rPr>
        <w:t>在合同协议书正式签署生效之前，本</w:t>
      </w:r>
      <w:r>
        <w:rPr>
          <w:rFonts w:hint="eastAsia" w:ascii="Times New Roman" w:hAnsi="Times New Roman" w:cs="Times New Roman"/>
          <w:color w:val="000000" w:themeColor="text1"/>
          <w:szCs w:val="21"/>
          <w:highlight w:val="none"/>
          <w14:textFill>
            <w14:solidFill>
              <w14:schemeClr w14:val="tx1"/>
            </w14:solidFill>
          </w14:textFill>
        </w:rPr>
        <w:t>竞</w:t>
      </w:r>
      <w:r>
        <w:rPr>
          <w:rFonts w:ascii="Times New Roman" w:hAnsi="Times New Roman" w:cs="Times New Roman"/>
          <w:color w:val="000000" w:themeColor="text1"/>
          <w:szCs w:val="21"/>
          <w:highlight w:val="none"/>
          <w14:textFill>
            <w14:solidFill>
              <w14:schemeClr w14:val="tx1"/>
            </w14:solidFill>
          </w14:textFill>
        </w:rPr>
        <w:t>标</w:t>
      </w:r>
      <w:r>
        <w:rPr>
          <w:color w:val="000000" w:themeColor="text1"/>
          <w:highlight w:val="none"/>
          <w14:textFill>
            <w14:solidFill>
              <w14:schemeClr w14:val="tx1"/>
            </w14:solidFill>
          </w14:textFill>
        </w:rPr>
        <w:t>函连同你方的</w:t>
      </w:r>
      <w:r>
        <w:rPr>
          <w:rFonts w:hint="eastAsia"/>
          <w:color w:val="000000" w:themeColor="text1"/>
          <w:highlight w:val="none"/>
          <w14:textFill>
            <w14:solidFill>
              <w14:schemeClr w14:val="tx1"/>
            </w14:solidFill>
          </w14:textFill>
        </w:rPr>
        <w:t>成交</w:t>
      </w:r>
      <w:r>
        <w:rPr>
          <w:color w:val="000000" w:themeColor="text1"/>
          <w:highlight w:val="none"/>
          <w14:textFill>
            <w14:solidFill>
              <w14:schemeClr w14:val="tx1"/>
            </w14:solidFill>
          </w14:textFill>
        </w:rPr>
        <w:t>通知书将构成我们双方之间共同遵守的文件，对双方具有约束力</w:t>
      </w:r>
      <w:r>
        <w:rPr>
          <w:rFonts w:ascii="Times New Roman" w:hAnsi="Times New Roman" w:cs="Times New Roman"/>
          <w:color w:val="000000" w:themeColor="text1"/>
          <w:szCs w:val="21"/>
          <w:highlight w:val="none"/>
          <w14:textFill>
            <w14:solidFill>
              <w14:schemeClr w14:val="tx1"/>
            </w14:solidFill>
          </w14:textFill>
        </w:rPr>
        <w:t>。</w:t>
      </w:r>
    </w:p>
    <w:p w14:paraId="0F6C0FE7">
      <w:pPr>
        <w:spacing w:line="360" w:lineRule="auto"/>
        <w:ind w:firstLine="420" w:firstLineChars="200"/>
        <w:rPr>
          <w:color w:val="000000" w:themeColor="text1"/>
          <w:szCs w:val="21"/>
          <w:highlight w:val="none"/>
          <w14:textFill>
            <w14:solidFill>
              <w14:schemeClr w14:val="tx1"/>
            </w14:solidFill>
          </w14:textFill>
        </w:rPr>
      </w:pPr>
      <w:bookmarkStart w:id="155" w:name="bookmark2074"/>
      <w:bookmarkEnd w:id="155"/>
      <w:r>
        <w:rPr>
          <w:rFonts w:hint="eastAsia"/>
          <w:color w:val="000000" w:themeColor="text1"/>
          <w:szCs w:val="21"/>
          <w:highlight w:val="none"/>
          <w14:textFill>
            <w14:solidFill>
              <w14:schemeClr w14:val="tx1"/>
            </w14:solidFill>
          </w14:textFill>
        </w:rPr>
        <w:t>5.</w:t>
      </w:r>
      <w:r>
        <w:rPr>
          <w:color w:val="000000" w:themeColor="text1"/>
          <w:szCs w:val="21"/>
          <w:highlight w:val="none"/>
          <w:u w:val="single"/>
          <w14:textFill>
            <w14:solidFill>
              <w14:schemeClr w14:val="tx1"/>
            </w14:solidFill>
          </w14:textFill>
        </w:rPr>
        <w:t>（其他补充说明）</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w:t>
      </w:r>
    </w:p>
    <w:p w14:paraId="15228398">
      <w:pPr>
        <w:spacing w:line="360" w:lineRule="auto"/>
        <w:jc w:val="center"/>
        <w:rPr>
          <w:rFonts w:hint="eastAsia" w:ascii="宋体" w:hAnsi="宋体" w:cs="方正小标宋简体"/>
          <w:b/>
          <w:bCs/>
          <w:color w:val="000000" w:themeColor="text1"/>
          <w:sz w:val="32"/>
          <w:szCs w:val="32"/>
          <w:highlight w:val="none"/>
          <w14:textFill>
            <w14:solidFill>
              <w14:schemeClr w14:val="tx1"/>
            </w14:solidFill>
          </w14:textFill>
        </w:rPr>
      </w:pPr>
    </w:p>
    <w:p w14:paraId="53D0265B">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z w:val="24"/>
          <w:highlight w:val="none"/>
          <w14:textFill>
            <w14:solidFill>
              <w14:schemeClr w14:val="tx1"/>
            </w14:solidFill>
          </w14:textFill>
        </w:rPr>
        <w:t>签字</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盖章</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电子签名</w:t>
      </w:r>
      <w:r>
        <w:rPr>
          <w:rFonts w:hint="eastAsia" w:ascii="宋体" w:hAnsi="宋体" w:cs="仿宋_GB2312"/>
          <w:color w:val="000000" w:themeColor="text1"/>
          <w:sz w:val="24"/>
          <w:highlight w:val="none"/>
          <w14:textFill>
            <w14:solidFill>
              <w14:schemeClr w14:val="tx1"/>
            </w14:solidFill>
          </w14:textFill>
        </w:rPr>
        <w:t xml:space="preserve">）：                    </w:t>
      </w:r>
    </w:p>
    <w:p w14:paraId="3DEE7761">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14:paraId="44C9A6A3">
      <w:pPr>
        <w:spacing w:line="360" w:lineRule="auto"/>
        <w:jc w:val="center"/>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r>
        <w:rPr>
          <w:rFonts w:ascii="宋体" w:hAnsi="宋体" w:cs="方正小标宋简体"/>
          <w:b/>
          <w:bCs/>
          <w:color w:val="000000" w:themeColor="text1"/>
          <w:sz w:val="32"/>
          <w:szCs w:val="32"/>
          <w:highlight w:val="none"/>
          <w14:textFill>
            <w14:solidFill>
              <w14:schemeClr w14:val="tx1"/>
            </w14:solidFill>
          </w14:textFill>
        </w:rPr>
        <w:br w:type="page"/>
      </w:r>
    </w:p>
    <w:p w14:paraId="7ABCA013">
      <w:pPr>
        <w:spacing w:line="360" w:lineRule="auto"/>
        <w:jc w:val="center"/>
        <w:rPr>
          <w:rFonts w:hint="eastAsia" w:ascii="宋体" w:hAnsi="宋体" w:cs="方正小标宋简体"/>
          <w:b/>
          <w:bCs/>
          <w:color w:val="000000" w:themeColor="text1"/>
          <w:sz w:val="32"/>
          <w:szCs w:val="32"/>
          <w:highlight w:val="none"/>
          <w14:textFill>
            <w14:solidFill>
              <w14:schemeClr w14:val="tx1"/>
            </w14:solidFill>
          </w14:textFill>
        </w:rPr>
      </w:pPr>
    </w:p>
    <w:p w14:paraId="62AF394F">
      <w:pPr>
        <w:spacing w:line="360" w:lineRule="auto"/>
        <w:jc w:val="center"/>
        <w:outlineLvl w:val="3"/>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方正小标宋简体"/>
          <w:b/>
          <w:bCs/>
          <w:color w:val="000000" w:themeColor="text1"/>
          <w:sz w:val="32"/>
          <w:szCs w:val="32"/>
          <w:highlight w:val="none"/>
          <w14:textFill>
            <w14:solidFill>
              <w14:schemeClr w14:val="tx1"/>
            </w14:solidFill>
          </w14:textFill>
        </w:rPr>
        <w:t>（二）竞标函附录</w:t>
      </w:r>
    </w:p>
    <w:tbl>
      <w:tblPr>
        <w:tblStyle w:val="45"/>
        <w:tblW w:w="908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2924"/>
        <w:gridCol w:w="1279"/>
        <w:gridCol w:w="3293"/>
        <w:gridCol w:w="850"/>
      </w:tblGrid>
      <w:tr w14:paraId="4089E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36" w:type="dxa"/>
            <w:vAlign w:val="center"/>
          </w:tcPr>
          <w:p w14:paraId="4FD64221">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序号</w:t>
            </w:r>
          </w:p>
        </w:tc>
        <w:tc>
          <w:tcPr>
            <w:tcW w:w="2924" w:type="dxa"/>
            <w:vAlign w:val="center"/>
          </w:tcPr>
          <w:p w14:paraId="4EB797CA">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条款名称</w:t>
            </w:r>
          </w:p>
        </w:tc>
        <w:tc>
          <w:tcPr>
            <w:tcW w:w="1279" w:type="dxa"/>
            <w:vAlign w:val="center"/>
          </w:tcPr>
          <w:p w14:paraId="5B26ADD4">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合同条目号</w:t>
            </w:r>
          </w:p>
        </w:tc>
        <w:tc>
          <w:tcPr>
            <w:tcW w:w="3293" w:type="dxa"/>
            <w:vAlign w:val="center"/>
          </w:tcPr>
          <w:p w14:paraId="17D9AC11">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约定内容</w:t>
            </w:r>
          </w:p>
        </w:tc>
        <w:tc>
          <w:tcPr>
            <w:tcW w:w="850" w:type="dxa"/>
            <w:vAlign w:val="center"/>
          </w:tcPr>
          <w:p w14:paraId="7BFDF6A8">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备注</w:t>
            </w:r>
          </w:p>
        </w:tc>
      </w:tr>
      <w:tr w14:paraId="65DAF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6" w:type="dxa"/>
            <w:vAlign w:val="center"/>
          </w:tcPr>
          <w:p w14:paraId="42B0D603">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p>
        </w:tc>
        <w:tc>
          <w:tcPr>
            <w:tcW w:w="2924" w:type="dxa"/>
            <w:vAlign w:val="center"/>
          </w:tcPr>
          <w:p w14:paraId="7892A0D3">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项目经理</w:t>
            </w:r>
          </w:p>
        </w:tc>
        <w:tc>
          <w:tcPr>
            <w:tcW w:w="1279" w:type="dxa"/>
            <w:vAlign w:val="center"/>
          </w:tcPr>
          <w:p w14:paraId="024809CC">
            <w:pPr>
              <w:pStyle w:val="173"/>
              <w:spacing w:line="240" w:lineRule="auto"/>
              <w:ind w:firstLine="0"/>
              <w:jc w:val="center"/>
              <w:rPr>
                <w:rFonts w:hint="eastAsia"/>
                <w:color w:val="000000" w:themeColor="text1"/>
                <w:highlight w:val="none"/>
                <w14:textFill>
                  <w14:solidFill>
                    <w14:schemeClr w14:val="tx1"/>
                  </w14:solidFill>
                </w14:textFill>
              </w:rPr>
            </w:pPr>
            <w:r>
              <w:rPr>
                <w:rFonts w:cs="Times New Roman"/>
                <w:color w:val="000000" w:themeColor="text1"/>
                <w:sz w:val="21"/>
                <w:szCs w:val="21"/>
                <w:highlight w:val="none"/>
                <w:lang w:val="en-US" w:eastAsia="en-US" w:bidi="en-US"/>
                <w14:textFill>
                  <w14:solidFill>
                    <w14:schemeClr w14:val="tx1"/>
                  </w14:solidFill>
                </w14:textFill>
              </w:rPr>
              <w:t>1.1.2.4</w:t>
            </w:r>
          </w:p>
        </w:tc>
        <w:tc>
          <w:tcPr>
            <w:tcW w:w="3293" w:type="dxa"/>
            <w:vAlign w:val="center"/>
          </w:tcPr>
          <w:p w14:paraId="2CA1E27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p w14:paraId="5805897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p>
          <w:p w14:paraId="69C7169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职称：</w:t>
            </w:r>
          </w:p>
          <w:p w14:paraId="117E2B14">
            <w:pPr>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注册执业资格：</w:t>
            </w:r>
          </w:p>
        </w:tc>
        <w:tc>
          <w:tcPr>
            <w:tcW w:w="850" w:type="dxa"/>
            <w:vAlign w:val="center"/>
          </w:tcPr>
          <w:p w14:paraId="500F5E04">
            <w:pPr>
              <w:jc w:val="center"/>
              <w:rPr>
                <w:color w:val="000000" w:themeColor="text1"/>
                <w:highlight w:val="none"/>
                <w14:textFill>
                  <w14:solidFill>
                    <w14:schemeClr w14:val="tx1"/>
                  </w14:solidFill>
                </w14:textFill>
              </w:rPr>
            </w:pPr>
          </w:p>
        </w:tc>
      </w:tr>
      <w:tr w14:paraId="133B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trPr>
        <w:tc>
          <w:tcPr>
            <w:tcW w:w="736" w:type="dxa"/>
            <w:vAlign w:val="center"/>
          </w:tcPr>
          <w:p w14:paraId="6FD6D670">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p>
        </w:tc>
        <w:tc>
          <w:tcPr>
            <w:tcW w:w="2924" w:type="dxa"/>
            <w:vAlign w:val="center"/>
          </w:tcPr>
          <w:p w14:paraId="2C2E9C36">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技术负责人</w:t>
            </w:r>
          </w:p>
        </w:tc>
        <w:tc>
          <w:tcPr>
            <w:tcW w:w="1279" w:type="dxa"/>
            <w:vAlign w:val="center"/>
          </w:tcPr>
          <w:p w14:paraId="6C709F9D">
            <w:pPr>
              <w:pStyle w:val="173"/>
              <w:spacing w:line="240" w:lineRule="auto"/>
              <w:ind w:firstLine="0"/>
              <w:jc w:val="center"/>
              <w:rPr>
                <w:rFonts w:hint="eastAsia"/>
                <w:color w:val="000000" w:themeColor="text1"/>
                <w:highlight w:val="none"/>
                <w14:textFill>
                  <w14:solidFill>
                    <w14:schemeClr w14:val="tx1"/>
                  </w14:solidFill>
                </w14:textFill>
              </w:rPr>
            </w:pPr>
            <w:r>
              <w:rPr>
                <w:rFonts w:cs="Times New Roman"/>
                <w:color w:val="000000" w:themeColor="text1"/>
                <w:sz w:val="21"/>
                <w:szCs w:val="21"/>
                <w:highlight w:val="none"/>
                <w:lang w:val="en-US" w:eastAsia="en-US" w:bidi="en-US"/>
                <w14:textFill>
                  <w14:solidFill>
                    <w14:schemeClr w14:val="tx1"/>
                  </w14:solidFill>
                </w14:textFill>
              </w:rPr>
              <w:t>1.1.2.4</w:t>
            </w:r>
          </w:p>
        </w:tc>
        <w:tc>
          <w:tcPr>
            <w:tcW w:w="3293" w:type="dxa"/>
            <w:vAlign w:val="center"/>
          </w:tcPr>
          <w:p w14:paraId="3CFF424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p w14:paraId="0716ECB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p>
          <w:p w14:paraId="40D5F7FD">
            <w:pPr>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职称：</w:t>
            </w:r>
          </w:p>
        </w:tc>
        <w:tc>
          <w:tcPr>
            <w:tcW w:w="850" w:type="dxa"/>
            <w:vAlign w:val="center"/>
          </w:tcPr>
          <w:p w14:paraId="668929A9">
            <w:pPr>
              <w:jc w:val="center"/>
              <w:rPr>
                <w:color w:val="000000" w:themeColor="text1"/>
                <w:highlight w:val="none"/>
                <w14:textFill>
                  <w14:solidFill>
                    <w14:schemeClr w14:val="tx1"/>
                  </w14:solidFill>
                </w14:textFill>
              </w:rPr>
            </w:pPr>
          </w:p>
        </w:tc>
      </w:tr>
      <w:tr w14:paraId="6E311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 w:hRule="atLeast"/>
        </w:trPr>
        <w:tc>
          <w:tcPr>
            <w:tcW w:w="736" w:type="dxa"/>
            <w:vAlign w:val="center"/>
          </w:tcPr>
          <w:p w14:paraId="49CDAE1C">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w:t>
            </w:r>
          </w:p>
        </w:tc>
        <w:tc>
          <w:tcPr>
            <w:tcW w:w="2924" w:type="dxa"/>
            <w:vAlign w:val="center"/>
          </w:tcPr>
          <w:p w14:paraId="1FFEA769">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专职安全员</w:t>
            </w:r>
          </w:p>
        </w:tc>
        <w:tc>
          <w:tcPr>
            <w:tcW w:w="1279" w:type="dxa"/>
            <w:vAlign w:val="center"/>
          </w:tcPr>
          <w:p w14:paraId="2837BB46">
            <w:pPr>
              <w:pStyle w:val="173"/>
              <w:spacing w:line="240" w:lineRule="auto"/>
              <w:ind w:firstLine="0"/>
              <w:jc w:val="center"/>
              <w:rPr>
                <w:rFonts w:hint="eastAsia"/>
                <w:color w:val="000000" w:themeColor="text1"/>
                <w:highlight w:val="none"/>
                <w14:textFill>
                  <w14:solidFill>
                    <w14:schemeClr w14:val="tx1"/>
                  </w14:solidFill>
                </w14:textFill>
              </w:rPr>
            </w:pPr>
            <w:r>
              <w:rPr>
                <w:rFonts w:cs="Times New Roman"/>
                <w:color w:val="000000" w:themeColor="text1"/>
                <w:sz w:val="21"/>
                <w:szCs w:val="21"/>
                <w:highlight w:val="none"/>
                <w:lang w:val="en-US" w:eastAsia="en-US" w:bidi="en-US"/>
                <w14:textFill>
                  <w14:solidFill>
                    <w14:schemeClr w14:val="tx1"/>
                  </w14:solidFill>
                </w14:textFill>
              </w:rPr>
              <w:t>1.1.2.4</w:t>
            </w:r>
          </w:p>
        </w:tc>
        <w:tc>
          <w:tcPr>
            <w:tcW w:w="3293" w:type="dxa"/>
            <w:vAlign w:val="center"/>
          </w:tcPr>
          <w:p w14:paraId="6421E60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p w14:paraId="14EB92C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p>
          <w:p w14:paraId="04A05090">
            <w:pPr>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安全生产考核合格证书号码：</w:t>
            </w:r>
          </w:p>
        </w:tc>
        <w:tc>
          <w:tcPr>
            <w:tcW w:w="850" w:type="dxa"/>
            <w:vAlign w:val="center"/>
          </w:tcPr>
          <w:p w14:paraId="288424F0">
            <w:pPr>
              <w:jc w:val="center"/>
              <w:rPr>
                <w:color w:val="000000" w:themeColor="text1"/>
                <w:highlight w:val="none"/>
                <w14:textFill>
                  <w14:solidFill>
                    <w14:schemeClr w14:val="tx1"/>
                  </w14:solidFill>
                </w14:textFill>
              </w:rPr>
            </w:pPr>
          </w:p>
        </w:tc>
      </w:tr>
      <w:tr w14:paraId="31382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36" w:type="dxa"/>
            <w:tcBorders>
              <w:bottom w:val="single" w:color="000000" w:sz="6" w:space="0"/>
            </w:tcBorders>
            <w:vAlign w:val="center"/>
          </w:tcPr>
          <w:p w14:paraId="5AE9FB57">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w:t>
            </w:r>
          </w:p>
        </w:tc>
        <w:tc>
          <w:tcPr>
            <w:tcW w:w="2924" w:type="dxa"/>
            <w:tcBorders>
              <w:bottom w:val="single" w:color="000000" w:sz="6" w:space="0"/>
            </w:tcBorders>
            <w:vAlign w:val="center"/>
          </w:tcPr>
          <w:p w14:paraId="6819836B">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工期</w:t>
            </w:r>
          </w:p>
        </w:tc>
        <w:tc>
          <w:tcPr>
            <w:tcW w:w="1279" w:type="dxa"/>
            <w:tcBorders>
              <w:bottom w:val="single" w:color="000000" w:sz="6" w:space="0"/>
            </w:tcBorders>
            <w:vAlign w:val="center"/>
          </w:tcPr>
          <w:p w14:paraId="619124CB">
            <w:pPr>
              <w:pStyle w:val="173"/>
              <w:spacing w:line="240" w:lineRule="auto"/>
              <w:ind w:firstLine="0"/>
              <w:jc w:val="center"/>
              <w:rPr>
                <w:rFonts w:hint="eastAsia"/>
                <w:color w:val="000000" w:themeColor="text1"/>
                <w:highlight w:val="none"/>
                <w14:textFill>
                  <w14:solidFill>
                    <w14:schemeClr w14:val="tx1"/>
                  </w14:solidFill>
                </w14:textFill>
              </w:rPr>
            </w:pPr>
            <w:r>
              <w:rPr>
                <w:rFonts w:cs="Times New Roman"/>
                <w:color w:val="000000" w:themeColor="text1"/>
                <w:sz w:val="21"/>
                <w:szCs w:val="21"/>
                <w:highlight w:val="none"/>
                <w:lang w:val="en-US" w:eastAsia="en-US" w:bidi="en-US"/>
                <w14:textFill>
                  <w14:solidFill>
                    <w14:schemeClr w14:val="tx1"/>
                  </w14:solidFill>
                </w14:textFill>
              </w:rPr>
              <w:t>1.1.4.3</w:t>
            </w:r>
          </w:p>
        </w:tc>
        <w:tc>
          <w:tcPr>
            <w:tcW w:w="3293" w:type="dxa"/>
            <w:tcBorders>
              <w:bottom w:val="single" w:color="000000" w:sz="6" w:space="0"/>
            </w:tcBorders>
            <w:vAlign w:val="center"/>
          </w:tcPr>
          <w:p w14:paraId="48B546A1">
            <w:pPr>
              <w:pStyle w:val="173"/>
              <w:tabs>
                <w:tab w:val="left" w:leader="underscore" w:pos="1212"/>
              </w:tabs>
              <w:spacing w:line="240" w:lineRule="auto"/>
              <w:ind w:firstLine="0"/>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天数：</w:t>
            </w:r>
            <w:r>
              <w:rPr>
                <w:rFonts w:hint="eastAsia"/>
                <w:color w:val="000000" w:themeColor="text1"/>
                <w:sz w:val="21"/>
                <w:szCs w:val="21"/>
                <w:highlight w:val="none"/>
                <w:u w:val="single"/>
                <w:lang w:val="en-US"/>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日历天</w:t>
            </w:r>
          </w:p>
        </w:tc>
        <w:tc>
          <w:tcPr>
            <w:tcW w:w="850" w:type="dxa"/>
            <w:tcBorders>
              <w:bottom w:val="single" w:color="000000" w:sz="6" w:space="0"/>
            </w:tcBorders>
            <w:vAlign w:val="center"/>
          </w:tcPr>
          <w:p w14:paraId="3952D2E0">
            <w:pPr>
              <w:jc w:val="center"/>
              <w:rPr>
                <w:color w:val="000000" w:themeColor="text1"/>
                <w:highlight w:val="none"/>
                <w14:textFill>
                  <w14:solidFill>
                    <w14:schemeClr w14:val="tx1"/>
                  </w14:solidFill>
                </w14:textFill>
              </w:rPr>
            </w:pPr>
          </w:p>
        </w:tc>
      </w:tr>
      <w:tr w14:paraId="2739F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736" w:type="dxa"/>
            <w:tcBorders>
              <w:top w:val="single" w:color="000000" w:sz="6" w:space="0"/>
            </w:tcBorders>
            <w:vAlign w:val="center"/>
          </w:tcPr>
          <w:p w14:paraId="0CAC0083">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w:t>
            </w:r>
          </w:p>
        </w:tc>
        <w:tc>
          <w:tcPr>
            <w:tcW w:w="2924" w:type="dxa"/>
            <w:tcBorders>
              <w:top w:val="single" w:color="000000" w:sz="6" w:space="0"/>
            </w:tcBorders>
            <w:vAlign w:val="center"/>
          </w:tcPr>
          <w:p w14:paraId="3E5B6E65">
            <w:pPr>
              <w:pStyle w:val="173"/>
              <w:spacing w:line="271" w:lineRule="exact"/>
              <w:ind w:firstLine="0"/>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缺陷责任期 </w:t>
            </w:r>
          </w:p>
          <w:p w14:paraId="652EA57A">
            <w:pPr>
              <w:pStyle w:val="173"/>
              <w:spacing w:line="271" w:lineRule="exact"/>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（工程质量保修期）</w:t>
            </w:r>
          </w:p>
        </w:tc>
        <w:tc>
          <w:tcPr>
            <w:tcW w:w="1279" w:type="dxa"/>
            <w:tcBorders>
              <w:top w:val="single" w:color="000000" w:sz="6" w:space="0"/>
            </w:tcBorders>
            <w:vAlign w:val="center"/>
          </w:tcPr>
          <w:p w14:paraId="74BC24B7">
            <w:pPr>
              <w:pStyle w:val="173"/>
              <w:spacing w:line="240" w:lineRule="auto"/>
              <w:ind w:firstLine="0"/>
              <w:jc w:val="center"/>
              <w:rPr>
                <w:rFonts w:hint="eastAsia"/>
                <w:color w:val="000000" w:themeColor="text1"/>
                <w:highlight w:val="none"/>
                <w14:textFill>
                  <w14:solidFill>
                    <w14:schemeClr w14:val="tx1"/>
                  </w14:solidFill>
                </w14:textFill>
              </w:rPr>
            </w:pPr>
            <w:r>
              <w:rPr>
                <w:rFonts w:cs="Times New Roman"/>
                <w:color w:val="000000" w:themeColor="text1"/>
                <w:sz w:val="21"/>
                <w:szCs w:val="21"/>
                <w:highlight w:val="none"/>
                <w:lang w:val="en-US" w:eastAsia="en-US" w:bidi="en-US"/>
                <w14:textFill>
                  <w14:solidFill>
                    <w14:schemeClr w14:val="tx1"/>
                  </w14:solidFill>
                </w14:textFill>
              </w:rPr>
              <w:t>1.1.4.5</w:t>
            </w:r>
          </w:p>
        </w:tc>
        <w:tc>
          <w:tcPr>
            <w:tcW w:w="3293" w:type="dxa"/>
            <w:tcBorders>
              <w:top w:val="single" w:color="000000" w:sz="6" w:space="0"/>
            </w:tcBorders>
          </w:tcPr>
          <w:p w14:paraId="5940642C">
            <w:pPr>
              <w:rPr>
                <w:color w:val="000000" w:themeColor="text1"/>
                <w:highlight w:val="none"/>
                <w14:textFill>
                  <w14:solidFill>
                    <w14:schemeClr w14:val="tx1"/>
                  </w14:solidFill>
                </w14:textFill>
              </w:rPr>
            </w:pPr>
          </w:p>
          <w:p w14:paraId="6C2E8D9E">
            <w:pPr>
              <w:ind w:firstLine="420" w:firstLineChars="200"/>
              <w:rPr>
                <w:rFonts w:hint="default" w:eastAsia="宋体"/>
                <w:color w:val="000000" w:themeColor="text1"/>
                <w:highlight w:val="none"/>
                <w:u w:val="single"/>
                <w:lang w:val="en-US" w:eastAsia="zh-CN"/>
                <w14:textFill>
                  <w14:solidFill>
                    <w14:schemeClr w14:val="tx1"/>
                  </w14:solidFill>
                </w14:textFill>
              </w:rPr>
            </w:pP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none"/>
                <w:lang w:val="en-US" w:eastAsia="zh-CN"/>
                <w14:textFill>
                  <w14:solidFill>
                    <w14:schemeClr w14:val="tx1"/>
                  </w14:solidFill>
                </w14:textFill>
              </w:rPr>
              <w:t xml:space="preserve"> 年</w:t>
            </w:r>
          </w:p>
        </w:tc>
        <w:tc>
          <w:tcPr>
            <w:tcW w:w="850" w:type="dxa"/>
            <w:tcBorders>
              <w:top w:val="single" w:color="000000" w:sz="6" w:space="0"/>
            </w:tcBorders>
            <w:vAlign w:val="center"/>
          </w:tcPr>
          <w:p w14:paraId="52BBA781">
            <w:pPr>
              <w:jc w:val="center"/>
              <w:rPr>
                <w:color w:val="000000" w:themeColor="text1"/>
                <w:highlight w:val="none"/>
                <w14:textFill>
                  <w14:solidFill>
                    <w14:schemeClr w14:val="tx1"/>
                  </w14:solidFill>
                </w14:textFill>
              </w:rPr>
            </w:pPr>
          </w:p>
        </w:tc>
      </w:tr>
      <w:tr w14:paraId="6F84E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2" w:hRule="atLeast"/>
        </w:trPr>
        <w:tc>
          <w:tcPr>
            <w:tcW w:w="736" w:type="dxa"/>
            <w:vAlign w:val="center"/>
          </w:tcPr>
          <w:p w14:paraId="6853485C">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lang w:val="en-US"/>
                <w14:textFill>
                  <w14:solidFill>
                    <w14:schemeClr w14:val="tx1"/>
                  </w14:solidFill>
                </w14:textFill>
              </w:rPr>
              <w:t>6</w:t>
            </w:r>
          </w:p>
        </w:tc>
        <w:tc>
          <w:tcPr>
            <w:tcW w:w="2924" w:type="dxa"/>
            <w:vAlign w:val="center"/>
          </w:tcPr>
          <w:p w14:paraId="061A7930">
            <w:pPr>
              <w:pStyle w:val="173"/>
              <w:spacing w:line="240" w:lineRule="auto"/>
              <w:ind w:firstLine="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分包</w:t>
            </w:r>
          </w:p>
        </w:tc>
        <w:tc>
          <w:tcPr>
            <w:tcW w:w="1279" w:type="dxa"/>
            <w:vAlign w:val="center"/>
          </w:tcPr>
          <w:p w14:paraId="6CE9B6BA">
            <w:pPr>
              <w:pStyle w:val="173"/>
              <w:spacing w:line="240" w:lineRule="auto"/>
              <w:ind w:firstLine="0"/>
              <w:jc w:val="center"/>
              <w:rPr>
                <w:rFonts w:hint="eastAsia"/>
                <w:color w:val="000000" w:themeColor="text1"/>
                <w:highlight w:val="none"/>
                <w14:textFill>
                  <w14:solidFill>
                    <w14:schemeClr w14:val="tx1"/>
                  </w14:solidFill>
                </w14:textFill>
              </w:rPr>
            </w:pPr>
            <w:r>
              <w:rPr>
                <w:rFonts w:cs="Times New Roman"/>
                <w:color w:val="000000" w:themeColor="text1"/>
                <w:sz w:val="21"/>
                <w:szCs w:val="21"/>
                <w:highlight w:val="none"/>
                <w:lang w:val="en-US" w:eastAsia="en-US" w:bidi="en-US"/>
                <w14:textFill>
                  <w14:solidFill>
                    <w14:schemeClr w14:val="tx1"/>
                  </w14:solidFill>
                </w14:textFill>
              </w:rPr>
              <w:t>4.3</w:t>
            </w:r>
          </w:p>
        </w:tc>
        <w:tc>
          <w:tcPr>
            <w:tcW w:w="3293" w:type="dxa"/>
            <w:vAlign w:val="center"/>
          </w:tcPr>
          <w:p w14:paraId="343A909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□不允许；</w:t>
            </w:r>
          </w:p>
          <w:p w14:paraId="2BAB85A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□允许，分包工程项目：</w:t>
            </w:r>
          </w:p>
          <w:p w14:paraId="3BF39100">
            <w:pPr>
              <w:ind w:firstLine="840" w:firstLineChars="400"/>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分包金额限额：</w:t>
            </w:r>
          </w:p>
        </w:tc>
        <w:tc>
          <w:tcPr>
            <w:tcW w:w="850" w:type="dxa"/>
            <w:vAlign w:val="center"/>
          </w:tcPr>
          <w:p w14:paraId="4F84A2B5">
            <w:pPr>
              <w:jc w:val="center"/>
              <w:rPr>
                <w:color w:val="000000" w:themeColor="text1"/>
                <w:highlight w:val="none"/>
                <w14:textFill>
                  <w14:solidFill>
                    <w14:schemeClr w14:val="tx1"/>
                  </w14:solidFill>
                </w14:textFill>
              </w:rPr>
            </w:pPr>
          </w:p>
        </w:tc>
      </w:tr>
    </w:tbl>
    <w:p w14:paraId="7E477D4A">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p>
    <w:p w14:paraId="01F8636C">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p>
    <w:p w14:paraId="62DF1E24">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p>
    <w:p w14:paraId="3CD3A4F4">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z w:val="24"/>
          <w:highlight w:val="none"/>
          <w14:textFill>
            <w14:solidFill>
              <w14:schemeClr w14:val="tx1"/>
            </w14:solidFill>
          </w14:textFill>
        </w:rPr>
        <w:t>签字</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盖章</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电子签名</w:t>
      </w:r>
      <w:r>
        <w:rPr>
          <w:rFonts w:hint="eastAsia" w:ascii="宋体" w:hAnsi="宋体" w:cs="仿宋_GB2312"/>
          <w:color w:val="000000" w:themeColor="text1"/>
          <w:sz w:val="24"/>
          <w:highlight w:val="none"/>
          <w14:textFill>
            <w14:solidFill>
              <w14:schemeClr w14:val="tx1"/>
            </w14:solidFill>
          </w14:textFill>
        </w:rPr>
        <w:t xml:space="preserve">）：                    </w:t>
      </w:r>
    </w:p>
    <w:p w14:paraId="38CD78CB">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14:paraId="66F42BF2">
      <w:pPr>
        <w:spacing w:line="360" w:lineRule="auto"/>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2669292C">
      <w:pPr>
        <w:spacing w:line="360" w:lineRule="auto"/>
        <w:jc w:val="center"/>
        <w:outlineLvl w:val="1"/>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r>
      <w:r>
        <w:rPr>
          <w:rFonts w:hint="eastAsia" w:ascii="宋体" w:hAnsi="宋体" w:cs="方正小标宋简体"/>
          <w:b/>
          <w:bCs/>
          <w:color w:val="000000" w:themeColor="text1"/>
          <w:sz w:val="32"/>
          <w:szCs w:val="32"/>
          <w:highlight w:val="none"/>
          <w14:textFill>
            <w14:solidFill>
              <w14:schemeClr w14:val="tx1"/>
            </w14:solidFill>
          </w14:textFill>
        </w:rPr>
        <w:t>竞标报价表</w:t>
      </w:r>
    </w:p>
    <w:p w14:paraId="5AE80D07">
      <w:pPr>
        <w:spacing w:line="440" w:lineRule="exact"/>
        <w:jc w:val="cente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p>
    <w:p w14:paraId="1C522084">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项目名称：</w:t>
      </w:r>
    </w:p>
    <w:p w14:paraId="2AEF1B53">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项目编号：</w:t>
      </w:r>
    </w:p>
    <w:p w14:paraId="0D790FBB">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p>
    <w:p w14:paraId="43D43CD4">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单位：元</w:t>
      </w:r>
    </w:p>
    <w:tbl>
      <w:tblPr>
        <w:tblStyle w:val="45"/>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7719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32D7E3D">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5649768D">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w:t>
            </w:r>
            <w:r>
              <w:rPr>
                <w:rFonts w:ascii="宋体" w:hAnsi="宋体" w:cs="仿宋_GB2312"/>
                <w:color w:val="000000" w:themeColor="text1"/>
                <w:sz w:val="24"/>
                <w:highlight w:val="none"/>
                <w14:textFill>
                  <w14:solidFill>
                    <w14:schemeClr w14:val="tx1"/>
                  </w14:solidFill>
                </w14:textFill>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309A135D">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1CAB07E8">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总价</w:t>
            </w:r>
          </w:p>
        </w:tc>
        <w:tc>
          <w:tcPr>
            <w:tcW w:w="1184" w:type="dxa"/>
            <w:tcBorders>
              <w:top w:val="single" w:color="auto" w:sz="4" w:space="0"/>
              <w:left w:val="single" w:color="auto" w:sz="4" w:space="0"/>
              <w:bottom w:val="single" w:color="auto" w:sz="4" w:space="0"/>
              <w:right w:val="single" w:color="auto" w:sz="4" w:space="0"/>
            </w:tcBorders>
            <w:vAlign w:val="center"/>
          </w:tcPr>
          <w:p w14:paraId="6C3C3AC6">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备注</w:t>
            </w:r>
          </w:p>
        </w:tc>
      </w:tr>
      <w:tr w14:paraId="79DA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0B504840">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1</w:t>
            </w:r>
          </w:p>
        </w:tc>
        <w:tc>
          <w:tcPr>
            <w:tcW w:w="2712" w:type="dxa"/>
            <w:tcBorders>
              <w:top w:val="single" w:color="auto" w:sz="4" w:space="0"/>
              <w:left w:val="single" w:color="auto" w:sz="4" w:space="0"/>
              <w:bottom w:val="single" w:color="auto" w:sz="4" w:space="0"/>
              <w:right w:val="single" w:color="auto" w:sz="4" w:space="0"/>
            </w:tcBorders>
            <w:vAlign w:val="center"/>
          </w:tcPr>
          <w:p w14:paraId="7938E02C">
            <w:pPr>
              <w:spacing w:line="360" w:lineRule="auto"/>
              <w:contextualSpacing/>
              <w:jc w:val="center"/>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eastAsia="zh-CN"/>
                <w14:textFill>
                  <w14:solidFill>
                    <w14:schemeClr w14:val="tx1"/>
                  </w14:solidFill>
                </w14:textFill>
              </w:rPr>
              <w:t>贵港市港北区农村公路水毁修复工程项目</w:t>
            </w:r>
          </w:p>
        </w:tc>
        <w:tc>
          <w:tcPr>
            <w:tcW w:w="1505" w:type="dxa"/>
            <w:tcBorders>
              <w:top w:val="single" w:color="auto" w:sz="4" w:space="0"/>
              <w:left w:val="single" w:color="auto" w:sz="4" w:space="0"/>
              <w:bottom w:val="single" w:color="auto" w:sz="4" w:space="0"/>
              <w:right w:val="single" w:color="auto" w:sz="4" w:space="0"/>
            </w:tcBorders>
            <w:vAlign w:val="center"/>
          </w:tcPr>
          <w:p w14:paraId="390DE921">
            <w:pPr>
              <w:spacing w:line="360" w:lineRule="auto"/>
              <w:contextualSpacing/>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1项</w:t>
            </w:r>
          </w:p>
        </w:tc>
        <w:tc>
          <w:tcPr>
            <w:tcW w:w="3107" w:type="dxa"/>
            <w:tcBorders>
              <w:top w:val="single" w:color="auto" w:sz="4" w:space="0"/>
              <w:left w:val="single" w:color="auto" w:sz="4" w:space="0"/>
              <w:bottom w:val="single" w:color="auto" w:sz="4" w:space="0"/>
              <w:right w:val="single" w:color="auto" w:sz="4" w:space="0"/>
            </w:tcBorders>
          </w:tcPr>
          <w:p w14:paraId="2E395284">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vAlign w:val="center"/>
          </w:tcPr>
          <w:p w14:paraId="2501427F">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tc>
      </w:tr>
      <w:tr w14:paraId="7F09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5F734E59">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合计金额（人民币）</w:t>
            </w:r>
            <w:r>
              <w:rPr>
                <w:rFonts w:hint="eastAsia" w:ascii="宋体" w:hAnsi="宋体" w:cs="仿宋_GB2312"/>
                <w:color w:val="000000" w:themeColor="text1"/>
                <w:sz w:val="24"/>
                <w:highlight w:val="none"/>
                <w:u w:val="single"/>
                <w14:textFill>
                  <w14:solidFill>
                    <w14:schemeClr w14:val="tx1"/>
                  </w14:solidFill>
                </w14:textFill>
              </w:rPr>
              <w:t xml:space="preserve">大写：                      </w:t>
            </w:r>
            <w:r>
              <w:rPr>
                <w:rFonts w:hint="eastAsia" w:ascii="宋体" w:hAnsi="宋体" w:cs="仿宋_GB2312"/>
                <w:color w:val="000000" w:themeColor="text1"/>
                <w:sz w:val="24"/>
                <w:highlight w:val="none"/>
                <w14:textFill>
                  <w14:solidFill>
                    <w14:schemeClr w14:val="tx1"/>
                  </w14:solidFill>
                </w14:textFill>
              </w:rPr>
              <w:t xml:space="preserve"> （¥</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w:t>
            </w:r>
          </w:p>
        </w:tc>
      </w:tr>
    </w:tbl>
    <w:p w14:paraId="2D910A66">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p>
    <w:p w14:paraId="4E9A0F1A">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注: </w:t>
      </w:r>
    </w:p>
    <w:p w14:paraId="7C917F0E">
      <w:pPr>
        <w:spacing w:line="360" w:lineRule="auto"/>
        <w:ind w:firstLine="480" w:firstLineChars="200"/>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 供应商的报价表必须加盖供应商电子签章并由法定代表人或者委托代理人</w:t>
      </w:r>
      <w:r>
        <w:rPr>
          <w:rFonts w:hint="eastAsia" w:ascii="宋体" w:hAnsi="宋体"/>
          <w:color w:val="000000" w:themeColor="text1"/>
          <w:sz w:val="24"/>
          <w:highlight w:val="none"/>
          <w14:textFill>
            <w14:solidFill>
              <w14:schemeClr w14:val="tx1"/>
            </w14:solidFill>
          </w14:textFill>
        </w:rPr>
        <w:t>签字</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盖章</w:t>
      </w:r>
      <w:r>
        <w:rPr>
          <w:rFonts w:hint="eastAsia" w:ascii="宋体" w:hAnsi="宋体" w:cs="宋体"/>
          <w:color w:val="000000" w:themeColor="text1"/>
          <w:sz w:val="24"/>
          <w:highlight w:val="none"/>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电子签名</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color w:val="000000" w:themeColor="text1"/>
          <w:sz w:val="24"/>
          <w:highlight w:val="none"/>
          <w14:textFill>
            <w14:solidFill>
              <w14:schemeClr w14:val="tx1"/>
            </w14:solidFill>
          </w14:textFill>
        </w:rPr>
        <w:t>否则其响应文件按无效处理</w:t>
      </w:r>
      <w:r>
        <w:rPr>
          <w:rFonts w:hint="eastAsia" w:ascii="宋体" w:hAnsi="宋体" w:cs="仿宋_GB2312"/>
          <w:color w:val="000000" w:themeColor="text1"/>
          <w:sz w:val="24"/>
          <w:highlight w:val="none"/>
          <w14:textFill>
            <w14:solidFill>
              <w14:schemeClr w14:val="tx1"/>
            </w14:solidFill>
          </w14:textFill>
        </w:rPr>
        <w:t>。</w:t>
      </w:r>
    </w:p>
    <w:p w14:paraId="5434CE5F">
      <w:pPr>
        <w:spacing w:line="360" w:lineRule="auto"/>
        <w:ind w:firstLine="480" w:firstLineChars="200"/>
        <w:contextualSpacing/>
        <w:jc w:val="left"/>
        <w:rPr>
          <w:rFonts w:hint="eastAsia" w:ascii="宋体" w:hAnsi="宋体" w:cs="仿宋_GB2312"/>
          <w:b/>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 xml:space="preserve"> 报价一经涂改，应在涂改处加盖供应商公章或者加盖电子签章或者由法定代表人或者授权委托人签字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412C5B85">
      <w:pPr>
        <w:spacing w:line="360" w:lineRule="auto"/>
        <w:ind w:firstLine="480" w:firstLineChars="200"/>
        <w:contextualSpacing/>
        <w:jc w:val="left"/>
        <w:rPr>
          <w:rFonts w:hint="eastAsia" w:ascii="宋体" w:hAnsi="宋体" w:cs="仿宋_GB2312"/>
          <w:b/>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3</w:t>
      </w:r>
      <w:r>
        <w:rPr>
          <w:rFonts w:hint="eastAsia" w:ascii="宋体" w:hAnsi="宋体" w:cs="仿宋_GB2312"/>
          <w:color w:val="000000" w:themeColor="text1"/>
          <w:sz w:val="24"/>
          <w:highlight w:val="none"/>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062A01B3">
      <w:pPr>
        <w:spacing w:line="360" w:lineRule="auto"/>
        <w:ind w:firstLine="480" w:firstLineChars="200"/>
        <w:contextualSpacing/>
        <w:jc w:val="left"/>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4</w:t>
      </w:r>
      <w:r>
        <w:rPr>
          <w:rFonts w:hint="eastAsia" w:ascii="宋体" w:hAnsi="宋体" w:cs="仿宋_GB2312"/>
          <w:color w:val="000000" w:themeColor="text1"/>
          <w:sz w:val="24"/>
          <w:highlight w:val="none"/>
          <w14:textFill>
            <w14:solidFill>
              <w14:schemeClr w14:val="tx1"/>
            </w14:solidFill>
          </w14:textFill>
        </w:rPr>
        <w:t>. 如为联合体竞标，</w:t>
      </w:r>
      <w:r>
        <w:rPr>
          <w:rFonts w:hint="eastAsia" w:ascii="宋体" w:hAnsi="宋体"/>
          <w:color w:val="000000" w:themeColor="text1"/>
          <w:spacing w:val="-6"/>
          <w:sz w:val="24"/>
          <w:highlight w:val="none"/>
          <w14:textFill>
            <w14:solidFill>
              <w14:schemeClr w14:val="tx1"/>
            </w14:solidFill>
          </w14:textFill>
        </w:rPr>
        <w:t xml:space="preserve"> 盖章处须加盖联合体牵头人电子签章</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3A667FF2">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5</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color w:val="000000" w:themeColor="text1"/>
          <w:spacing w:val="-6"/>
          <w:sz w:val="24"/>
          <w:highlight w:val="none"/>
          <w14:textFill>
            <w14:solidFill>
              <w14:schemeClr w14:val="tx1"/>
            </w14:solidFill>
          </w14:textFill>
        </w:rPr>
        <w:t>如有多分标，分别列明各分标的报价表，</w:t>
      </w:r>
      <w:r>
        <w:rPr>
          <w:rFonts w:hint="eastAsia" w:ascii="宋体" w:hAnsi="宋体" w:cs="仿宋_GB2312"/>
          <w:b/>
          <w:color w:val="000000" w:themeColor="text1"/>
          <w:spacing w:val="-6"/>
          <w:sz w:val="24"/>
          <w:highlight w:val="none"/>
          <w14:textFill>
            <w14:solidFill>
              <w14:schemeClr w14:val="tx1"/>
            </w14:solidFill>
          </w14:textFill>
        </w:rPr>
        <w:t>否则其响应文件按无效处理。</w:t>
      </w:r>
    </w:p>
    <w:p w14:paraId="354610C5">
      <w:pPr>
        <w:spacing w:line="360" w:lineRule="auto"/>
        <w:ind w:right="-817" w:rightChars="-389"/>
        <w:contextualSpacing/>
        <w:rPr>
          <w:rFonts w:hint="eastAsia" w:ascii="宋体" w:hAnsi="宋体" w:cs="仿宋_GB2312"/>
          <w:color w:val="000000" w:themeColor="text1"/>
          <w:sz w:val="24"/>
          <w:highlight w:val="none"/>
          <w14:textFill>
            <w14:solidFill>
              <w14:schemeClr w14:val="tx1"/>
            </w14:solidFill>
          </w14:textFill>
        </w:rPr>
      </w:pPr>
    </w:p>
    <w:p w14:paraId="2BAF0F30">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法定代表人或者委托代理人（签字或盖章</w:t>
      </w:r>
      <w:r>
        <w:rPr>
          <w:rFonts w:hint="eastAsia" w:ascii="宋体" w:hAnsi="宋体"/>
          <w:color w:val="000000" w:themeColor="text1"/>
          <w:sz w:val="24"/>
          <w:highlight w:val="none"/>
          <w14:textFill>
            <w14:solidFill>
              <w14:schemeClr w14:val="tx1"/>
            </w14:solidFill>
          </w14:textFill>
        </w:rPr>
        <w:t>或电子签名</w:t>
      </w:r>
      <w:r>
        <w:rPr>
          <w:rFonts w:hint="eastAsia" w:ascii="宋体" w:hAnsi="宋体" w:cs="仿宋_GB2312"/>
          <w:color w:val="000000" w:themeColor="text1"/>
          <w:sz w:val="24"/>
          <w:highlight w:val="none"/>
          <w14:textFill>
            <w14:solidFill>
              <w14:schemeClr w14:val="tx1"/>
            </w14:solidFill>
          </w14:textFill>
        </w:rPr>
        <w:t xml:space="preserve">）：                    </w:t>
      </w:r>
    </w:p>
    <w:p w14:paraId="2BCBAF84">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14:paraId="3489EE93">
      <w:pPr>
        <w:spacing w:line="360" w:lineRule="auto"/>
        <w:ind w:right="-817" w:rightChars="-389" w:firstLine="4080" w:firstLineChars="17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396803E6">
      <w:pPr>
        <w:spacing w:line="360" w:lineRule="auto"/>
        <w:contextualSpacing/>
        <w:jc w:val="center"/>
        <w:rPr>
          <w:rFonts w:hint="eastAsia" w:ascii="宋体" w:hAnsi="宋体" w:cs="宋体"/>
          <w:b/>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已标价工程量清单</w:t>
      </w:r>
    </w:p>
    <w:p w14:paraId="67301E1E">
      <w:pPr>
        <w:spacing w:line="360" w:lineRule="auto"/>
        <w:contextualSpacing/>
        <w:jc w:val="center"/>
        <w:rPr>
          <w:rFonts w:hint="eastAsia" w:ascii="宋体" w:hAnsi="宋体" w:cs="宋体"/>
          <w:b/>
          <w:color w:val="000000" w:themeColor="text1"/>
          <w:sz w:val="32"/>
          <w:szCs w:val="32"/>
          <w:highlight w:val="none"/>
          <w14:textFill>
            <w14:solidFill>
              <w14:schemeClr w14:val="tx1"/>
            </w14:solidFill>
          </w14:textFill>
        </w:rPr>
      </w:pPr>
    </w:p>
    <w:p w14:paraId="023E0F7D">
      <w:pPr>
        <w:pStyle w:val="98"/>
        <w:spacing w:after="260" w:line="240" w:lineRule="auto"/>
        <w:ind w:firstLine="420"/>
        <w:rPr>
          <w:rFonts w:hint="eastAsia"/>
          <w:bCs/>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工程量清单的报价说明详</w:t>
      </w:r>
      <w:r>
        <w:rPr>
          <w:rFonts w:ascii="Times New Roman" w:hAnsi="Times New Roman" w:cs="Times New Roman"/>
          <w:color w:val="000000" w:themeColor="text1"/>
          <w:sz w:val="24"/>
          <w:szCs w:val="24"/>
          <w:highlight w:val="none"/>
          <w14:textFill>
            <w14:solidFill>
              <w14:schemeClr w14:val="tx1"/>
            </w14:solidFill>
          </w14:textFill>
        </w:rPr>
        <w:t>见第</w:t>
      </w:r>
      <w:r>
        <w:rPr>
          <w:rFonts w:hint="eastAsia" w:ascii="Times New Roman" w:hAnsi="Times New Roman" w:cs="Times New Roman"/>
          <w:color w:val="000000" w:themeColor="text1"/>
          <w:sz w:val="24"/>
          <w:szCs w:val="24"/>
          <w:highlight w:val="none"/>
          <w14:textFill>
            <w14:solidFill>
              <w14:schemeClr w14:val="tx1"/>
            </w14:solidFill>
          </w14:textFill>
        </w:rPr>
        <w:t>五</w:t>
      </w:r>
      <w:r>
        <w:rPr>
          <w:rFonts w:ascii="Times New Roman" w:hAnsi="Times New Roman" w:cs="Times New Roman"/>
          <w:color w:val="000000" w:themeColor="text1"/>
          <w:sz w:val="24"/>
          <w:szCs w:val="24"/>
          <w:highlight w:val="none"/>
          <w14:textFill>
            <w14:solidFill>
              <w14:schemeClr w14:val="tx1"/>
            </w14:solidFill>
          </w14:textFill>
        </w:rPr>
        <w:t>章</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工</w:t>
      </w:r>
      <w:r>
        <w:rPr>
          <w:color w:val="000000" w:themeColor="text1"/>
          <w:sz w:val="24"/>
          <w:szCs w:val="24"/>
          <w:highlight w:val="none"/>
          <w14:textFill>
            <w14:solidFill>
              <w14:schemeClr w14:val="tx1"/>
            </w14:solidFill>
          </w14:textFill>
        </w:rPr>
        <w:t>程量清单</w:t>
      </w:r>
      <w:r>
        <w:rPr>
          <w:rFonts w:hint="eastAsia"/>
          <w:color w:val="000000" w:themeColor="text1"/>
          <w:sz w:val="24"/>
          <w:szCs w:val="24"/>
          <w:highlight w:val="none"/>
          <w14:textFill>
            <w14:solidFill>
              <w14:schemeClr w14:val="tx1"/>
            </w14:solidFill>
          </w14:textFill>
        </w:rPr>
        <w:t>及图纸</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bCs/>
          <w:color w:val="000000" w:themeColor="text1"/>
          <w:sz w:val="24"/>
          <w:szCs w:val="24"/>
          <w:highlight w:val="none"/>
          <w14:textFill>
            <w14:solidFill>
              <w14:schemeClr w14:val="tx1"/>
            </w14:solidFill>
          </w14:textFill>
        </w:rPr>
        <w:t>。</w:t>
      </w:r>
    </w:p>
    <w:p w14:paraId="03F97EAA">
      <w:pP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br w:type="page"/>
      </w:r>
    </w:p>
    <w:p w14:paraId="66BABF78">
      <w:pPr>
        <w:pStyle w:val="9"/>
        <w:outlineLvl w:val="9"/>
        <w:rPr>
          <w:b w:val="0"/>
          <w:color w:val="000000" w:themeColor="text1"/>
          <w:sz w:val="28"/>
          <w:szCs w:val="28"/>
          <w:highlight w:val="none"/>
          <w14:textFill>
            <w14:solidFill>
              <w14:schemeClr w14:val="tx1"/>
            </w14:solidFill>
          </w14:textFill>
        </w:rPr>
      </w:pPr>
      <w:r>
        <w:rPr>
          <w:b w:val="0"/>
          <w:color w:val="000000" w:themeColor="text1"/>
          <w:sz w:val="28"/>
          <w:szCs w:val="28"/>
          <w:highlight w:val="none"/>
          <w14:textFill>
            <w14:solidFill>
              <w14:schemeClr w14:val="tx1"/>
            </w14:solidFill>
          </w14:textFill>
        </w:rPr>
        <w:t>封面</w:t>
      </w:r>
    </w:p>
    <w:p w14:paraId="3FEDF191">
      <w:pPr>
        <w:jc w:val="center"/>
        <w:rPr>
          <w:bCs/>
          <w:color w:val="000000" w:themeColor="text1"/>
          <w:szCs w:val="21"/>
          <w:highlight w:val="none"/>
          <w:u w:val="single"/>
          <w14:textFill>
            <w14:solidFill>
              <w14:schemeClr w14:val="tx1"/>
            </w14:solidFill>
          </w14:textFill>
        </w:rPr>
      </w:pPr>
      <w:bookmarkStart w:id="156" w:name="_Toc32350"/>
      <w:bookmarkStart w:id="157" w:name="_Toc22952"/>
    </w:p>
    <w:p w14:paraId="74B56AB9">
      <w:pPr>
        <w:jc w:val="center"/>
        <w:rPr>
          <w:bCs/>
          <w:color w:val="000000" w:themeColor="text1"/>
          <w:szCs w:val="21"/>
          <w:highlight w:val="none"/>
          <w:u w:val="single"/>
          <w14:textFill>
            <w14:solidFill>
              <w14:schemeClr w14:val="tx1"/>
            </w14:solidFill>
          </w14:textFill>
        </w:rPr>
      </w:pPr>
    </w:p>
    <w:p w14:paraId="08128ACB">
      <w:pPr>
        <w:jc w:val="center"/>
        <w:rPr>
          <w:rFonts w:hint="eastAsia" w:ascii="宋体" w:hAnsi="宋体" w:cs="宋体"/>
          <w:bCs/>
          <w:color w:val="000000" w:themeColor="text1"/>
          <w:sz w:val="24"/>
          <w:highlight w:val="none"/>
          <w14:textFill>
            <w14:solidFill>
              <w14:schemeClr w14:val="tx1"/>
            </w14:solidFill>
          </w14:textFill>
        </w:rPr>
      </w:pPr>
      <w:r>
        <w:rPr>
          <w:bCs/>
          <w:color w:val="000000" w:themeColor="text1"/>
          <w:sz w:val="24"/>
          <w:highlight w:val="none"/>
          <w:u w:val="single"/>
          <w14:textFill>
            <w14:solidFill>
              <w14:schemeClr w14:val="tx1"/>
            </w14:solidFill>
          </w14:textFill>
        </w:rPr>
        <w:tab/>
      </w:r>
      <w:r>
        <w:rPr>
          <w:rFonts w:hint="eastAsia"/>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工程</w:t>
      </w:r>
      <w:bookmarkEnd w:id="156"/>
      <w:bookmarkEnd w:id="157"/>
    </w:p>
    <w:p w14:paraId="5D01053E">
      <w:pPr>
        <w:jc w:val="center"/>
        <w:rPr>
          <w:rFonts w:hint="eastAsia" w:ascii="宋体" w:hAnsi="宋体" w:cs="宋体"/>
          <w:bCs/>
          <w:color w:val="000000" w:themeColor="text1"/>
          <w:sz w:val="24"/>
          <w:highlight w:val="none"/>
          <w14:textFill>
            <w14:solidFill>
              <w14:schemeClr w14:val="tx1"/>
            </w14:solidFill>
          </w14:textFill>
        </w:rPr>
      </w:pPr>
    </w:p>
    <w:p w14:paraId="42BD695D">
      <w:pPr>
        <w:jc w:val="center"/>
        <w:rPr>
          <w:bCs/>
          <w:color w:val="000000" w:themeColor="text1"/>
          <w:sz w:val="24"/>
          <w:highlight w:val="none"/>
          <w14:textFill>
            <w14:solidFill>
              <w14:schemeClr w14:val="tx1"/>
            </w14:solidFill>
          </w14:textFill>
        </w:rPr>
      </w:pPr>
    </w:p>
    <w:p w14:paraId="0DC9F1A2">
      <w:pPr>
        <w:jc w:val="center"/>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工程量清单报价表</w:t>
      </w:r>
    </w:p>
    <w:p w14:paraId="6A8E44DE">
      <w:pPr>
        <w:pStyle w:val="178"/>
        <w:tabs>
          <w:tab w:val="left" w:pos="-1280"/>
        </w:tabs>
        <w:rPr>
          <w:b w:val="0"/>
          <w:color w:val="000000" w:themeColor="text1"/>
          <w:sz w:val="24"/>
          <w:szCs w:val="24"/>
          <w:highlight w:val="none"/>
          <w14:textFill>
            <w14:solidFill>
              <w14:schemeClr w14:val="tx1"/>
            </w14:solidFill>
          </w14:textFill>
        </w:rPr>
      </w:pPr>
    </w:p>
    <w:p w14:paraId="78DAB1F3">
      <w:pPr>
        <w:jc w:val="center"/>
        <w:rPr>
          <w:rFonts w:hint="eastAsia" w:ascii="宋体" w:hAnsi="宋体" w:cs="宋体"/>
          <w:bCs/>
          <w:color w:val="000000" w:themeColor="text1"/>
          <w:sz w:val="24"/>
          <w:highlight w:val="none"/>
          <w14:textFill>
            <w14:solidFill>
              <w14:schemeClr w14:val="tx1"/>
            </w14:solidFill>
          </w14:textFill>
        </w:rPr>
      </w:pPr>
      <w:bookmarkStart w:id="158" w:name="bookmark2120"/>
      <w:bookmarkStart w:id="159" w:name="bookmark2119"/>
      <w:bookmarkStart w:id="160" w:name="_Toc10559"/>
      <w:bookmarkStart w:id="161" w:name="_Toc13821"/>
      <w:bookmarkStart w:id="162" w:name="bookmark2121"/>
    </w:p>
    <w:p w14:paraId="4CC641A7">
      <w:pPr>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（项目编号：</w:t>
      </w:r>
      <w:r>
        <w:rPr>
          <w:bCs/>
          <w:color w:val="000000" w:themeColor="text1"/>
          <w:sz w:val="24"/>
          <w:highlight w:val="none"/>
          <w:u w:val="single"/>
          <w14:textFill>
            <w14:solidFill>
              <w14:schemeClr w14:val="tx1"/>
            </w14:solidFill>
          </w14:textFill>
        </w:rPr>
        <w:tab/>
      </w:r>
      <w:r>
        <w:rPr>
          <w:rFonts w:hint="eastAsia"/>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w:t>
      </w:r>
      <w:bookmarkEnd w:id="158"/>
      <w:bookmarkEnd w:id="159"/>
      <w:bookmarkEnd w:id="160"/>
      <w:bookmarkEnd w:id="161"/>
      <w:bookmarkEnd w:id="162"/>
    </w:p>
    <w:p w14:paraId="23B76038">
      <w:pPr>
        <w:jc w:val="center"/>
        <w:rPr>
          <w:rFonts w:hint="eastAsia" w:ascii="宋体" w:hAnsi="宋体" w:cs="宋体"/>
          <w:bCs/>
          <w:color w:val="000000" w:themeColor="text1"/>
          <w:sz w:val="24"/>
          <w:highlight w:val="none"/>
          <w14:textFill>
            <w14:solidFill>
              <w14:schemeClr w14:val="tx1"/>
            </w14:solidFill>
          </w14:textFill>
        </w:rPr>
      </w:pPr>
    </w:p>
    <w:p w14:paraId="4994E43A">
      <w:pPr>
        <w:jc w:val="center"/>
        <w:rPr>
          <w:rFonts w:hint="eastAsia" w:ascii="宋体" w:hAnsi="宋体" w:cs="宋体"/>
          <w:bCs/>
          <w:color w:val="000000" w:themeColor="text1"/>
          <w:sz w:val="24"/>
          <w:highlight w:val="none"/>
          <w14:textFill>
            <w14:solidFill>
              <w14:schemeClr w14:val="tx1"/>
            </w14:solidFill>
          </w14:textFill>
        </w:rPr>
      </w:pPr>
    </w:p>
    <w:p w14:paraId="1D23FDA5">
      <w:pPr>
        <w:jc w:val="center"/>
        <w:rPr>
          <w:rFonts w:hint="eastAsia" w:ascii="宋体" w:hAnsi="宋体" w:cs="宋体"/>
          <w:bCs/>
          <w:color w:val="000000" w:themeColor="text1"/>
          <w:sz w:val="24"/>
          <w:highlight w:val="none"/>
          <w14:textFill>
            <w14:solidFill>
              <w14:schemeClr w14:val="tx1"/>
            </w14:solidFill>
          </w14:textFill>
        </w:rPr>
      </w:pPr>
    </w:p>
    <w:p w14:paraId="32ABDA28">
      <w:pPr>
        <w:jc w:val="center"/>
        <w:rPr>
          <w:rFonts w:hint="eastAsia" w:ascii="宋体" w:hAnsi="宋体" w:cs="宋体"/>
          <w:bCs/>
          <w:color w:val="000000" w:themeColor="text1"/>
          <w:sz w:val="24"/>
          <w:highlight w:val="none"/>
          <w14:textFill>
            <w14:solidFill>
              <w14:schemeClr w14:val="tx1"/>
            </w14:solidFill>
          </w14:textFill>
        </w:rPr>
      </w:pPr>
    </w:p>
    <w:p w14:paraId="4ECF1B27">
      <w:pPr>
        <w:jc w:val="center"/>
        <w:rPr>
          <w:rFonts w:hint="eastAsia" w:ascii="宋体" w:hAnsi="宋体" w:cs="宋体"/>
          <w:bCs/>
          <w:color w:val="000000" w:themeColor="text1"/>
          <w:sz w:val="24"/>
          <w:highlight w:val="none"/>
          <w14:textFill>
            <w14:solidFill>
              <w14:schemeClr w14:val="tx1"/>
            </w14:solidFill>
          </w14:textFill>
        </w:rPr>
      </w:pPr>
    </w:p>
    <w:p w14:paraId="2C6D6DC8">
      <w:pPr>
        <w:jc w:val="center"/>
        <w:rPr>
          <w:rFonts w:hint="eastAsia" w:ascii="宋体" w:hAnsi="宋体" w:cs="宋体"/>
          <w:bCs/>
          <w:color w:val="000000" w:themeColor="text1"/>
          <w:sz w:val="24"/>
          <w:highlight w:val="none"/>
          <w14:textFill>
            <w14:solidFill>
              <w14:schemeClr w14:val="tx1"/>
            </w14:solidFill>
          </w14:textFill>
        </w:rPr>
      </w:pPr>
    </w:p>
    <w:p w14:paraId="46295C6E">
      <w:pPr>
        <w:jc w:val="center"/>
        <w:rPr>
          <w:rFonts w:hint="eastAsia" w:ascii="宋体" w:hAnsi="宋体" w:cs="宋体"/>
          <w:bCs/>
          <w:color w:val="000000" w:themeColor="text1"/>
          <w:sz w:val="24"/>
          <w:highlight w:val="none"/>
          <w14:textFill>
            <w14:solidFill>
              <w14:schemeClr w14:val="tx1"/>
            </w14:solidFill>
          </w14:textFill>
        </w:rPr>
      </w:pPr>
    </w:p>
    <w:p w14:paraId="3B611DA2">
      <w:pPr>
        <w:jc w:val="center"/>
        <w:rPr>
          <w:rFonts w:hint="eastAsia" w:ascii="宋体" w:hAnsi="宋体" w:cs="宋体"/>
          <w:bCs/>
          <w:color w:val="000000" w:themeColor="text1"/>
          <w:sz w:val="24"/>
          <w:highlight w:val="none"/>
          <w14:textFill>
            <w14:solidFill>
              <w14:schemeClr w14:val="tx1"/>
            </w14:solidFill>
          </w14:textFill>
        </w:rPr>
      </w:pPr>
    </w:p>
    <w:p w14:paraId="10A394E4">
      <w:pPr>
        <w:jc w:val="center"/>
        <w:rPr>
          <w:rFonts w:hint="eastAsia" w:ascii="宋体" w:hAnsi="宋体" w:cs="宋体"/>
          <w:bCs/>
          <w:color w:val="000000" w:themeColor="text1"/>
          <w:sz w:val="24"/>
          <w:highlight w:val="none"/>
          <w14:textFill>
            <w14:solidFill>
              <w14:schemeClr w14:val="tx1"/>
            </w14:solidFill>
          </w14:textFill>
        </w:rPr>
      </w:pPr>
    </w:p>
    <w:p w14:paraId="6778526A">
      <w:pPr>
        <w:jc w:val="center"/>
        <w:rPr>
          <w:rFonts w:hint="eastAsia" w:ascii="宋体" w:hAnsi="宋体" w:cs="宋体"/>
          <w:bCs/>
          <w:color w:val="000000" w:themeColor="text1"/>
          <w:sz w:val="24"/>
          <w:highlight w:val="none"/>
          <w14:textFill>
            <w14:solidFill>
              <w14:schemeClr w14:val="tx1"/>
            </w14:solidFill>
          </w14:textFill>
        </w:rPr>
      </w:pPr>
    </w:p>
    <w:p w14:paraId="2CA5B15A">
      <w:pPr>
        <w:jc w:val="center"/>
        <w:rPr>
          <w:rFonts w:hint="eastAsia" w:ascii="宋体" w:hAnsi="宋体" w:cs="宋体"/>
          <w:bCs/>
          <w:color w:val="000000" w:themeColor="text1"/>
          <w:sz w:val="24"/>
          <w:highlight w:val="none"/>
          <w14:textFill>
            <w14:solidFill>
              <w14:schemeClr w14:val="tx1"/>
            </w14:solidFill>
          </w14:textFill>
        </w:rPr>
      </w:pPr>
    </w:p>
    <w:p w14:paraId="1A84956C">
      <w:pPr>
        <w:jc w:val="center"/>
        <w:rPr>
          <w:rFonts w:hint="eastAsia" w:ascii="宋体" w:hAnsi="宋体" w:cs="宋体"/>
          <w:bCs/>
          <w:color w:val="000000" w:themeColor="text1"/>
          <w:sz w:val="24"/>
          <w:highlight w:val="none"/>
          <w14:textFill>
            <w14:solidFill>
              <w14:schemeClr w14:val="tx1"/>
            </w14:solidFill>
          </w14:textFill>
        </w:rPr>
      </w:pPr>
    </w:p>
    <w:p w14:paraId="527AD233">
      <w:pPr>
        <w:jc w:val="center"/>
        <w:rPr>
          <w:rFonts w:hint="eastAsia" w:ascii="宋体" w:hAnsi="宋体" w:cs="宋体"/>
          <w:bCs/>
          <w:color w:val="000000" w:themeColor="text1"/>
          <w:sz w:val="24"/>
          <w:highlight w:val="none"/>
          <w14:textFill>
            <w14:solidFill>
              <w14:schemeClr w14:val="tx1"/>
            </w14:solidFill>
          </w14:textFill>
        </w:rPr>
      </w:pPr>
    </w:p>
    <w:p w14:paraId="36E99365">
      <w:pPr>
        <w:jc w:val="center"/>
        <w:rPr>
          <w:rFonts w:hint="eastAsia" w:ascii="宋体" w:hAnsi="宋体" w:cs="宋体"/>
          <w:bCs/>
          <w:color w:val="000000" w:themeColor="text1"/>
          <w:sz w:val="24"/>
          <w:highlight w:val="none"/>
          <w14:textFill>
            <w14:solidFill>
              <w14:schemeClr w14:val="tx1"/>
            </w14:solidFill>
          </w14:textFill>
        </w:rPr>
      </w:pPr>
    </w:p>
    <w:p w14:paraId="6352F694">
      <w:pPr>
        <w:jc w:val="center"/>
        <w:rPr>
          <w:rFonts w:hint="eastAsia" w:ascii="宋体" w:hAnsi="宋体" w:cs="宋体"/>
          <w:bCs/>
          <w:color w:val="000000" w:themeColor="text1"/>
          <w:sz w:val="24"/>
          <w:highlight w:val="none"/>
          <w14:textFill>
            <w14:solidFill>
              <w14:schemeClr w14:val="tx1"/>
            </w14:solidFill>
          </w14:textFill>
        </w:rPr>
      </w:pPr>
    </w:p>
    <w:p w14:paraId="2665A64E">
      <w:pPr>
        <w:jc w:val="center"/>
        <w:rPr>
          <w:rFonts w:hint="eastAsia" w:ascii="宋体" w:hAnsi="宋体" w:cs="宋体"/>
          <w:bCs/>
          <w:color w:val="000000" w:themeColor="text1"/>
          <w:sz w:val="24"/>
          <w:highlight w:val="none"/>
          <w14:textFill>
            <w14:solidFill>
              <w14:schemeClr w14:val="tx1"/>
            </w14:solidFill>
          </w14:textFill>
        </w:rPr>
      </w:pPr>
    </w:p>
    <w:p w14:paraId="60F04438">
      <w:pPr>
        <w:jc w:val="center"/>
        <w:rPr>
          <w:rFonts w:hint="eastAsia" w:ascii="宋体" w:hAnsi="宋体" w:cs="宋体"/>
          <w:bCs/>
          <w:color w:val="000000" w:themeColor="text1"/>
          <w:sz w:val="24"/>
          <w:highlight w:val="none"/>
          <w14:textFill>
            <w14:solidFill>
              <w14:schemeClr w14:val="tx1"/>
            </w14:solidFill>
          </w14:textFill>
        </w:rPr>
      </w:pPr>
    </w:p>
    <w:p w14:paraId="21BCAF8C">
      <w:pPr>
        <w:jc w:val="center"/>
        <w:rPr>
          <w:rFonts w:hint="eastAsia" w:ascii="宋体" w:hAnsi="宋体" w:cs="宋体"/>
          <w:bCs/>
          <w:color w:val="000000" w:themeColor="text1"/>
          <w:sz w:val="24"/>
          <w:highlight w:val="none"/>
          <w14:textFill>
            <w14:solidFill>
              <w14:schemeClr w14:val="tx1"/>
            </w14:solidFill>
          </w14:textFill>
        </w:rPr>
      </w:pPr>
    </w:p>
    <w:p w14:paraId="55AC382D">
      <w:pPr>
        <w:jc w:val="center"/>
        <w:rPr>
          <w:rFonts w:hint="eastAsia" w:ascii="宋体" w:hAnsi="宋体" w:cs="宋体"/>
          <w:bCs/>
          <w:color w:val="000000" w:themeColor="text1"/>
          <w:sz w:val="24"/>
          <w:highlight w:val="none"/>
          <w14:textFill>
            <w14:solidFill>
              <w14:schemeClr w14:val="tx1"/>
            </w14:solidFill>
          </w14:textFill>
        </w:rPr>
      </w:pPr>
    </w:p>
    <w:p w14:paraId="05354AC7">
      <w:pPr>
        <w:jc w:val="center"/>
        <w:rPr>
          <w:rFonts w:hint="eastAsia" w:ascii="宋体" w:hAnsi="宋体" w:cs="宋体"/>
          <w:bCs/>
          <w:color w:val="000000" w:themeColor="text1"/>
          <w:sz w:val="24"/>
          <w:highlight w:val="none"/>
          <w14:textFill>
            <w14:solidFill>
              <w14:schemeClr w14:val="tx1"/>
            </w14:solidFill>
          </w14:textFill>
        </w:rPr>
      </w:pPr>
    </w:p>
    <w:p w14:paraId="0B0B3884">
      <w:pPr>
        <w:jc w:val="center"/>
        <w:rPr>
          <w:rFonts w:hint="eastAsia" w:ascii="宋体" w:hAnsi="宋体" w:cs="宋体"/>
          <w:bCs/>
          <w:color w:val="000000" w:themeColor="text1"/>
          <w:sz w:val="24"/>
          <w:highlight w:val="none"/>
          <w14:textFill>
            <w14:solidFill>
              <w14:schemeClr w14:val="tx1"/>
            </w14:solidFill>
          </w14:textFill>
        </w:rPr>
      </w:pPr>
    </w:p>
    <w:p w14:paraId="1F9C0EFE">
      <w:pPr>
        <w:jc w:val="center"/>
        <w:rPr>
          <w:rFonts w:hint="eastAsia" w:ascii="宋体" w:hAnsi="宋体" w:cs="宋体"/>
          <w:bCs/>
          <w:color w:val="000000" w:themeColor="text1"/>
          <w:sz w:val="24"/>
          <w:highlight w:val="none"/>
          <w14:textFill>
            <w14:solidFill>
              <w14:schemeClr w14:val="tx1"/>
            </w14:solidFill>
          </w14:textFill>
        </w:rPr>
      </w:pPr>
    </w:p>
    <w:p w14:paraId="3191F2D0">
      <w:pPr>
        <w:rPr>
          <w:bCs/>
          <w:color w:val="000000" w:themeColor="text1"/>
          <w:sz w:val="24"/>
          <w:highlight w:val="none"/>
          <w14:textFill>
            <w14:solidFill>
              <w14:schemeClr w14:val="tx1"/>
            </w14:solidFill>
          </w14:textFill>
        </w:rPr>
      </w:pPr>
    </w:p>
    <w:p w14:paraId="3479CFB2">
      <w:pPr>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供应商</w:t>
      </w:r>
      <w:r>
        <w:rPr>
          <w:bCs/>
          <w:color w:val="000000" w:themeColor="text1"/>
          <w:sz w:val="24"/>
          <w:highlight w:val="none"/>
          <w14:textFill>
            <w14:solidFill>
              <w14:schemeClr w14:val="tx1"/>
            </w14:solidFill>
          </w14:textFill>
        </w:rPr>
        <w:t>：</w:t>
      </w:r>
      <w:r>
        <w:rPr>
          <w:bCs/>
          <w:color w:val="000000" w:themeColor="text1"/>
          <w:sz w:val="24"/>
          <w:highlight w:val="none"/>
          <w:u w:val="single"/>
          <w14:textFill>
            <w14:solidFill>
              <w14:schemeClr w14:val="tx1"/>
            </w14:solidFill>
          </w14:textFill>
        </w:rPr>
        <w:tab/>
      </w:r>
      <w:r>
        <w:rPr>
          <w:bCs/>
          <w:color w:val="000000" w:themeColor="text1"/>
          <w:sz w:val="24"/>
          <w:highlight w:val="none"/>
          <w:u w:val="single"/>
          <w14:textFill>
            <w14:solidFill>
              <w14:schemeClr w14:val="tx1"/>
            </w14:solidFill>
          </w14:textFill>
        </w:rPr>
        <w:t xml:space="preserve"> </w:t>
      </w:r>
      <w:r>
        <w:rPr>
          <w:rFonts w:hint="eastAsia"/>
          <w:bCs/>
          <w:color w:val="000000" w:themeColor="text1"/>
          <w:sz w:val="24"/>
          <w:highlight w:val="none"/>
          <w:u w:val="single"/>
          <w14:textFill>
            <w14:solidFill>
              <w14:schemeClr w14:val="tx1"/>
            </w14:solidFill>
          </w14:textFill>
        </w:rPr>
        <w:t xml:space="preserve">                           </w:t>
      </w:r>
      <w:r>
        <w:rPr>
          <w:bCs/>
          <w:color w:val="000000" w:themeColor="text1"/>
          <w:sz w:val="24"/>
          <w:highlight w:val="none"/>
          <w:u w:val="single"/>
          <w14:textFill>
            <w14:solidFill>
              <w14:schemeClr w14:val="tx1"/>
            </w14:solidFill>
          </w14:textFill>
        </w:rPr>
        <w:t xml:space="preserve">      </w:t>
      </w:r>
      <w:r>
        <w:rPr>
          <w:bCs/>
          <w:color w:val="000000" w:themeColor="text1"/>
          <w:sz w:val="24"/>
          <w:highlight w:val="none"/>
          <w14:textFill>
            <w14:solidFill>
              <w14:schemeClr w14:val="tx1"/>
            </w14:solidFill>
          </w14:textFill>
        </w:rPr>
        <w:t>（盖单位公章）</w:t>
      </w:r>
    </w:p>
    <w:p w14:paraId="1D92E98D">
      <w:pPr>
        <w:pStyle w:val="111"/>
        <w:spacing w:after="0" w:line="360" w:lineRule="auto"/>
        <w:jc w:val="center"/>
        <w:rPr>
          <w:rFonts w:hint="eastAsia"/>
          <w:bCs/>
          <w:color w:val="000000" w:themeColor="text1"/>
          <w:sz w:val="24"/>
          <w:szCs w:val="24"/>
          <w:highlight w:val="none"/>
          <w14:textFill>
            <w14:solidFill>
              <w14:schemeClr w14:val="tx1"/>
            </w14:solidFill>
          </w14:textFill>
        </w:rPr>
      </w:pPr>
      <w:r>
        <w:rPr>
          <w:bCs/>
          <w:color w:val="000000" w:themeColor="text1"/>
          <w:sz w:val="24"/>
          <w:szCs w:val="24"/>
          <w:highlight w:val="none"/>
          <w14:textFill>
            <w14:solidFill>
              <w14:schemeClr w14:val="tx1"/>
            </w14:solidFill>
          </w14:textFill>
        </w:rPr>
        <w:t>法定代表人（或委托代理人）：</w:t>
      </w:r>
      <w:r>
        <w:rPr>
          <w:bCs/>
          <w:color w:val="000000" w:themeColor="text1"/>
          <w:sz w:val="24"/>
          <w:szCs w:val="24"/>
          <w:highlight w:val="none"/>
          <w:u w:val="single"/>
          <w14:textFill>
            <w14:solidFill>
              <w14:schemeClr w14:val="tx1"/>
            </w14:solidFill>
          </w14:textFill>
        </w:rPr>
        <w:tab/>
      </w:r>
      <w:r>
        <w:rPr>
          <w:rFonts w:hint="eastAsia"/>
          <w:bCs/>
          <w:color w:val="000000" w:themeColor="text1"/>
          <w:sz w:val="24"/>
          <w:szCs w:val="24"/>
          <w:highlight w:val="none"/>
          <w:u w:val="single"/>
          <w14:textFill>
            <w14:solidFill>
              <w14:schemeClr w14:val="tx1"/>
            </w14:solidFill>
          </w14:textFill>
        </w:rPr>
        <w:t xml:space="preserve">              </w:t>
      </w:r>
      <w:r>
        <w:rPr>
          <w:bCs/>
          <w:color w:val="000000" w:themeColor="text1"/>
          <w:sz w:val="24"/>
          <w:szCs w:val="24"/>
          <w:highlight w:val="none"/>
          <w14:textFill>
            <w14:solidFill>
              <w14:schemeClr w14:val="tx1"/>
            </w14:solidFill>
          </w14:textFill>
        </w:rPr>
        <w:t>（签字）</w:t>
      </w:r>
    </w:p>
    <w:p w14:paraId="6FBC7CCD">
      <w:pPr>
        <w:spacing w:line="360" w:lineRule="auto"/>
        <w:jc w:val="center"/>
        <w:rPr>
          <w:bCs/>
          <w:color w:val="000000" w:themeColor="text1"/>
          <w:szCs w:val="21"/>
          <w:highlight w:val="none"/>
          <w14:textFill>
            <w14:solidFill>
              <w14:schemeClr w14:val="tx1"/>
            </w14:solidFill>
          </w14:textFill>
        </w:rPr>
        <w:sectPr>
          <w:footerReference r:id="rId7" w:type="default"/>
          <w:pgSz w:w="11900" w:h="16832"/>
          <w:pgMar w:top="1440" w:right="1803" w:bottom="1440" w:left="1803" w:header="454" w:footer="567" w:gutter="0"/>
          <w:pgNumType w:fmt="decimal" w:start="1"/>
          <w:cols w:space="720" w:num="1"/>
          <w:docGrid w:linePitch="360" w:charSpace="0"/>
        </w:sectPr>
      </w:pPr>
      <w:r>
        <w:rPr>
          <w:bCs/>
          <w:color w:val="000000" w:themeColor="text1"/>
          <w:sz w:val="24"/>
          <w:highlight w:val="none"/>
          <w14:textFill>
            <w14:solidFill>
              <w14:schemeClr w14:val="tx1"/>
            </w14:solidFill>
          </w14:textFill>
        </w:rPr>
        <w:t>编 制 时 间：</w:t>
      </w:r>
      <w:r>
        <w:rPr>
          <w:rFonts w:hint="eastAsia"/>
          <w:bCs/>
          <w:color w:val="000000" w:themeColor="text1"/>
          <w:sz w:val="24"/>
          <w:highlight w:val="none"/>
          <w:u w:val="single"/>
          <w14:textFill>
            <w14:solidFill>
              <w14:schemeClr w14:val="tx1"/>
            </w14:solidFill>
          </w14:textFill>
        </w:rPr>
        <w:t xml:space="preserve">            </w:t>
      </w:r>
      <w:r>
        <w:rPr>
          <w:bCs/>
          <w:color w:val="000000" w:themeColor="text1"/>
          <w:sz w:val="24"/>
          <w:highlight w:val="none"/>
          <w14:textFill>
            <w14:solidFill>
              <w14:schemeClr w14:val="tx1"/>
            </w14:solidFill>
          </w14:textFill>
        </w:rPr>
        <w:t>年</w:t>
      </w:r>
      <w:r>
        <w:rPr>
          <w:rFonts w:hint="eastAsia"/>
          <w:bCs/>
          <w:color w:val="000000" w:themeColor="text1"/>
          <w:sz w:val="24"/>
          <w:highlight w:val="none"/>
          <w:u w:val="single"/>
          <w14:textFill>
            <w14:solidFill>
              <w14:schemeClr w14:val="tx1"/>
            </w14:solidFill>
          </w14:textFill>
        </w:rPr>
        <w:t xml:space="preserve">          </w:t>
      </w:r>
      <w:r>
        <w:rPr>
          <w:bCs/>
          <w:color w:val="000000" w:themeColor="text1"/>
          <w:sz w:val="24"/>
          <w:highlight w:val="none"/>
          <w14:textFill>
            <w14:solidFill>
              <w14:schemeClr w14:val="tx1"/>
            </w14:solidFill>
          </w14:textFill>
        </w:rPr>
        <w:t>月</w:t>
      </w:r>
      <w:r>
        <w:rPr>
          <w:rFonts w:hint="eastAsia"/>
          <w:bCs/>
          <w:color w:val="000000" w:themeColor="text1"/>
          <w:sz w:val="24"/>
          <w:highlight w:val="none"/>
          <w:u w:val="single"/>
          <w14:textFill>
            <w14:solidFill>
              <w14:schemeClr w14:val="tx1"/>
            </w14:solidFill>
          </w14:textFill>
        </w:rPr>
        <w:t xml:space="preserve">      日</w:t>
      </w:r>
    </w:p>
    <w:p w14:paraId="74927E32">
      <w:pPr>
        <w:spacing w:line="360" w:lineRule="auto"/>
        <w:contextualSpacing/>
        <w:jc w:val="left"/>
        <w:outlineLvl w:val="1"/>
        <w:rPr>
          <w:rFonts w:hint="eastAsia" w:ascii="宋体" w:hAnsi="宋体"/>
          <w:b/>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三、</w:t>
      </w:r>
      <w:r>
        <w:rPr>
          <w:rFonts w:hint="eastAsia" w:ascii="宋体" w:hAnsi="宋体"/>
          <w:b/>
          <w:color w:val="000000" w:themeColor="text1"/>
          <w:sz w:val="32"/>
          <w:szCs w:val="32"/>
          <w:highlight w:val="none"/>
          <w14:textFill>
            <w14:solidFill>
              <w14:schemeClr w14:val="tx1"/>
            </w14:solidFill>
          </w14:textFill>
        </w:rPr>
        <w:t>商务技术文件格式</w:t>
      </w:r>
    </w:p>
    <w:p w14:paraId="104966DD">
      <w:pPr>
        <w:snapToGrid w:val="0"/>
        <w:spacing w:before="120" w:beforeLines="50" w:after="50" w:line="360" w:lineRule="auto"/>
        <w:jc w:val="left"/>
        <w:outlineLvl w:val="2"/>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1.商务技术文件封面格式</w:t>
      </w:r>
    </w:p>
    <w:p w14:paraId="7334B9E4">
      <w:pPr>
        <w:snapToGrid w:val="0"/>
        <w:spacing w:before="120" w:beforeLines="50" w:after="50"/>
        <w:rPr>
          <w:rFonts w:hint="eastAsia" w:ascii="宋体" w:hAnsi="宋体"/>
          <w:bCs/>
          <w:color w:val="000000" w:themeColor="text1"/>
          <w:sz w:val="32"/>
          <w:szCs w:val="20"/>
          <w:highlight w:val="none"/>
          <w14:textFill>
            <w14:solidFill>
              <w14:schemeClr w14:val="tx1"/>
            </w14:solidFill>
          </w14:textFill>
        </w:rPr>
      </w:pPr>
    </w:p>
    <w:p w14:paraId="384CE58A">
      <w:pPr>
        <w:snapToGrid w:val="0"/>
        <w:spacing w:before="120" w:beforeLines="50" w:after="5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14:paraId="613A3CA3">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74961F33">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7EE2964D">
      <w:pPr>
        <w:snapToGrid w:val="0"/>
        <w:spacing w:before="120" w:beforeLines="5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  务  技  术  文  件</w:t>
      </w:r>
    </w:p>
    <w:p w14:paraId="56A9E275">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4595AD34">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329E4B09">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7DFAC2B1">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15FFBA1A">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0438FA41">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2D4B2D8F">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272FBD89">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159E06A1">
      <w:pPr>
        <w:snapToGrid w:val="0"/>
        <w:spacing w:before="120" w:beforeLines="50" w:after="50"/>
        <w:rPr>
          <w:rFonts w:hint="eastAsia" w:ascii="宋体" w:hAnsi="宋体" w:cs="仿宋_GB2312"/>
          <w:bCs/>
          <w:color w:val="000000" w:themeColor="text1"/>
          <w:sz w:val="32"/>
          <w:szCs w:val="32"/>
          <w:highlight w:val="none"/>
          <w14:textFill>
            <w14:solidFill>
              <w14:schemeClr w14:val="tx1"/>
            </w14:solidFill>
          </w14:textFill>
        </w:rPr>
      </w:pPr>
    </w:p>
    <w:p w14:paraId="231CF6AB">
      <w:pPr>
        <w:pStyle w:val="7"/>
        <w:snapToGrid w:val="0"/>
        <w:spacing w:before="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482A2A5A">
      <w:pPr>
        <w:pStyle w:val="7"/>
        <w:snapToGrid w:val="0"/>
        <w:spacing w:before="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p>
    <w:p w14:paraId="18341FF4">
      <w:pPr>
        <w:pStyle w:val="7"/>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7D343EF4">
      <w:pPr>
        <w:pStyle w:val="7"/>
        <w:snapToGrid w:val="0"/>
        <w:spacing w:before="50" w:after="50"/>
        <w:ind w:firstLine="0"/>
        <w:rPr>
          <w:rFonts w:hint="eastAsia" w:ascii="宋体" w:hAnsi="宋体" w:cs="仿宋_GB2312"/>
          <w:bCs/>
          <w:color w:val="000000" w:themeColor="text1"/>
          <w:sz w:val="32"/>
          <w:szCs w:val="32"/>
          <w:highlight w:val="none"/>
          <w14:textFill>
            <w14:solidFill>
              <w14:schemeClr w14:val="tx1"/>
            </w14:solidFill>
          </w14:textFill>
        </w:rPr>
      </w:pPr>
    </w:p>
    <w:p w14:paraId="46C7D5C2">
      <w:pPr>
        <w:pStyle w:val="7"/>
        <w:snapToGrid w:val="0"/>
        <w:spacing w:before="50" w:after="50"/>
        <w:ind w:firstLine="1280" w:firstLineChars="400"/>
        <w:rPr>
          <w:rFonts w:hint="eastAsia" w:ascii="宋体" w:hAnsi="宋体" w:cs="仿宋_GB2312"/>
          <w:bCs/>
          <w:color w:val="000000" w:themeColor="text1"/>
          <w:sz w:val="32"/>
          <w:szCs w:val="32"/>
          <w:highlight w:val="none"/>
          <w14:textFill>
            <w14:solidFill>
              <w14:schemeClr w14:val="tx1"/>
            </w14:solidFill>
          </w14:textFill>
        </w:rPr>
      </w:pPr>
    </w:p>
    <w:p w14:paraId="2C817261">
      <w:pPr>
        <w:snapToGrid w:val="0"/>
        <w:spacing w:before="120" w:beforeLines="5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43F61387">
      <w:pPr>
        <w:snapToGrid w:val="0"/>
        <w:spacing w:before="120" w:beforeLines="50" w:after="50" w:line="360" w:lineRule="auto"/>
        <w:ind w:right="480" w:rightChars="0" w:firstLine="240" w:firstLineChars="100"/>
        <w:jc w:val="left"/>
        <w:outlineLvl w:val="2"/>
        <w:rPr>
          <w:rFonts w:hint="eastAsia" w:ascii="宋体" w:hAnsi="宋体"/>
          <w:b/>
          <w:bCs/>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2.商务技术文件目录</w:t>
      </w:r>
    </w:p>
    <w:p w14:paraId="17B7D333">
      <w:pPr>
        <w:snapToGrid w:val="0"/>
        <w:spacing w:before="120" w:beforeLines="50" w:after="50" w:line="360" w:lineRule="auto"/>
        <w:ind w:firstLine="640" w:firstLineChars="200"/>
        <w:rPr>
          <w:rFonts w:hint="eastAsia"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14:paraId="34BA69D4">
      <w:pPr>
        <w:spacing w:line="4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08E4250B">
      <w:pPr>
        <w:spacing w:line="520" w:lineRule="exact"/>
        <w:jc w:val="center"/>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无串通竞标行为的承诺函</w:t>
      </w:r>
    </w:p>
    <w:p w14:paraId="3ADB24A5">
      <w:pPr>
        <w:spacing w:line="360" w:lineRule="auto"/>
        <w:ind w:firstLine="640" w:firstLineChars="200"/>
        <w:contextualSpacing/>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413B8437">
      <w:pPr>
        <w:spacing w:line="360" w:lineRule="auto"/>
        <w:ind w:firstLine="482" w:firstLineChars="200"/>
        <w:contextualSpacing/>
        <w:outlineLvl w:val="1"/>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一、我方承诺无下列相互串通竞标的情形：</w:t>
      </w:r>
    </w:p>
    <w:p w14:paraId="489B2EC3">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1.不同供应商的响应文件由同一单位或者个人编制； </w:t>
      </w:r>
    </w:p>
    <w:p w14:paraId="014189EF">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2.不同供应商委托同一单位或者个人办理竞标事宜；</w:t>
      </w:r>
    </w:p>
    <w:p w14:paraId="5FB47501">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3.不同供应商的响应文件载明的项目管理员为同一个人；</w:t>
      </w:r>
    </w:p>
    <w:p w14:paraId="56D2FCD9">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4.不</w:t>
      </w:r>
      <w:r>
        <w:rPr>
          <w:rFonts w:hint="eastAsia" w:ascii="宋体" w:hAnsi="宋体" w:cs="仿宋_GB2312"/>
          <w:color w:val="000000" w:themeColor="text1"/>
          <w:spacing w:val="-6"/>
          <w:sz w:val="24"/>
          <w:highlight w:val="none"/>
          <w14:textFill>
            <w14:solidFill>
              <w14:schemeClr w14:val="tx1"/>
            </w14:solidFill>
          </w14:textFill>
        </w:rPr>
        <w:t>同供应商的响应文件异常一致或者竞标报价呈规律性差异；</w:t>
      </w:r>
    </w:p>
    <w:p w14:paraId="787FCB6D">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5.不同供应商的响应文件相互混装；</w:t>
      </w:r>
    </w:p>
    <w:p w14:paraId="7FC89F2F">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6.不同供应商的磋商保证金从同一单位或者个人账户转出。</w:t>
      </w:r>
    </w:p>
    <w:p w14:paraId="5CABD540">
      <w:pPr>
        <w:spacing w:line="360" w:lineRule="auto"/>
        <w:ind w:firstLine="482" w:firstLineChars="200"/>
        <w:contextualSpacing/>
        <w:outlineLvl w:val="1"/>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二、我方承诺无下列恶意串通的情形：</w:t>
      </w:r>
    </w:p>
    <w:p w14:paraId="492BF12D">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1.供应商直接或者间接从采购人或者采购代理机构处获得其他供应商的相关信息并修改其响应文件；</w:t>
      </w:r>
    </w:p>
    <w:p w14:paraId="48729877">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2.供应商按照采购人或者采购代理机构的授意撤换、修改响应文件；</w:t>
      </w:r>
    </w:p>
    <w:p w14:paraId="534F230A">
      <w:pPr>
        <w:spacing w:line="360" w:lineRule="auto"/>
        <w:ind w:firstLine="480" w:firstLineChars="200"/>
        <w:contextualSpacing/>
        <w:outlineLvl w:val="2"/>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3.供</w:t>
      </w:r>
      <w:r>
        <w:rPr>
          <w:rFonts w:hint="eastAsia" w:ascii="宋体" w:hAnsi="宋体" w:cs="仿宋_GB2312"/>
          <w:color w:val="000000" w:themeColor="text1"/>
          <w:spacing w:val="-6"/>
          <w:sz w:val="24"/>
          <w:highlight w:val="none"/>
          <w14:textFill>
            <w14:solidFill>
              <w14:schemeClr w14:val="tx1"/>
            </w14:solidFill>
          </w14:textFill>
        </w:rPr>
        <w:t>应商之间协商报价、技术方案等响应文件的实质性内容；</w:t>
      </w:r>
    </w:p>
    <w:p w14:paraId="7DDB7232">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4.属于同一集团、协会、商会等组织成员的供应商按照该组织要求协同参加政府采购活动；</w:t>
      </w:r>
    </w:p>
    <w:p w14:paraId="756A602C">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14:paraId="1E57A4AA">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6.供应商之间商定部分供应商放弃参加政府采购活动或者放弃成交；</w:t>
      </w:r>
    </w:p>
    <w:p w14:paraId="2E1FEB56">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 w:val="24"/>
          <w:highlight w:val="none"/>
          <w14:textFill>
            <w14:solidFill>
              <w14:schemeClr w14:val="tx1"/>
            </w14:solidFill>
          </w14:textFill>
        </w:rPr>
        <w:t>谋求特定供应商成交或者排斥其他供应商的其他串通行为。</w:t>
      </w:r>
    </w:p>
    <w:p w14:paraId="7C62DA30">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p>
    <w:p w14:paraId="6E610410">
      <w:pPr>
        <w:spacing w:line="360" w:lineRule="auto"/>
        <w:ind w:firstLine="482" w:firstLineChars="200"/>
        <w:contextualSpacing/>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6892E7CB">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0DB0088D">
      <w:pPr>
        <w:spacing w:line="360" w:lineRule="auto"/>
        <w:ind w:firstLine="3600" w:firstLineChars="15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41D48479">
      <w:pPr>
        <w:spacing w:line="360" w:lineRule="auto"/>
        <w:ind w:firstLine="480" w:firstLineChars="200"/>
        <w:contextualSpacing/>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p w14:paraId="4B1E6069">
      <w:pPr>
        <w:spacing w:line="520" w:lineRule="exact"/>
        <w:jc w:val="center"/>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法定代表人证明书</w:t>
      </w:r>
    </w:p>
    <w:p w14:paraId="4311450F">
      <w:pPr>
        <w:spacing w:line="360" w:lineRule="auto"/>
        <w:ind w:left="540"/>
        <w:contextualSpacing/>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402AB536">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p>
    <w:p w14:paraId="2CB3D61B">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地    址：</w:t>
      </w:r>
    </w:p>
    <w:p w14:paraId="62F8680A">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姓    名：                 性     别：</w:t>
      </w:r>
    </w:p>
    <w:p w14:paraId="1B9280F7">
      <w:pPr>
        <w:spacing w:line="360" w:lineRule="auto"/>
        <w:ind w:left="540"/>
        <w:contextualSpacing/>
        <w:rPr>
          <w:rFonts w:hint="eastAsia"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    龄：                 职     务：</w:t>
      </w:r>
    </w:p>
    <w:p w14:paraId="11B604AE">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身份证号码：</w:t>
      </w:r>
    </w:p>
    <w:p w14:paraId="4FA177AE">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（供应商名称）</w:t>
      </w:r>
      <w:r>
        <w:rPr>
          <w:rFonts w:hint="eastAsia" w:ascii="宋体" w:hAnsi="宋体" w:cs="仿宋_GB2312"/>
          <w:color w:val="000000" w:themeColor="text1"/>
          <w:sz w:val="24"/>
          <w:highlight w:val="none"/>
          <w14:textFill>
            <w14:solidFill>
              <w14:schemeClr w14:val="tx1"/>
            </w14:solidFill>
          </w14:textFill>
        </w:rPr>
        <w:t>的法定代表人。</w:t>
      </w:r>
    </w:p>
    <w:p w14:paraId="67BCF375">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特此证明。</w:t>
      </w:r>
    </w:p>
    <w:p w14:paraId="068C710F">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5D99AAC0">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3B84A86D">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74B644DA">
      <w:pPr>
        <w:spacing w:line="360" w:lineRule="auto"/>
        <w:ind w:left="540" w:leftChars="0"/>
        <w:contextualSpacing/>
        <w:outlineLvl w:val="3"/>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附件：法定代表人有效身份证正反面</w:t>
      </w:r>
      <w:r>
        <w:rPr>
          <w:rFonts w:hint="eastAsia" w:ascii="宋体" w:hAnsi="宋体" w:cs="仿宋_GB2312"/>
          <w:color w:val="000000" w:themeColor="text1"/>
          <w:sz w:val="24"/>
          <w:highlight w:val="none"/>
          <w:lang w:eastAsia="zh-CN"/>
          <w14:textFill>
            <w14:solidFill>
              <w14:schemeClr w14:val="tx1"/>
            </w14:solidFill>
          </w14:textFill>
        </w:rPr>
        <w:t>复印件（或扫描件）</w:t>
      </w:r>
    </w:p>
    <w:p w14:paraId="00CCD348">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389FEA5D">
      <w:pPr>
        <w:spacing w:line="360" w:lineRule="auto"/>
        <w:ind w:left="540" w:firstLine="3000" w:firstLineChars="1250"/>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1015E1CE">
      <w:pPr>
        <w:spacing w:line="360" w:lineRule="auto"/>
        <w:ind w:firstLine="4080" w:firstLineChars="17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    月   日</w:t>
      </w:r>
    </w:p>
    <w:p w14:paraId="7DAFA3E0">
      <w:pPr>
        <w:spacing w:line="360" w:lineRule="auto"/>
        <w:contextualSpacing/>
        <w:jc w:val="center"/>
        <w:rPr>
          <w:rFonts w:hint="eastAsia" w:ascii="宋体" w:hAnsi="宋体" w:cs="仿宋_GB2312"/>
          <w:b/>
          <w:color w:val="000000" w:themeColor="text1"/>
          <w:sz w:val="24"/>
          <w:highlight w:val="none"/>
          <w14:textFill>
            <w14:solidFill>
              <w14:schemeClr w14:val="tx1"/>
            </w14:solidFill>
          </w14:textFill>
        </w:rPr>
      </w:pPr>
    </w:p>
    <w:p w14:paraId="6C2FE18D">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p>
    <w:p w14:paraId="06EC8D01">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注：联合体竞标的只需牵头人出具。</w:t>
      </w:r>
    </w:p>
    <w:p w14:paraId="55E1DCE1">
      <w:pPr>
        <w:adjustRightInd w:val="0"/>
        <w:snapToGrid w:val="0"/>
        <w:spacing w:line="300" w:lineRule="auto"/>
        <w:jc w:val="left"/>
        <w:rPr>
          <w:rFonts w:hint="eastAsia" w:ascii="宋体" w:hAnsi="宋体"/>
          <w:b/>
          <w:color w:val="000000" w:themeColor="text1"/>
          <w:szCs w:val="21"/>
          <w:highlight w:val="none"/>
          <w14:textFill>
            <w14:solidFill>
              <w14:schemeClr w14:val="tx1"/>
            </w14:solidFill>
          </w14:textFill>
        </w:rPr>
      </w:pPr>
    </w:p>
    <w:p w14:paraId="312849C3">
      <w:pPr>
        <w:spacing w:line="50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r>
    </w:p>
    <w:p w14:paraId="3BFAA1C4">
      <w:pPr>
        <w:spacing w:line="520" w:lineRule="exact"/>
        <w:jc w:val="center"/>
        <w:outlineLvl w:val="9"/>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bookmarkStart w:id="163" w:name="_Hlk65853643"/>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w:t>
      </w:r>
    </w:p>
    <w:p w14:paraId="51F62057">
      <w:pPr>
        <w:spacing w:line="520" w:lineRule="exact"/>
        <w:jc w:val="cente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（非联合体竞标格式）</w:t>
      </w:r>
    </w:p>
    <w:p w14:paraId="0E497972">
      <w:pPr>
        <w:spacing w:line="5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（如有委托时）</w:t>
      </w:r>
    </w:p>
    <w:p w14:paraId="3735B16F">
      <w:pPr>
        <w:spacing w:line="52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4089AC91">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致：</w:t>
      </w:r>
      <w:r>
        <w:rPr>
          <w:rFonts w:hint="eastAsia" w:ascii="宋体" w:hAnsi="宋体" w:cs="仿宋_GB2312"/>
          <w:color w:val="000000" w:themeColor="text1"/>
          <w:sz w:val="24"/>
          <w:highlight w:val="none"/>
          <w:u w:val="single"/>
          <w14:textFill>
            <w14:solidFill>
              <w14:schemeClr w14:val="tx1"/>
            </w14:solidFill>
          </w14:textFill>
        </w:rPr>
        <w:t>（采购人名称）</w:t>
      </w:r>
      <w:r>
        <w:rPr>
          <w:rFonts w:hint="eastAsia" w:ascii="宋体" w:hAnsi="宋体" w:cs="仿宋_GB2312"/>
          <w:color w:val="000000" w:themeColor="text1"/>
          <w:sz w:val="24"/>
          <w:highlight w:val="none"/>
          <w14:textFill>
            <w14:solidFill>
              <w14:schemeClr w14:val="tx1"/>
            </w14:solidFill>
          </w14:textFill>
        </w:rPr>
        <w:t>：</w:t>
      </w:r>
    </w:p>
    <w:p w14:paraId="62C523B4">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w:t>
      </w:r>
      <w:r>
        <w:rPr>
          <w:rFonts w:hint="eastAsia" w:ascii="宋体" w:hAnsi="宋体" w:cs="仿宋_GB2312"/>
          <w:color w:val="000000" w:themeColor="text1"/>
          <w:sz w:val="24"/>
          <w:highlight w:val="none"/>
          <w:u w:val="single"/>
          <w14:textFill>
            <w14:solidFill>
              <w14:schemeClr w14:val="tx1"/>
            </w14:solidFill>
          </w14:textFill>
        </w:rPr>
        <w:t xml:space="preserve">  （姓名）  </w:t>
      </w: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 xml:space="preserve">  （供应商名称）  </w:t>
      </w:r>
      <w:r>
        <w:rPr>
          <w:rFonts w:hint="eastAsia" w:ascii="宋体" w:hAnsi="宋体" w:cs="仿宋_GB2312"/>
          <w:color w:val="000000" w:themeColor="text1"/>
          <w:sz w:val="24"/>
          <w:highlight w:val="none"/>
          <w14:textFill>
            <w14:solidFill>
              <w14:schemeClr w14:val="tx1"/>
            </w14:solidFill>
          </w14:textFill>
        </w:rPr>
        <w:t>的（</w:t>
      </w:r>
      <w:r>
        <w:rPr>
          <w:rFonts w:hint="eastAsia" w:ascii="宋体" w:hAnsi="宋体" w:cs="仿宋_GB2312"/>
          <w:color w:val="000000" w:themeColor="text1"/>
          <w:sz w:val="24"/>
          <w:highlight w:val="none"/>
          <w:u w:val="single"/>
          <w14:textFill>
            <w14:solidFill>
              <w14:schemeClr w14:val="tx1"/>
            </w14:solidFill>
          </w14:textFill>
        </w:rPr>
        <w:t>□法定代表人/□负责人</w:t>
      </w:r>
      <w:r>
        <w:rPr>
          <w:rFonts w:hint="eastAsia" w:ascii="宋体" w:hAnsi="宋体" w:cs="仿宋_GB2312"/>
          <w:color w:val="000000" w:themeColor="text1"/>
          <w:sz w:val="24"/>
          <w:highlight w:val="none"/>
          <w14:textFill>
            <w14:solidFill>
              <w14:schemeClr w14:val="tx1"/>
            </w14:solidFill>
          </w14:textFill>
        </w:rPr>
        <w:t>），现授权</w:t>
      </w:r>
      <w:r>
        <w:rPr>
          <w:rFonts w:hint="eastAsia" w:ascii="宋体" w:hAnsi="宋体" w:cs="仿宋_GB2312"/>
          <w:color w:val="000000" w:themeColor="text1"/>
          <w:sz w:val="24"/>
          <w:highlight w:val="none"/>
          <w:u w:val="single"/>
          <w14:textFill>
            <w14:solidFill>
              <w14:schemeClr w14:val="tx1"/>
            </w14:solidFill>
          </w14:textFill>
        </w:rPr>
        <w:t xml:space="preserve"> （姓名） </w:t>
      </w:r>
      <w:r>
        <w:rPr>
          <w:rFonts w:hint="eastAsia" w:ascii="宋体" w:hAnsi="宋体" w:cs="仿宋_GB2312"/>
          <w:color w:val="000000" w:themeColor="text1"/>
          <w:sz w:val="24"/>
          <w:highlight w:val="none"/>
          <w14:textFill>
            <w14:solidFill>
              <w14:schemeClr w14:val="tx1"/>
            </w14:solidFill>
          </w14:textFill>
        </w:rPr>
        <w:t>以我方的名义参加项目的竞标活动，并代表我方全权办理针对上述项目的所有采购程序和环节的具体事务和签署相关文件。</w:t>
      </w:r>
    </w:p>
    <w:p w14:paraId="561B48FB">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我方对委托代理人的签字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事项负全部责任。</w:t>
      </w:r>
    </w:p>
    <w:p w14:paraId="3B59E23F">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04242008">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14:paraId="512B73F9">
      <w:pPr>
        <w:spacing w:line="360" w:lineRule="auto"/>
        <w:ind w:firstLine="480" w:firstLineChars="200"/>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附：法定代表人身份证明书及委托代理人有效身份证正反面</w:t>
      </w:r>
      <w:r>
        <w:rPr>
          <w:rFonts w:hint="eastAsia" w:ascii="宋体" w:hAnsi="宋体" w:cs="仿宋_GB2312"/>
          <w:color w:val="000000" w:themeColor="text1"/>
          <w:sz w:val="24"/>
          <w:highlight w:val="none"/>
          <w:lang w:eastAsia="zh-CN"/>
          <w14:textFill>
            <w14:solidFill>
              <w14:schemeClr w14:val="tx1"/>
            </w14:solidFill>
          </w14:textFill>
        </w:rPr>
        <w:t>复印件（或扫描件）</w:t>
      </w:r>
    </w:p>
    <w:p w14:paraId="486898A9">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48AC0D48">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w:t>
      </w:r>
      <w:r>
        <w:rPr>
          <w:rFonts w:hint="eastAsia" w:ascii="宋体" w:hAnsi="宋体"/>
          <w:color w:val="000000" w:themeColor="text1"/>
          <w:sz w:val="24"/>
          <w:highlight w:val="none"/>
          <w14:textFill>
            <w14:solidFill>
              <w14:schemeClr w14:val="tx1"/>
            </w14:solidFill>
          </w14:textFill>
        </w:rPr>
        <w:t>签字或盖章或电子签名</w:t>
      </w:r>
      <w:r>
        <w:rPr>
          <w:rFonts w:hint="eastAsia" w:ascii="宋体" w:hAnsi="宋体" w:cs="仿宋_GB2312"/>
          <w:color w:val="000000" w:themeColor="text1"/>
          <w:sz w:val="24"/>
          <w:highlight w:val="none"/>
          <w14:textFill>
            <w14:solidFill>
              <w14:schemeClr w14:val="tx1"/>
            </w14:solidFill>
          </w14:textFill>
        </w:rPr>
        <w:t>）：  法定代表人（</w:t>
      </w:r>
      <w:r>
        <w:rPr>
          <w:rFonts w:hint="eastAsia" w:ascii="宋体" w:hAnsi="宋体"/>
          <w:color w:val="000000" w:themeColor="text1"/>
          <w:sz w:val="24"/>
          <w:highlight w:val="none"/>
          <w14:textFill>
            <w14:solidFill>
              <w14:schemeClr w14:val="tx1"/>
            </w14:solidFill>
          </w14:textFill>
        </w:rPr>
        <w:t>签字或盖章或电子签名</w:t>
      </w:r>
      <w:r>
        <w:rPr>
          <w:rFonts w:hint="eastAsia" w:ascii="宋体" w:hAnsi="宋体" w:cs="仿宋_GB2312"/>
          <w:color w:val="000000" w:themeColor="text1"/>
          <w:sz w:val="24"/>
          <w:highlight w:val="none"/>
          <w14:textFill>
            <w14:solidFill>
              <w14:schemeClr w14:val="tx1"/>
            </w14:solidFill>
          </w14:textFill>
        </w:rPr>
        <w:t xml:space="preserve">）：                  </w:t>
      </w:r>
    </w:p>
    <w:p w14:paraId="7DDE76B8">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委托代理人身份证号码：                              </w:t>
      </w:r>
    </w:p>
    <w:p w14:paraId="2A89AD07">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4593EE0A">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供应商（电子签章）：                      </w:t>
      </w:r>
    </w:p>
    <w:p w14:paraId="1EDA3447">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p w14:paraId="71A73FC8">
      <w:pPr>
        <w:spacing w:line="360" w:lineRule="auto"/>
        <w:rPr>
          <w:rFonts w:hint="eastAsia" w:ascii="宋体" w:hAnsi="宋体" w:cs="仿宋_GB2312"/>
          <w:color w:val="000000" w:themeColor="text1"/>
          <w:sz w:val="24"/>
          <w:highlight w:val="none"/>
          <w14:textFill>
            <w14:solidFill>
              <w14:schemeClr w14:val="tx1"/>
            </w14:solidFill>
          </w14:textFill>
        </w:rPr>
      </w:pPr>
    </w:p>
    <w:p w14:paraId="66B9C061">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3E7D25D2">
      <w:pPr>
        <w:rPr>
          <w:rFonts w:hint="eastAsia" w:ascii="仿宋_GB2312" w:hAnsi="仿宋_GB2312" w:eastAsia="仿宋_GB2312" w:cs="仿宋_GB2312"/>
          <w:color w:val="000000" w:themeColor="text1"/>
          <w:szCs w:val="21"/>
          <w:highlight w:val="none"/>
          <w14:textFill>
            <w14:solidFill>
              <w14:schemeClr w14:val="tx1"/>
            </w14:solidFill>
          </w14:textFill>
        </w:rPr>
      </w:pPr>
      <w:r>
        <w:rPr>
          <w:rFonts w:ascii="仿宋_GB2312" w:hAnsi="仿宋_GB2312" w:eastAsia="仿宋_GB2312" w:cs="仿宋_GB2312"/>
          <w:color w:val="000000" w:themeColor="text1"/>
          <w:szCs w:val="21"/>
          <w:highlight w:val="none"/>
          <w14:textFill>
            <w14:solidFill>
              <w14:schemeClr w14:val="tx1"/>
            </w14:solidFill>
          </w14:textFill>
        </w:rPr>
        <w:br w:type="page"/>
      </w:r>
    </w:p>
    <w:p w14:paraId="45703B5F">
      <w:pPr>
        <w:spacing w:line="360" w:lineRule="auto"/>
        <w:jc w:val="center"/>
        <w:rPr>
          <w:rFonts w:hint="eastAsia" w:ascii="宋体" w:hAnsi="宋体" w:cs="方正小标宋简体"/>
          <w:b/>
          <w:color w:val="000000" w:themeColor="text1"/>
          <w:sz w:val="32"/>
          <w:szCs w:val="32"/>
          <w:highlight w:val="none"/>
          <w14:textFill>
            <w14:solidFill>
              <w14:schemeClr w14:val="tx1"/>
            </w14:solidFill>
          </w14:textFill>
        </w:rPr>
      </w:pPr>
    </w:p>
    <w:p w14:paraId="7B7BD494">
      <w:pPr>
        <w:spacing w:line="360" w:lineRule="auto"/>
        <w:jc w:val="center"/>
        <w:rPr>
          <w:rFonts w:hint="eastAsia" w:ascii="宋体" w:hAnsi="宋体" w:cs="方正小标宋简体"/>
          <w:b/>
          <w:color w:val="000000" w:themeColor="text1"/>
          <w:sz w:val="32"/>
          <w:szCs w:val="32"/>
          <w:highlight w:val="none"/>
          <w14:textFill>
            <w14:solidFill>
              <w14:schemeClr w14:val="tx1"/>
            </w14:solidFill>
          </w14:textFill>
        </w:rPr>
      </w:pPr>
    </w:p>
    <w:p w14:paraId="43948A4E">
      <w:pPr>
        <w:spacing w:line="360" w:lineRule="auto"/>
        <w:jc w:val="center"/>
        <w:outlineLvl w:val="9"/>
        <w:rPr>
          <w:rFonts w:hint="eastAsia" w:ascii="宋体" w:hAnsi="宋体" w:cs="方正小标宋简体"/>
          <w:b/>
          <w:color w:val="000000" w:themeColor="text1"/>
          <w:sz w:val="32"/>
          <w:szCs w:val="32"/>
          <w:highlight w:val="none"/>
          <w14:textFill>
            <w14:solidFill>
              <w14:schemeClr w14:val="tx1"/>
            </w14:solidFill>
          </w14:textFill>
        </w:rPr>
      </w:pPr>
      <w:r>
        <w:rPr>
          <w:rFonts w:hint="eastAsia" w:ascii="宋体" w:hAnsi="宋体" w:cs="方正小标宋简体"/>
          <w:b/>
          <w:color w:val="000000" w:themeColor="text1"/>
          <w:sz w:val="32"/>
          <w:szCs w:val="32"/>
          <w:highlight w:val="none"/>
          <w14:textFill>
            <w14:solidFill>
              <w14:schemeClr w14:val="tx1"/>
            </w14:solidFill>
          </w14:textFill>
        </w:rPr>
        <w:t>建筑材料和设备节能环保要求承诺书</w:t>
      </w:r>
    </w:p>
    <w:p w14:paraId="07B5B35B">
      <w:pPr>
        <w:spacing w:line="360" w:lineRule="auto"/>
        <w:jc w:val="center"/>
        <w:rPr>
          <w:rFonts w:hint="eastAsia" w:ascii="宋体" w:hAnsi="宋体" w:cs="宋体"/>
          <w:color w:val="000000" w:themeColor="text1"/>
          <w:szCs w:val="21"/>
          <w:highlight w:val="none"/>
          <w14:textFill>
            <w14:solidFill>
              <w14:schemeClr w14:val="tx1"/>
            </w14:solidFill>
          </w14:textFill>
        </w:rPr>
      </w:pPr>
    </w:p>
    <w:p w14:paraId="04F44644">
      <w:pPr>
        <w:spacing w:line="36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我方承诺，一旦成交，我方保证严格执行</w:t>
      </w:r>
      <w:r>
        <w:rPr>
          <w:rFonts w:hint="eastAsia" w:cs="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财政部 国家发展改革委关于印发《节能产品政府采购实施意见》的通知</w:t>
      </w:r>
      <w:r>
        <w:rPr>
          <w:rFonts w:hint="eastAsia" w:cs="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（财库〔2004〕185号）、</w:t>
      </w:r>
      <w:r>
        <w:rPr>
          <w:rFonts w:hint="eastAsia" w:cs="宋体"/>
          <w:color w:val="000000" w:themeColor="text1"/>
          <w:sz w:val="24"/>
          <w:highlight w:val="none"/>
          <w14:textFill>
            <w14:solidFill>
              <w14:schemeClr w14:val="tx1"/>
            </w14:solidFill>
          </w14:textFill>
        </w:rPr>
        <w:t>《财政部</w:t>
      </w:r>
      <w:r>
        <w:rPr>
          <w:rFonts w:cs="宋体"/>
          <w:color w:val="000000" w:themeColor="text1"/>
          <w:sz w:val="24"/>
          <w:highlight w:val="none"/>
          <w14:textFill>
            <w14:solidFill>
              <w14:schemeClr w14:val="tx1"/>
            </w14:solidFill>
          </w14:textFill>
        </w:rPr>
        <w:t xml:space="preserve"> </w:t>
      </w:r>
      <w:r>
        <w:rPr>
          <w:rFonts w:hint="eastAsia" w:cs="宋体"/>
          <w:color w:val="000000" w:themeColor="text1"/>
          <w:sz w:val="24"/>
          <w:highlight w:val="none"/>
          <w14:textFill>
            <w14:solidFill>
              <w14:schemeClr w14:val="tx1"/>
            </w14:solidFill>
          </w14:textFill>
        </w:rPr>
        <w:t>发展改革委</w:t>
      </w:r>
      <w:r>
        <w:rPr>
          <w:rFonts w:cs="宋体"/>
          <w:color w:val="000000" w:themeColor="text1"/>
          <w:sz w:val="24"/>
          <w:highlight w:val="none"/>
          <w14:textFill>
            <w14:solidFill>
              <w14:schemeClr w14:val="tx1"/>
            </w14:solidFill>
          </w14:textFill>
        </w:rPr>
        <w:t xml:space="preserve"> </w:t>
      </w:r>
      <w:r>
        <w:rPr>
          <w:rFonts w:hint="eastAsia" w:cs="宋体"/>
          <w:color w:val="000000" w:themeColor="text1"/>
          <w:sz w:val="24"/>
          <w:highlight w:val="none"/>
          <w14:textFill>
            <w14:solidFill>
              <w14:schemeClr w14:val="tx1"/>
            </w14:solidFill>
          </w14:textFill>
        </w:rPr>
        <w:t>生态环境部</w:t>
      </w:r>
      <w:r>
        <w:rPr>
          <w:rFonts w:cs="宋体"/>
          <w:color w:val="000000" w:themeColor="text1"/>
          <w:sz w:val="24"/>
          <w:highlight w:val="none"/>
          <w14:textFill>
            <w14:solidFill>
              <w14:schemeClr w14:val="tx1"/>
            </w14:solidFill>
          </w14:textFill>
        </w:rPr>
        <w:t xml:space="preserve"> </w:t>
      </w:r>
      <w:r>
        <w:rPr>
          <w:rFonts w:hint="eastAsia" w:cs="宋体"/>
          <w:color w:val="000000" w:themeColor="text1"/>
          <w:sz w:val="24"/>
          <w:highlight w:val="none"/>
          <w14:textFill>
            <w14:solidFill>
              <w14:schemeClr w14:val="tx1"/>
            </w14:solidFill>
          </w14:textFill>
        </w:rPr>
        <w:t>市场监管总局关于调整优化节能产品、环境标志产品政府采购执行机制的通知》（财库〔</w:t>
      </w:r>
      <w:r>
        <w:rPr>
          <w:rFonts w:cs="宋体"/>
          <w:color w:val="000000" w:themeColor="text1"/>
          <w:sz w:val="24"/>
          <w:highlight w:val="none"/>
          <w14:textFill>
            <w14:solidFill>
              <w14:schemeClr w14:val="tx1"/>
            </w14:solidFill>
          </w14:textFill>
        </w:rPr>
        <w:t>2019</w:t>
      </w:r>
      <w:r>
        <w:rPr>
          <w:rFonts w:hint="eastAsia" w:cs="宋体"/>
          <w:color w:val="000000" w:themeColor="text1"/>
          <w:sz w:val="24"/>
          <w:highlight w:val="none"/>
          <w14:textFill>
            <w14:solidFill>
              <w14:schemeClr w14:val="tx1"/>
            </w14:solidFill>
          </w14:textFill>
        </w:rPr>
        <w:t>〕</w:t>
      </w:r>
      <w:r>
        <w:rPr>
          <w:rFonts w:cs="宋体"/>
          <w:color w:val="000000" w:themeColor="text1"/>
          <w:sz w:val="24"/>
          <w:highlight w:val="none"/>
          <w14:textFill>
            <w14:solidFill>
              <w14:schemeClr w14:val="tx1"/>
            </w14:solidFill>
          </w14:textFill>
        </w:rPr>
        <w:t>9</w:t>
      </w:r>
      <w:r>
        <w:rPr>
          <w:rFonts w:hint="eastAsia" w:cs="宋体"/>
          <w:color w:val="000000" w:themeColor="text1"/>
          <w:sz w:val="24"/>
          <w:highlight w:val="none"/>
          <w14:textFill>
            <w14:solidFill>
              <w14:schemeClr w14:val="tx1"/>
            </w14:solidFill>
          </w14:textFill>
        </w:rPr>
        <w:t>号）和《关于印发节能产品政府采购品目清单的通知》（财库〔</w:t>
      </w:r>
      <w:r>
        <w:rPr>
          <w:rFonts w:cs="宋体"/>
          <w:color w:val="000000" w:themeColor="text1"/>
          <w:sz w:val="24"/>
          <w:highlight w:val="none"/>
          <w14:textFill>
            <w14:solidFill>
              <w14:schemeClr w14:val="tx1"/>
            </w14:solidFill>
          </w14:textFill>
        </w:rPr>
        <w:t>2019</w:t>
      </w:r>
      <w:r>
        <w:rPr>
          <w:rFonts w:hint="eastAsia" w:cs="宋体"/>
          <w:color w:val="000000" w:themeColor="text1"/>
          <w:sz w:val="24"/>
          <w:highlight w:val="none"/>
          <w14:textFill>
            <w14:solidFill>
              <w14:schemeClr w14:val="tx1"/>
            </w14:solidFill>
          </w14:textFill>
        </w:rPr>
        <w:t>〕</w:t>
      </w:r>
      <w:r>
        <w:rPr>
          <w:rFonts w:cs="宋体"/>
          <w:color w:val="000000" w:themeColor="text1"/>
          <w:sz w:val="24"/>
          <w:highlight w:val="none"/>
          <w14:textFill>
            <w14:solidFill>
              <w14:schemeClr w14:val="tx1"/>
            </w14:solidFill>
          </w14:textFill>
        </w:rPr>
        <w:t>19</w:t>
      </w:r>
      <w:r>
        <w:rPr>
          <w:rFonts w:hint="eastAsia" w:cs="宋体"/>
          <w:color w:val="000000" w:themeColor="text1"/>
          <w:sz w:val="24"/>
          <w:highlight w:val="none"/>
          <w14:textFill>
            <w14:solidFill>
              <w14:schemeClr w14:val="tx1"/>
            </w14:solidFill>
          </w14:textFill>
        </w:rPr>
        <w:t>号）的规定，所有工程中涉及的建筑材料和设备如属于财库〔</w:t>
      </w:r>
      <w:r>
        <w:rPr>
          <w:rFonts w:cs="宋体"/>
          <w:color w:val="000000" w:themeColor="text1"/>
          <w:sz w:val="24"/>
          <w:highlight w:val="none"/>
          <w14:textFill>
            <w14:solidFill>
              <w14:schemeClr w14:val="tx1"/>
            </w14:solidFill>
          </w14:textFill>
        </w:rPr>
        <w:t>2019</w:t>
      </w:r>
      <w:r>
        <w:rPr>
          <w:rFonts w:hint="eastAsia" w:cs="宋体"/>
          <w:color w:val="000000" w:themeColor="text1"/>
          <w:sz w:val="24"/>
          <w:highlight w:val="none"/>
          <w14:textFill>
            <w14:solidFill>
              <w14:schemeClr w14:val="tx1"/>
            </w14:solidFill>
          </w14:textFill>
        </w:rPr>
        <w:t>〕</w:t>
      </w:r>
      <w:r>
        <w:rPr>
          <w:rFonts w:cs="宋体"/>
          <w:color w:val="000000" w:themeColor="text1"/>
          <w:sz w:val="24"/>
          <w:highlight w:val="none"/>
          <w14:textFill>
            <w14:solidFill>
              <w14:schemeClr w14:val="tx1"/>
            </w14:solidFill>
          </w14:textFill>
        </w:rPr>
        <w:t>19</w:t>
      </w:r>
      <w:r>
        <w:rPr>
          <w:rFonts w:hint="eastAsia" w:cs="宋体"/>
          <w:color w:val="000000" w:themeColor="text1"/>
          <w:sz w:val="24"/>
          <w:highlight w:val="none"/>
          <w14:textFill>
            <w14:solidFill>
              <w14:schemeClr w14:val="tx1"/>
            </w14:solidFill>
          </w14:textFill>
        </w:rPr>
        <w:t>号文中《节能产品政府采购品目清单》内标注“★”的产品，都使用政府强制采购的节能产品。</w:t>
      </w:r>
      <w:r>
        <w:rPr>
          <w:rFonts w:hint="eastAsia"/>
          <w:color w:val="000000" w:themeColor="text1"/>
          <w:sz w:val="24"/>
          <w:highlight w:val="none"/>
          <w14:textFill>
            <w14:solidFill>
              <w14:schemeClr w14:val="tx1"/>
            </w14:solidFill>
          </w14:textFill>
        </w:rPr>
        <w:t>如我方在该项目的承包中出现未按规定执行的情形，我方愿意按照相关规定接受采购人及有关行政主管部门的处罚，愿意承担一切后果，并不再寻求任何旨在减轻或者免除法律责任的辩解。</w:t>
      </w:r>
    </w:p>
    <w:p w14:paraId="0D0CC4F9">
      <w:pPr>
        <w:spacing w:line="360" w:lineRule="auto"/>
        <w:ind w:firstLine="480" w:firstLineChars="200"/>
        <w:jc w:val="center"/>
        <w:rPr>
          <w:color w:val="000000" w:themeColor="text1"/>
          <w:sz w:val="24"/>
          <w:highlight w:val="none"/>
          <w14:textFill>
            <w14:solidFill>
              <w14:schemeClr w14:val="tx1"/>
            </w14:solidFill>
          </w14:textFill>
        </w:rPr>
      </w:pPr>
    </w:p>
    <w:p w14:paraId="7379A726">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362DAB3B">
      <w:pPr>
        <w:spacing w:line="360" w:lineRule="auto"/>
        <w:ind w:firstLine="3600" w:firstLineChars="15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7A943B46">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p w14:paraId="1F494CFB">
      <w:pP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br w:type="page"/>
      </w:r>
    </w:p>
    <w:p w14:paraId="49A9224F">
      <w:pPr>
        <w:snapToGrid w:val="0"/>
        <w:spacing w:before="120" w:beforeLines="50" w:after="50"/>
        <w:jc w:val="left"/>
        <w:rPr>
          <w:rFonts w:hint="eastAsia" w:ascii="方正小标宋简体" w:hAnsi="方正小标宋简体" w:eastAsia="方正小标宋简体" w:cs="方正小标宋简体"/>
          <w:bCs/>
          <w:color w:val="000000" w:themeColor="text1"/>
          <w:szCs w:val="21"/>
          <w:highlight w:val="none"/>
          <w14:textFill>
            <w14:solidFill>
              <w14:schemeClr w14:val="tx1"/>
            </w14:solidFill>
          </w14:textFill>
        </w:rPr>
      </w:pPr>
    </w:p>
    <w:p w14:paraId="6A2E5175">
      <w:pPr>
        <w:snapToGrid w:val="0"/>
        <w:spacing w:before="120" w:beforeLines="50" w:after="50"/>
        <w:jc w:val="center"/>
        <w:outlineLvl w:val="9"/>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t>代理服务费承诺书</w:t>
      </w:r>
    </w:p>
    <w:p w14:paraId="7E13FDFB">
      <w:pPr>
        <w:snapToGrid w:val="0"/>
        <w:spacing w:before="120" w:beforeLines="50" w:after="50"/>
        <w:jc w:val="center"/>
        <w:rPr>
          <w:rFonts w:hint="eastAsia" w:ascii="宋体" w:hAnsi="宋体"/>
          <w:b/>
          <w:color w:val="000000" w:themeColor="text1"/>
          <w:sz w:val="24"/>
          <w:highlight w:val="none"/>
          <w14:textFill>
            <w14:solidFill>
              <w14:schemeClr w14:val="tx1"/>
            </w14:solidFill>
          </w14:textFill>
        </w:rPr>
      </w:pPr>
    </w:p>
    <w:p w14:paraId="695D7AD2">
      <w:pPr>
        <w:spacing w:line="360" w:lineRule="auto"/>
        <w:rPr>
          <w:rFonts w:hint="eastAsia"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采购代理机构名称</w:t>
      </w:r>
    </w:p>
    <w:p w14:paraId="71A14880">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本单位参加了贵方组织的</w:t>
      </w:r>
      <w:r>
        <w:rPr>
          <w:rFonts w:hint="eastAsia" w:ascii="宋体" w:hAnsi="宋体"/>
          <w:color w:val="000000" w:themeColor="text1"/>
          <w:sz w:val="24"/>
          <w:highlight w:val="none"/>
          <w:u w:val="single"/>
          <w14:textFill>
            <w14:solidFill>
              <w14:schemeClr w14:val="tx1"/>
            </w14:solidFill>
          </w14:textFill>
        </w:rPr>
        <w:t xml:space="preserve">  项目名称（项目编号）  </w:t>
      </w:r>
      <w:r>
        <w:rPr>
          <w:rFonts w:hint="eastAsia" w:ascii="宋体" w:hAnsi="宋体"/>
          <w:color w:val="000000" w:themeColor="text1"/>
          <w:sz w:val="24"/>
          <w:highlight w:val="none"/>
          <w14:textFill>
            <w14:solidFill>
              <w14:schemeClr w14:val="tx1"/>
            </w14:solidFill>
          </w14:textFill>
        </w:rPr>
        <w:t>项目， 在此说明如下：</w:t>
      </w:r>
    </w:p>
    <w:p w14:paraId="05B56E4C">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1.我方承诺，若本单位成交，保证在发出成交通知书之后，按本项目磋商文件的规定标准向贵单位一次性足额支付代理服务费, 在领取成交通知书后，由于被质疑、投诉或者其他原因而导致成交结果改变，我方将放弃对已缴纳的成交服务费追还的一切权利。</w:t>
      </w:r>
    </w:p>
    <w:p w14:paraId="61B5F420">
      <w:pPr>
        <w:spacing w:line="360" w:lineRule="auto"/>
        <w:ind w:firstLine="480" w:firstLineChars="200"/>
        <w:outlineLvl w:val="2"/>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2.本单位选择第</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种方式作为代理服务费开票类型：</w:t>
      </w:r>
    </w:p>
    <w:p w14:paraId="4AC9D63C">
      <w:pPr>
        <w:spacing w:line="360" w:lineRule="auto"/>
        <w:ind w:firstLine="480" w:firstLineChars="200"/>
        <w:outlineLvl w:val="3"/>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第一种方式：开具增值税普通发票。开票信息如下：</w:t>
      </w:r>
    </w:p>
    <w:p w14:paraId="31AA246E">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43A7A730">
      <w:pPr>
        <w:spacing w:line="360" w:lineRule="auto"/>
        <w:ind w:firstLine="480" w:firstLineChars="200"/>
        <w:outlineLvl w:val="4"/>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405E96F3">
      <w:pPr>
        <w:spacing w:line="360" w:lineRule="auto"/>
        <w:ind w:firstLine="480" w:firstLineChars="200"/>
        <w:outlineLvl w:val="3"/>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第二种方式：开具增值税专用发票，开票信息如下：</w:t>
      </w:r>
    </w:p>
    <w:p w14:paraId="30A6EDFA">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0560329F">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2637C0BE">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（3）在税局登记的地址</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2AA03756">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（4）在税局登记的电话</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3C0198E6">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（5）开户银行</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0C690115">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（6）银行账户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1098AE39">
      <w:pPr>
        <w:spacing w:line="440" w:lineRule="exact"/>
        <w:rPr>
          <w:rFonts w:hint="eastAsia" w:ascii="宋体" w:hAnsi="宋体"/>
          <w:color w:val="000000" w:themeColor="text1"/>
          <w:sz w:val="24"/>
          <w:highlight w:val="none"/>
          <w14:textFill>
            <w14:solidFill>
              <w14:schemeClr w14:val="tx1"/>
            </w14:solidFill>
          </w14:textFill>
        </w:rPr>
      </w:pPr>
    </w:p>
    <w:p w14:paraId="6E9FC777">
      <w:pPr>
        <w:spacing w:line="440" w:lineRule="exact"/>
        <w:rPr>
          <w:rFonts w:hint="eastAsia" w:ascii="宋体" w:hAnsi="宋体"/>
          <w:color w:val="000000" w:themeColor="text1"/>
          <w:sz w:val="24"/>
          <w:highlight w:val="none"/>
          <w14:textFill>
            <w14:solidFill>
              <w14:schemeClr w14:val="tx1"/>
            </w14:solidFill>
          </w14:textFill>
        </w:rPr>
      </w:pPr>
    </w:p>
    <w:p w14:paraId="0AE4C512">
      <w:pPr>
        <w:spacing w:line="440" w:lineRule="exact"/>
        <w:rPr>
          <w:rFonts w:hint="eastAsia" w:ascii="宋体" w:hAnsi="宋体"/>
          <w:color w:val="000000" w:themeColor="text1"/>
          <w:sz w:val="24"/>
          <w:highlight w:val="none"/>
          <w14:textFill>
            <w14:solidFill>
              <w14:schemeClr w14:val="tx1"/>
            </w14:solidFill>
          </w14:textFill>
        </w:rPr>
      </w:pPr>
    </w:p>
    <w:p w14:paraId="21B6DA88">
      <w:pPr>
        <w:snapToGrid w:val="0"/>
        <w:spacing w:line="360" w:lineRule="auto"/>
        <w:ind w:left="-2" w:leftChars="-1" w:right="-817" w:rightChars="-389" w:firstLine="1920" w:firstLineChars="8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法定代表人或者委托代理人（签字或者电子签名）： </w:t>
      </w:r>
    </w:p>
    <w:p w14:paraId="5D63E90B">
      <w:pPr>
        <w:snapToGrid w:val="0"/>
        <w:spacing w:line="360" w:lineRule="auto"/>
        <w:ind w:left="-3" w:leftChars="-15" w:right="-817" w:rightChars="-389" w:hanging="28" w:hangingChars="12"/>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供应商公章（电子签章）：</w:t>
      </w:r>
    </w:p>
    <w:p w14:paraId="069A4E8C">
      <w:pPr>
        <w:spacing w:line="360" w:lineRule="auto"/>
        <w:ind w:firstLine="48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r>
        <w:rPr>
          <w:rFonts w:hint="eastAsia" w:ascii="仿宋_GB2312" w:hAnsi="仿宋_GB2312" w:eastAsia="仿宋_GB2312" w:cs="仿宋_GB2312"/>
          <w:color w:val="000000" w:themeColor="text1"/>
          <w:sz w:val="32"/>
          <w:szCs w:val="32"/>
          <w:highlight w:val="none"/>
          <w14:textFill>
            <w14:solidFill>
              <w14:schemeClr w14:val="tx1"/>
            </w14:solidFill>
          </w14:textFill>
        </w:rPr>
        <w:br w:type="page"/>
      </w:r>
    </w:p>
    <w:p w14:paraId="4E1D2A49">
      <w:pPr>
        <w:spacing w:line="500" w:lineRule="exact"/>
        <w:jc w:val="center"/>
        <w:rPr>
          <w:rFonts w:hint="eastAsia" w:ascii="仿宋_GB2312" w:hAnsi="仿宋_GB2312" w:eastAsia="仿宋_GB2312" w:cs="仿宋_GB2312"/>
          <w:color w:val="000000" w:themeColor="text1"/>
          <w:szCs w:val="21"/>
          <w:highlight w:val="none"/>
          <w14:textFill>
            <w14:solidFill>
              <w14:schemeClr w14:val="tx1"/>
            </w14:solidFill>
          </w14:textFill>
        </w:rPr>
      </w:pPr>
    </w:p>
    <w:bookmarkEnd w:id="163"/>
    <w:p w14:paraId="11C490B0">
      <w:pPr>
        <w:spacing w:line="500" w:lineRule="exact"/>
        <w:jc w:val="center"/>
        <w:outlineLvl w:val="4"/>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t>施工组织设计（参考格式）</w:t>
      </w:r>
    </w:p>
    <w:p w14:paraId="286D540D">
      <w:pPr>
        <w:spacing w:line="500" w:lineRule="exact"/>
        <w:jc w:val="cente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p>
    <w:p w14:paraId="4296742E">
      <w:pPr>
        <w:pStyle w:val="98"/>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lang w:val="en-US"/>
          <w14:textFill>
            <w14:solidFill>
              <w14:schemeClr w14:val="tx1"/>
            </w14:solidFill>
          </w14:textFill>
        </w:rPr>
        <w:t>1.</w:t>
      </w:r>
      <w:r>
        <w:rPr>
          <w:rFonts w:hint="eastAsia" w:ascii="Times New Roman" w:hAnsi="Times New Roman" w:cs="Times New Roman"/>
          <w:color w:val="000000" w:themeColor="text1"/>
          <w:sz w:val="24"/>
          <w:szCs w:val="24"/>
          <w:highlight w:val="none"/>
          <w:lang w:val="en-US"/>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供应商</w:t>
      </w:r>
      <w:r>
        <w:rPr>
          <w:rFonts w:ascii="Times New Roman" w:hAnsi="Times New Roman" w:cs="Times New Roman"/>
          <w:color w:val="000000" w:themeColor="text1"/>
          <w:sz w:val="24"/>
          <w:szCs w:val="24"/>
          <w:highlight w:val="none"/>
          <w14:textFill>
            <w14:solidFill>
              <w14:schemeClr w14:val="tx1"/>
            </w14:solidFill>
          </w14:textFill>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14:paraId="566658D1">
      <w:pPr>
        <w:pStyle w:val="98"/>
        <w:ind w:firstLine="44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施工组织设计应附的文字说明如下(不限于，仅供参考)：</w:t>
      </w:r>
    </w:p>
    <w:p w14:paraId="522C4E01">
      <w:pPr>
        <w:pStyle w:val="98"/>
        <w:tabs>
          <w:tab w:val="left" w:pos="923"/>
        </w:tabs>
        <w:ind w:firstLine="480" w:firstLineChars="200"/>
        <w:rPr>
          <w:rFonts w:ascii="Times New Roman" w:hAnsi="Times New Roman" w:cs="Times New Roman"/>
          <w:color w:val="000000" w:themeColor="text1"/>
          <w:sz w:val="24"/>
          <w:szCs w:val="24"/>
          <w:highlight w:val="none"/>
          <w14:textFill>
            <w14:solidFill>
              <w14:schemeClr w14:val="tx1"/>
            </w14:solidFill>
          </w14:textFill>
        </w:rPr>
      </w:pPr>
      <w:bookmarkStart w:id="164" w:name="bookmark2221"/>
      <w:bookmarkEnd w:id="164"/>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14:textFill>
            <w14:solidFill>
              <w14:schemeClr w14:val="tx1"/>
            </w14:solidFill>
          </w14:textFill>
        </w:rPr>
        <w:t>1</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施工方案与技术措施；</w:t>
      </w:r>
    </w:p>
    <w:p w14:paraId="084F289F">
      <w:pPr>
        <w:pStyle w:val="98"/>
        <w:tabs>
          <w:tab w:val="left" w:pos="923"/>
        </w:tabs>
        <w:ind w:firstLine="480" w:firstLineChars="200"/>
        <w:rPr>
          <w:rFonts w:ascii="Times New Roman" w:hAnsi="Times New Roman" w:cs="Times New Roman"/>
          <w:color w:val="000000" w:themeColor="text1"/>
          <w:sz w:val="24"/>
          <w:szCs w:val="24"/>
          <w:highlight w:val="none"/>
          <w14:textFill>
            <w14:solidFill>
              <w14:schemeClr w14:val="tx1"/>
            </w14:solidFill>
          </w14:textFill>
        </w:rPr>
      </w:pPr>
      <w:bookmarkStart w:id="165" w:name="bookmark2222"/>
      <w:bookmarkEnd w:id="165"/>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14:textFill>
            <w14:solidFill>
              <w14:schemeClr w14:val="tx1"/>
            </w14:solidFill>
          </w14:textFill>
        </w:rPr>
        <w:t>2</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质量管理体系与措施；</w:t>
      </w:r>
    </w:p>
    <w:p w14:paraId="7FF98E88">
      <w:pPr>
        <w:pStyle w:val="98"/>
        <w:tabs>
          <w:tab w:val="left" w:pos="923"/>
        </w:tabs>
        <w:ind w:firstLine="480" w:firstLineChars="200"/>
        <w:rPr>
          <w:rFonts w:ascii="Times New Roman" w:hAnsi="Times New Roman" w:cs="Times New Roman"/>
          <w:color w:val="000000" w:themeColor="text1"/>
          <w:sz w:val="24"/>
          <w:szCs w:val="24"/>
          <w:highlight w:val="none"/>
          <w14:textFill>
            <w14:solidFill>
              <w14:schemeClr w14:val="tx1"/>
            </w14:solidFill>
          </w14:textFill>
        </w:rPr>
      </w:pPr>
      <w:bookmarkStart w:id="166" w:name="bookmark2223"/>
      <w:bookmarkEnd w:id="166"/>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14:textFill>
            <w14:solidFill>
              <w14:schemeClr w14:val="tx1"/>
            </w14:solidFill>
          </w14:textFill>
        </w:rPr>
        <w:t>3</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安全管理体系与措施；</w:t>
      </w:r>
    </w:p>
    <w:p w14:paraId="40C6F4C1">
      <w:pPr>
        <w:pStyle w:val="98"/>
        <w:tabs>
          <w:tab w:val="left" w:pos="923"/>
        </w:tabs>
        <w:ind w:firstLine="480" w:firstLineChars="200"/>
        <w:rPr>
          <w:rFonts w:ascii="Times New Roman" w:hAnsi="Times New Roman" w:cs="Times New Roman"/>
          <w:color w:val="000000" w:themeColor="text1"/>
          <w:sz w:val="24"/>
          <w:szCs w:val="24"/>
          <w:highlight w:val="none"/>
          <w14:textFill>
            <w14:solidFill>
              <w14:schemeClr w14:val="tx1"/>
            </w14:solidFill>
          </w14:textFill>
        </w:rPr>
      </w:pPr>
      <w:bookmarkStart w:id="167" w:name="bookmark2224"/>
      <w:bookmarkEnd w:id="167"/>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14:textFill>
            <w14:solidFill>
              <w14:schemeClr w14:val="tx1"/>
            </w14:solidFill>
          </w14:textFill>
        </w:rPr>
        <w:t>4</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环境保护管理体系与措施；</w:t>
      </w:r>
    </w:p>
    <w:p w14:paraId="1365B4D0">
      <w:pPr>
        <w:pStyle w:val="98"/>
        <w:tabs>
          <w:tab w:val="left" w:pos="923"/>
        </w:tabs>
        <w:ind w:firstLine="480" w:firstLineChars="200"/>
        <w:rPr>
          <w:rFonts w:ascii="Times New Roman" w:hAnsi="Times New Roman" w:cs="Times New Roman"/>
          <w:color w:val="000000" w:themeColor="text1"/>
          <w:sz w:val="24"/>
          <w:szCs w:val="24"/>
          <w:highlight w:val="none"/>
          <w14:textFill>
            <w14:solidFill>
              <w14:schemeClr w14:val="tx1"/>
            </w14:solidFill>
          </w14:textFill>
        </w:rPr>
      </w:pPr>
      <w:bookmarkStart w:id="168" w:name="bookmark2225"/>
      <w:bookmarkEnd w:id="168"/>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14:textFill>
            <w14:solidFill>
              <w14:schemeClr w14:val="tx1"/>
            </w14:solidFill>
          </w14:textFill>
        </w:rPr>
        <w:t>5</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工程进度计划与措施；</w:t>
      </w:r>
    </w:p>
    <w:p w14:paraId="3D0B3617">
      <w:pPr>
        <w:pStyle w:val="98"/>
        <w:tabs>
          <w:tab w:val="left" w:pos="923"/>
        </w:tabs>
        <w:ind w:firstLine="480" w:firstLineChars="200"/>
        <w:rPr>
          <w:rFonts w:ascii="Times New Roman" w:hAnsi="Times New Roman" w:cs="Times New Roman"/>
          <w:color w:val="000000" w:themeColor="text1"/>
          <w:sz w:val="24"/>
          <w:szCs w:val="24"/>
          <w:highlight w:val="none"/>
          <w14:textFill>
            <w14:solidFill>
              <w14:schemeClr w14:val="tx1"/>
            </w14:solidFill>
          </w14:textFill>
        </w:rPr>
      </w:pPr>
      <w:bookmarkStart w:id="169" w:name="bookmark2226"/>
      <w:bookmarkEnd w:id="169"/>
      <w:r>
        <w:rPr>
          <w:rFonts w:hint="eastAsia"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14:textFill>
            <w14:solidFill>
              <w14:schemeClr w14:val="tx1"/>
            </w14:solidFill>
          </w14:textFill>
        </w:rPr>
        <w:t>6</w:t>
      </w:r>
      <w:r>
        <w:rPr>
          <w:rFonts w:hint="eastAsia"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14:textFill>
            <w14:solidFill>
              <w14:schemeClr w14:val="tx1"/>
            </w14:solidFill>
          </w14:textFill>
        </w:rPr>
        <w:t>资源配备计划；</w:t>
      </w:r>
    </w:p>
    <w:p w14:paraId="3D8E20DB">
      <w:pPr>
        <w:pStyle w:val="98"/>
        <w:tabs>
          <w:tab w:val="left" w:pos="923"/>
        </w:tabs>
        <w:ind w:firstLine="480" w:firstLineChars="200"/>
        <w:rPr>
          <w:rFonts w:ascii="Times New Roman" w:hAnsi="Times New Roman" w:cs="Times New Roman"/>
          <w:color w:val="000000" w:themeColor="text1"/>
          <w:sz w:val="24"/>
          <w:szCs w:val="24"/>
          <w:highlight w:val="none"/>
          <w:lang w:val="en-US"/>
          <w14:textFill>
            <w14:solidFill>
              <w14:schemeClr w14:val="tx1"/>
            </w14:solidFill>
          </w14:textFill>
        </w:rPr>
      </w:pPr>
      <w:r>
        <w:rPr>
          <w:rFonts w:ascii="Times New Roman" w:hAnsi="Times New Roman" w:cs="Times New Roman"/>
          <w:color w:val="000000" w:themeColor="text1"/>
          <w:sz w:val="24"/>
          <w:szCs w:val="24"/>
          <w:highlight w:val="none"/>
          <w:lang w:val="en-US"/>
          <w14:textFill>
            <w14:solidFill>
              <w14:schemeClr w14:val="tx1"/>
            </w14:solidFill>
          </w14:textFill>
        </w:rPr>
        <w:t>......</w:t>
      </w:r>
    </w:p>
    <w:p w14:paraId="7DC577E3">
      <w:pPr>
        <w:pStyle w:val="98"/>
        <w:ind w:firstLine="480" w:firstLineChars="200"/>
        <w:rPr>
          <w:rFonts w:ascii="Times New Roman" w:hAnsi="Times New Roman" w:cs="Times New Roman"/>
          <w:color w:val="000000" w:themeColor="text1"/>
          <w:sz w:val="24"/>
          <w:szCs w:val="24"/>
          <w:highlight w:val="none"/>
          <w:lang w:val="en-US"/>
          <w14:textFill>
            <w14:solidFill>
              <w14:schemeClr w14:val="tx1"/>
            </w14:solidFill>
          </w14:textFill>
        </w:rPr>
      </w:pPr>
      <w:bookmarkStart w:id="170" w:name="bookmark2227"/>
      <w:bookmarkEnd w:id="170"/>
      <w:r>
        <w:rPr>
          <w:rFonts w:ascii="Times New Roman" w:hAnsi="Times New Roman" w:cs="Times New Roman"/>
          <w:color w:val="000000" w:themeColor="text1"/>
          <w:sz w:val="24"/>
          <w:szCs w:val="24"/>
          <w:highlight w:val="none"/>
          <w:lang w:val="en-US"/>
          <w14:textFill>
            <w14:solidFill>
              <w14:schemeClr w14:val="tx1"/>
            </w14:solidFill>
          </w14:textFill>
        </w:rPr>
        <w:t>2.</w:t>
      </w:r>
      <w:r>
        <w:rPr>
          <w:rFonts w:hint="eastAsia" w:ascii="Times New Roman" w:hAnsi="Times New Roman" w:cs="Times New Roman"/>
          <w:color w:val="000000" w:themeColor="text1"/>
          <w:sz w:val="24"/>
          <w:szCs w:val="24"/>
          <w:highlight w:val="none"/>
          <w:lang w:val="en-US"/>
          <w14:textFill>
            <w14:solidFill>
              <w14:schemeClr w14:val="tx1"/>
            </w14:solidFill>
          </w14:textFill>
        </w:rPr>
        <w:t xml:space="preserve"> </w:t>
      </w:r>
      <w:r>
        <w:rPr>
          <w:rFonts w:ascii="Times New Roman" w:hAnsi="Times New Roman" w:cs="Times New Roman"/>
          <w:color w:val="000000" w:themeColor="text1"/>
          <w:sz w:val="24"/>
          <w:szCs w:val="24"/>
          <w:highlight w:val="none"/>
          <w:lang w:val="en-US"/>
          <w14:textFill>
            <w14:solidFill>
              <w14:schemeClr w14:val="tx1"/>
            </w14:solidFill>
          </w14:textFill>
        </w:rPr>
        <w:t>施工组织设计除采用文字表述外</w:t>
      </w:r>
      <w:r>
        <w:rPr>
          <w:rFonts w:hint="eastAsia" w:ascii="Times New Roman" w:hAnsi="Times New Roman" w:cs="Times New Roman"/>
          <w:color w:val="000000" w:themeColor="text1"/>
          <w:sz w:val="24"/>
          <w:szCs w:val="24"/>
          <w:highlight w:val="none"/>
          <w:lang w:val="en-US"/>
          <w14:textFill>
            <w14:solidFill>
              <w14:schemeClr w14:val="tx1"/>
            </w14:solidFill>
          </w14:textFill>
        </w:rPr>
        <w:t>宜</w:t>
      </w:r>
      <w:r>
        <w:rPr>
          <w:rFonts w:ascii="Times New Roman" w:hAnsi="Times New Roman" w:cs="Times New Roman"/>
          <w:color w:val="000000" w:themeColor="text1"/>
          <w:sz w:val="24"/>
          <w:szCs w:val="24"/>
          <w:highlight w:val="none"/>
          <w:lang w:val="en-US"/>
          <w14:textFill>
            <w14:solidFill>
              <w14:schemeClr w14:val="tx1"/>
            </w14:solidFill>
          </w14:textFill>
        </w:rPr>
        <w:t>附下列图表，图表及格式要求附后。</w:t>
      </w:r>
    </w:p>
    <w:p w14:paraId="1AF8B04C">
      <w:pPr>
        <w:pStyle w:val="98"/>
        <w:ind w:firstLine="480" w:firstLineChars="20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lang w:val="en-US"/>
          <w14:textFill>
            <w14:solidFill>
              <w14:schemeClr w14:val="tx1"/>
            </w14:solidFill>
          </w14:textFill>
        </w:rPr>
        <w:t>7）</w:t>
      </w:r>
      <w:r>
        <w:rPr>
          <w:rFonts w:ascii="Times New Roman" w:hAnsi="Times New Roman" w:cs="Times New Roman"/>
          <w:color w:val="000000" w:themeColor="text1"/>
          <w:sz w:val="24"/>
          <w:szCs w:val="24"/>
          <w:highlight w:val="none"/>
          <w14:textFill>
            <w14:solidFill>
              <w14:schemeClr w14:val="tx1"/>
            </w14:solidFill>
          </w14:textFill>
        </w:rPr>
        <w:t>拟投入本合同工程的主要施工设备表</w:t>
      </w:r>
    </w:p>
    <w:p w14:paraId="371B2616">
      <w:pPr>
        <w:pStyle w:val="98"/>
        <w:ind w:firstLine="42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lang w:val="en-US"/>
          <w14:textFill>
            <w14:solidFill>
              <w14:schemeClr w14:val="tx1"/>
            </w14:solidFill>
          </w14:textFill>
        </w:rPr>
        <w:t>8）</w:t>
      </w:r>
      <w:r>
        <w:rPr>
          <w:rFonts w:ascii="Times New Roman" w:hAnsi="Times New Roman" w:cs="Times New Roman"/>
          <w:color w:val="000000" w:themeColor="text1"/>
          <w:sz w:val="24"/>
          <w:szCs w:val="24"/>
          <w:highlight w:val="none"/>
          <w14:textFill>
            <w14:solidFill>
              <w14:schemeClr w14:val="tx1"/>
            </w14:solidFill>
          </w14:textFill>
        </w:rPr>
        <w:t>拟投入本合同工程的试验和检测仪器设备表</w:t>
      </w:r>
    </w:p>
    <w:p w14:paraId="4679430F">
      <w:pPr>
        <w:pStyle w:val="98"/>
        <w:ind w:firstLine="42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lang w:val="en-US"/>
          <w14:textFill>
            <w14:solidFill>
              <w14:schemeClr w14:val="tx1"/>
            </w14:solidFill>
          </w14:textFill>
        </w:rPr>
        <w:t>9）</w:t>
      </w:r>
      <w:r>
        <w:rPr>
          <w:rFonts w:ascii="Times New Roman" w:hAnsi="Times New Roman" w:cs="Times New Roman"/>
          <w:color w:val="000000" w:themeColor="text1"/>
          <w:sz w:val="24"/>
          <w:szCs w:val="24"/>
          <w:highlight w:val="none"/>
          <w14:textFill>
            <w14:solidFill>
              <w14:schemeClr w14:val="tx1"/>
            </w14:solidFill>
          </w14:textFill>
        </w:rPr>
        <w:t>拟投入本合同工程的劳动力计划表</w:t>
      </w:r>
    </w:p>
    <w:p w14:paraId="783E1684">
      <w:pPr>
        <w:pStyle w:val="98"/>
        <w:ind w:firstLine="420"/>
        <w:rPr>
          <w:rFonts w:ascii="Times New Roman" w:hAnsi="Times New Roman" w:cs="Times New Roman"/>
          <w:color w:val="000000" w:themeColor="text1"/>
          <w:sz w:val="24"/>
          <w:szCs w:val="24"/>
          <w:highlight w:val="none"/>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w:t>
      </w:r>
      <w:r>
        <w:rPr>
          <w:rFonts w:ascii="Times New Roman" w:hAnsi="Times New Roman" w:cs="Times New Roman"/>
          <w:color w:val="000000" w:themeColor="text1"/>
          <w:sz w:val="24"/>
          <w:szCs w:val="24"/>
          <w:highlight w:val="none"/>
          <w:lang w:val="en-US"/>
          <w14:textFill>
            <w14:solidFill>
              <w14:schemeClr w14:val="tx1"/>
            </w14:solidFill>
          </w14:textFill>
        </w:rPr>
        <w:t>10）</w:t>
      </w:r>
      <w:r>
        <w:rPr>
          <w:rFonts w:ascii="Times New Roman" w:hAnsi="Times New Roman" w:cs="Times New Roman"/>
          <w:color w:val="000000" w:themeColor="text1"/>
          <w:sz w:val="24"/>
          <w:szCs w:val="24"/>
          <w:highlight w:val="none"/>
          <w14:textFill>
            <w14:solidFill>
              <w14:schemeClr w14:val="tx1"/>
            </w14:solidFill>
          </w14:textFill>
        </w:rPr>
        <w:t>拟投入本合同工程的材料进场计划表</w:t>
      </w:r>
    </w:p>
    <w:p w14:paraId="5D9FB292">
      <w:pPr>
        <w:pStyle w:val="98"/>
        <w:ind w:firstLine="420"/>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val="en-US"/>
          <w14:textFill>
            <w14:solidFill>
              <w14:schemeClr w14:val="tx1"/>
            </w14:solidFill>
          </w14:textFill>
        </w:rPr>
        <w:t>（11）</w:t>
      </w:r>
      <w:r>
        <w:rPr>
          <w:rFonts w:ascii="Times New Roman" w:hAnsi="Times New Roman" w:cs="Times New Roman"/>
          <w:color w:val="000000" w:themeColor="text1"/>
          <w:sz w:val="24"/>
          <w:szCs w:val="24"/>
          <w:highlight w:val="none"/>
          <w14:textFill>
            <w14:solidFill>
              <w14:schemeClr w14:val="tx1"/>
            </w14:solidFill>
          </w14:textFill>
        </w:rPr>
        <w:t>计划开工日期、完工日期和施工进度网络图(或横递图)</w:t>
      </w:r>
    </w:p>
    <w:p w14:paraId="2F2A54D1">
      <w:pPr>
        <w:pStyle w:val="98"/>
        <w:ind w:firstLine="420"/>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val="en-US"/>
          <w14:textFill>
            <w14:solidFill>
              <w14:schemeClr w14:val="tx1"/>
            </w14:solidFill>
          </w14:textFill>
        </w:rPr>
        <w:t>（12）</w:t>
      </w:r>
      <w:r>
        <w:rPr>
          <w:rFonts w:ascii="Times New Roman" w:hAnsi="Times New Roman" w:cs="Times New Roman"/>
          <w:color w:val="000000" w:themeColor="text1"/>
          <w:sz w:val="24"/>
          <w:szCs w:val="24"/>
          <w:highlight w:val="none"/>
          <w14:textFill>
            <w14:solidFill>
              <w14:schemeClr w14:val="tx1"/>
            </w14:solidFill>
          </w14:textFill>
        </w:rPr>
        <w:t>平面图</w:t>
      </w:r>
    </w:p>
    <w:p w14:paraId="568B305F">
      <w:pPr>
        <w:pStyle w:val="98"/>
        <w:ind w:firstLine="420"/>
        <w:rPr>
          <w:rFonts w:ascii="Times New Roman" w:hAnsi="Times New Roman"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val="en-US"/>
          <w14:textFill>
            <w14:solidFill>
              <w14:schemeClr w14:val="tx1"/>
            </w14:solidFill>
          </w14:textFill>
        </w:rPr>
        <w:t>（13）</w:t>
      </w:r>
      <w:r>
        <w:rPr>
          <w:rFonts w:ascii="Times New Roman" w:hAnsi="Times New Roman" w:cs="Times New Roman"/>
          <w:color w:val="000000" w:themeColor="text1"/>
          <w:sz w:val="24"/>
          <w:szCs w:val="24"/>
          <w:highlight w:val="none"/>
          <w14:textFill>
            <w14:solidFill>
              <w14:schemeClr w14:val="tx1"/>
            </w14:solidFill>
          </w14:textFill>
        </w:rPr>
        <w:t>临时用地表</w:t>
      </w:r>
    </w:p>
    <w:p w14:paraId="53CBD9D6">
      <w:pPr>
        <w:spacing w:line="360" w:lineRule="auto"/>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 xml:space="preserve"> 本节对</w:t>
      </w:r>
      <w:r>
        <w:rPr>
          <w:color w:val="000000" w:themeColor="text1"/>
          <w:sz w:val="24"/>
          <w:highlight w:val="none"/>
          <w14:textFill>
            <w14:solidFill>
              <w14:schemeClr w14:val="tx1"/>
            </w14:solidFill>
          </w14:textFill>
        </w:rPr>
        <w:t>施工组织设计</w:t>
      </w:r>
      <w:r>
        <w:rPr>
          <w:rFonts w:hint="eastAsia"/>
          <w:color w:val="000000" w:themeColor="text1"/>
          <w:sz w:val="24"/>
          <w:highlight w:val="none"/>
          <w14:textFill>
            <w14:solidFill>
              <w14:schemeClr w14:val="tx1"/>
            </w14:solidFill>
          </w14:textFill>
        </w:rPr>
        <w:t>的编制要求仅供供应商参考，不作为评审时响应无效的直接因素</w:t>
      </w:r>
      <w:r>
        <w:rPr>
          <w:color w:val="000000" w:themeColor="text1"/>
          <w:sz w:val="24"/>
          <w:highlight w:val="none"/>
          <w14:textFill>
            <w14:solidFill>
              <w14:schemeClr w14:val="tx1"/>
            </w14:solidFill>
          </w14:textFill>
        </w:rPr>
        <w:t>。</w:t>
      </w:r>
    </w:p>
    <w:p w14:paraId="5657A9B2">
      <w:pPr>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br w:type="page"/>
      </w:r>
    </w:p>
    <w:p w14:paraId="4107582D">
      <w:pPr>
        <w:pStyle w:val="98"/>
        <w:ind w:firstLine="420" w:firstLineChars="20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lang w:val="en-US"/>
          <w14:textFill>
            <w14:solidFill>
              <w14:schemeClr w14:val="tx1"/>
            </w14:solidFill>
          </w14:textFill>
        </w:rPr>
        <w:t>1.</w:t>
      </w:r>
      <w:r>
        <w:rPr>
          <w:rFonts w:hint="eastAsia" w:ascii="Times New Roman" w:hAnsi="Times New Roman" w:cs="Times New Roman"/>
          <w:color w:val="000000" w:themeColor="text1"/>
          <w:highlight w:val="none"/>
          <w:lang w:val="en-US"/>
          <w14:textFill>
            <w14:solidFill>
              <w14:schemeClr w14:val="tx1"/>
            </w14:solidFill>
          </w14:textFill>
        </w:rPr>
        <w:t xml:space="preserve"> </w:t>
      </w:r>
      <w:r>
        <w:rPr>
          <w:rFonts w:hint="eastAsia"/>
          <w:color w:val="000000" w:themeColor="text1"/>
          <w:highlight w:val="none"/>
          <w14:textFill>
            <w14:solidFill>
              <w14:schemeClr w14:val="tx1"/>
            </w14:solidFill>
          </w14:textFill>
        </w:rPr>
        <w:t>供应商</w:t>
      </w:r>
      <w:r>
        <w:rPr>
          <w:rFonts w:ascii="Times New Roman" w:hAnsi="Times New Roman" w:cs="Times New Roman"/>
          <w:color w:val="000000" w:themeColor="text1"/>
          <w:highlight w:val="none"/>
          <w14:textFill>
            <w14:solidFill>
              <w14:schemeClr w14:val="tx1"/>
            </w14:solidFill>
          </w14:textFill>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14:paraId="4AFDA7DA">
      <w:pPr>
        <w:pStyle w:val="98"/>
        <w:ind w:firstLine="44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施工组织设计应附的文字说明如下(不限于，仅供参考)：</w:t>
      </w:r>
    </w:p>
    <w:p w14:paraId="4933A63C">
      <w:pPr>
        <w:pStyle w:val="98"/>
        <w:tabs>
          <w:tab w:val="left" w:pos="923"/>
        </w:tabs>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1</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施工方案与技术措施；</w:t>
      </w:r>
    </w:p>
    <w:p w14:paraId="78AA6784">
      <w:pPr>
        <w:pStyle w:val="98"/>
        <w:tabs>
          <w:tab w:val="left" w:pos="923"/>
        </w:tabs>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2</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质量管理体系与措施；</w:t>
      </w:r>
    </w:p>
    <w:p w14:paraId="3B0C6105">
      <w:pPr>
        <w:pStyle w:val="98"/>
        <w:tabs>
          <w:tab w:val="left" w:pos="923"/>
        </w:tabs>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3</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安全管理体系与措施；</w:t>
      </w:r>
    </w:p>
    <w:p w14:paraId="3B24B3B4">
      <w:pPr>
        <w:pStyle w:val="98"/>
        <w:tabs>
          <w:tab w:val="left" w:pos="923"/>
        </w:tabs>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4</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环境保护管理体系与措施；</w:t>
      </w:r>
    </w:p>
    <w:p w14:paraId="31476996">
      <w:pPr>
        <w:pStyle w:val="98"/>
        <w:tabs>
          <w:tab w:val="left" w:pos="923"/>
        </w:tabs>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5</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工程进度计划与措施；</w:t>
      </w:r>
    </w:p>
    <w:p w14:paraId="1A28CB6C">
      <w:pPr>
        <w:pStyle w:val="98"/>
        <w:tabs>
          <w:tab w:val="left" w:pos="923"/>
        </w:tabs>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6</w:t>
      </w:r>
      <w:r>
        <w:rPr>
          <w:rFonts w:hint="eastAsia"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资源配备计划；</w:t>
      </w:r>
    </w:p>
    <w:p w14:paraId="710EC906">
      <w:pPr>
        <w:pStyle w:val="98"/>
        <w:tabs>
          <w:tab w:val="left" w:pos="923"/>
        </w:tabs>
        <w:ind w:firstLine="420" w:firstLineChars="200"/>
        <w:rPr>
          <w:rFonts w:ascii="Times New Roman" w:hAnsi="Times New Roman" w:cs="Times New Roman"/>
          <w:color w:val="000000" w:themeColor="text1"/>
          <w:highlight w:val="none"/>
          <w:lang w:val="en-US"/>
          <w14:textFill>
            <w14:solidFill>
              <w14:schemeClr w14:val="tx1"/>
            </w14:solidFill>
          </w14:textFill>
        </w:rPr>
      </w:pPr>
      <w:r>
        <w:rPr>
          <w:rFonts w:ascii="Times New Roman" w:hAnsi="Times New Roman" w:cs="Times New Roman"/>
          <w:color w:val="000000" w:themeColor="text1"/>
          <w:highlight w:val="none"/>
          <w:lang w:val="en-US"/>
          <w14:textFill>
            <w14:solidFill>
              <w14:schemeClr w14:val="tx1"/>
            </w14:solidFill>
          </w14:textFill>
        </w:rPr>
        <w:t>......</w:t>
      </w:r>
    </w:p>
    <w:p w14:paraId="348B47BC">
      <w:pPr>
        <w:pStyle w:val="98"/>
        <w:ind w:firstLine="420" w:firstLineChars="200"/>
        <w:rPr>
          <w:rFonts w:ascii="Times New Roman" w:hAnsi="Times New Roman" w:cs="Times New Roman"/>
          <w:color w:val="000000" w:themeColor="text1"/>
          <w:highlight w:val="none"/>
          <w:lang w:val="en-US"/>
          <w14:textFill>
            <w14:solidFill>
              <w14:schemeClr w14:val="tx1"/>
            </w14:solidFill>
          </w14:textFill>
        </w:rPr>
      </w:pPr>
      <w:r>
        <w:rPr>
          <w:rFonts w:ascii="Times New Roman" w:hAnsi="Times New Roman" w:cs="Times New Roman"/>
          <w:color w:val="000000" w:themeColor="text1"/>
          <w:highlight w:val="none"/>
          <w:lang w:val="en-US"/>
          <w14:textFill>
            <w14:solidFill>
              <w14:schemeClr w14:val="tx1"/>
            </w14:solidFill>
          </w14:textFill>
        </w:rPr>
        <w:t>2.</w:t>
      </w:r>
      <w:r>
        <w:rPr>
          <w:rFonts w:hint="eastAsia" w:ascii="Times New Roman" w:hAnsi="Times New Roman" w:cs="Times New Roman"/>
          <w:color w:val="000000" w:themeColor="text1"/>
          <w:highlight w:val="none"/>
          <w:lang w:val="en-US"/>
          <w14:textFill>
            <w14:solidFill>
              <w14:schemeClr w14:val="tx1"/>
            </w14:solidFill>
          </w14:textFill>
        </w:rPr>
        <w:t xml:space="preserve"> </w:t>
      </w:r>
      <w:r>
        <w:rPr>
          <w:rFonts w:ascii="Times New Roman" w:hAnsi="Times New Roman" w:cs="Times New Roman"/>
          <w:color w:val="000000" w:themeColor="text1"/>
          <w:highlight w:val="none"/>
          <w:lang w:val="en-US"/>
          <w14:textFill>
            <w14:solidFill>
              <w14:schemeClr w14:val="tx1"/>
            </w14:solidFill>
          </w14:textFill>
        </w:rPr>
        <w:t>施工组织设计除采用文字表述外</w:t>
      </w:r>
      <w:r>
        <w:rPr>
          <w:rFonts w:hint="eastAsia" w:ascii="Times New Roman" w:hAnsi="Times New Roman" w:cs="Times New Roman"/>
          <w:color w:val="000000" w:themeColor="text1"/>
          <w:highlight w:val="none"/>
          <w:lang w:val="en-US"/>
          <w14:textFill>
            <w14:solidFill>
              <w14:schemeClr w14:val="tx1"/>
            </w14:solidFill>
          </w14:textFill>
        </w:rPr>
        <w:t>宜</w:t>
      </w:r>
      <w:r>
        <w:rPr>
          <w:rFonts w:ascii="Times New Roman" w:hAnsi="Times New Roman" w:cs="Times New Roman"/>
          <w:color w:val="000000" w:themeColor="text1"/>
          <w:highlight w:val="none"/>
          <w:lang w:val="en-US"/>
          <w14:textFill>
            <w14:solidFill>
              <w14:schemeClr w14:val="tx1"/>
            </w14:solidFill>
          </w14:textFill>
        </w:rPr>
        <w:t>附下列图表，图表及格式要求附后。</w:t>
      </w:r>
    </w:p>
    <w:p w14:paraId="7F3B1CB1">
      <w:pPr>
        <w:pStyle w:val="98"/>
        <w:ind w:firstLine="420" w:firstLineChars="20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lang w:val="en-US"/>
          <w14:textFill>
            <w14:solidFill>
              <w14:schemeClr w14:val="tx1"/>
            </w14:solidFill>
          </w14:textFill>
        </w:rPr>
        <w:t>7）</w:t>
      </w:r>
      <w:r>
        <w:rPr>
          <w:rFonts w:ascii="Times New Roman" w:hAnsi="Times New Roman" w:cs="Times New Roman"/>
          <w:color w:val="000000" w:themeColor="text1"/>
          <w:highlight w:val="none"/>
          <w14:textFill>
            <w14:solidFill>
              <w14:schemeClr w14:val="tx1"/>
            </w14:solidFill>
          </w14:textFill>
        </w:rPr>
        <w:t>拟投入本合同工程的主要施工设备表</w:t>
      </w:r>
    </w:p>
    <w:p w14:paraId="7471A004">
      <w:pPr>
        <w:pStyle w:val="98"/>
        <w:ind w:firstLine="42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lang w:val="en-US"/>
          <w14:textFill>
            <w14:solidFill>
              <w14:schemeClr w14:val="tx1"/>
            </w14:solidFill>
          </w14:textFill>
        </w:rPr>
        <w:t>8）</w:t>
      </w:r>
      <w:r>
        <w:rPr>
          <w:rFonts w:ascii="Times New Roman" w:hAnsi="Times New Roman" w:cs="Times New Roman"/>
          <w:color w:val="000000" w:themeColor="text1"/>
          <w:highlight w:val="none"/>
          <w14:textFill>
            <w14:solidFill>
              <w14:schemeClr w14:val="tx1"/>
            </w14:solidFill>
          </w14:textFill>
        </w:rPr>
        <w:t>拟投入本合同工程的试验和检测仪器设备表</w:t>
      </w:r>
    </w:p>
    <w:p w14:paraId="386CF3DD">
      <w:pPr>
        <w:pStyle w:val="98"/>
        <w:ind w:firstLine="42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lang w:val="en-US"/>
          <w14:textFill>
            <w14:solidFill>
              <w14:schemeClr w14:val="tx1"/>
            </w14:solidFill>
          </w14:textFill>
        </w:rPr>
        <w:t>9）</w:t>
      </w:r>
      <w:r>
        <w:rPr>
          <w:rFonts w:ascii="Times New Roman" w:hAnsi="Times New Roman" w:cs="Times New Roman"/>
          <w:color w:val="000000" w:themeColor="text1"/>
          <w:highlight w:val="none"/>
          <w14:textFill>
            <w14:solidFill>
              <w14:schemeClr w14:val="tx1"/>
            </w14:solidFill>
          </w14:textFill>
        </w:rPr>
        <w:t>拟投入本合同工程的劳动力计划表</w:t>
      </w:r>
    </w:p>
    <w:p w14:paraId="351EBE0E">
      <w:pPr>
        <w:pStyle w:val="98"/>
        <w:ind w:firstLine="42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lang w:val="en-US"/>
          <w14:textFill>
            <w14:solidFill>
              <w14:schemeClr w14:val="tx1"/>
            </w14:solidFill>
          </w14:textFill>
        </w:rPr>
        <w:t>10）</w:t>
      </w:r>
      <w:r>
        <w:rPr>
          <w:rFonts w:ascii="Times New Roman" w:hAnsi="Times New Roman" w:cs="Times New Roman"/>
          <w:color w:val="000000" w:themeColor="text1"/>
          <w:highlight w:val="none"/>
          <w14:textFill>
            <w14:solidFill>
              <w14:schemeClr w14:val="tx1"/>
            </w14:solidFill>
          </w14:textFill>
        </w:rPr>
        <w:t>拟投入本合同工程的材料进场计划表</w:t>
      </w:r>
    </w:p>
    <w:p w14:paraId="7E197D2D">
      <w:pPr>
        <w:pStyle w:val="98"/>
        <w:ind w:firstLine="42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14:textFill>
            <w14:solidFill>
              <w14:schemeClr w14:val="tx1"/>
            </w14:solidFill>
          </w14:textFill>
        </w:rPr>
        <w:t>（11）</w:t>
      </w:r>
      <w:r>
        <w:rPr>
          <w:rFonts w:ascii="Times New Roman" w:hAnsi="Times New Roman" w:cs="Times New Roman"/>
          <w:color w:val="000000" w:themeColor="text1"/>
          <w:highlight w:val="none"/>
          <w14:textFill>
            <w14:solidFill>
              <w14:schemeClr w14:val="tx1"/>
            </w14:solidFill>
          </w14:textFill>
        </w:rPr>
        <w:t>计划开工日期、完工日期和施工进度网络图(或横递图)</w:t>
      </w:r>
    </w:p>
    <w:p w14:paraId="20E8473C">
      <w:pPr>
        <w:pStyle w:val="98"/>
        <w:ind w:firstLine="42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14:textFill>
            <w14:solidFill>
              <w14:schemeClr w14:val="tx1"/>
            </w14:solidFill>
          </w14:textFill>
        </w:rPr>
        <w:t>（12）</w:t>
      </w:r>
      <w:r>
        <w:rPr>
          <w:rFonts w:ascii="Times New Roman" w:hAnsi="Times New Roman" w:cs="Times New Roman"/>
          <w:color w:val="000000" w:themeColor="text1"/>
          <w:highlight w:val="none"/>
          <w14:textFill>
            <w14:solidFill>
              <w14:schemeClr w14:val="tx1"/>
            </w14:solidFill>
          </w14:textFill>
        </w:rPr>
        <w:t>平面图</w:t>
      </w:r>
    </w:p>
    <w:p w14:paraId="3E52DC26">
      <w:pPr>
        <w:pStyle w:val="98"/>
        <w:ind w:firstLine="42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14:textFill>
            <w14:solidFill>
              <w14:schemeClr w14:val="tx1"/>
            </w14:solidFill>
          </w14:textFill>
        </w:rPr>
        <w:t>（13）</w:t>
      </w:r>
      <w:r>
        <w:rPr>
          <w:rFonts w:ascii="Times New Roman" w:hAnsi="Times New Roman" w:cs="Times New Roman"/>
          <w:color w:val="000000" w:themeColor="text1"/>
          <w:highlight w:val="none"/>
          <w14:textFill>
            <w14:solidFill>
              <w14:schemeClr w14:val="tx1"/>
            </w14:solidFill>
          </w14:textFill>
        </w:rPr>
        <w:t>临时用地表</w:t>
      </w:r>
      <w:bookmarkStart w:id="171" w:name="bookmark2228"/>
      <w:bookmarkStart w:id="172" w:name="bookmark2229"/>
      <w:bookmarkStart w:id="173" w:name="bookmark2230"/>
    </w:p>
    <w:p w14:paraId="27A93879">
      <w:pPr>
        <w:pStyle w:val="98"/>
        <w:ind w:firstLine="420" w:firstLineChars="20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14:textFill>
            <w14:solidFill>
              <w14:schemeClr w14:val="tx1"/>
            </w14:solidFill>
          </w14:textFill>
        </w:rPr>
        <w:t>3</w:t>
      </w:r>
      <w:r>
        <w:rPr>
          <w:rFonts w:ascii="Times New Roman" w:hAnsi="Times New Roman" w:cs="Times New Roman"/>
          <w:color w:val="000000" w:themeColor="text1"/>
          <w:highlight w:val="none"/>
          <w:lang w:val="en-US"/>
          <w14:textFill>
            <w14:solidFill>
              <w14:schemeClr w14:val="tx1"/>
            </w14:solidFill>
          </w14:textFill>
        </w:rPr>
        <w:t>.</w:t>
      </w:r>
      <w:r>
        <w:rPr>
          <w:rFonts w:hint="eastAsia" w:ascii="Times New Roman" w:hAnsi="Times New Roman" w:cs="Times New Roman"/>
          <w:color w:val="000000" w:themeColor="text1"/>
          <w:highlight w:val="none"/>
          <w:lang w:val="en-US"/>
          <w14:textFill>
            <w14:solidFill>
              <w14:schemeClr w14:val="tx1"/>
            </w14:solidFill>
          </w14:textFill>
        </w:rPr>
        <w:t xml:space="preserve"> 本节对</w:t>
      </w:r>
      <w:r>
        <w:rPr>
          <w:rFonts w:ascii="Times New Roman" w:hAnsi="Times New Roman" w:cs="Times New Roman"/>
          <w:color w:val="000000" w:themeColor="text1"/>
          <w:highlight w:val="none"/>
          <w:lang w:val="en-US"/>
          <w14:textFill>
            <w14:solidFill>
              <w14:schemeClr w14:val="tx1"/>
            </w14:solidFill>
          </w14:textFill>
        </w:rPr>
        <w:t>施工组织设计</w:t>
      </w:r>
      <w:r>
        <w:rPr>
          <w:rFonts w:hint="eastAsia" w:ascii="Times New Roman" w:hAnsi="Times New Roman" w:cs="Times New Roman"/>
          <w:color w:val="000000" w:themeColor="text1"/>
          <w:highlight w:val="none"/>
          <w:lang w:val="en-US"/>
          <w14:textFill>
            <w14:solidFill>
              <w14:schemeClr w14:val="tx1"/>
            </w14:solidFill>
          </w14:textFill>
        </w:rPr>
        <w:t>的编制要求仅供</w:t>
      </w:r>
      <w:r>
        <w:rPr>
          <w:rFonts w:hint="eastAsia"/>
          <w:color w:val="000000" w:themeColor="text1"/>
          <w:highlight w:val="none"/>
          <w14:textFill>
            <w14:solidFill>
              <w14:schemeClr w14:val="tx1"/>
            </w14:solidFill>
          </w14:textFill>
        </w:rPr>
        <w:t>供应商</w:t>
      </w:r>
      <w:r>
        <w:rPr>
          <w:rFonts w:hint="eastAsia" w:ascii="Times New Roman" w:hAnsi="Times New Roman" w:cs="Times New Roman"/>
          <w:color w:val="000000" w:themeColor="text1"/>
          <w:highlight w:val="none"/>
          <w:lang w:val="en-US"/>
          <w14:textFill>
            <w14:solidFill>
              <w14:schemeClr w14:val="tx1"/>
            </w14:solidFill>
          </w14:textFill>
        </w:rPr>
        <w:t>参考，不作为评审时响应无效的直接因素</w:t>
      </w:r>
      <w:r>
        <w:rPr>
          <w:rFonts w:ascii="Times New Roman" w:hAnsi="Times New Roman" w:cs="Times New Roman"/>
          <w:color w:val="000000" w:themeColor="text1"/>
          <w:highlight w:val="none"/>
          <w:lang w:val="en-US"/>
          <w14:textFill>
            <w14:solidFill>
              <w14:schemeClr w14:val="tx1"/>
            </w14:solidFill>
          </w14:textFill>
        </w:rPr>
        <w:t>。</w:t>
      </w:r>
    </w:p>
    <w:p w14:paraId="3F2529CA">
      <w:pPr>
        <w:pStyle w:val="9"/>
        <w:outlineLvl w:val="9"/>
        <w:rPr>
          <w:rFonts w:hint="eastAsia" w:ascii="宋体" w:hAnsi="宋体" w:cs="宋体"/>
          <w:b w:val="0"/>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cs="宋体"/>
          <w:b w:val="0"/>
          <w:color w:val="000000" w:themeColor="text1"/>
          <w:sz w:val="28"/>
          <w:szCs w:val="28"/>
          <w:highlight w:val="none"/>
          <w14:textFill>
            <w14:solidFill>
              <w14:schemeClr w14:val="tx1"/>
            </w14:solidFill>
          </w14:textFill>
        </w:rPr>
        <w:t>附件一：拟投入本合同的主要施工设备表</w:t>
      </w:r>
      <w:bookmarkEnd w:id="171"/>
      <w:bookmarkEnd w:id="172"/>
      <w:bookmarkEnd w:id="173"/>
    </w:p>
    <w:p w14:paraId="4ACB0ADA">
      <w:pPr>
        <w:rPr>
          <w:color w:val="000000" w:themeColor="text1"/>
          <w:highlight w:val="none"/>
          <w14:textFill>
            <w14:solidFill>
              <w14:schemeClr w14:val="tx1"/>
            </w14:solidFill>
          </w14:textFill>
        </w:rPr>
      </w:pPr>
    </w:p>
    <w:p w14:paraId="7AF3B963">
      <w:pPr>
        <w:jc w:val="center"/>
        <w:rPr>
          <w:rFonts w:hint="eastAsia" w:ascii="宋体" w:hAnsi="宋体" w:cs="宋体"/>
          <w:b/>
          <w:bCs/>
          <w:color w:val="000000" w:themeColor="text1"/>
          <w:sz w:val="28"/>
          <w:szCs w:val="28"/>
          <w:highlight w:val="none"/>
          <w14:textFill>
            <w14:solidFill>
              <w14:schemeClr w14:val="tx1"/>
            </w14:solidFill>
          </w14:textFill>
        </w:rPr>
      </w:pPr>
      <w:bookmarkStart w:id="174" w:name="bookmark2233"/>
      <w:bookmarkStart w:id="175" w:name="_Toc13379"/>
      <w:bookmarkStart w:id="176" w:name="bookmark2231"/>
      <w:bookmarkStart w:id="177" w:name="bookmark2232"/>
      <w:bookmarkStart w:id="178" w:name="_Toc19570"/>
      <w:r>
        <w:rPr>
          <w:rFonts w:hint="eastAsia" w:ascii="宋体" w:hAnsi="宋体" w:cs="宋体"/>
          <w:b/>
          <w:bCs/>
          <w:color w:val="000000" w:themeColor="text1"/>
          <w:sz w:val="28"/>
          <w:szCs w:val="28"/>
          <w:highlight w:val="none"/>
          <w14:textFill>
            <w14:solidFill>
              <w14:schemeClr w14:val="tx1"/>
            </w14:solidFill>
          </w14:textFill>
        </w:rPr>
        <w:t>拟投入本合同的主要施工设备表</w:t>
      </w:r>
      <w:bookmarkEnd w:id="174"/>
      <w:bookmarkEnd w:id="175"/>
      <w:bookmarkEnd w:id="176"/>
      <w:bookmarkEnd w:id="177"/>
      <w:bookmarkEnd w:id="178"/>
    </w:p>
    <w:p w14:paraId="7D3FF512">
      <w:pPr>
        <w:jc w:val="center"/>
        <w:rPr>
          <w:color w:val="000000" w:themeColor="text1"/>
          <w:highlight w:val="none"/>
          <w14:textFill>
            <w14:solidFill>
              <w14:schemeClr w14:val="tx1"/>
            </w14:solidFill>
          </w14:textFill>
        </w:rPr>
      </w:pPr>
    </w:p>
    <w:tbl>
      <w:tblPr>
        <w:tblStyle w:val="45"/>
        <w:tblW w:w="8353" w:type="dxa"/>
        <w:jc w:val="center"/>
        <w:tblLayout w:type="fixed"/>
        <w:tblCellMar>
          <w:top w:w="0" w:type="dxa"/>
          <w:left w:w="10" w:type="dxa"/>
          <w:bottom w:w="0" w:type="dxa"/>
          <w:right w:w="10" w:type="dxa"/>
        </w:tblCellMar>
      </w:tblPr>
      <w:tblGrid>
        <w:gridCol w:w="293"/>
        <w:gridCol w:w="1133"/>
        <w:gridCol w:w="864"/>
        <w:gridCol w:w="869"/>
        <w:gridCol w:w="864"/>
        <w:gridCol w:w="864"/>
        <w:gridCol w:w="864"/>
        <w:gridCol w:w="864"/>
        <w:gridCol w:w="864"/>
        <w:gridCol w:w="874"/>
      </w:tblGrid>
      <w:tr w14:paraId="0159E8E7">
        <w:tblPrEx>
          <w:tblCellMar>
            <w:top w:w="0" w:type="dxa"/>
            <w:left w:w="10" w:type="dxa"/>
            <w:bottom w:w="0" w:type="dxa"/>
            <w:right w:w="10" w:type="dxa"/>
          </w:tblCellMar>
        </w:tblPrEx>
        <w:trPr>
          <w:trHeight w:val="1142" w:hRule="exact"/>
          <w:jc w:val="center"/>
        </w:trPr>
        <w:tc>
          <w:tcPr>
            <w:tcW w:w="293" w:type="dxa"/>
            <w:tcBorders>
              <w:top w:val="single" w:color="auto" w:sz="4" w:space="0"/>
              <w:left w:val="single" w:color="auto" w:sz="4" w:space="0"/>
            </w:tcBorders>
            <w:shd w:val="clear" w:color="auto" w:fill="FFFFFF"/>
            <w:vAlign w:val="center"/>
          </w:tcPr>
          <w:p w14:paraId="7D1CAE0C">
            <w:pPr>
              <w:pStyle w:val="173"/>
              <w:spacing w:line="264" w:lineRule="exact"/>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 号</w:t>
            </w:r>
          </w:p>
        </w:tc>
        <w:tc>
          <w:tcPr>
            <w:tcW w:w="1133" w:type="dxa"/>
            <w:tcBorders>
              <w:top w:val="single" w:color="auto" w:sz="4" w:space="0"/>
              <w:left w:val="single" w:color="auto" w:sz="4" w:space="0"/>
            </w:tcBorders>
            <w:shd w:val="clear" w:color="auto" w:fill="FFFFFF"/>
            <w:vAlign w:val="center"/>
          </w:tcPr>
          <w:p w14:paraId="38D08890">
            <w:pPr>
              <w:pStyle w:val="173"/>
              <w:spacing w:line="269" w:lineRule="exact"/>
              <w:ind w:left="180"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施工机械</w:t>
            </w:r>
          </w:p>
          <w:p w14:paraId="54848D6D">
            <w:pPr>
              <w:pStyle w:val="173"/>
              <w:spacing w:line="269" w:lineRule="exact"/>
              <w:ind w:left="180"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名 称</w:t>
            </w:r>
          </w:p>
        </w:tc>
        <w:tc>
          <w:tcPr>
            <w:tcW w:w="864" w:type="dxa"/>
            <w:tcBorders>
              <w:top w:val="single" w:color="auto" w:sz="4" w:space="0"/>
              <w:left w:val="single" w:color="auto" w:sz="4" w:space="0"/>
            </w:tcBorders>
            <w:shd w:val="clear" w:color="auto" w:fill="FFFFFF"/>
            <w:vAlign w:val="center"/>
          </w:tcPr>
          <w:p w14:paraId="47FA272E">
            <w:pPr>
              <w:pStyle w:val="173"/>
              <w:spacing w:after="60"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型号</w:t>
            </w:r>
          </w:p>
          <w:p w14:paraId="46DAC00F">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规格</w:t>
            </w:r>
          </w:p>
        </w:tc>
        <w:tc>
          <w:tcPr>
            <w:tcW w:w="869" w:type="dxa"/>
            <w:tcBorders>
              <w:top w:val="single" w:color="auto" w:sz="4" w:space="0"/>
              <w:left w:val="single" w:color="auto" w:sz="4" w:space="0"/>
            </w:tcBorders>
            <w:shd w:val="clear" w:color="auto" w:fill="FFFFFF"/>
            <w:vAlign w:val="center"/>
          </w:tcPr>
          <w:p w14:paraId="0B76F447">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数量</w:t>
            </w:r>
          </w:p>
        </w:tc>
        <w:tc>
          <w:tcPr>
            <w:tcW w:w="864" w:type="dxa"/>
            <w:tcBorders>
              <w:top w:val="single" w:color="auto" w:sz="4" w:space="0"/>
              <w:left w:val="single" w:color="auto" w:sz="4" w:space="0"/>
            </w:tcBorders>
            <w:shd w:val="clear" w:color="auto" w:fill="FFFFFF"/>
            <w:vAlign w:val="center"/>
          </w:tcPr>
          <w:p w14:paraId="590A082D">
            <w:pPr>
              <w:pStyle w:val="173"/>
              <w:spacing w:line="266" w:lineRule="exact"/>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制造 年份</w:t>
            </w:r>
          </w:p>
        </w:tc>
        <w:tc>
          <w:tcPr>
            <w:tcW w:w="864" w:type="dxa"/>
            <w:tcBorders>
              <w:top w:val="single" w:color="auto" w:sz="4" w:space="0"/>
              <w:left w:val="single" w:color="auto" w:sz="4" w:space="0"/>
            </w:tcBorders>
            <w:shd w:val="clear" w:color="auto" w:fill="FFFFFF"/>
            <w:vAlign w:val="center"/>
          </w:tcPr>
          <w:p w14:paraId="7889A098">
            <w:pPr>
              <w:pStyle w:val="173"/>
              <w:spacing w:line="265" w:lineRule="exact"/>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 xml:space="preserve">额定功率 </w:t>
            </w:r>
            <w:r>
              <w:rPr>
                <w:rFonts w:ascii="Times New Roman" w:hAnsi="Times New Roman" w:eastAsia="Times New Roman" w:cs="Times New Roman"/>
                <w:color w:val="000000" w:themeColor="text1"/>
                <w:sz w:val="21"/>
                <w:szCs w:val="21"/>
                <w:highlight w:val="none"/>
                <w:lang w:val="en-US" w:bidi="en-US"/>
                <w14:textFill>
                  <w14:solidFill>
                    <w14:schemeClr w14:val="tx1"/>
                  </w14:solidFill>
                </w14:textFill>
              </w:rPr>
              <w:t>（KW）</w:t>
            </w:r>
            <w:r>
              <w:rPr>
                <w:color w:val="000000" w:themeColor="text1"/>
                <w:sz w:val="21"/>
                <w:szCs w:val="21"/>
                <w:highlight w:val="none"/>
                <w14:textFill>
                  <w14:solidFill>
                    <w14:schemeClr w14:val="tx1"/>
                  </w14:solidFill>
                </w14:textFill>
              </w:rPr>
              <w:t>或 生产能力</w:t>
            </w:r>
          </w:p>
        </w:tc>
        <w:tc>
          <w:tcPr>
            <w:tcW w:w="864" w:type="dxa"/>
            <w:tcBorders>
              <w:top w:val="single" w:color="auto" w:sz="4" w:space="0"/>
              <w:left w:val="single" w:color="auto" w:sz="4" w:space="0"/>
            </w:tcBorders>
            <w:shd w:val="clear" w:color="auto" w:fill="FFFFFF"/>
            <w:vAlign w:val="center"/>
          </w:tcPr>
          <w:p w14:paraId="63FFF4DD">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现在何处</w:t>
            </w:r>
          </w:p>
        </w:tc>
        <w:tc>
          <w:tcPr>
            <w:tcW w:w="864" w:type="dxa"/>
            <w:tcBorders>
              <w:top w:val="single" w:color="auto" w:sz="4" w:space="0"/>
              <w:left w:val="single" w:color="auto" w:sz="4" w:space="0"/>
            </w:tcBorders>
            <w:shd w:val="clear" w:color="auto" w:fill="FFFFFF"/>
            <w:vAlign w:val="center"/>
          </w:tcPr>
          <w:p w14:paraId="362D89E7">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进场时间</w:t>
            </w:r>
          </w:p>
        </w:tc>
        <w:tc>
          <w:tcPr>
            <w:tcW w:w="864" w:type="dxa"/>
            <w:tcBorders>
              <w:top w:val="single" w:color="auto" w:sz="4" w:space="0"/>
              <w:left w:val="single" w:color="auto" w:sz="4" w:space="0"/>
            </w:tcBorders>
            <w:shd w:val="clear" w:color="auto" w:fill="FFFFFF"/>
            <w:vAlign w:val="center"/>
          </w:tcPr>
          <w:p w14:paraId="2FA4BAE1">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退场时间</w:t>
            </w:r>
          </w:p>
        </w:tc>
        <w:tc>
          <w:tcPr>
            <w:tcW w:w="874" w:type="dxa"/>
            <w:tcBorders>
              <w:top w:val="single" w:color="auto" w:sz="4" w:space="0"/>
              <w:left w:val="single" w:color="auto" w:sz="4" w:space="0"/>
              <w:right w:val="single" w:color="auto" w:sz="4" w:space="0"/>
            </w:tcBorders>
            <w:shd w:val="clear" w:color="auto" w:fill="FFFFFF"/>
            <w:vAlign w:val="center"/>
          </w:tcPr>
          <w:p w14:paraId="0C2EE645">
            <w:pPr>
              <w:pStyle w:val="173"/>
              <w:spacing w:line="257" w:lineRule="exact"/>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用于施工 部位</w:t>
            </w:r>
          </w:p>
        </w:tc>
      </w:tr>
      <w:tr w14:paraId="0AB4A188">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229B351B">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474F1DF5">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5092258">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121D049B">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689E4C7B">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B7C484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1A0F1C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F8FB92C">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BAC482B">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2E18E172">
            <w:pPr>
              <w:rPr>
                <w:color w:val="000000" w:themeColor="text1"/>
                <w:szCs w:val="21"/>
                <w:highlight w:val="none"/>
                <w14:textFill>
                  <w14:solidFill>
                    <w14:schemeClr w14:val="tx1"/>
                  </w14:solidFill>
                </w14:textFill>
              </w:rPr>
            </w:pPr>
          </w:p>
        </w:tc>
      </w:tr>
      <w:tr w14:paraId="7AA88E99">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79BA29C0">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4153E93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60562C4E">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42F32591">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343D336E">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0A2E11D8">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37E1EEF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31A3DD46">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64E85955">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7D1F7329">
            <w:pPr>
              <w:rPr>
                <w:color w:val="000000" w:themeColor="text1"/>
                <w:szCs w:val="21"/>
                <w:highlight w:val="none"/>
                <w14:textFill>
                  <w14:solidFill>
                    <w14:schemeClr w14:val="tx1"/>
                  </w14:solidFill>
                </w14:textFill>
              </w:rPr>
            </w:pPr>
          </w:p>
        </w:tc>
      </w:tr>
      <w:tr w14:paraId="2BA4E3ED">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081C54A9">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198B4465">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8C92603">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4112FDE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08B1E357">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437DE65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FB23B5F">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36C9DC5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36A52AFA">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6A24526B">
            <w:pPr>
              <w:rPr>
                <w:color w:val="000000" w:themeColor="text1"/>
                <w:szCs w:val="21"/>
                <w:highlight w:val="none"/>
                <w14:textFill>
                  <w14:solidFill>
                    <w14:schemeClr w14:val="tx1"/>
                  </w14:solidFill>
                </w14:textFill>
              </w:rPr>
            </w:pPr>
          </w:p>
        </w:tc>
      </w:tr>
      <w:tr w14:paraId="1FC3BFBC">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7F480704">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514FD17F">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E77D6AF">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1537057F">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0069DB7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03F52341">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197404F">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6FB4BDE">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42ABB5B">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124B5A18">
            <w:pPr>
              <w:rPr>
                <w:color w:val="000000" w:themeColor="text1"/>
                <w:szCs w:val="21"/>
                <w:highlight w:val="none"/>
                <w14:textFill>
                  <w14:solidFill>
                    <w14:schemeClr w14:val="tx1"/>
                  </w14:solidFill>
                </w14:textFill>
              </w:rPr>
            </w:pPr>
          </w:p>
        </w:tc>
      </w:tr>
      <w:tr w14:paraId="7749FA13">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301F4F42">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254C719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49EB9814">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2233BB4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4A20B538">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0F8BCE1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79268B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04514D2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CDA6EFB">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3DA7E716">
            <w:pPr>
              <w:rPr>
                <w:color w:val="000000" w:themeColor="text1"/>
                <w:szCs w:val="21"/>
                <w:highlight w:val="none"/>
                <w14:textFill>
                  <w14:solidFill>
                    <w14:schemeClr w14:val="tx1"/>
                  </w14:solidFill>
                </w14:textFill>
              </w:rPr>
            </w:pPr>
          </w:p>
        </w:tc>
      </w:tr>
      <w:tr w14:paraId="03E38F5E">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302EF6AA">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0A8FFAD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DE3B377">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741AB35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6778D4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3C1C626">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745355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E654F0A">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9D0DD24">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3EE0AB10">
            <w:pPr>
              <w:rPr>
                <w:color w:val="000000" w:themeColor="text1"/>
                <w:szCs w:val="21"/>
                <w:highlight w:val="none"/>
                <w14:textFill>
                  <w14:solidFill>
                    <w14:schemeClr w14:val="tx1"/>
                  </w14:solidFill>
                </w14:textFill>
              </w:rPr>
            </w:pPr>
          </w:p>
        </w:tc>
      </w:tr>
      <w:tr w14:paraId="7665EDBB">
        <w:tblPrEx>
          <w:tblCellMar>
            <w:top w:w="0" w:type="dxa"/>
            <w:left w:w="10" w:type="dxa"/>
            <w:bottom w:w="0" w:type="dxa"/>
            <w:right w:w="10" w:type="dxa"/>
          </w:tblCellMar>
        </w:tblPrEx>
        <w:trPr>
          <w:trHeight w:val="571" w:hRule="exact"/>
          <w:jc w:val="center"/>
        </w:trPr>
        <w:tc>
          <w:tcPr>
            <w:tcW w:w="293" w:type="dxa"/>
            <w:tcBorders>
              <w:top w:val="single" w:color="auto" w:sz="4" w:space="0"/>
              <w:left w:val="single" w:color="auto" w:sz="4" w:space="0"/>
            </w:tcBorders>
            <w:shd w:val="clear" w:color="auto" w:fill="FFFFFF"/>
          </w:tcPr>
          <w:p w14:paraId="12B98FB1">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255BD4DA">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4735E153">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0E54958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F98FD8C">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425F30B">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2E3C14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873203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1590597">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348E0540">
            <w:pPr>
              <w:rPr>
                <w:color w:val="000000" w:themeColor="text1"/>
                <w:szCs w:val="21"/>
                <w:highlight w:val="none"/>
                <w14:textFill>
                  <w14:solidFill>
                    <w14:schemeClr w14:val="tx1"/>
                  </w14:solidFill>
                </w14:textFill>
              </w:rPr>
            </w:pPr>
          </w:p>
        </w:tc>
      </w:tr>
      <w:tr w14:paraId="0417EA73">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7110559F">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5FFAE211">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6958D449">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0672692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8CFD4B1">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547A4A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1DD7E3EC">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1A3C634">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0E10FC8">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3A17D09D">
            <w:pPr>
              <w:rPr>
                <w:color w:val="000000" w:themeColor="text1"/>
                <w:szCs w:val="21"/>
                <w:highlight w:val="none"/>
                <w14:textFill>
                  <w14:solidFill>
                    <w14:schemeClr w14:val="tx1"/>
                  </w14:solidFill>
                </w14:textFill>
              </w:rPr>
            </w:pPr>
          </w:p>
        </w:tc>
      </w:tr>
      <w:tr w14:paraId="27AC9A12">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tcBorders>
            <w:shd w:val="clear" w:color="auto" w:fill="FFFFFF"/>
          </w:tcPr>
          <w:p w14:paraId="03AE65BE">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7E5E11DB">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613DA5D4">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tcBorders>
            <w:shd w:val="clear" w:color="auto" w:fill="FFFFFF"/>
          </w:tcPr>
          <w:p w14:paraId="013FFB7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2D0C5FD8">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71F40242">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63D7D22C">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5DEF4C45">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tcBorders>
            <w:shd w:val="clear" w:color="auto" w:fill="FFFFFF"/>
          </w:tcPr>
          <w:p w14:paraId="4CC05781">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right w:val="single" w:color="auto" w:sz="4" w:space="0"/>
            </w:tcBorders>
            <w:shd w:val="clear" w:color="auto" w:fill="FFFFFF"/>
          </w:tcPr>
          <w:p w14:paraId="6579A7C4">
            <w:pPr>
              <w:rPr>
                <w:color w:val="000000" w:themeColor="text1"/>
                <w:szCs w:val="21"/>
                <w:highlight w:val="none"/>
                <w14:textFill>
                  <w14:solidFill>
                    <w14:schemeClr w14:val="tx1"/>
                  </w14:solidFill>
                </w14:textFill>
              </w:rPr>
            </w:pPr>
          </w:p>
        </w:tc>
      </w:tr>
      <w:tr w14:paraId="251AFB95">
        <w:tblPrEx>
          <w:tblCellMar>
            <w:top w:w="0" w:type="dxa"/>
            <w:left w:w="10" w:type="dxa"/>
            <w:bottom w:w="0" w:type="dxa"/>
            <w:right w:w="10" w:type="dxa"/>
          </w:tblCellMar>
        </w:tblPrEx>
        <w:trPr>
          <w:trHeight w:val="576" w:hRule="exact"/>
          <w:jc w:val="center"/>
        </w:trPr>
        <w:tc>
          <w:tcPr>
            <w:tcW w:w="293" w:type="dxa"/>
            <w:tcBorders>
              <w:top w:val="single" w:color="auto" w:sz="4" w:space="0"/>
              <w:left w:val="single" w:color="auto" w:sz="4" w:space="0"/>
              <w:bottom w:val="single" w:color="auto" w:sz="4" w:space="0"/>
            </w:tcBorders>
            <w:shd w:val="clear" w:color="auto" w:fill="FFFFFF"/>
          </w:tcPr>
          <w:p w14:paraId="073CE992">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single" w:color="auto" w:sz="4" w:space="0"/>
            </w:tcBorders>
            <w:shd w:val="clear" w:color="auto" w:fill="FFFFFF"/>
          </w:tcPr>
          <w:p w14:paraId="2DA0AB59">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shd w:val="clear" w:color="auto" w:fill="FFFFFF"/>
          </w:tcPr>
          <w:p w14:paraId="027B2955">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bottom w:val="single" w:color="auto" w:sz="4" w:space="0"/>
            </w:tcBorders>
            <w:shd w:val="clear" w:color="auto" w:fill="FFFFFF"/>
          </w:tcPr>
          <w:p w14:paraId="226397E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shd w:val="clear" w:color="auto" w:fill="FFFFFF"/>
          </w:tcPr>
          <w:p w14:paraId="5A91B44B">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shd w:val="clear" w:color="auto" w:fill="FFFFFF"/>
          </w:tcPr>
          <w:p w14:paraId="4DEA3060">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shd w:val="clear" w:color="auto" w:fill="FFFFFF"/>
          </w:tcPr>
          <w:p w14:paraId="73AE9955">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shd w:val="clear" w:color="auto" w:fill="FFFFFF"/>
          </w:tcPr>
          <w:p w14:paraId="7AD8C133">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tcBorders>
            <w:shd w:val="clear" w:color="auto" w:fill="FFFFFF"/>
          </w:tcPr>
          <w:p w14:paraId="18E9E0CE">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bottom w:val="single" w:color="auto" w:sz="4" w:space="0"/>
              <w:right w:val="single" w:color="auto" w:sz="4" w:space="0"/>
            </w:tcBorders>
            <w:shd w:val="clear" w:color="auto" w:fill="FFFFFF"/>
          </w:tcPr>
          <w:p w14:paraId="7057B2D4">
            <w:pPr>
              <w:rPr>
                <w:color w:val="000000" w:themeColor="text1"/>
                <w:szCs w:val="21"/>
                <w:highlight w:val="none"/>
                <w14:textFill>
                  <w14:solidFill>
                    <w14:schemeClr w14:val="tx1"/>
                  </w14:solidFill>
                </w14:textFill>
              </w:rPr>
            </w:pPr>
          </w:p>
        </w:tc>
      </w:tr>
    </w:tbl>
    <w:p w14:paraId="5770D55C">
      <w:pPr>
        <w:spacing w:after="299" w:line="1" w:lineRule="exact"/>
        <w:rPr>
          <w:color w:val="000000" w:themeColor="text1"/>
          <w:highlight w:val="none"/>
          <w14:textFill>
            <w14:solidFill>
              <w14:schemeClr w14:val="tx1"/>
            </w14:solidFill>
          </w14:textFill>
        </w:rPr>
      </w:pPr>
    </w:p>
    <w:p w14:paraId="277679DD">
      <w:pPr>
        <w:pStyle w:val="98"/>
        <w:tabs>
          <w:tab w:val="left" w:pos="847"/>
          <w:tab w:val="left" w:leader="underscore" w:pos="850"/>
          <w:tab w:val="left" w:leader="underscore" w:pos="1906"/>
          <w:tab w:val="left" w:pos="1908"/>
          <w:tab w:val="left" w:pos="2964"/>
        </w:tabs>
        <w:spacing w:after="420" w:line="353" w:lineRule="exact"/>
        <w:ind w:firstLine="420" w:firstLineChars="200"/>
        <w:jc w:val="right"/>
        <w:rPr>
          <w:rFonts w:hint="eastAsia"/>
          <w:color w:val="000000" w:themeColor="text1"/>
          <w:highlight w:val="none"/>
          <w14:textFill>
            <w14:solidFill>
              <w14:schemeClr w14:val="tx1"/>
            </w14:solidFill>
          </w14:textFill>
        </w:rPr>
        <w:sectPr>
          <w:headerReference r:id="rId8" w:type="default"/>
          <w:footerReference r:id="rId10" w:type="default"/>
          <w:headerReference r:id="rId9" w:type="even"/>
          <w:footerReference r:id="rId11" w:type="even"/>
          <w:pgSz w:w="11900" w:h="16832"/>
          <w:pgMar w:top="1440" w:right="1803" w:bottom="1440" w:left="1803" w:header="851" w:footer="851" w:gutter="0"/>
          <w:pgNumType w:fmt="decimal"/>
          <w:cols w:space="720" w:num="1"/>
          <w:docGrid w:linePitch="360" w:charSpace="0"/>
        </w:sectPr>
      </w:pPr>
      <w:bookmarkStart w:id="179" w:name="_Toc27417"/>
      <w:bookmarkStart w:id="180" w:name="bookmark2235"/>
      <w:bookmarkStart w:id="181" w:name="_Toc3373"/>
      <w:bookmarkStart w:id="182" w:name="bookmark2236"/>
      <w:bookmarkStart w:id="183" w:name="bookmark2234"/>
    </w:p>
    <w:p w14:paraId="3D316C9B">
      <w:pPr>
        <w:pStyle w:val="9"/>
        <w:outlineLvl w:val="9"/>
        <w:rPr>
          <w:rFonts w:hint="eastAsia" w:ascii="宋体" w:hAnsi="宋体" w:cs="宋体"/>
          <w:b w:val="0"/>
          <w:color w:val="000000" w:themeColor="text1"/>
          <w:sz w:val="28"/>
          <w:szCs w:val="28"/>
          <w:highlight w:val="none"/>
          <w14:textFill>
            <w14:solidFill>
              <w14:schemeClr w14:val="tx1"/>
            </w14:solidFill>
          </w14:textFill>
        </w:rPr>
      </w:pPr>
      <w:r>
        <w:rPr>
          <w:rFonts w:hint="eastAsia" w:ascii="宋体" w:hAnsi="宋体" w:cs="宋体"/>
          <w:b w:val="0"/>
          <w:color w:val="000000" w:themeColor="text1"/>
          <w:sz w:val="28"/>
          <w:szCs w:val="28"/>
          <w:highlight w:val="none"/>
          <w14:textFill>
            <w14:solidFill>
              <w14:schemeClr w14:val="tx1"/>
            </w14:solidFill>
          </w14:textFill>
        </w:rPr>
        <w:t>附件二：拟投入本合同工程的试验和检测仪器设备表</w:t>
      </w:r>
      <w:bookmarkEnd w:id="179"/>
    </w:p>
    <w:p w14:paraId="455419EC">
      <w:pPr>
        <w:rPr>
          <w:color w:val="000000" w:themeColor="text1"/>
          <w:highlight w:val="none"/>
          <w14:textFill>
            <w14:solidFill>
              <w14:schemeClr w14:val="tx1"/>
            </w14:solidFill>
          </w14:textFill>
        </w:rPr>
      </w:pPr>
    </w:p>
    <w:p w14:paraId="73D52F87">
      <w:pPr>
        <w:jc w:val="center"/>
        <w:rPr>
          <w:rFonts w:hint="eastAsia" w:ascii="宋体" w:hAnsi="宋体" w:cs="宋体"/>
          <w:b/>
          <w:bCs/>
          <w:color w:val="000000" w:themeColor="text1"/>
          <w:sz w:val="28"/>
          <w:szCs w:val="28"/>
          <w:highlight w:val="none"/>
          <w14:textFill>
            <w14:solidFill>
              <w14:schemeClr w14:val="tx1"/>
            </w14:solidFill>
          </w14:textFill>
        </w:rPr>
      </w:pPr>
      <w:bookmarkStart w:id="184" w:name="_Toc24555"/>
      <w:r>
        <w:rPr>
          <w:rFonts w:hint="eastAsia" w:ascii="宋体" w:hAnsi="宋体" w:cs="宋体"/>
          <w:b/>
          <w:bCs/>
          <w:color w:val="000000" w:themeColor="text1"/>
          <w:sz w:val="28"/>
          <w:szCs w:val="28"/>
          <w:highlight w:val="none"/>
          <w14:textFill>
            <w14:solidFill>
              <w14:schemeClr w14:val="tx1"/>
            </w14:solidFill>
          </w14:textFill>
        </w:rPr>
        <w:t>拟投入本合同工程的试验和检测仪器设备表</w:t>
      </w:r>
      <w:bookmarkEnd w:id="180"/>
      <w:bookmarkEnd w:id="181"/>
      <w:bookmarkEnd w:id="182"/>
      <w:bookmarkEnd w:id="183"/>
      <w:bookmarkEnd w:id="184"/>
    </w:p>
    <w:p w14:paraId="16F88CB1">
      <w:pPr>
        <w:jc w:val="center"/>
        <w:rPr>
          <w:b/>
          <w:color w:val="000000" w:themeColor="text1"/>
          <w:highlight w:val="none"/>
          <w14:textFill>
            <w14:solidFill>
              <w14:schemeClr w14:val="tx1"/>
            </w14:solidFill>
          </w14:textFill>
        </w:rPr>
      </w:pPr>
    </w:p>
    <w:tbl>
      <w:tblPr>
        <w:tblStyle w:val="45"/>
        <w:tblW w:w="8351" w:type="dxa"/>
        <w:jc w:val="center"/>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14:paraId="096F2604">
        <w:tblPrEx>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tcBorders>
            <w:shd w:val="clear" w:color="auto" w:fill="FFFFFF"/>
            <w:vAlign w:val="center"/>
          </w:tcPr>
          <w:p w14:paraId="47F194A1">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序号</w:t>
            </w:r>
          </w:p>
        </w:tc>
        <w:tc>
          <w:tcPr>
            <w:tcW w:w="1416" w:type="dxa"/>
            <w:tcBorders>
              <w:top w:val="single" w:color="auto" w:sz="4" w:space="0"/>
              <w:left w:val="single" w:color="auto" w:sz="4" w:space="0"/>
            </w:tcBorders>
            <w:shd w:val="clear" w:color="auto" w:fill="FFFFFF"/>
            <w:vAlign w:val="center"/>
          </w:tcPr>
          <w:p w14:paraId="5F0DFDCC">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仪器设备名称</w:t>
            </w:r>
          </w:p>
        </w:tc>
        <w:tc>
          <w:tcPr>
            <w:tcW w:w="907" w:type="dxa"/>
            <w:tcBorders>
              <w:top w:val="single" w:color="auto" w:sz="4" w:space="0"/>
              <w:left w:val="single" w:color="auto" w:sz="4" w:space="0"/>
            </w:tcBorders>
            <w:shd w:val="clear" w:color="auto" w:fill="FFFFFF"/>
            <w:vAlign w:val="center"/>
          </w:tcPr>
          <w:p w14:paraId="3B34A5B8">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型号规格</w:t>
            </w:r>
          </w:p>
        </w:tc>
        <w:tc>
          <w:tcPr>
            <w:tcW w:w="907" w:type="dxa"/>
            <w:tcBorders>
              <w:top w:val="single" w:color="auto" w:sz="4" w:space="0"/>
              <w:left w:val="single" w:color="auto" w:sz="4" w:space="0"/>
            </w:tcBorders>
            <w:shd w:val="clear" w:color="auto" w:fill="FFFFFF"/>
            <w:vAlign w:val="center"/>
          </w:tcPr>
          <w:p w14:paraId="601B3FDC">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数量</w:t>
            </w:r>
          </w:p>
        </w:tc>
        <w:tc>
          <w:tcPr>
            <w:tcW w:w="907" w:type="dxa"/>
            <w:tcBorders>
              <w:top w:val="single" w:color="auto" w:sz="4" w:space="0"/>
              <w:left w:val="single" w:color="auto" w:sz="4" w:space="0"/>
            </w:tcBorders>
            <w:shd w:val="clear" w:color="auto" w:fill="FFFFFF"/>
            <w:vAlign w:val="center"/>
          </w:tcPr>
          <w:p w14:paraId="2548D7AC">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国别产地</w:t>
            </w:r>
          </w:p>
        </w:tc>
        <w:tc>
          <w:tcPr>
            <w:tcW w:w="912" w:type="dxa"/>
            <w:tcBorders>
              <w:top w:val="single" w:color="auto" w:sz="4" w:space="0"/>
              <w:left w:val="single" w:color="auto" w:sz="4" w:space="0"/>
            </w:tcBorders>
            <w:shd w:val="clear" w:color="auto" w:fill="FFFFFF"/>
            <w:vAlign w:val="center"/>
          </w:tcPr>
          <w:p w14:paraId="2528CE11">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制造年份</w:t>
            </w:r>
          </w:p>
        </w:tc>
        <w:tc>
          <w:tcPr>
            <w:tcW w:w="902" w:type="dxa"/>
            <w:tcBorders>
              <w:top w:val="single" w:color="auto" w:sz="4" w:space="0"/>
              <w:left w:val="single" w:color="auto" w:sz="4" w:space="0"/>
            </w:tcBorders>
            <w:shd w:val="clear" w:color="auto" w:fill="FFFFFF"/>
            <w:vAlign w:val="center"/>
          </w:tcPr>
          <w:p w14:paraId="67376F4C">
            <w:pPr>
              <w:pStyle w:val="173"/>
              <w:spacing w:line="264" w:lineRule="exact"/>
              <w:ind w:firstLine="0"/>
              <w:jc w:val="center"/>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已</w:t>
            </w:r>
            <w:r>
              <w:rPr>
                <w:color w:val="000000" w:themeColor="text1"/>
                <w:sz w:val="21"/>
                <w:szCs w:val="21"/>
                <w:highlight w:val="none"/>
                <w14:textFill>
                  <w14:solidFill>
                    <w14:schemeClr w14:val="tx1"/>
                  </w14:solidFill>
                </w14:textFill>
              </w:rPr>
              <w:t>使用</w:t>
            </w:r>
          </w:p>
          <w:p w14:paraId="629F5891">
            <w:pPr>
              <w:pStyle w:val="173"/>
              <w:spacing w:line="264" w:lineRule="exact"/>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台时数</w:t>
            </w:r>
          </w:p>
        </w:tc>
        <w:tc>
          <w:tcPr>
            <w:tcW w:w="907" w:type="dxa"/>
            <w:tcBorders>
              <w:top w:val="single" w:color="auto" w:sz="4" w:space="0"/>
              <w:left w:val="single" w:color="auto" w:sz="4" w:space="0"/>
            </w:tcBorders>
            <w:shd w:val="clear" w:color="auto" w:fill="FFFFFF"/>
            <w:vAlign w:val="center"/>
          </w:tcPr>
          <w:p w14:paraId="0C56B610">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用途</w:t>
            </w:r>
          </w:p>
        </w:tc>
        <w:tc>
          <w:tcPr>
            <w:tcW w:w="917" w:type="dxa"/>
            <w:tcBorders>
              <w:top w:val="single" w:color="auto" w:sz="4" w:space="0"/>
              <w:left w:val="single" w:color="auto" w:sz="4" w:space="0"/>
              <w:right w:val="single" w:color="auto" w:sz="4" w:space="0"/>
            </w:tcBorders>
            <w:shd w:val="clear" w:color="auto" w:fill="FFFFFF"/>
            <w:vAlign w:val="center"/>
          </w:tcPr>
          <w:p w14:paraId="66C729AD">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备注</w:t>
            </w:r>
          </w:p>
        </w:tc>
      </w:tr>
      <w:tr w14:paraId="75442466">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464DAD80">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28B9A30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56C7EBC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F70C819">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C471A67">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33131C17">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1CEB287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ABEC73F">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6F52E0BE">
            <w:pPr>
              <w:rPr>
                <w:color w:val="000000" w:themeColor="text1"/>
                <w:szCs w:val="21"/>
                <w:highlight w:val="none"/>
                <w14:textFill>
                  <w14:solidFill>
                    <w14:schemeClr w14:val="tx1"/>
                  </w14:solidFill>
                </w14:textFill>
              </w:rPr>
            </w:pPr>
          </w:p>
        </w:tc>
      </w:tr>
      <w:tr w14:paraId="1425BD0E">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2C0993FF">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0152B87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5D77C043">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971EB61">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E971F3A">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090E82A1">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245CC87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A0A6C3F">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507AD120">
            <w:pPr>
              <w:rPr>
                <w:color w:val="000000" w:themeColor="text1"/>
                <w:szCs w:val="21"/>
                <w:highlight w:val="none"/>
                <w14:textFill>
                  <w14:solidFill>
                    <w14:schemeClr w14:val="tx1"/>
                  </w14:solidFill>
                </w14:textFill>
              </w:rPr>
            </w:pPr>
          </w:p>
        </w:tc>
      </w:tr>
      <w:tr w14:paraId="72BFDE7A">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327919C0">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0D524509">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491529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D37B0F8">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9884D96">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4D8732A6">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13249D7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238095F">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2251CF0B">
            <w:pPr>
              <w:rPr>
                <w:color w:val="000000" w:themeColor="text1"/>
                <w:szCs w:val="21"/>
                <w:highlight w:val="none"/>
                <w14:textFill>
                  <w14:solidFill>
                    <w14:schemeClr w14:val="tx1"/>
                  </w14:solidFill>
                </w14:textFill>
              </w:rPr>
            </w:pPr>
          </w:p>
        </w:tc>
      </w:tr>
      <w:tr w14:paraId="555F4E8C">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6415CDE4">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7A31F84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AB52B2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8FCDFC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5AED7BA2">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00FF1211">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12E413D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C790BBB">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35975184">
            <w:pPr>
              <w:rPr>
                <w:color w:val="000000" w:themeColor="text1"/>
                <w:szCs w:val="21"/>
                <w:highlight w:val="none"/>
                <w14:textFill>
                  <w14:solidFill>
                    <w14:schemeClr w14:val="tx1"/>
                  </w14:solidFill>
                </w14:textFill>
              </w:rPr>
            </w:pPr>
          </w:p>
        </w:tc>
      </w:tr>
      <w:tr w14:paraId="0B568943">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5AD961D9">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077384E0">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58370DE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FD3AFD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B21B9B5">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022276B8">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0636FE2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DF63548">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562732CB">
            <w:pPr>
              <w:rPr>
                <w:color w:val="000000" w:themeColor="text1"/>
                <w:szCs w:val="21"/>
                <w:highlight w:val="none"/>
                <w14:textFill>
                  <w14:solidFill>
                    <w14:schemeClr w14:val="tx1"/>
                  </w14:solidFill>
                </w14:textFill>
              </w:rPr>
            </w:pPr>
          </w:p>
        </w:tc>
      </w:tr>
      <w:tr w14:paraId="795491CD">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660BDC02">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3675F80E">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85A1E0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4DAE48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C5CFF5B">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61B745B8">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7BF61220">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046999B">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3EF4FA53">
            <w:pPr>
              <w:rPr>
                <w:color w:val="000000" w:themeColor="text1"/>
                <w:szCs w:val="21"/>
                <w:highlight w:val="none"/>
                <w14:textFill>
                  <w14:solidFill>
                    <w14:schemeClr w14:val="tx1"/>
                  </w14:solidFill>
                </w14:textFill>
              </w:rPr>
            </w:pPr>
          </w:p>
        </w:tc>
      </w:tr>
      <w:tr w14:paraId="4C469E8A">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4CD525F3">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13C788FD">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3E85387">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3BE1A2C">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7A27E05">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27089390">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297B78D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7B90D3B">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5EBD8CB3">
            <w:pPr>
              <w:rPr>
                <w:color w:val="000000" w:themeColor="text1"/>
                <w:szCs w:val="21"/>
                <w:highlight w:val="none"/>
                <w14:textFill>
                  <w14:solidFill>
                    <w14:schemeClr w14:val="tx1"/>
                  </w14:solidFill>
                </w14:textFill>
              </w:rPr>
            </w:pPr>
          </w:p>
        </w:tc>
      </w:tr>
      <w:tr w14:paraId="2105946E">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tcBorders>
            <w:shd w:val="clear" w:color="auto" w:fill="FFFFFF"/>
          </w:tcPr>
          <w:p w14:paraId="277EE189">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3080A4CE">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53E36478">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CFE1303">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1DB10C0">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016B2104">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177D3E1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106C66C">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54D60E69">
            <w:pPr>
              <w:rPr>
                <w:color w:val="000000" w:themeColor="text1"/>
                <w:szCs w:val="21"/>
                <w:highlight w:val="none"/>
                <w14:textFill>
                  <w14:solidFill>
                    <w14:schemeClr w14:val="tx1"/>
                  </w14:solidFill>
                </w14:textFill>
              </w:rPr>
            </w:pPr>
          </w:p>
        </w:tc>
      </w:tr>
      <w:tr w14:paraId="01796B99">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212806A7">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1F3891A8">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D9595E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E8BCCE3">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EF29CEB">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50D6F596">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1C3ABAA9">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9A15319">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797D0E88">
            <w:pPr>
              <w:rPr>
                <w:color w:val="000000" w:themeColor="text1"/>
                <w:szCs w:val="21"/>
                <w:highlight w:val="none"/>
                <w14:textFill>
                  <w14:solidFill>
                    <w14:schemeClr w14:val="tx1"/>
                  </w14:solidFill>
                </w14:textFill>
              </w:rPr>
            </w:pPr>
          </w:p>
        </w:tc>
      </w:tr>
      <w:tr w14:paraId="4C15CCE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45B50F9B">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0D4F6207">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CF149C0">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44B5473">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11C8ED1">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65581851">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50C928C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675FE2D">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52452DFA">
            <w:pPr>
              <w:rPr>
                <w:color w:val="000000" w:themeColor="text1"/>
                <w:szCs w:val="21"/>
                <w:highlight w:val="none"/>
                <w14:textFill>
                  <w14:solidFill>
                    <w14:schemeClr w14:val="tx1"/>
                  </w14:solidFill>
                </w14:textFill>
              </w:rPr>
            </w:pPr>
          </w:p>
        </w:tc>
      </w:tr>
      <w:tr w14:paraId="2DA36FF9">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1A79FD51">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74BDC32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8DC828E">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6B11FAED">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59AC37E">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53A7C99D">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0F496217">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7146B16">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7C0D3A45">
            <w:pPr>
              <w:rPr>
                <w:color w:val="000000" w:themeColor="text1"/>
                <w:szCs w:val="21"/>
                <w:highlight w:val="none"/>
                <w14:textFill>
                  <w14:solidFill>
                    <w14:schemeClr w14:val="tx1"/>
                  </w14:solidFill>
                </w14:textFill>
              </w:rPr>
            </w:pPr>
          </w:p>
        </w:tc>
      </w:tr>
      <w:tr w14:paraId="2AEC1C08">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345E78B9">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5E24D7C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01841C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0CAC8E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0D581B5">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0BBBA53F">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24F8BB8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7EE32B11">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70C9AE4A">
            <w:pPr>
              <w:rPr>
                <w:color w:val="000000" w:themeColor="text1"/>
                <w:szCs w:val="21"/>
                <w:highlight w:val="none"/>
                <w14:textFill>
                  <w14:solidFill>
                    <w14:schemeClr w14:val="tx1"/>
                  </w14:solidFill>
                </w14:textFill>
              </w:rPr>
            </w:pPr>
          </w:p>
        </w:tc>
      </w:tr>
      <w:tr w14:paraId="25A16F6C">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6A3E3309">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2ACF6226">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2C0BC3A">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422F1D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4C23205C">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19FD298E">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6CF904B5">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01D0EC5C">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205DFD4B">
            <w:pPr>
              <w:rPr>
                <w:color w:val="000000" w:themeColor="text1"/>
                <w:szCs w:val="21"/>
                <w:highlight w:val="none"/>
                <w14:textFill>
                  <w14:solidFill>
                    <w14:schemeClr w14:val="tx1"/>
                  </w14:solidFill>
                </w14:textFill>
              </w:rPr>
            </w:pPr>
          </w:p>
        </w:tc>
      </w:tr>
      <w:tr w14:paraId="5CFFDD6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690189CB">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2B4611B4">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5A041EFD">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30831A3C">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A0C9DA4">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50D047D1">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6475255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529650E">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484D2AB6">
            <w:pPr>
              <w:rPr>
                <w:color w:val="000000" w:themeColor="text1"/>
                <w:szCs w:val="21"/>
                <w:highlight w:val="none"/>
                <w14:textFill>
                  <w14:solidFill>
                    <w14:schemeClr w14:val="tx1"/>
                  </w14:solidFill>
                </w14:textFill>
              </w:rPr>
            </w:pPr>
          </w:p>
        </w:tc>
      </w:tr>
      <w:tr w14:paraId="16E34581">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35F5F901">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tcBorders>
            <w:shd w:val="clear" w:color="auto" w:fill="FFFFFF"/>
          </w:tcPr>
          <w:p w14:paraId="42DE2AA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1A2087E">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D0360B3">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227D2FD7">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tcPr>
          <w:p w14:paraId="4B5A6FD8">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tcPr>
          <w:p w14:paraId="4DE5E4F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tcPr>
          <w:p w14:paraId="1040CEB4">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tcPr>
          <w:p w14:paraId="0C1A78B2">
            <w:pPr>
              <w:rPr>
                <w:color w:val="000000" w:themeColor="text1"/>
                <w:szCs w:val="21"/>
                <w:highlight w:val="none"/>
                <w14:textFill>
                  <w14:solidFill>
                    <w14:schemeClr w14:val="tx1"/>
                  </w14:solidFill>
                </w14:textFill>
              </w:rPr>
            </w:pPr>
          </w:p>
        </w:tc>
      </w:tr>
      <w:tr w14:paraId="3E10B4B9">
        <w:tblPrEx>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tcBorders>
            <w:shd w:val="clear" w:color="auto" w:fill="FFFFFF"/>
          </w:tcPr>
          <w:p w14:paraId="6FB923E3">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single" w:color="auto" w:sz="4" w:space="0"/>
            </w:tcBorders>
            <w:shd w:val="clear" w:color="auto" w:fill="FFFFFF"/>
          </w:tcPr>
          <w:p w14:paraId="2C8DF7F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tcPr>
          <w:p w14:paraId="2AB1267F">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tcPr>
          <w:p w14:paraId="3FE5A49B">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tcPr>
          <w:p w14:paraId="589A3CD9">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single" w:color="auto" w:sz="4" w:space="0"/>
            </w:tcBorders>
            <w:shd w:val="clear" w:color="auto" w:fill="FFFFFF"/>
          </w:tcPr>
          <w:p w14:paraId="1D085B57">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single" w:color="auto" w:sz="4" w:space="0"/>
            </w:tcBorders>
            <w:shd w:val="clear" w:color="auto" w:fill="FFFFFF"/>
          </w:tcPr>
          <w:p w14:paraId="2390DE22">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tcPr>
          <w:p w14:paraId="7466D4F4">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cBorders>
            <w:shd w:val="clear" w:color="auto" w:fill="FFFFFF"/>
          </w:tcPr>
          <w:p w14:paraId="73502D6A">
            <w:pPr>
              <w:rPr>
                <w:color w:val="000000" w:themeColor="text1"/>
                <w:szCs w:val="21"/>
                <w:highlight w:val="none"/>
                <w14:textFill>
                  <w14:solidFill>
                    <w14:schemeClr w14:val="tx1"/>
                  </w14:solidFill>
                </w14:textFill>
              </w:rPr>
            </w:pPr>
          </w:p>
        </w:tc>
      </w:tr>
    </w:tbl>
    <w:p w14:paraId="43C88E0B">
      <w:pPr>
        <w:spacing w:after="299" w:line="1" w:lineRule="exact"/>
        <w:rPr>
          <w:color w:val="000000" w:themeColor="text1"/>
          <w:highlight w:val="none"/>
          <w14:textFill>
            <w14:solidFill>
              <w14:schemeClr w14:val="tx1"/>
            </w14:solidFill>
          </w14:textFill>
        </w:rPr>
      </w:pPr>
    </w:p>
    <w:p w14:paraId="7DF8B207">
      <w:pPr>
        <w:pStyle w:val="98"/>
        <w:tabs>
          <w:tab w:val="left" w:pos="847"/>
          <w:tab w:val="left" w:leader="underscore" w:pos="850"/>
          <w:tab w:val="left" w:leader="underscore" w:pos="1906"/>
          <w:tab w:val="left" w:pos="1908"/>
          <w:tab w:val="left" w:pos="2964"/>
        </w:tabs>
        <w:spacing w:after="420" w:line="353" w:lineRule="exact"/>
        <w:ind w:firstLine="420" w:firstLineChars="200"/>
        <w:jc w:val="right"/>
        <w:rPr>
          <w:rFonts w:hint="eastAsia"/>
          <w:color w:val="000000" w:themeColor="text1"/>
          <w:highlight w:val="none"/>
          <w14:textFill>
            <w14:solidFill>
              <w14:schemeClr w14:val="tx1"/>
            </w14:solidFill>
          </w14:textFill>
        </w:rPr>
        <w:sectPr>
          <w:headerReference r:id="rId12" w:type="default"/>
          <w:footerReference r:id="rId14" w:type="default"/>
          <w:headerReference r:id="rId13" w:type="even"/>
          <w:footerReference r:id="rId15" w:type="even"/>
          <w:pgSz w:w="11900" w:h="16832"/>
          <w:pgMar w:top="1440" w:right="1803" w:bottom="1440" w:left="1803" w:header="851" w:footer="851" w:gutter="0"/>
          <w:pgNumType w:fmt="decimal"/>
          <w:cols w:space="720" w:num="1"/>
          <w:docGrid w:linePitch="360" w:charSpace="0"/>
        </w:sectPr>
      </w:pPr>
      <w:bookmarkStart w:id="185" w:name="bookmark2237"/>
      <w:bookmarkStart w:id="186" w:name="bookmark2239"/>
      <w:bookmarkStart w:id="187" w:name="bookmark2238"/>
    </w:p>
    <w:p w14:paraId="60EFBA2E">
      <w:pPr>
        <w:pStyle w:val="9"/>
        <w:outlineLvl w:val="9"/>
        <w:rPr>
          <w:rFonts w:hint="eastAsia" w:ascii="宋体" w:hAnsi="宋体" w:cs="宋体"/>
          <w:b w:val="0"/>
          <w:color w:val="000000" w:themeColor="text1"/>
          <w:sz w:val="28"/>
          <w:szCs w:val="28"/>
          <w:highlight w:val="none"/>
          <w14:textFill>
            <w14:solidFill>
              <w14:schemeClr w14:val="tx1"/>
            </w14:solidFill>
          </w14:textFill>
        </w:rPr>
      </w:pPr>
      <w:r>
        <w:rPr>
          <w:rFonts w:hint="eastAsia" w:ascii="宋体" w:hAnsi="宋体" w:cs="宋体"/>
          <w:b w:val="0"/>
          <w:color w:val="000000" w:themeColor="text1"/>
          <w:sz w:val="28"/>
          <w:szCs w:val="28"/>
          <w:highlight w:val="none"/>
          <w14:textFill>
            <w14:solidFill>
              <w14:schemeClr w14:val="tx1"/>
            </w14:solidFill>
          </w14:textFill>
        </w:rPr>
        <w:t>附件三：拟投入本合同工程的劳动力计划表</w:t>
      </w:r>
      <w:bookmarkEnd w:id="185"/>
      <w:bookmarkEnd w:id="186"/>
      <w:bookmarkEnd w:id="187"/>
    </w:p>
    <w:p w14:paraId="5CDCCABB">
      <w:pPr>
        <w:rPr>
          <w:color w:val="000000" w:themeColor="text1"/>
          <w:highlight w:val="none"/>
          <w14:textFill>
            <w14:solidFill>
              <w14:schemeClr w14:val="tx1"/>
            </w14:solidFill>
          </w14:textFill>
        </w:rPr>
      </w:pPr>
    </w:p>
    <w:p w14:paraId="5E347ADB">
      <w:pPr>
        <w:jc w:val="center"/>
        <w:rPr>
          <w:rFonts w:hint="eastAsia" w:ascii="宋体" w:hAnsi="宋体" w:cs="宋体"/>
          <w:b/>
          <w:bCs/>
          <w:color w:val="000000" w:themeColor="text1"/>
          <w:sz w:val="28"/>
          <w:szCs w:val="28"/>
          <w:highlight w:val="none"/>
          <w14:textFill>
            <w14:solidFill>
              <w14:schemeClr w14:val="tx1"/>
            </w14:solidFill>
          </w14:textFill>
        </w:rPr>
      </w:pPr>
      <w:bookmarkStart w:id="188" w:name="bookmark2240"/>
      <w:bookmarkStart w:id="189" w:name="bookmark2241"/>
      <w:bookmarkStart w:id="190" w:name="bookmark2242"/>
      <w:bookmarkStart w:id="191" w:name="_Toc26872"/>
      <w:bookmarkStart w:id="192" w:name="_Toc30824"/>
      <w:r>
        <w:rPr>
          <w:rFonts w:hint="eastAsia" w:ascii="宋体" w:hAnsi="宋体" w:cs="宋体"/>
          <w:b/>
          <w:bCs/>
          <w:color w:val="000000" w:themeColor="text1"/>
          <w:sz w:val="28"/>
          <w:szCs w:val="28"/>
          <w:highlight w:val="none"/>
          <w14:textFill>
            <w14:solidFill>
              <w14:schemeClr w14:val="tx1"/>
            </w14:solidFill>
          </w14:textFill>
        </w:rPr>
        <w:t>拟投入本合同工程的劳动力计划表</w:t>
      </w:r>
      <w:bookmarkEnd w:id="188"/>
      <w:bookmarkEnd w:id="189"/>
      <w:bookmarkEnd w:id="190"/>
      <w:bookmarkEnd w:id="191"/>
      <w:bookmarkEnd w:id="192"/>
    </w:p>
    <w:p w14:paraId="081DF727">
      <w:pPr>
        <w:jc w:val="center"/>
        <w:rPr>
          <w:b/>
          <w:color w:val="000000" w:themeColor="text1"/>
          <w:highlight w:val="none"/>
          <w14:textFill>
            <w14:solidFill>
              <w14:schemeClr w14:val="tx1"/>
            </w14:solidFill>
          </w14:textFill>
        </w:rPr>
      </w:pPr>
      <w:r>
        <w:rPr>
          <w:color w:val="000000" w:themeColor="text1"/>
          <w:sz w:val="18"/>
          <w:szCs w:val="18"/>
          <w:highlight w:val="none"/>
          <w:lang w:bidi="mn-Mong-CN"/>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-26035</wp:posOffset>
                </wp:positionH>
                <wp:positionV relativeFrom="paragraph">
                  <wp:posOffset>173355</wp:posOffset>
                </wp:positionV>
                <wp:extent cx="1822450" cy="366395"/>
                <wp:effectExtent l="635" t="4445" r="5715" b="10160"/>
                <wp:wrapNone/>
                <wp:docPr id="24" name="直接箭头连接符 24"/>
                <wp:cNvGraphicFramePr/>
                <a:graphic xmlns:a="http://schemas.openxmlformats.org/drawingml/2006/main">
                  <a:graphicData uri="http://schemas.microsoft.com/office/word/2010/wordprocessingShape">
                    <wps:wsp>
                      <wps:cNvCnPr/>
                      <wps:spPr>
                        <a:xfrm>
                          <a:off x="0" y="0"/>
                          <a:ext cx="1822450" cy="3663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05pt;margin-top:13.65pt;height:28.85pt;width:143.5pt;z-index:251669504;mso-width-relative:page;mso-height-relative:page;" filled="f" stroked="t" coordsize="21600,21600" o:gfxdata="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OQaGrXAAAACAEAAA8AAAAAAAAAAQAgAAAAIgAAAGRycy9k&#10;b3ducmV2LnhtbFBLAQIUABQAAAAIAIdO4kCsAwVxAwIAAPMDAAAOAAAAAAAAAAEAIAAAACYBAABk&#10;cnMvZTJvRG9jLnhtbFBLBQYAAAAABgAGAFkBAACbBQAAAAA=&#10;">
                <v:fill on="f" focussize="0,0"/>
                <v:stroke color="#000000" joinstyle="round"/>
                <v:imagedata o:title=""/>
                <o:lock v:ext="edit" aspectratio="f"/>
              </v:shape>
            </w:pict>
          </mc:Fallback>
        </mc:AlternateContent>
      </w:r>
    </w:p>
    <w:tbl>
      <w:tblPr>
        <w:tblStyle w:val="45"/>
        <w:tblW w:w="8352" w:type="dxa"/>
        <w:jc w:val="center"/>
        <w:tblLayout w:type="fixed"/>
        <w:tblCellMar>
          <w:top w:w="0" w:type="dxa"/>
          <w:left w:w="10" w:type="dxa"/>
          <w:bottom w:w="0" w:type="dxa"/>
          <w:right w:w="10" w:type="dxa"/>
        </w:tblCellMar>
      </w:tblPr>
      <w:tblGrid>
        <w:gridCol w:w="1426"/>
        <w:gridCol w:w="1421"/>
        <w:gridCol w:w="643"/>
        <w:gridCol w:w="648"/>
        <w:gridCol w:w="643"/>
        <w:gridCol w:w="648"/>
        <w:gridCol w:w="648"/>
        <w:gridCol w:w="1133"/>
        <w:gridCol w:w="1142"/>
      </w:tblGrid>
      <w:tr w14:paraId="5D60C575">
        <w:tblPrEx>
          <w:tblCellMar>
            <w:top w:w="0" w:type="dxa"/>
            <w:left w:w="10" w:type="dxa"/>
            <w:bottom w:w="0" w:type="dxa"/>
            <w:right w:w="10" w:type="dxa"/>
          </w:tblCellMar>
        </w:tblPrEx>
        <w:trPr>
          <w:trHeight w:val="576" w:hRule="exact"/>
          <w:jc w:val="center"/>
        </w:trPr>
        <w:tc>
          <w:tcPr>
            <w:tcW w:w="2847" w:type="dxa"/>
            <w:gridSpan w:val="2"/>
            <w:vMerge w:val="restart"/>
            <w:tcBorders>
              <w:top w:val="single" w:color="auto" w:sz="4" w:space="0"/>
              <w:left w:val="single" w:color="auto" w:sz="4" w:space="0"/>
            </w:tcBorders>
            <w:shd w:val="clear" w:color="auto" w:fill="FFFFFF"/>
            <w:vAlign w:val="center"/>
          </w:tcPr>
          <w:p w14:paraId="4661D49C">
            <w:pPr>
              <w:pStyle w:val="173"/>
              <w:spacing w:line="266" w:lineRule="exact"/>
              <w:ind w:left="1060" w:firstLine="1220"/>
              <w:rPr>
                <w:rFonts w:hint="eastAsia"/>
                <w:color w:val="000000" w:themeColor="text1"/>
                <w:sz w:val="21"/>
                <w:szCs w:val="21"/>
                <w:highlight w:val="none"/>
                <w14:textFill>
                  <w14:solidFill>
                    <w14:schemeClr w14:val="tx1"/>
                  </w14:solidFill>
                </w14:textFill>
              </w:rPr>
            </w:pPr>
            <w:r>
              <w:rPr>
                <w:color w:val="000000" w:themeColor="text1"/>
                <w:sz w:val="21"/>
                <w:szCs w:val="21"/>
                <w:highlight w:val="none"/>
                <w:lang w:val="en-US" w:bidi="mn-Mong-CN"/>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-13970</wp:posOffset>
                      </wp:positionH>
                      <wp:positionV relativeFrom="paragraph">
                        <wp:posOffset>-8255</wp:posOffset>
                      </wp:positionV>
                      <wp:extent cx="1139190" cy="728980"/>
                      <wp:effectExtent l="2540" t="3810" r="20320" b="10160"/>
                      <wp:wrapNone/>
                      <wp:docPr id="22" name="直接箭头连接符 22"/>
                      <wp:cNvGraphicFramePr/>
                      <a:graphic xmlns:a="http://schemas.openxmlformats.org/drawingml/2006/main">
                        <a:graphicData uri="http://schemas.microsoft.com/office/word/2010/wordprocessingShape">
                          <wps:wsp>
                            <wps:cNvCnPr/>
                            <wps:spPr>
                              <a:xfrm>
                                <a:off x="0" y="0"/>
                                <a:ext cx="1139190" cy="7289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pt;margin-top:-0.65pt;height:57.4pt;width:89.7pt;z-index:251670528;mso-width-relative:page;mso-height-relative:page;" filled="f" stroked="t" coordsize="21600,21600" o:gfxdata="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WvtV1wAAAAkBAAAPAAAAAAAAAAEAIAAAACIAAABkcnMv&#10;ZG93bnJldi54bWxQSwECFAAUAAAACACHTuJAD/P5kQQCAADzAwAADgAAAAAAAAABACAAAAAmAQAA&#10;ZHJzL2Uyb0RvYy54bWxQSwUGAAAAAAYABgBZAQAAnAUAAAAA&#10;">
                      <v:fill on="f" focussize="0,0"/>
                      <v:stroke color="#000000" joinstyle="round"/>
                      <v:imagedata o:title=""/>
                      <o:lock v:ext="edit" aspectratio="f"/>
                    </v:shape>
                  </w:pict>
                </mc:Fallback>
              </mc:AlternateContent>
            </w:r>
            <w:r>
              <w:rPr>
                <w:color w:val="000000" w:themeColor="text1"/>
                <w:sz w:val="21"/>
                <w:szCs w:val="21"/>
                <w:highlight w:val="none"/>
                <w14:textFill>
                  <w14:solidFill>
                    <w14:schemeClr w14:val="tx1"/>
                  </w14:solidFill>
                </w14:textFill>
              </w:rPr>
              <w:t>工种 人数</w:t>
            </w:r>
          </w:p>
          <w:p w14:paraId="79239917">
            <w:pPr>
              <w:pStyle w:val="173"/>
              <w:spacing w:line="266" w:lineRule="exact"/>
              <w:ind w:firstLine="18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时间</w:t>
            </w:r>
          </w:p>
        </w:tc>
        <w:tc>
          <w:tcPr>
            <w:tcW w:w="643" w:type="dxa"/>
            <w:vMerge w:val="restart"/>
            <w:tcBorders>
              <w:top w:val="single" w:color="auto" w:sz="4" w:space="0"/>
              <w:left w:val="single" w:color="auto" w:sz="4" w:space="0"/>
            </w:tcBorders>
            <w:shd w:val="clear" w:color="auto" w:fill="FFFFFF"/>
          </w:tcPr>
          <w:p w14:paraId="00CD4BA3">
            <w:pPr>
              <w:rPr>
                <w:color w:val="000000" w:themeColor="text1"/>
                <w:szCs w:val="21"/>
                <w:highlight w:val="none"/>
                <w14:textFill>
                  <w14:solidFill>
                    <w14:schemeClr w14:val="tx1"/>
                  </w14:solidFill>
                </w14:textFill>
              </w:rPr>
            </w:pPr>
          </w:p>
        </w:tc>
        <w:tc>
          <w:tcPr>
            <w:tcW w:w="648" w:type="dxa"/>
            <w:vMerge w:val="restart"/>
            <w:tcBorders>
              <w:top w:val="single" w:color="auto" w:sz="4" w:space="0"/>
              <w:left w:val="single" w:color="auto" w:sz="4" w:space="0"/>
            </w:tcBorders>
            <w:shd w:val="clear" w:color="auto" w:fill="FFFFFF"/>
          </w:tcPr>
          <w:p w14:paraId="2139DB09">
            <w:pPr>
              <w:rPr>
                <w:color w:val="000000" w:themeColor="text1"/>
                <w:szCs w:val="21"/>
                <w:highlight w:val="none"/>
                <w14:textFill>
                  <w14:solidFill>
                    <w14:schemeClr w14:val="tx1"/>
                  </w14:solidFill>
                </w14:textFill>
              </w:rPr>
            </w:pPr>
          </w:p>
        </w:tc>
        <w:tc>
          <w:tcPr>
            <w:tcW w:w="643" w:type="dxa"/>
            <w:vMerge w:val="restart"/>
            <w:tcBorders>
              <w:top w:val="single" w:color="auto" w:sz="4" w:space="0"/>
              <w:left w:val="single" w:color="auto" w:sz="4" w:space="0"/>
            </w:tcBorders>
            <w:shd w:val="clear" w:color="auto" w:fill="FFFFFF"/>
          </w:tcPr>
          <w:p w14:paraId="162D659A">
            <w:pPr>
              <w:rPr>
                <w:color w:val="000000" w:themeColor="text1"/>
                <w:szCs w:val="21"/>
                <w:highlight w:val="none"/>
                <w14:textFill>
                  <w14:solidFill>
                    <w14:schemeClr w14:val="tx1"/>
                  </w14:solidFill>
                </w14:textFill>
              </w:rPr>
            </w:pPr>
          </w:p>
        </w:tc>
        <w:tc>
          <w:tcPr>
            <w:tcW w:w="648" w:type="dxa"/>
            <w:vMerge w:val="restart"/>
            <w:tcBorders>
              <w:top w:val="single" w:color="auto" w:sz="4" w:space="0"/>
              <w:left w:val="single" w:color="auto" w:sz="4" w:space="0"/>
            </w:tcBorders>
            <w:shd w:val="clear" w:color="auto" w:fill="FFFFFF"/>
          </w:tcPr>
          <w:p w14:paraId="28B1AAF0">
            <w:pPr>
              <w:rPr>
                <w:color w:val="000000" w:themeColor="text1"/>
                <w:szCs w:val="21"/>
                <w:highlight w:val="none"/>
                <w14:textFill>
                  <w14:solidFill>
                    <w14:schemeClr w14:val="tx1"/>
                  </w14:solidFill>
                </w14:textFill>
              </w:rPr>
            </w:pPr>
          </w:p>
        </w:tc>
        <w:tc>
          <w:tcPr>
            <w:tcW w:w="648" w:type="dxa"/>
            <w:vMerge w:val="restart"/>
            <w:tcBorders>
              <w:top w:val="single" w:color="auto" w:sz="4" w:space="0"/>
              <w:left w:val="single" w:color="auto" w:sz="4" w:space="0"/>
            </w:tcBorders>
            <w:shd w:val="clear" w:color="auto" w:fill="FFFFFF"/>
          </w:tcPr>
          <w:p w14:paraId="5227BF23">
            <w:pPr>
              <w:rPr>
                <w:color w:val="000000" w:themeColor="text1"/>
                <w:szCs w:val="21"/>
                <w:highlight w:val="none"/>
                <w14:textFill>
                  <w14:solidFill>
                    <w14:schemeClr w14:val="tx1"/>
                  </w14:solidFill>
                </w14:textFill>
              </w:rPr>
            </w:pPr>
          </w:p>
        </w:tc>
        <w:tc>
          <w:tcPr>
            <w:tcW w:w="2275" w:type="dxa"/>
            <w:gridSpan w:val="2"/>
            <w:tcBorders>
              <w:top w:val="single" w:color="auto" w:sz="4" w:space="0"/>
              <w:left w:val="single" w:color="auto" w:sz="4" w:space="0"/>
              <w:right w:val="single" w:color="auto" w:sz="4" w:space="0"/>
            </w:tcBorders>
            <w:shd w:val="clear" w:color="auto" w:fill="FFFFFF"/>
            <w:vAlign w:val="center"/>
          </w:tcPr>
          <w:p w14:paraId="4CAEDACB">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合 计</w:t>
            </w:r>
          </w:p>
        </w:tc>
      </w:tr>
      <w:tr w14:paraId="4D9E61DA">
        <w:tblPrEx>
          <w:tblCellMar>
            <w:top w:w="0" w:type="dxa"/>
            <w:left w:w="10" w:type="dxa"/>
            <w:bottom w:w="0" w:type="dxa"/>
            <w:right w:w="10" w:type="dxa"/>
          </w:tblCellMar>
        </w:tblPrEx>
        <w:trPr>
          <w:trHeight w:val="566" w:hRule="exact"/>
          <w:jc w:val="center"/>
        </w:trPr>
        <w:tc>
          <w:tcPr>
            <w:tcW w:w="2847" w:type="dxa"/>
            <w:gridSpan w:val="2"/>
            <w:vMerge w:val="continue"/>
            <w:tcBorders>
              <w:left w:val="single" w:color="auto" w:sz="4" w:space="0"/>
            </w:tcBorders>
            <w:shd w:val="clear" w:color="auto" w:fill="FFFFFF"/>
            <w:vAlign w:val="center"/>
          </w:tcPr>
          <w:p w14:paraId="05A6B9D3">
            <w:pPr>
              <w:rPr>
                <w:color w:val="000000" w:themeColor="text1"/>
                <w:szCs w:val="21"/>
                <w:highlight w:val="none"/>
                <w14:textFill>
                  <w14:solidFill>
                    <w14:schemeClr w14:val="tx1"/>
                  </w14:solidFill>
                </w14:textFill>
              </w:rPr>
            </w:pPr>
          </w:p>
        </w:tc>
        <w:tc>
          <w:tcPr>
            <w:tcW w:w="643" w:type="dxa"/>
            <w:vMerge w:val="continue"/>
            <w:tcBorders>
              <w:left w:val="single" w:color="auto" w:sz="4" w:space="0"/>
            </w:tcBorders>
            <w:shd w:val="clear" w:color="auto" w:fill="FFFFFF"/>
          </w:tcPr>
          <w:p w14:paraId="59B51E21">
            <w:pPr>
              <w:rPr>
                <w:color w:val="000000" w:themeColor="text1"/>
                <w:szCs w:val="21"/>
                <w:highlight w:val="none"/>
                <w14:textFill>
                  <w14:solidFill>
                    <w14:schemeClr w14:val="tx1"/>
                  </w14:solidFill>
                </w14:textFill>
              </w:rPr>
            </w:pPr>
          </w:p>
        </w:tc>
        <w:tc>
          <w:tcPr>
            <w:tcW w:w="648" w:type="dxa"/>
            <w:vMerge w:val="continue"/>
            <w:tcBorders>
              <w:left w:val="single" w:color="auto" w:sz="4" w:space="0"/>
            </w:tcBorders>
            <w:shd w:val="clear" w:color="auto" w:fill="FFFFFF"/>
          </w:tcPr>
          <w:p w14:paraId="47815E6B">
            <w:pPr>
              <w:rPr>
                <w:color w:val="000000" w:themeColor="text1"/>
                <w:szCs w:val="21"/>
                <w:highlight w:val="none"/>
                <w14:textFill>
                  <w14:solidFill>
                    <w14:schemeClr w14:val="tx1"/>
                  </w14:solidFill>
                </w14:textFill>
              </w:rPr>
            </w:pPr>
          </w:p>
        </w:tc>
        <w:tc>
          <w:tcPr>
            <w:tcW w:w="643" w:type="dxa"/>
            <w:vMerge w:val="continue"/>
            <w:tcBorders>
              <w:left w:val="single" w:color="auto" w:sz="4" w:space="0"/>
            </w:tcBorders>
            <w:shd w:val="clear" w:color="auto" w:fill="FFFFFF"/>
          </w:tcPr>
          <w:p w14:paraId="60FBC0F7">
            <w:pPr>
              <w:rPr>
                <w:color w:val="000000" w:themeColor="text1"/>
                <w:szCs w:val="21"/>
                <w:highlight w:val="none"/>
                <w14:textFill>
                  <w14:solidFill>
                    <w14:schemeClr w14:val="tx1"/>
                  </w14:solidFill>
                </w14:textFill>
              </w:rPr>
            </w:pPr>
          </w:p>
        </w:tc>
        <w:tc>
          <w:tcPr>
            <w:tcW w:w="648" w:type="dxa"/>
            <w:vMerge w:val="continue"/>
            <w:tcBorders>
              <w:left w:val="single" w:color="auto" w:sz="4" w:space="0"/>
            </w:tcBorders>
            <w:shd w:val="clear" w:color="auto" w:fill="FFFFFF"/>
          </w:tcPr>
          <w:p w14:paraId="039DD864">
            <w:pPr>
              <w:rPr>
                <w:color w:val="000000" w:themeColor="text1"/>
                <w:szCs w:val="21"/>
                <w:highlight w:val="none"/>
                <w14:textFill>
                  <w14:solidFill>
                    <w14:schemeClr w14:val="tx1"/>
                  </w14:solidFill>
                </w14:textFill>
              </w:rPr>
            </w:pPr>
          </w:p>
        </w:tc>
        <w:tc>
          <w:tcPr>
            <w:tcW w:w="648" w:type="dxa"/>
            <w:vMerge w:val="continue"/>
            <w:tcBorders>
              <w:left w:val="single" w:color="auto" w:sz="4" w:space="0"/>
            </w:tcBorders>
            <w:shd w:val="clear" w:color="auto" w:fill="FFFFFF"/>
          </w:tcPr>
          <w:p w14:paraId="031591F7">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vAlign w:val="center"/>
          </w:tcPr>
          <w:p w14:paraId="52BEFD70">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人数</w:t>
            </w:r>
          </w:p>
        </w:tc>
        <w:tc>
          <w:tcPr>
            <w:tcW w:w="1142" w:type="dxa"/>
            <w:tcBorders>
              <w:top w:val="single" w:color="auto" w:sz="4" w:space="0"/>
              <w:left w:val="single" w:color="auto" w:sz="4" w:space="0"/>
              <w:right w:val="single" w:color="auto" w:sz="4" w:space="0"/>
            </w:tcBorders>
            <w:shd w:val="clear" w:color="auto" w:fill="FFFFFF"/>
            <w:vAlign w:val="center"/>
          </w:tcPr>
          <w:p w14:paraId="470F52AB">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人工工日数</w:t>
            </w:r>
          </w:p>
        </w:tc>
      </w:tr>
      <w:tr w14:paraId="79C9F8F1">
        <w:tblPrEx>
          <w:tblCellMar>
            <w:top w:w="0" w:type="dxa"/>
            <w:left w:w="10" w:type="dxa"/>
            <w:bottom w:w="0" w:type="dxa"/>
            <w:right w:w="10" w:type="dxa"/>
          </w:tblCellMar>
        </w:tblPrEx>
        <w:trPr>
          <w:trHeight w:val="566" w:hRule="exact"/>
          <w:jc w:val="center"/>
        </w:trPr>
        <w:tc>
          <w:tcPr>
            <w:tcW w:w="1426" w:type="dxa"/>
            <w:vMerge w:val="restart"/>
            <w:tcBorders>
              <w:top w:val="single" w:color="auto" w:sz="4" w:space="0"/>
              <w:left w:val="single" w:color="auto" w:sz="4" w:space="0"/>
            </w:tcBorders>
            <w:shd w:val="clear" w:color="auto" w:fill="FFFFFF"/>
            <w:vAlign w:val="center"/>
          </w:tcPr>
          <w:p w14:paraId="582FFF27">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年</w:t>
            </w:r>
          </w:p>
        </w:tc>
        <w:tc>
          <w:tcPr>
            <w:tcW w:w="1421" w:type="dxa"/>
            <w:tcBorders>
              <w:top w:val="single" w:color="auto" w:sz="4" w:space="0"/>
              <w:left w:val="single" w:color="auto" w:sz="4" w:space="0"/>
            </w:tcBorders>
            <w:shd w:val="clear" w:color="auto" w:fill="FFFFFF"/>
            <w:vAlign w:val="center"/>
          </w:tcPr>
          <w:p w14:paraId="0A22191F">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tcPr>
          <w:p w14:paraId="759F44D2">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54D44128">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342F89D9">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56819CA0">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517A9F1A">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70298DA2">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vAlign w:val="center"/>
          </w:tcPr>
          <w:p w14:paraId="3AE2BC56">
            <w:pPr>
              <w:jc w:val="center"/>
              <w:rPr>
                <w:color w:val="000000" w:themeColor="text1"/>
                <w:szCs w:val="21"/>
                <w:highlight w:val="none"/>
                <w14:textFill>
                  <w14:solidFill>
                    <w14:schemeClr w14:val="tx1"/>
                  </w14:solidFill>
                </w14:textFill>
              </w:rPr>
            </w:pPr>
          </w:p>
        </w:tc>
      </w:tr>
      <w:tr w14:paraId="6527C442">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1C584AF7">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vAlign w:val="center"/>
          </w:tcPr>
          <w:p w14:paraId="15CEAB86">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tcPr>
          <w:p w14:paraId="5F19F1DA">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697A079C">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0D7CD0DE">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71A8E31A">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0D7F075B">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00190006">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vAlign w:val="center"/>
          </w:tcPr>
          <w:p w14:paraId="2A669559">
            <w:pPr>
              <w:jc w:val="center"/>
              <w:rPr>
                <w:color w:val="000000" w:themeColor="text1"/>
                <w:szCs w:val="21"/>
                <w:highlight w:val="none"/>
                <w14:textFill>
                  <w14:solidFill>
                    <w14:schemeClr w14:val="tx1"/>
                  </w14:solidFill>
                </w14:textFill>
              </w:rPr>
            </w:pPr>
          </w:p>
        </w:tc>
      </w:tr>
      <w:tr w14:paraId="1B764E0D">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5DB8A702">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vAlign w:val="center"/>
          </w:tcPr>
          <w:p w14:paraId="1A7A3E68">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tcPr>
          <w:p w14:paraId="3E328A13">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17A59DF5">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40BBF95E">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3A518E02">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73A264E0">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223FCCB1">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tcPr>
          <w:p w14:paraId="4B6AD81E">
            <w:pPr>
              <w:rPr>
                <w:color w:val="000000" w:themeColor="text1"/>
                <w:szCs w:val="21"/>
                <w:highlight w:val="none"/>
                <w14:textFill>
                  <w14:solidFill>
                    <w14:schemeClr w14:val="tx1"/>
                  </w14:solidFill>
                </w14:textFill>
              </w:rPr>
            </w:pPr>
          </w:p>
        </w:tc>
      </w:tr>
      <w:tr w14:paraId="187F6D7F">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44787152">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vAlign w:val="center"/>
          </w:tcPr>
          <w:p w14:paraId="2C15C4F1">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tcPr>
          <w:p w14:paraId="0F3F9E18">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676F2F38">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37FB675C">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50A6255E">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760D77BB">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1A5DF460">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tcPr>
          <w:p w14:paraId="0B94B74E">
            <w:pPr>
              <w:rPr>
                <w:color w:val="000000" w:themeColor="text1"/>
                <w:szCs w:val="21"/>
                <w:highlight w:val="none"/>
                <w14:textFill>
                  <w14:solidFill>
                    <w14:schemeClr w14:val="tx1"/>
                  </w14:solidFill>
                </w14:textFill>
              </w:rPr>
            </w:pPr>
          </w:p>
        </w:tc>
      </w:tr>
      <w:tr w14:paraId="146B8491">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55749A74">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vAlign w:val="center"/>
          </w:tcPr>
          <w:p w14:paraId="51A075DF">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tcPr>
          <w:p w14:paraId="4F53206A">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741B85CD">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3D603701">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4DDC943C">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668F335D">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1B2DC782">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tcPr>
          <w:p w14:paraId="4758F061">
            <w:pPr>
              <w:rPr>
                <w:color w:val="000000" w:themeColor="text1"/>
                <w:szCs w:val="21"/>
                <w:highlight w:val="none"/>
                <w14:textFill>
                  <w14:solidFill>
                    <w14:schemeClr w14:val="tx1"/>
                  </w14:solidFill>
                </w14:textFill>
              </w:rPr>
            </w:pPr>
          </w:p>
        </w:tc>
      </w:tr>
      <w:tr w14:paraId="7879B700">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48C6D26F">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vAlign w:val="center"/>
          </w:tcPr>
          <w:p w14:paraId="7DEFE558">
            <w:pPr>
              <w:pStyle w:val="173"/>
              <w:spacing w:line="240" w:lineRule="auto"/>
              <w:ind w:left="1120" w:firstLine="0"/>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643" w:type="dxa"/>
            <w:tcBorders>
              <w:top w:val="single" w:color="auto" w:sz="4" w:space="0"/>
              <w:left w:val="single" w:color="auto" w:sz="4" w:space="0"/>
            </w:tcBorders>
            <w:shd w:val="clear" w:color="auto" w:fill="FFFFFF"/>
          </w:tcPr>
          <w:p w14:paraId="3DF42DB5">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2783771A">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0378AF6E">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79452D53">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3B78D759">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30A8F2A2">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tcPr>
          <w:p w14:paraId="5BAB57B1">
            <w:pPr>
              <w:rPr>
                <w:color w:val="000000" w:themeColor="text1"/>
                <w:szCs w:val="21"/>
                <w:highlight w:val="none"/>
                <w14:textFill>
                  <w14:solidFill>
                    <w14:schemeClr w14:val="tx1"/>
                  </w14:solidFill>
                </w14:textFill>
              </w:rPr>
            </w:pPr>
          </w:p>
        </w:tc>
      </w:tr>
      <w:tr w14:paraId="21AAFF3E">
        <w:tblPrEx>
          <w:tblCellMar>
            <w:top w:w="0" w:type="dxa"/>
            <w:left w:w="10" w:type="dxa"/>
            <w:bottom w:w="0" w:type="dxa"/>
            <w:right w:w="10" w:type="dxa"/>
          </w:tblCellMar>
        </w:tblPrEx>
        <w:trPr>
          <w:trHeight w:val="571" w:hRule="exact"/>
          <w:jc w:val="center"/>
        </w:trPr>
        <w:tc>
          <w:tcPr>
            <w:tcW w:w="1426" w:type="dxa"/>
            <w:vMerge w:val="continue"/>
            <w:tcBorders>
              <w:left w:val="single" w:color="auto" w:sz="4" w:space="0"/>
            </w:tcBorders>
            <w:shd w:val="clear" w:color="auto" w:fill="FFFFFF"/>
            <w:vAlign w:val="center"/>
          </w:tcPr>
          <w:p w14:paraId="4B676ABA">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tcBorders>
            <w:shd w:val="clear" w:color="auto" w:fill="FFFFFF"/>
            <w:vAlign w:val="center"/>
          </w:tcPr>
          <w:p w14:paraId="0D2756B6">
            <w:pPr>
              <w:pStyle w:val="173"/>
              <w:tabs>
                <w:tab w:val="left" w:leader="dot" w:pos="326"/>
              </w:tabs>
              <w:spacing w:line="240" w:lineRule="auto"/>
              <w:ind w:firstLine="0"/>
              <w:jc w:val="right"/>
              <w:rPr>
                <w:rFonts w:hint="eastAsia"/>
                <w:color w:val="000000" w:themeColor="text1"/>
                <w:sz w:val="21"/>
                <w:szCs w:val="21"/>
                <w:highlight w:val="none"/>
                <w14:textFill>
                  <w14:solidFill>
                    <w14:schemeClr w14:val="tx1"/>
                  </w14:solidFill>
                </w14:textFill>
              </w:rPr>
            </w:pPr>
            <w:r>
              <w:rPr>
                <w:rFonts w:ascii="Arial" w:hAnsi="Arial" w:eastAsia="Arial" w:cs="Arial"/>
                <w:color w:val="000000" w:themeColor="text1"/>
                <w:sz w:val="21"/>
                <w:szCs w:val="21"/>
                <w:highlight w:val="none"/>
                <w:lang w:val="en-US" w:eastAsia="en-US" w:bidi="en-US"/>
                <w14:textFill>
                  <w14:solidFill>
                    <w14:schemeClr w14:val="tx1"/>
                  </w14:solidFill>
                </w14:textFill>
              </w:rPr>
              <w:tab/>
            </w:r>
          </w:p>
        </w:tc>
        <w:tc>
          <w:tcPr>
            <w:tcW w:w="643" w:type="dxa"/>
            <w:tcBorders>
              <w:top w:val="single" w:color="auto" w:sz="4" w:space="0"/>
              <w:left w:val="single" w:color="auto" w:sz="4" w:space="0"/>
            </w:tcBorders>
            <w:shd w:val="clear" w:color="auto" w:fill="FFFFFF"/>
          </w:tcPr>
          <w:p w14:paraId="3D5E5F29">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00145C27">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tcBorders>
            <w:shd w:val="clear" w:color="auto" w:fill="FFFFFF"/>
          </w:tcPr>
          <w:p w14:paraId="7E05D9EE">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21AD95F4">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tcBorders>
            <w:shd w:val="clear" w:color="auto" w:fill="FFFFFF"/>
          </w:tcPr>
          <w:p w14:paraId="0E8A1B1F">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tcBorders>
            <w:shd w:val="clear" w:color="auto" w:fill="FFFFFF"/>
          </w:tcPr>
          <w:p w14:paraId="34316CA8">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right w:val="single" w:color="auto" w:sz="4" w:space="0"/>
            </w:tcBorders>
            <w:shd w:val="clear" w:color="auto" w:fill="FFFFFF"/>
          </w:tcPr>
          <w:p w14:paraId="29FA3BE9">
            <w:pPr>
              <w:rPr>
                <w:color w:val="000000" w:themeColor="text1"/>
                <w:szCs w:val="21"/>
                <w:highlight w:val="none"/>
                <w14:textFill>
                  <w14:solidFill>
                    <w14:schemeClr w14:val="tx1"/>
                  </w14:solidFill>
                </w14:textFill>
              </w:rPr>
            </w:pPr>
          </w:p>
        </w:tc>
      </w:tr>
      <w:tr w14:paraId="01D583C3">
        <w:tblPrEx>
          <w:tblCellMar>
            <w:top w:w="0" w:type="dxa"/>
            <w:left w:w="10" w:type="dxa"/>
            <w:bottom w:w="0" w:type="dxa"/>
            <w:right w:w="10" w:type="dxa"/>
          </w:tblCellMar>
        </w:tblPrEx>
        <w:trPr>
          <w:trHeight w:val="576" w:hRule="exact"/>
          <w:jc w:val="center"/>
        </w:trPr>
        <w:tc>
          <w:tcPr>
            <w:tcW w:w="6077" w:type="dxa"/>
            <w:gridSpan w:val="7"/>
            <w:tcBorders>
              <w:top w:val="single" w:color="auto" w:sz="4" w:space="0"/>
              <w:left w:val="single" w:color="auto" w:sz="4" w:space="0"/>
              <w:bottom w:val="single" w:color="auto" w:sz="4" w:space="0"/>
            </w:tcBorders>
            <w:shd w:val="clear" w:color="auto" w:fill="FFFFFF"/>
            <w:vAlign w:val="center"/>
          </w:tcPr>
          <w:p w14:paraId="564B280C">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总 计</w:t>
            </w:r>
          </w:p>
        </w:tc>
        <w:tc>
          <w:tcPr>
            <w:tcW w:w="1133" w:type="dxa"/>
            <w:tcBorders>
              <w:top w:val="single" w:color="auto" w:sz="4" w:space="0"/>
              <w:left w:val="single" w:color="auto" w:sz="4" w:space="0"/>
              <w:bottom w:val="single" w:color="auto" w:sz="4" w:space="0"/>
            </w:tcBorders>
            <w:shd w:val="clear" w:color="auto" w:fill="FFFFFF"/>
          </w:tcPr>
          <w:p w14:paraId="5968B5AA">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shd w:val="clear" w:color="auto" w:fill="FFFFFF"/>
          </w:tcPr>
          <w:p w14:paraId="67540169">
            <w:pPr>
              <w:rPr>
                <w:color w:val="000000" w:themeColor="text1"/>
                <w:szCs w:val="21"/>
                <w:highlight w:val="none"/>
                <w14:textFill>
                  <w14:solidFill>
                    <w14:schemeClr w14:val="tx1"/>
                  </w14:solidFill>
                </w14:textFill>
              </w:rPr>
            </w:pPr>
          </w:p>
        </w:tc>
      </w:tr>
    </w:tbl>
    <w:p w14:paraId="3D1D8D5D">
      <w:pPr>
        <w:spacing w:after="299" w:line="1" w:lineRule="exact"/>
        <w:rPr>
          <w:color w:val="000000" w:themeColor="text1"/>
          <w:highlight w:val="none"/>
          <w14:textFill>
            <w14:solidFill>
              <w14:schemeClr w14:val="tx1"/>
            </w14:solidFill>
          </w14:textFill>
        </w:rPr>
      </w:pPr>
    </w:p>
    <w:p w14:paraId="4CFE45C0">
      <w:pPr>
        <w:pStyle w:val="98"/>
        <w:tabs>
          <w:tab w:val="left" w:pos="847"/>
          <w:tab w:val="left" w:leader="underscore" w:pos="850"/>
          <w:tab w:val="left" w:leader="underscore" w:pos="1906"/>
          <w:tab w:val="left" w:pos="1908"/>
          <w:tab w:val="left" w:pos="2964"/>
        </w:tabs>
        <w:spacing w:after="420" w:line="350" w:lineRule="exact"/>
        <w:ind w:firstLine="0" w:firstLineChars="0"/>
        <w:outlineLvl w:val="9"/>
        <w:rPr>
          <w:rFonts w:hint="eastAsia"/>
          <w:b/>
          <w:color w:val="000000" w:themeColor="text1"/>
          <w:sz w:val="28"/>
          <w:szCs w:val="28"/>
          <w:highlight w:val="none"/>
          <w14:textFill>
            <w14:solidFill>
              <w14:schemeClr w14:val="tx1"/>
            </w14:solidFill>
          </w14:textFill>
        </w:rPr>
      </w:pPr>
      <w:bookmarkStart w:id="193" w:name="bookmark2244"/>
      <w:bookmarkStart w:id="194" w:name="bookmark2243"/>
      <w:bookmarkStart w:id="195" w:name="bookmark2245"/>
      <w:r>
        <w:rPr>
          <w:rStyle w:val="247"/>
          <w:rFonts w:hint="eastAsia"/>
          <w:b w:val="0"/>
          <w:bCs w:val="0"/>
          <w:color w:val="000000" w:themeColor="text1"/>
          <w:sz w:val="28"/>
          <w:szCs w:val="28"/>
          <w:highlight w:val="none"/>
          <w:lang w:val="en-US"/>
          <w14:textFill>
            <w14:solidFill>
              <w14:schemeClr w14:val="tx1"/>
            </w14:solidFill>
          </w14:textFill>
        </w:rPr>
        <w:br w:type="page"/>
      </w:r>
      <w:r>
        <w:rPr>
          <w:rStyle w:val="247"/>
          <w:rFonts w:hint="eastAsia"/>
          <w:b w:val="0"/>
          <w:bCs w:val="0"/>
          <w:color w:val="000000" w:themeColor="text1"/>
          <w:sz w:val="28"/>
          <w:szCs w:val="28"/>
          <w:highlight w:val="none"/>
          <w:lang w:val="en-US"/>
          <w14:textFill>
            <w14:solidFill>
              <w14:schemeClr w14:val="tx1"/>
            </w14:solidFill>
          </w14:textFill>
        </w:rPr>
        <w:t>附件四：拟投入本合同工程的材料进场计划表</w:t>
      </w:r>
      <w:bookmarkEnd w:id="193"/>
      <w:bookmarkEnd w:id="194"/>
      <w:bookmarkEnd w:id="195"/>
    </w:p>
    <w:p w14:paraId="3128B7DC">
      <w:pPr>
        <w:jc w:val="center"/>
        <w:rPr>
          <w:rFonts w:hint="eastAsia" w:ascii="宋体" w:hAnsi="宋体" w:cs="宋体"/>
          <w:b/>
          <w:bCs/>
          <w:color w:val="000000" w:themeColor="text1"/>
          <w:sz w:val="28"/>
          <w:szCs w:val="28"/>
          <w:highlight w:val="none"/>
          <w14:textFill>
            <w14:solidFill>
              <w14:schemeClr w14:val="tx1"/>
            </w14:solidFill>
          </w14:textFill>
        </w:rPr>
      </w:pPr>
      <w:bookmarkStart w:id="196" w:name="_Toc16708"/>
      <w:bookmarkStart w:id="197" w:name="bookmark2248"/>
      <w:bookmarkStart w:id="198" w:name="_Toc16851"/>
      <w:bookmarkStart w:id="199" w:name="bookmark2246"/>
      <w:bookmarkStart w:id="200" w:name="bookmark2247"/>
      <w:r>
        <w:rPr>
          <w:rFonts w:hint="eastAsia" w:ascii="宋体" w:hAnsi="宋体" w:cs="宋体"/>
          <w:b/>
          <w:bCs/>
          <w:color w:val="000000" w:themeColor="text1"/>
          <w:sz w:val="28"/>
          <w:szCs w:val="28"/>
          <w:highlight w:val="none"/>
          <w14:textFill>
            <w14:solidFill>
              <w14:schemeClr w14:val="tx1"/>
            </w14:solidFill>
          </w14:textFill>
        </w:rPr>
        <w:t>拟投入本合同工程的材料进场计划表</w:t>
      </w:r>
      <w:bookmarkEnd w:id="196"/>
      <w:bookmarkEnd w:id="197"/>
      <w:bookmarkEnd w:id="198"/>
      <w:bookmarkEnd w:id="199"/>
      <w:bookmarkEnd w:id="200"/>
    </w:p>
    <w:p w14:paraId="72410DEE">
      <w:pPr>
        <w:jc w:val="center"/>
        <w:rPr>
          <w:b/>
          <w:color w:val="000000" w:themeColor="text1"/>
          <w:highlight w:val="none"/>
          <w14:textFill>
            <w14:solidFill>
              <w14:schemeClr w14:val="tx1"/>
            </w14:solidFill>
          </w14:textFill>
        </w:rPr>
      </w:pPr>
    </w:p>
    <w:tbl>
      <w:tblPr>
        <w:tblStyle w:val="45"/>
        <w:tblW w:w="8351" w:type="dxa"/>
        <w:jc w:val="center"/>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14:paraId="2E7B647A">
        <w:tblPrEx>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tcBorders>
            <w:shd w:val="clear" w:color="auto" w:fill="FFFFFF"/>
            <w:vAlign w:val="center"/>
          </w:tcPr>
          <w:p w14:paraId="48A7F2ED">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名称</w:t>
            </w:r>
          </w:p>
        </w:tc>
        <w:tc>
          <w:tcPr>
            <w:tcW w:w="902" w:type="dxa"/>
            <w:vMerge w:val="restart"/>
            <w:tcBorders>
              <w:top w:val="single" w:color="auto" w:sz="4" w:space="0"/>
              <w:left w:val="single" w:color="auto" w:sz="4" w:space="0"/>
            </w:tcBorders>
            <w:shd w:val="clear" w:color="auto" w:fill="FFFFFF"/>
            <w:vAlign w:val="center"/>
          </w:tcPr>
          <w:p w14:paraId="1D263B7F">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规格</w:t>
            </w:r>
          </w:p>
        </w:tc>
        <w:tc>
          <w:tcPr>
            <w:tcW w:w="907" w:type="dxa"/>
            <w:vMerge w:val="restart"/>
            <w:tcBorders>
              <w:top w:val="single" w:color="auto" w:sz="4" w:space="0"/>
              <w:left w:val="single" w:color="auto" w:sz="4" w:space="0"/>
            </w:tcBorders>
            <w:shd w:val="clear" w:color="auto" w:fill="FFFFFF"/>
            <w:vAlign w:val="center"/>
          </w:tcPr>
          <w:p w14:paraId="33675EE8">
            <w:pPr>
              <w:pStyle w:val="173"/>
              <w:spacing w:line="269" w:lineRule="exact"/>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计量 单位</w:t>
            </w:r>
          </w:p>
        </w:tc>
        <w:tc>
          <w:tcPr>
            <w:tcW w:w="4535" w:type="dxa"/>
            <w:gridSpan w:val="5"/>
            <w:tcBorders>
              <w:top w:val="single" w:color="auto" w:sz="4" w:space="0"/>
              <w:left w:val="single" w:color="auto" w:sz="4" w:space="0"/>
            </w:tcBorders>
            <w:shd w:val="clear" w:color="auto" w:fill="FFFFFF"/>
            <w:vAlign w:val="center"/>
          </w:tcPr>
          <w:p w14:paraId="5BA4CF92">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数 量</w:t>
            </w:r>
          </w:p>
        </w:tc>
        <w:tc>
          <w:tcPr>
            <w:tcW w:w="917" w:type="dxa"/>
            <w:vMerge w:val="restart"/>
            <w:tcBorders>
              <w:top w:val="single" w:color="auto" w:sz="4" w:space="0"/>
              <w:left w:val="single" w:color="auto" w:sz="4" w:space="0"/>
              <w:right w:val="single" w:color="auto" w:sz="4" w:space="0"/>
            </w:tcBorders>
            <w:shd w:val="clear" w:color="auto" w:fill="FFFFFF"/>
            <w:vAlign w:val="center"/>
          </w:tcPr>
          <w:p w14:paraId="54C91FDA">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备注</w:t>
            </w:r>
          </w:p>
        </w:tc>
      </w:tr>
      <w:tr w14:paraId="3041B9AC">
        <w:tblPrEx>
          <w:tblCellMar>
            <w:top w:w="0" w:type="dxa"/>
            <w:left w:w="10" w:type="dxa"/>
            <w:bottom w:w="0" w:type="dxa"/>
            <w:right w:w="10" w:type="dxa"/>
          </w:tblCellMar>
        </w:tblPrEx>
        <w:trPr>
          <w:trHeight w:val="566" w:hRule="exact"/>
          <w:jc w:val="center"/>
        </w:trPr>
        <w:tc>
          <w:tcPr>
            <w:tcW w:w="1090" w:type="dxa"/>
            <w:vMerge w:val="continue"/>
            <w:tcBorders>
              <w:left w:val="single" w:color="auto" w:sz="4" w:space="0"/>
            </w:tcBorders>
            <w:shd w:val="clear" w:color="auto" w:fill="FFFFFF"/>
            <w:vAlign w:val="center"/>
          </w:tcPr>
          <w:p w14:paraId="28608562">
            <w:pPr>
              <w:jc w:val="center"/>
              <w:rPr>
                <w:color w:val="000000" w:themeColor="text1"/>
                <w:szCs w:val="21"/>
                <w:highlight w:val="none"/>
                <w14:textFill>
                  <w14:solidFill>
                    <w14:schemeClr w14:val="tx1"/>
                  </w14:solidFill>
                </w14:textFill>
              </w:rPr>
            </w:pPr>
          </w:p>
        </w:tc>
        <w:tc>
          <w:tcPr>
            <w:tcW w:w="902" w:type="dxa"/>
            <w:vMerge w:val="continue"/>
            <w:tcBorders>
              <w:left w:val="single" w:color="auto" w:sz="4" w:space="0"/>
            </w:tcBorders>
            <w:shd w:val="clear" w:color="auto" w:fill="FFFFFF"/>
            <w:vAlign w:val="center"/>
          </w:tcPr>
          <w:p w14:paraId="11D3CCA5">
            <w:pPr>
              <w:jc w:val="center"/>
              <w:rPr>
                <w:color w:val="000000" w:themeColor="text1"/>
                <w:szCs w:val="21"/>
                <w:highlight w:val="none"/>
                <w14:textFill>
                  <w14:solidFill>
                    <w14:schemeClr w14:val="tx1"/>
                  </w14:solidFill>
                </w14:textFill>
              </w:rPr>
            </w:pPr>
          </w:p>
        </w:tc>
        <w:tc>
          <w:tcPr>
            <w:tcW w:w="907" w:type="dxa"/>
            <w:vMerge w:val="continue"/>
            <w:tcBorders>
              <w:left w:val="single" w:color="auto" w:sz="4" w:space="0"/>
            </w:tcBorders>
            <w:shd w:val="clear" w:color="auto" w:fill="FFFFFF"/>
            <w:vAlign w:val="center"/>
          </w:tcPr>
          <w:p w14:paraId="2F097066">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278B3467">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总量</w:t>
            </w:r>
          </w:p>
        </w:tc>
        <w:tc>
          <w:tcPr>
            <w:tcW w:w="907" w:type="dxa"/>
            <w:tcBorders>
              <w:top w:val="single" w:color="auto" w:sz="4" w:space="0"/>
              <w:left w:val="single" w:color="auto" w:sz="4" w:space="0"/>
            </w:tcBorders>
            <w:shd w:val="clear" w:color="auto" w:fill="FFFFFF"/>
            <w:vAlign w:val="center"/>
          </w:tcPr>
          <w:p w14:paraId="1047F647">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912" w:type="dxa"/>
            <w:tcBorders>
              <w:top w:val="single" w:color="auto" w:sz="4" w:space="0"/>
              <w:left w:val="single" w:color="auto" w:sz="4" w:space="0"/>
            </w:tcBorders>
            <w:shd w:val="clear" w:color="auto" w:fill="FFFFFF"/>
            <w:vAlign w:val="center"/>
          </w:tcPr>
          <w:p w14:paraId="5BFCE8C9">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902" w:type="dxa"/>
            <w:tcBorders>
              <w:top w:val="single" w:color="auto" w:sz="4" w:space="0"/>
              <w:left w:val="single" w:color="auto" w:sz="4" w:space="0"/>
            </w:tcBorders>
            <w:shd w:val="clear" w:color="auto" w:fill="FFFFFF"/>
            <w:vAlign w:val="center"/>
          </w:tcPr>
          <w:p w14:paraId="41417E3C">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907" w:type="dxa"/>
            <w:tcBorders>
              <w:top w:val="single" w:color="auto" w:sz="4" w:space="0"/>
              <w:left w:val="single" w:color="auto" w:sz="4" w:space="0"/>
            </w:tcBorders>
            <w:shd w:val="clear" w:color="auto" w:fill="FFFFFF"/>
            <w:vAlign w:val="center"/>
          </w:tcPr>
          <w:p w14:paraId="36C58080">
            <w:pPr>
              <w:pStyle w:val="173"/>
              <w:spacing w:line="240" w:lineRule="auto"/>
              <w:ind w:right="380"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月</w:t>
            </w:r>
          </w:p>
        </w:tc>
        <w:tc>
          <w:tcPr>
            <w:tcW w:w="917" w:type="dxa"/>
            <w:vMerge w:val="continue"/>
            <w:tcBorders>
              <w:left w:val="single" w:color="auto" w:sz="4" w:space="0"/>
              <w:right w:val="single" w:color="auto" w:sz="4" w:space="0"/>
            </w:tcBorders>
            <w:shd w:val="clear" w:color="auto" w:fill="FFFFFF"/>
            <w:vAlign w:val="center"/>
          </w:tcPr>
          <w:p w14:paraId="10C4CDCA">
            <w:pPr>
              <w:jc w:val="center"/>
              <w:rPr>
                <w:color w:val="000000" w:themeColor="text1"/>
                <w:szCs w:val="21"/>
                <w:highlight w:val="none"/>
                <w14:textFill>
                  <w14:solidFill>
                    <w14:schemeClr w14:val="tx1"/>
                  </w14:solidFill>
                </w14:textFill>
              </w:rPr>
            </w:pPr>
          </w:p>
        </w:tc>
      </w:tr>
      <w:tr w14:paraId="523B4D2F">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076A4DD6">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549DB15E">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53519C26">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6D394E24">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3942DD30">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vAlign w:val="center"/>
          </w:tcPr>
          <w:p w14:paraId="7964A715">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035F8D79">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036CFFA1">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vAlign w:val="center"/>
          </w:tcPr>
          <w:p w14:paraId="417C9D47">
            <w:pPr>
              <w:jc w:val="center"/>
              <w:rPr>
                <w:color w:val="000000" w:themeColor="text1"/>
                <w:szCs w:val="21"/>
                <w:highlight w:val="none"/>
                <w14:textFill>
                  <w14:solidFill>
                    <w14:schemeClr w14:val="tx1"/>
                  </w14:solidFill>
                </w14:textFill>
              </w:rPr>
            </w:pPr>
          </w:p>
        </w:tc>
      </w:tr>
      <w:tr w14:paraId="7F350C72">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5A889507">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10E4FEC2">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7619BDAA">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5914EFC3">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0275C713">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vAlign w:val="center"/>
          </w:tcPr>
          <w:p w14:paraId="5FEC00F7">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7B96268D">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1B16296B">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vAlign w:val="center"/>
          </w:tcPr>
          <w:p w14:paraId="07EB9BDD">
            <w:pPr>
              <w:jc w:val="center"/>
              <w:rPr>
                <w:color w:val="000000" w:themeColor="text1"/>
                <w:szCs w:val="21"/>
                <w:highlight w:val="none"/>
                <w14:textFill>
                  <w14:solidFill>
                    <w14:schemeClr w14:val="tx1"/>
                  </w14:solidFill>
                </w14:textFill>
              </w:rPr>
            </w:pPr>
          </w:p>
        </w:tc>
      </w:tr>
      <w:tr w14:paraId="1F8DC09C">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55E59DC8">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470F7A97">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21B5944A">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52C2BB92">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4283AC8D">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vAlign w:val="center"/>
          </w:tcPr>
          <w:p w14:paraId="55529057">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4E04CFCA">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6A7ACE85">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vAlign w:val="center"/>
          </w:tcPr>
          <w:p w14:paraId="496F82FB">
            <w:pPr>
              <w:jc w:val="center"/>
              <w:rPr>
                <w:color w:val="000000" w:themeColor="text1"/>
                <w:szCs w:val="21"/>
                <w:highlight w:val="none"/>
                <w14:textFill>
                  <w14:solidFill>
                    <w14:schemeClr w14:val="tx1"/>
                  </w14:solidFill>
                </w14:textFill>
              </w:rPr>
            </w:pPr>
          </w:p>
        </w:tc>
      </w:tr>
      <w:tr w14:paraId="0C8C05B2">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678F748C">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2B6C4FE9">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4812D1EA">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144B2940">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2F2F1EA2">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vAlign w:val="center"/>
          </w:tcPr>
          <w:p w14:paraId="716A9B3A">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4C0F48AF">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1B81B707">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vAlign w:val="center"/>
          </w:tcPr>
          <w:p w14:paraId="7F4F2708">
            <w:pPr>
              <w:jc w:val="center"/>
              <w:rPr>
                <w:color w:val="000000" w:themeColor="text1"/>
                <w:szCs w:val="21"/>
                <w:highlight w:val="none"/>
                <w14:textFill>
                  <w14:solidFill>
                    <w14:schemeClr w14:val="tx1"/>
                  </w14:solidFill>
                </w14:textFill>
              </w:rPr>
            </w:pPr>
          </w:p>
        </w:tc>
      </w:tr>
      <w:tr w14:paraId="70622D88">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54A353F4">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4467BEE4">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632AE929">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1816A9DF">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47D57451">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tcBorders>
            <w:shd w:val="clear" w:color="auto" w:fill="FFFFFF"/>
            <w:vAlign w:val="center"/>
          </w:tcPr>
          <w:p w14:paraId="27AB2926">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tcBorders>
            <w:shd w:val="clear" w:color="auto" w:fill="FFFFFF"/>
            <w:vAlign w:val="center"/>
          </w:tcPr>
          <w:p w14:paraId="368F3E23">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tcBorders>
            <w:shd w:val="clear" w:color="auto" w:fill="FFFFFF"/>
            <w:vAlign w:val="center"/>
          </w:tcPr>
          <w:p w14:paraId="59CF36E7">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right w:val="single" w:color="auto" w:sz="4" w:space="0"/>
            </w:tcBorders>
            <w:shd w:val="clear" w:color="auto" w:fill="FFFFFF"/>
            <w:vAlign w:val="center"/>
          </w:tcPr>
          <w:p w14:paraId="3FFAFC32">
            <w:pPr>
              <w:jc w:val="center"/>
              <w:rPr>
                <w:color w:val="000000" w:themeColor="text1"/>
                <w:szCs w:val="21"/>
                <w:highlight w:val="none"/>
                <w14:textFill>
                  <w14:solidFill>
                    <w14:schemeClr w14:val="tx1"/>
                  </w14:solidFill>
                </w14:textFill>
              </w:rPr>
            </w:pPr>
          </w:p>
        </w:tc>
      </w:tr>
      <w:tr w14:paraId="43387647">
        <w:tblPrEx>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tcBorders>
            <w:shd w:val="clear" w:color="auto" w:fill="FFFFFF"/>
            <w:vAlign w:val="center"/>
          </w:tcPr>
          <w:p w14:paraId="4BA54998">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single" w:color="auto" w:sz="4" w:space="0"/>
            </w:tcBorders>
            <w:shd w:val="clear" w:color="auto" w:fill="FFFFFF"/>
            <w:vAlign w:val="center"/>
          </w:tcPr>
          <w:p w14:paraId="6D3B47C2">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vAlign w:val="center"/>
          </w:tcPr>
          <w:p w14:paraId="1D9288AD">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vAlign w:val="center"/>
          </w:tcPr>
          <w:p w14:paraId="25C85211">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vAlign w:val="center"/>
          </w:tcPr>
          <w:p w14:paraId="661699F2">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single" w:color="auto" w:sz="4" w:space="0"/>
            </w:tcBorders>
            <w:shd w:val="clear" w:color="auto" w:fill="FFFFFF"/>
            <w:vAlign w:val="center"/>
          </w:tcPr>
          <w:p w14:paraId="67C0DA18">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single" w:color="auto" w:sz="4" w:space="0"/>
            </w:tcBorders>
            <w:shd w:val="clear" w:color="auto" w:fill="FFFFFF"/>
            <w:vAlign w:val="center"/>
          </w:tcPr>
          <w:p w14:paraId="05C74E83">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tcBorders>
            <w:shd w:val="clear" w:color="auto" w:fill="FFFFFF"/>
            <w:vAlign w:val="center"/>
          </w:tcPr>
          <w:p w14:paraId="1B8F6EE7">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cBorders>
            <w:shd w:val="clear" w:color="auto" w:fill="FFFFFF"/>
            <w:vAlign w:val="center"/>
          </w:tcPr>
          <w:p w14:paraId="71C78840">
            <w:pPr>
              <w:jc w:val="center"/>
              <w:rPr>
                <w:color w:val="000000" w:themeColor="text1"/>
                <w:szCs w:val="21"/>
                <w:highlight w:val="none"/>
                <w14:textFill>
                  <w14:solidFill>
                    <w14:schemeClr w14:val="tx1"/>
                  </w14:solidFill>
                </w14:textFill>
              </w:rPr>
            </w:pPr>
          </w:p>
        </w:tc>
      </w:tr>
    </w:tbl>
    <w:p w14:paraId="334E12A8">
      <w:pPr>
        <w:spacing w:after="299" w:line="1" w:lineRule="exact"/>
        <w:rPr>
          <w:color w:val="000000" w:themeColor="text1"/>
          <w:highlight w:val="none"/>
          <w14:textFill>
            <w14:solidFill>
              <w14:schemeClr w14:val="tx1"/>
            </w14:solidFill>
          </w14:textFill>
        </w:rPr>
      </w:pPr>
    </w:p>
    <w:p w14:paraId="168ACFBD">
      <w:pPr>
        <w:pStyle w:val="98"/>
        <w:tabs>
          <w:tab w:val="left" w:pos="847"/>
          <w:tab w:val="left" w:leader="underscore" w:pos="850"/>
          <w:tab w:val="left" w:leader="underscore" w:pos="1906"/>
          <w:tab w:val="left" w:pos="1908"/>
          <w:tab w:val="left" w:pos="2964"/>
        </w:tabs>
        <w:spacing w:after="420" w:line="353" w:lineRule="exact"/>
        <w:ind w:firstLine="420" w:firstLineChars="200"/>
        <w:jc w:val="right"/>
        <w:rPr>
          <w:rFonts w:hint="eastAsia"/>
          <w:color w:val="000000" w:themeColor="text1"/>
          <w:highlight w:val="none"/>
          <w14:textFill>
            <w14:solidFill>
              <w14:schemeClr w14:val="tx1"/>
            </w14:solidFill>
          </w14:textFill>
        </w:rPr>
        <w:sectPr>
          <w:headerReference r:id="rId16" w:type="default"/>
          <w:footerReference r:id="rId18" w:type="default"/>
          <w:headerReference r:id="rId17" w:type="even"/>
          <w:footerReference r:id="rId19" w:type="even"/>
          <w:pgSz w:w="11900" w:h="16832"/>
          <w:pgMar w:top="1440" w:right="1803" w:bottom="1440" w:left="1803" w:header="851" w:footer="851" w:gutter="0"/>
          <w:pgNumType w:fmt="decimal"/>
          <w:cols w:space="720" w:num="1"/>
          <w:docGrid w:linePitch="360" w:charSpace="0"/>
        </w:sectPr>
      </w:pPr>
    </w:p>
    <w:p w14:paraId="15498DCE">
      <w:pPr>
        <w:pStyle w:val="9"/>
        <w:outlineLvl w:val="9"/>
        <w:rPr>
          <w:b w:val="0"/>
          <w:bCs w:val="0"/>
          <w:color w:val="000000" w:themeColor="text1"/>
          <w:sz w:val="28"/>
          <w:szCs w:val="28"/>
          <w:highlight w:val="none"/>
          <w14:textFill>
            <w14:solidFill>
              <w14:schemeClr w14:val="tx1"/>
            </w14:solidFill>
          </w14:textFill>
        </w:rPr>
      </w:pPr>
      <w:bookmarkStart w:id="201" w:name="bookmark2249"/>
      <w:bookmarkStart w:id="202" w:name="bookmark2250"/>
      <w:bookmarkStart w:id="203" w:name="bookmark2251"/>
      <w:r>
        <w:rPr>
          <w:rFonts w:hint="eastAsia"/>
          <w:b w:val="0"/>
          <w:bCs w:val="0"/>
          <w:color w:val="000000" w:themeColor="text1"/>
          <w:sz w:val="28"/>
          <w:szCs w:val="28"/>
          <w:highlight w:val="none"/>
          <w14:textFill>
            <w14:solidFill>
              <w14:schemeClr w14:val="tx1"/>
            </w14:solidFill>
          </w14:textFill>
        </w:rPr>
        <w:t>附件五：计划开工日期、完工日期和施工进度网络图（或横道图）</w:t>
      </w:r>
      <w:bookmarkEnd w:id="201"/>
      <w:bookmarkEnd w:id="202"/>
      <w:bookmarkEnd w:id="203"/>
    </w:p>
    <w:p w14:paraId="1512BAEB">
      <w:pPr>
        <w:rPr>
          <w:color w:val="000000" w:themeColor="text1"/>
          <w:highlight w:val="none"/>
          <w14:textFill>
            <w14:solidFill>
              <w14:schemeClr w14:val="tx1"/>
            </w14:solidFill>
          </w14:textFill>
        </w:rPr>
      </w:pPr>
    </w:p>
    <w:p w14:paraId="2D527B58">
      <w:pPr>
        <w:jc w:val="center"/>
        <w:rPr>
          <w:rFonts w:hint="eastAsia" w:ascii="宋体" w:hAnsi="宋体" w:cs="宋体"/>
          <w:b/>
          <w:bCs/>
          <w:color w:val="000000" w:themeColor="text1"/>
          <w:sz w:val="28"/>
          <w:szCs w:val="28"/>
          <w:highlight w:val="none"/>
          <w14:textFill>
            <w14:solidFill>
              <w14:schemeClr w14:val="tx1"/>
            </w14:solidFill>
          </w14:textFill>
        </w:rPr>
      </w:pPr>
      <w:bookmarkStart w:id="204" w:name="bookmark2252"/>
      <w:bookmarkStart w:id="205" w:name="bookmark2253"/>
      <w:bookmarkStart w:id="206" w:name="_Toc24573"/>
      <w:bookmarkStart w:id="207" w:name="bookmark2254"/>
      <w:bookmarkStart w:id="208" w:name="_Toc2597"/>
      <w:r>
        <w:rPr>
          <w:rFonts w:hint="eastAsia" w:ascii="宋体" w:hAnsi="宋体" w:cs="宋体"/>
          <w:b/>
          <w:bCs/>
          <w:color w:val="000000" w:themeColor="text1"/>
          <w:sz w:val="28"/>
          <w:szCs w:val="28"/>
          <w:highlight w:val="none"/>
          <w14:textFill>
            <w14:solidFill>
              <w14:schemeClr w14:val="tx1"/>
            </w14:solidFill>
          </w14:textFill>
        </w:rPr>
        <w:t>计划开工日期、完工日期和施工进度网络图（或横道图）</w:t>
      </w:r>
      <w:bookmarkEnd w:id="204"/>
      <w:bookmarkEnd w:id="205"/>
      <w:bookmarkEnd w:id="206"/>
      <w:bookmarkEnd w:id="207"/>
      <w:bookmarkEnd w:id="208"/>
    </w:p>
    <w:p w14:paraId="5C8901D9">
      <w:pPr>
        <w:jc w:val="center"/>
        <w:rPr>
          <w:b/>
          <w:color w:val="000000" w:themeColor="text1"/>
          <w:highlight w:val="none"/>
          <w14:textFill>
            <w14:solidFill>
              <w14:schemeClr w14:val="tx1"/>
            </w14:solidFill>
          </w14:textFill>
        </w:rPr>
      </w:pPr>
    </w:p>
    <w:p w14:paraId="481D6C77">
      <w:pPr>
        <w:pStyle w:val="98"/>
        <w:tabs>
          <w:tab w:val="left" w:pos="747"/>
        </w:tabs>
        <w:ind w:firstLine="420" w:firstLineChars="200"/>
        <w:rPr>
          <w:rFonts w:hint="eastAsia"/>
          <w:color w:val="000000" w:themeColor="text1"/>
          <w:highlight w:val="none"/>
          <w14:textFill>
            <w14:solidFill>
              <w14:schemeClr w14:val="tx1"/>
            </w14:solidFill>
          </w14:textFill>
        </w:rPr>
      </w:pPr>
      <w:bookmarkStart w:id="209" w:name="bookmark2255"/>
      <w:bookmarkEnd w:id="209"/>
      <w:r>
        <w:rPr>
          <w:rFonts w:hint="eastAsia"/>
          <w:color w:val="000000" w:themeColor="text1"/>
          <w:highlight w:val="none"/>
          <w14:textFill>
            <w14:solidFill>
              <w14:schemeClr w14:val="tx1"/>
            </w14:solidFill>
          </w14:textFill>
        </w:rPr>
        <w:t>供应商</w:t>
      </w:r>
      <w:r>
        <w:rPr>
          <w:color w:val="000000" w:themeColor="text1"/>
          <w:highlight w:val="none"/>
          <w14:textFill>
            <w14:solidFill>
              <w14:schemeClr w14:val="tx1"/>
            </w14:solidFill>
          </w14:textFill>
        </w:rPr>
        <w:t>应递交施工进度网络图或施工进度表，说明按</w:t>
      </w:r>
      <w:r>
        <w:rPr>
          <w:rFonts w:hint="eastAsia"/>
          <w:color w:val="000000" w:themeColor="text1"/>
          <w:highlight w:val="none"/>
          <w14:textFill>
            <w14:solidFill>
              <w14:schemeClr w14:val="tx1"/>
            </w14:solidFill>
          </w14:textFill>
        </w:rPr>
        <w:t>磋商</w:t>
      </w:r>
      <w:r>
        <w:rPr>
          <w:color w:val="000000" w:themeColor="text1"/>
          <w:highlight w:val="none"/>
          <w14:textFill>
            <w14:solidFill>
              <w14:schemeClr w14:val="tx1"/>
            </w14:solidFill>
          </w14:textFill>
        </w:rPr>
        <w:t>文件要求的计划工期进行施工的各个关键日期。</w:t>
      </w:r>
    </w:p>
    <w:p w14:paraId="6110B5C2">
      <w:pPr>
        <w:spacing w:line="360" w:lineRule="auto"/>
        <w:ind w:firstLine="420" w:firstLineChars="200"/>
        <w:rPr>
          <w:color w:val="000000" w:themeColor="text1"/>
          <w:highlight w:val="none"/>
          <w14:textFill>
            <w14:solidFill>
              <w14:schemeClr w14:val="tx1"/>
            </w14:solidFill>
          </w14:textFill>
        </w:rPr>
        <w:sectPr>
          <w:headerReference r:id="rId20" w:type="default"/>
          <w:footerReference r:id="rId22" w:type="default"/>
          <w:headerReference r:id="rId21" w:type="even"/>
          <w:footerReference r:id="rId23" w:type="even"/>
          <w:pgSz w:w="11900" w:h="16832"/>
          <w:pgMar w:top="1440" w:right="1803" w:bottom="1440" w:left="1803" w:header="851" w:footer="851" w:gutter="0"/>
          <w:pgNumType w:fmt="decimal"/>
          <w:cols w:space="720" w:num="1"/>
          <w:docGrid w:linePitch="360" w:charSpace="0"/>
        </w:sectPr>
      </w:pPr>
      <w:bookmarkStart w:id="210" w:name="bookmark2256"/>
      <w:bookmarkEnd w:id="210"/>
      <w:r>
        <w:rPr>
          <w:color w:val="000000" w:themeColor="text1"/>
          <w:highlight w:val="none"/>
          <w14:textFill>
            <w14:solidFill>
              <w14:schemeClr w14:val="tx1"/>
            </w14:solidFill>
          </w14:textFill>
        </w:rPr>
        <w:t>施工进度表可采用网络图（或横道图）表示。</w:t>
      </w:r>
    </w:p>
    <w:p w14:paraId="251C05A1">
      <w:pPr>
        <w:pStyle w:val="9"/>
        <w:outlineLvl w:val="9"/>
        <w:rPr>
          <w:b w:val="0"/>
          <w:bCs w:val="0"/>
          <w:color w:val="000000" w:themeColor="text1"/>
          <w:sz w:val="28"/>
          <w:szCs w:val="28"/>
          <w:highlight w:val="none"/>
          <w14:textFill>
            <w14:solidFill>
              <w14:schemeClr w14:val="tx1"/>
            </w14:solidFill>
          </w14:textFill>
        </w:rPr>
      </w:pPr>
      <w:bookmarkStart w:id="211" w:name="bookmark2257"/>
      <w:bookmarkStart w:id="212" w:name="bookmark2259"/>
      <w:bookmarkStart w:id="213" w:name="bookmark2258"/>
      <w:r>
        <w:rPr>
          <w:rFonts w:hint="eastAsia"/>
          <w:b w:val="0"/>
          <w:bCs w:val="0"/>
          <w:color w:val="000000" w:themeColor="text1"/>
          <w:sz w:val="28"/>
          <w:szCs w:val="28"/>
          <w:highlight w:val="none"/>
          <w14:textFill>
            <w14:solidFill>
              <w14:schemeClr w14:val="tx1"/>
            </w14:solidFill>
          </w14:textFill>
        </w:rPr>
        <w:t>附件六：施工总平面图</w:t>
      </w:r>
      <w:bookmarkEnd w:id="211"/>
      <w:bookmarkEnd w:id="212"/>
      <w:bookmarkEnd w:id="213"/>
    </w:p>
    <w:p w14:paraId="60DFE557">
      <w:pPr>
        <w:jc w:val="center"/>
        <w:rPr>
          <w:rFonts w:hint="eastAsia" w:ascii="宋体" w:hAnsi="宋体" w:cs="宋体"/>
          <w:b/>
          <w:bCs/>
          <w:color w:val="000000" w:themeColor="text1"/>
          <w:sz w:val="28"/>
          <w:szCs w:val="28"/>
          <w:highlight w:val="none"/>
          <w14:textFill>
            <w14:solidFill>
              <w14:schemeClr w14:val="tx1"/>
            </w14:solidFill>
          </w14:textFill>
        </w:rPr>
      </w:pPr>
      <w:bookmarkStart w:id="214" w:name="bookmark2262"/>
      <w:bookmarkStart w:id="215" w:name="bookmark2260"/>
      <w:bookmarkStart w:id="216" w:name="bookmark2261"/>
      <w:bookmarkStart w:id="217" w:name="_Toc768"/>
      <w:bookmarkStart w:id="218" w:name="_Toc30163"/>
    </w:p>
    <w:p w14:paraId="2D1BBFA2">
      <w:pPr>
        <w:jc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施工总平面图</w:t>
      </w:r>
      <w:bookmarkEnd w:id="214"/>
      <w:bookmarkEnd w:id="215"/>
      <w:bookmarkEnd w:id="216"/>
      <w:bookmarkEnd w:id="217"/>
      <w:bookmarkEnd w:id="218"/>
    </w:p>
    <w:p w14:paraId="0EF2EB31">
      <w:pPr>
        <w:jc w:val="center"/>
        <w:rPr>
          <w:b/>
          <w:color w:val="000000" w:themeColor="text1"/>
          <w:highlight w:val="none"/>
          <w14:textFill>
            <w14:solidFill>
              <w14:schemeClr w14:val="tx1"/>
            </w14:solidFill>
          </w14:textFill>
        </w:rPr>
      </w:pPr>
    </w:p>
    <w:p w14:paraId="7B3D53E9">
      <w:pPr>
        <w:pStyle w:val="98"/>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供应商</w:t>
      </w:r>
      <w:r>
        <w:rPr>
          <w:color w:val="000000" w:themeColor="text1"/>
          <w:highlight w:val="none"/>
          <w14:textFill>
            <w14:solidFill>
              <w14:schemeClr w14:val="tx1"/>
            </w14:solidFill>
          </w14:textFill>
        </w:rPr>
        <w:t>应递交一份施工总平面图，绘出现场临时设施布置图及表并附文字说明，说明临时设施、加工车间、现场办公、设备及仓储、供电、供水、卫生、生活、道路、消防等设施的情况和布置。</w:t>
      </w:r>
    </w:p>
    <w:p w14:paraId="642E4C43">
      <w:pPr>
        <w:pStyle w:val="98"/>
        <w:ind w:firstLine="420" w:firstLineChars="0"/>
        <w:outlineLvl w:val="9"/>
        <w:rPr>
          <w:rFonts w:hint="eastAsia"/>
          <w:b/>
          <w:bCs/>
          <w:color w:val="000000" w:themeColor="text1"/>
          <w:sz w:val="28"/>
          <w:szCs w:val="28"/>
          <w:highlight w:val="none"/>
          <w14:textFill>
            <w14:solidFill>
              <w14:schemeClr w14:val="tx1"/>
            </w14:solidFill>
          </w14:textFill>
        </w:rPr>
      </w:pPr>
      <w:r>
        <w:rPr>
          <w:rFonts w:hint="eastAsia"/>
          <w:color w:val="000000" w:themeColor="text1"/>
          <w:highlight w:val="none"/>
          <w14:textFill>
            <w14:solidFill>
              <w14:schemeClr w14:val="tx1"/>
            </w14:solidFill>
          </w14:textFill>
        </w:rPr>
        <w:t>其他平面图由供应商根据需要制作。</w:t>
      </w:r>
      <w:r>
        <w:rPr>
          <w:color w:val="000000" w:themeColor="text1"/>
          <w:highlight w:val="none"/>
          <w14:textFill>
            <w14:solidFill>
              <w14:schemeClr w14:val="tx1"/>
            </w14:solidFill>
          </w14:textFill>
        </w:rPr>
        <w:br w:type="page"/>
      </w:r>
      <w:bookmarkStart w:id="219" w:name="bookmark2263"/>
      <w:bookmarkStart w:id="220" w:name="bookmark2264"/>
      <w:bookmarkStart w:id="221" w:name="bookmark2265"/>
      <w:r>
        <w:rPr>
          <w:rStyle w:val="247"/>
          <w:rFonts w:hint="eastAsia"/>
          <w:b w:val="0"/>
          <w:bCs w:val="0"/>
          <w:color w:val="000000" w:themeColor="text1"/>
          <w:sz w:val="28"/>
          <w:szCs w:val="28"/>
          <w:highlight w:val="none"/>
          <w:lang w:val="en-US"/>
          <w14:textFill>
            <w14:solidFill>
              <w14:schemeClr w14:val="tx1"/>
            </w14:solidFill>
          </w14:textFill>
        </w:rPr>
        <w:t>附件七：</w:t>
      </w:r>
      <w:r>
        <w:rPr>
          <w:rStyle w:val="247"/>
          <w:rFonts w:hint="eastAsia"/>
          <w:b w:val="0"/>
          <w:bCs w:val="0"/>
          <w:color w:val="000000" w:themeColor="text1"/>
          <w:sz w:val="28"/>
          <w:szCs w:val="28"/>
          <w:highlight w:val="none"/>
          <w14:textFill>
            <w14:solidFill>
              <w14:schemeClr w14:val="tx1"/>
            </w14:solidFill>
          </w14:textFill>
        </w:rPr>
        <w:t>临时用地表</w:t>
      </w:r>
      <w:bookmarkEnd w:id="219"/>
      <w:bookmarkEnd w:id="220"/>
      <w:bookmarkEnd w:id="221"/>
    </w:p>
    <w:p w14:paraId="5F03F0EA">
      <w:pPr>
        <w:jc w:val="center"/>
        <w:rPr>
          <w:rFonts w:hint="eastAsia" w:ascii="宋体" w:hAnsi="宋体" w:cs="宋体"/>
          <w:b/>
          <w:bCs/>
          <w:color w:val="000000" w:themeColor="text1"/>
          <w:sz w:val="28"/>
          <w:szCs w:val="28"/>
          <w:highlight w:val="none"/>
          <w14:textFill>
            <w14:solidFill>
              <w14:schemeClr w14:val="tx1"/>
            </w14:solidFill>
          </w14:textFill>
        </w:rPr>
      </w:pPr>
      <w:bookmarkStart w:id="222" w:name="bookmark2267"/>
      <w:bookmarkStart w:id="223" w:name="_Toc31330"/>
      <w:bookmarkStart w:id="224" w:name="bookmark2268"/>
      <w:bookmarkStart w:id="225" w:name="_Toc3522"/>
      <w:bookmarkStart w:id="226" w:name="bookmark2266"/>
      <w:r>
        <w:rPr>
          <w:rFonts w:hint="eastAsia" w:ascii="宋体" w:hAnsi="宋体" w:cs="宋体"/>
          <w:b/>
          <w:bCs/>
          <w:color w:val="000000" w:themeColor="text1"/>
          <w:sz w:val="28"/>
          <w:szCs w:val="28"/>
          <w:highlight w:val="none"/>
          <w14:textFill>
            <w14:solidFill>
              <w14:schemeClr w14:val="tx1"/>
            </w14:solidFill>
          </w14:textFill>
        </w:rPr>
        <w:t>临时用地表</w:t>
      </w:r>
      <w:bookmarkEnd w:id="222"/>
      <w:bookmarkEnd w:id="223"/>
      <w:bookmarkEnd w:id="224"/>
      <w:bookmarkEnd w:id="225"/>
      <w:bookmarkEnd w:id="226"/>
    </w:p>
    <w:p w14:paraId="158A0639">
      <w:pPr>
        <w:jc w:val="center"/>
        <w:rPr>
          <w:b/>
          <w:color w:val="000000" w:themeColor="text1"/>
          <w:highlight w:val="none"/>
          <w14:textFill>
            <w14:solidFill>
              <w14:schemeClr w14:val="tx1"/>
            </w14:solidFill>
          </w14:textFill>
        </w:rPr>
      </w:pPr>
    </w:p>
    <w:tbl>
      <w:tblPr>
        <w:tblStyle w:val="45"/>
        <w:tblW w:w="8352" w:type="dxa"/>
        <w:jc w:val="center"/>
        <w:tblLayout w:type="fixed"/>
        <w:tblCellMar>
          <w:top w:w="0" w:type="dxa"/>
          <w:left w:w="10" w:type="dxa"/>
          <w:bottom w:w="0" w:type="dxa"/>
          <w:right w:w="10" w:type="dxa"/>
        </w:tblCellMar>
      </w:tblPr>
      <w:tblGrid>
        <w:gridCol w:w="2093"/>
        <w:gridCol w:w="2083"/>
        <w:gridCol w:w="2083"/>
        <w:gridCol w:w="2093"/>
      </w:tblGrid>
      <w:tr w14:paraId="21D3729C">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tcBorders>
            <w:shd w:val="clear" w:color="auto" w:fill="FFFFFF"/>
            <w:vAlign w:val="center"/>
          </w:tcPr>
          <w:p w14:paraId="761B4A37">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用途</w:t>
            </w:r>
          </w:p>
        </w:tc>
        <w:tc>
          <w:tcPr>
            <w:tcW w:w="2083" w:type="dxa"/>
            <w:tcBorders>
              <w:top w:val="single" w:color="auto" w:sz="4" w:space="0"/>
              <w:left w:val="single" w:color="auto" w:sz="4" w:space="0"/>
            </w:tcBorders>
            <w:shd w:val="clear" w:color="auto" w:fill="FFFFFF"/>
            <w:vAlign w:val="center"/>
          </w:tcPr>
          <w:p w14:paraId="16604B17">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面积</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lang w:bidi="en-US"/>
                <w14:textFill>
                  <w14:solidFill>
                    <w14:schemeClr w14:val="tx1"/>
                  </w14:solidFill>
                </w14:textFill>
              </w:rPr>
              <w:t>m</w:t>
            </w:r>
            <w:r>
              <w:rPr>
                <w:rFonts w:hint="eastAsia"/>
                <w:color w:val="000000" w:themeColor="text1"/>
                <w:sz w:val="21"/>
                <w:szCs w:val="21"/>
                <w:highlight w:val="none"/>
                <w:vertAlign w:val="superscript"/>
                <w:lang w:bidi="en-US"/>
                <w14:textFill>
                  <w14:solidFill>
                    <w14:schemeClr w14:val="tx1"/>
                  </w14:solidFill>
                </w14:textFill>
              </w:rPr>
              <w:t>2</w:t>
            </w:r>
            <w:r>
              <w:rPr>
                <w:color w:val="000000" w:themeColor="text1"/>
                <w:sz w:val="21"/>
                <w:szCs w:val="21"/>
                <w:highlight w:val="none"/>
                <w14:textFill>
                  <w14:solidFill>
                    <w14:schemeClr w14:val="tx1"/>
                  </w14:solidFill>
                </w14:textFill>
              </w:rPr>
              <w:t>）</w:t>
            </w:r>
          </w:p>
        </w:tc>
        <w:tc>
          <w:tcPr>
            <w:tcW w:w="2083" w:type="dxa"/>
            <w:tcBorders>
              <w:top w:val="single" w:color="auto" w:sz="4" w:space="0"/>
              <w:left w:val="single" w:color="auto" w:sz="4" w:space="0"/>
            </w:tcBorders>
            <w:shd w:val="clear" w:color="auto" w:fill="FFFFFF"/>
            <w:vAlign w:val="center"/>
          </w:tcPr>
          <w:p w14:paraId="199A5A6D">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位置</w:t>
            </w:r>
          </w:p>
        </w:tc>
        <w:tc>
          <w:tcPr>
            <w:tcW w:w="2093" w:type="dxa"/>
            <w:tcBorders>
              <w:top w:val="single" w:color="auto" w:sz="4" w:space="0"/>
              <w:left w:val="single" w:color="auto" w:sz="4" w:space="0"/>
              <w:right w:val="single" w:color="auto" w:sz="4" w:space="0"/>
            </w:tcBorders>
            <w:shd w:val="clear" w:color="auto" w:fill="FFFFFF"/>
            <w:vAlign w:val="center"/>
          </w:tcPr>
          <w:p w14:paraId="6F5CD51C">
            <w:pPr>
              <w:pStyle w:val="173"/>
              <w:spacing w:line="240" w:lineRule="auto"/>
              <w:ind w:firstLine="0"/>
              <w:jc w:val="center"/>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需用时间</w:t>
            </w:r>
          </w:p>
        </w:tc>
      </w:tr>
      <w:tr w14:paraId="65B012E4">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38536358">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2AFB1A0B">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00FD0068">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47B1662E">
            <w:pPr>
              <w:rPr>
                <w:color w:val="000000" w:themeColor="text1"/>
                <w:szCs w:val="21"/>
                <w:highlight w:val="none"/>
                <w14:textFill>
                  <w14:solidFill>
                    <w14:schemeClr w14:val="tx1"/>
                  </w14:solidFill>
                </w14:textFill>
              </w:rPr>
            </w:pPr>
          </w:p>
        </w:tc>
      </w:tr>
      <w:tr w14:paraId="2830DB29">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1F51D324">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FCD6084">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43B402C9">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6CF38403">
            <w:pPr>
              <w:rPr>
                <w:color w:val="000000" w:themeColor="text1"/>
                <w:szCs w:val="21"/>
                <w:highlight w:val="none"/>
                <w14:textFill>
                  <w14:solidFill>
                    <w14:schemeClr w14:val="tx1"/>
                  </w14:solidFill>
                </w14:textFill>
              </w:rPr>
            </w:pPr>
          </w:p>
        </w:tc>
      </w:tr>
      <w:tr w14:paraId="500617A9">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2A0AAE51">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3D573420">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21BAFD14">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5406E4AA">
            <w:pPr>
              <w:rPr>
                <w:color w:val="000000" w:themeColor="text1"/>
                <w:szCs w:val="21"/>
                <w:highlight w:val="none"/>
                <w14:textFill>
                  <w14:solidFill>
                    <w14:schemeClr w14:val="tx1"/>
                  </w14:solidFill>
                </w14:textFill>
              </w:rPr>
            </w:pPr>
          </w:p>
        </w:tc>
      </w:tr>
      <w:tr w14:paraId="66CCA980">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10D8C0F3">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05B0AA0D">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C581241">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11B3FB99">
            <w:pPr>
              <w:rPr>
                <w:color w:val="000000" w:themeColor="text1"/>
                <w:szCs w:val="21"/>
                <w:highlight w:val="none"/>
                <w14:textFill>
                  <w14:solidFill>
                    <w14:schemeClr w14:val="tx1"/>
                  </w14:solidFill>
                </w14:textFill>
              </w:rPr>
            </w:pPr>
          </w:p>
        </w:tc>
      </w:tr>
      <w:tr w14:paraId="07487DE1">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13102556">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5D2A77B">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6E69672D">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3E430434">
            <w:pPr>
              <w:rPr>
                <w:color w:val="000000" w:themeColor="text1"/>
                <w:szCs w:val="21"/>
                <w:highlight w:val="none"/>
                <w14:textFill>
                  <w14:solidFill>
                    <w14:schemeClr w14:val="tx1"/>
                  </w14:solidFill>
                </w14:textFill>
              </w:rPr>
            </w:pPr>
          </w:p>
        </w:tc>
      </w:tr>
      <w:tr w14:paraId="39DC6C41">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0CACE735">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00D17A2">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5F5F0035">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28CF5836">
            <w:pPr>
              <w:rPr>
                <w:color w:val="000000" w:themeColor="text1"/>
                <w:szCs w:val="21"/>
                <w:highlight w:val="none"/>
                <w14:textFill>
                  <w14:solidFill>
                    <w14:schemeClr w14:val="tx1"/>
                  </w14:solidFill>
                </w14:textFill>
              </w:rPr>
            </w:pPr>
          </w:p>
        </w:tc>
      </w:tr>
      <w:tr w14:paraId="1A2D719A">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6778D09E">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CEAB699">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6AD6C807">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731BAC0C">
            <w:pPr>
              <w:rPr>
                <w:color w:val="000000" w:themeColor="text1"/>
                <w:szCs w:val="21"/>
                <w:highlight w:val="none"/>
                <w14:textFill>
                  <w14:solidFill>
                    <w14:schemeClr w14:val="tx1"/>
                  </w14:solidFill>
                </w14:textFill>
              </w:rPr>
            </w:pPr>
          </w:p>
        </w:tc>
      </w:tr>
      <w:tr w14:paraId="61C0082B">
        <w:tblPrEx>
          <w:tblCellMar>
            <w:top w:w="0" w:type="dxa"/>
            <w:left w:w="10" w:type="dxa"/>
            <w:bottom w:w="0" w:type="dxa"/>
            <w:right w:w="10" w:type="dxa"/>
          </w:tblCellMar>
        </w:tblPrEx>
        <w:trPr>
          <w:trHeight w:val="571" w:hRule="exact"/>
          <w:jc w:val="center"/>
        </w:trPr>
        <w:tc>
          <w:tcPr>
            <w:tcW w:w="2093" w:type="dxa"/>
            <w:tcBorders>
              <w:top w:val="single" w:color="auto" w:sz="4" w:space="0"/>
              <w:left w:val="single" w:color="auto" w:sz="4" w:space="0"/>
            </w:tcBorders>
            <w:shd w:val="clear" w:color="auto" w:fill="FFFFFF"/>
          </w:tcPr>
          <w:p w14:paraId="493F3048">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13FA659">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55E4FEC8">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44A85D2B">
            <w:pPr>
              <w:rPr>
                <w:color w:val="000000" w:themeColor="text1"/>
                <w:szCs w:val="21"/>
                <w:highlight w:val="none"/>
                <w14:textFill>
                  <w14:solidFill>
                    <w14:schemeClr w14:val="tx1"/>
                  </w14:solidFill>
                </w14:textFill>
              </w:rPr>
            </w:pPr>
          </w:p>
        </w:tc>
      </w:tr>
      <w:tr w14:paraId="3A7C7802">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5C6EB547">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55792255">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2E8D6A35">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5B544AFD">
            <w:pPr>
              <w:rPr>
                <w:color w:val="000000" w:themeColor="text1"/>
                <w:szCs w:val="21"/>
                <w:highlight w:val="none"/>
                <w14:textFill>
                  <w14:solidFill>
                    <w14:schemeClr w14:val="tx1"/>
                  </w14:solidFill>
                </w14:textFill>
              </w:rPr>
            </w:pPr>
          </w:p>
        </w:tc>
      </w:tr>
      <w:tr w14:paraId="0EB3A9E2">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6BD599A2">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3D61B19F">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57A70E82">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2D684055">
            <w:pPr>
              <w:rPr>
                <w:color w:val="000000" w:themeColor="text1"/>
                <w:szCs w:val="21"/>
                <w:highlight w:val="none"/>
                <w14:textFill>
                  <w14:solidFill>
                    <w14:schemeClr w14:val="tx1"/>
                  </w14:solidFill>
                </w14:textFill>
              </w:rPr>
            </w:pPr>
          </w:p>
        </w:tc>
      </w:tr>
      <w:tr w14:paraId="2C16BDF4">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2DD3C874">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25484A5E">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6BEB1C5B">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16CF6E4E">
            <w:pPr>
              <w:rPr>
                <w:color w:val="000000" w:themeColor="text1"/>
                <w:szCs w:val="21"/>
                <w:highlight w:val="none"/>
                <w14:textFill>
                  <w14:solidFill>
                    <w14:schemeClr w14:val="tx1"/>
                  </w14:solidFill>
                </w14:textFill>
              </w:rPr>
            </w:pPr>
          </w:p>
        </w:tc>
      </w:tr>
      <w:tr w14:paraId="7447ED40">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1707DB43">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5BFEC122">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7595B3A2">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1B57259E">
            <w:pPr>
              <w:rPr>
                <w:color w:val="000000" w:themeColor="text1"/>
                <w:szCs w:val="21"/>
                <w:highlight w:val="none"/>
                <w14:textFill>
                  <w14:solidFill>
                    <w14:schemeClr w14:val="tx1"/>
                  </w14:solidFill>
                </w14:textFill>
              </w:rPr>
            </w:pPr>
          </w:p>
        </w:tc>
      </w:tr>
      <w:tr w14:paraId="569978C6">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2DAD0953">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195EE5FF">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tcBorders>
            <w:shd w:val="clear" w:color="auto" w:fill="FFFFFF"/>
          </w:tcPr>
          <w:p w14:paraId="4148C2E6">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right w:val="single" w:color="auto" w:sz="4" w:space="0"/>
            </w:tcBorders>
            <w:shd w:val="clear" w:color="auto" w:fill="FFFFFF"/>
          </w:tcPr>
          <w:p w14:paraId="0DA2A726">
            <w:pPr>
              <w:rPr>
                <w:color w:val="000000" w:themeColor="text1"/>
                <w:szCs w:val="21"/>
                <w:highlight w:val="none"/>
                <w14:textFill>
                  <w14:solidFill>
                    <w14:schemeClr w14:val="tx1"/>
                  </w14:solidFill>
                </w14:textFill>
              </w:rPr>
            </w:pPr>
          </w:p>
        </w:tc>
      </w:tr>
      <w:tr w14:paraId="5041B5FA">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single" w:color="auto" w:sz="4" w:space="0"/>
            </w:tcBorders>
            <w:shd w:val="clear" w:color="auto" w:fill="FFFFFF"/>
          </w:tcPr>
          <w:p w14:paraId="68AF7817">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single" w:color="auto" w:sz="4" w:space="0"/>
            </w:tcBorders>
            <w:shd w:val="clear" w:color="auto" w:fill="FFFFFF"/>
          </w:tcPr>
          <w:p w14:paraId="66E4B79C">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single" w:color="auto" w:sz="4" w:space="0"/>
            </w:tcBorders>
            <w:shd w:val="clear" w:color="auto" w:fill="FFFFFF"/>
          </w:tcPr>
          <w:p w14:paraId="4B7BAA30">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single" w:color="auto" w:sz="4" w:space="0"/>
              <w:right w:val="single" w:color="auto" w:sz="4" w:space="0"/>
            </w:tcBorders>
            <w:shd w:val="clear" w:color="auto" w:fill="FFFFFF"/>
          </w:tcPr>
          <w:p w14:paraId="3DEC14EF">
            <w:pPr>
              <w:rPr>
                <w:color w:val="000000" w:themeColor="text1"/>
                <w:szCs w:val="21"/>
                <w:highlight w:val="none"/>
                <w14:textFill>
                  <w14:solidFill>
                    <w14:schemeClr w14:val="tx1"/>
                  </w14:solidFill>
                </w14:textFill>
              </w:rPr>
            </w:pPr>
          </w:p>
        </w:tc>
      </w:tr>
    </w:tbl>
    <w:p w14:paraId="0BB3685D">
      <w:pPr>
        <w:spacing w:line="360" w:lineRule="auto"/>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14:paraId="55A02770">
      <w:pPr>
        <w:spacing w:line="360" w:lineRule="auto"/>
        <w:jc w:val="left"/>
        <w:rPr>
          <w:rFonts w:hint="eastAsia" w:ascii="方正小标宋简体" w:hAnsi="方正小标宋简体" w:eastAsia="方正小标宋简体" w:cs="方正小标宋简体"/>
          <w:bCs/>
          <w:color w:val="000000" w:themeColor="text1"/>
          <w:sz w:val="24"/>
          <w:highlight w:val="none"/>
          <w14:textFill>
            <w14:solidFill>
              <w14:schemeClr w14:val="tx1"/>
            </w14:solidFill>
          </w14:textFill>
        </w:rPr>
      </w:pPr>
      <w:r>
        <w:rPr>
          <w:rFonts w:ascii="方正小标宋简体" w:hAnsi="方正小标宋简体" w:eastAsia="方正小标宋简体" w:cs="方正小标宋简体"/>
          <w:bCs/>
          <w:color w:val="000000" w:themeColor="text1"/>
          <w:sz w:val="24"/>
          <w:highlight w:val="none"/>
          <w14:textFill>
            <w14:solidFill>
              <w14:schemeClr w14:val="tx1"/>
            </w14:solidFill>
          </w14:textFill>
        </w:rPr>
        <w:br w:type="page"/>
      </w:r>
    </w:p>
    <w:p w14:paraId="2AD57920">
      <w:pPr>
        <w:spacing w:line="360" w:lineRule="auto"/>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拟分包项目情况表</w:t>
      </w:r>
    </w:p>
    <w:p w14:paraId="54DB873D">
      <w:pPr>
        <w:spacing w:line="52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28A85ABC">
      <w:pPr>
        <w:spacing w:line="360" w:lineRule="auto"/>
        <w:contextualSpacing/>
        <w:rPr>
          <w:rFonts w:hint="eastAsia"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分标（如有）：</w:t>
      </w:r>
    </w:p>
    <w:tbl>
      <w:tblPr>
        <w:tblStyle w:val="45"/>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14:paraId="1125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6AC2682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序号</w:t>
            </w:r>
          </w:p>
        </w:tc>
        <w:tc>
          <w:tcPr>
            <w:tcW w:w="1693" w:type="dxa"/>
            <w:vMerge w:val="restart"/>
            <w:tcMar>
              <w:left w:w="108" w:type="dxa"/>
              <w:right w:w="108" w:type="dxa"/>
            </w:tcMar>
            <w:vAlign w:val="center"/>
          </w:tcPr>
          <w:p w14:paraId="6A6F54A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拟分包项目名称、范围及理由</w:t>
            </w:r>
          </w:p>
        </w:tc>
        <w:tc>
          <w:tcPr>
            <w:tcW w:w="6379" w:type="dxa"/>
            <w:gridSpan w:val="6"/>
            <w:tcMar>
              <w:left w:w="108" w:type="dxa"/>
              <w:right w:w="108" w:type="dxa"/>
            </w:tcMar>
            <w:vAlign w:val="center"/>
          </w:tcPr>
          <w:p w14:paraId="369DB296">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拟选分包人</w:t>
            </w:r>
          </w:p>
        </w:tc>
        <w:tc>
          <w:tcPr>
            <w:tcW w:w="673" w:type="dxa"/>
            <w:vMerge w:val="restart"/>
            <w:tcMar>
              <w:left w:w="108" w:type="dxa"/>
              <w:right w:w="108" w:type="dxa"/>
            </w:tcMar>
            <w:vAlign w:val="center"/>
          </w:tcPr>
          <w:p w14:paraId="22409B0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备注</w:t>
            </w:r>
          </w:p>
        </w:tc>
      </w:tr>
      <w:tr w14:paraId="0976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4FC0FD29">
            <w:pPr>
              <w:jc w:val="center"/>
              <w:rPr>
                <w:color w:val="000000" w:themeColor="text1"/>
                <w:highlight w:val="none"/>
                <w14:textFill>
                  <w14:solidFill>
                    <w14:schemeClr w14:val="tx1"/>
                  </w14:solidFill>
                </w14:textFill>
              </w:rPr>
            </w:pPr>
          </w:p>
        </w:tc>
        <w:tc>
          <w:tcPr>
            <w:tcW w:w="1693" w:type="dxa"/>
            <w:vMerge w:val="continue"/>
            <w:tcMar>
              <w:left w:w="108" w:type="dxa"/>
              <w:right w:w="108" w:type="dxa"/>
            </w:tcMar>
            <w:vAlign w:val="center"/>
          </w:tcPr>
          <w:p w14:paraId="768171C5">
            <w:pPr>
              <w:jc w:val="center"/>
              <w:rPr>
                <w:color w:val="000000" w:themeColor="text1"/>
                <w:highlight w:val="none"/>
                <w14:textFill>
                  <w14:solidFill>
                    <w14:schemeClr w14:val="tx1"/>
                  </w14:solidFill>
                </w14:textFill>
              </w:rPr>
            </w:pPr>
          </w:p>
        </w:tc>
        <w:tc>
          <w:tcPr>
            <w:tcW w:w="1701" w:type="dxa"/>
            <w:gridSpan w:val="2"/>
            <w:tcMar>
              <w:left w:w="108" w:type="dxa"/>
              <w:right w:w="108" w:type="dxa"/>
            </w:tcMar>
            <w:vAlign w:val="center"/>
          </w:tcPr>
          <w:p w14:paraId="022A252C">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拟选分包人名称</w:t>
            </w:r>
          </w:p>
        </w:tc>
        <w:tc>
          <w:tcPr>
            <w:tcW w:w="1123" w:type="dxa"/>
            <w:tcMar>
              <w:left w:w="108" w:type="dxa"/>
              <w:right w:w="108" w:type="dxa"/>
            </w:tcMar>
            <w:vAlign w:val="center"/>
          </w:tcPr>
          <w:p w14:paraId="1EE3E0B1">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注册地点</w:t>
            </w:r>
          </w:p>
        </w:tc>
        <w:tc>
          <w:tcPr>
            <w:tcW w:w="1090" w:type="dxa"/>
            <w:tcMar>
              <w:left w:w="108" w:type="dxa"/>
              <w:right w:w="108" w:type="dxa"/>
            </w:tcMar>
            <w:vAlign w:val="center"/>
          </w:tcPr>
          <w:p w14:paraId="3A0D0FA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企业资质</w:t>
            </w:r>
          </w:p>
        </w:tc>
        <w:tc>
          <w:tcPr>
            <w:tcW w:w="1197" w:type="dxa"/>
            <w:tcMar>
              <w:left w:w="108" w:type="dxa"/>
              <w:right w:w="108" w:type="dxa"/>
            </w:tcMar>
            <w:vAlign w:val="center"/>
          </w:tcPr>
          <w:p w14:paraId="3EEF5679">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有关业绩</w:t>
            </w:r>
          </w:p>
        </w:tc>
        <w:tc>
          <w:tcPr>
            <w:tcW w:w="1268" w:type="dxa"/>
            <w:vAlign w:val="center"/>
          </w:tcPr>
          <w:p w14:paraId="20ADA667">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拟分包金额</w:t>
            </w:r>
          </w:p>
        </w:tc>
        <w:tc>
          <w:tcPr>
            <w:tcW w:w="673" w:type="dxa"/>
            <w:vMerge w:val="continue"/>
            <w:tcMar>
              <w:left w:w="108" w:type="dxa"/>
              <w:right w:w="108" w:type="dxa"/>
            </w:tcMar>
            <w:vAlign w:val="center"/>
          </w:tcPr>
          <w:p w14:paraId="4774D617">
            <w:pPr>
              <w:jc w:val="center"/>
              <w:rPr>
                <w:color w:val="000000" w:themeColor="text1"/>
                <w:highlight w:val="none"/>
                <w14:textFill>
                  <w14:solidFill>
                    <w14:schemeClr w14:val="tx1"/>
                  </w14:solidFill>
                </w14:textFill>
              </w:rPr>
            </w:pPr>
          </w:p>
        </w:tc>
      </w:tr>
      <w:tr w14:paraId="1A62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6159B863">
            <w:pPr>
              <w:jc w:val="center"/>
              <w:rPr>
                <w:color w:val="000000" w:themeColor="text1"/>
                <w:highlight w:val="none"/>
                <w14:textFill>
                  <w14:solidFill>
                    <w14:schemeClr w14:val="tx1"/>
                  </w14:solidFill>
                </w14:textFill>
              </w:rPr>
            </w:pPr>
          </w:p>
        </w:tc>
        <w:tc>
          <w:tcPr>
            <w:tcW w:w="1693" w:type="dxa"/>
            <w:vMerge w:val="restart"/>
            <w:tcMar>
              <w:left w:w="108" w:type="dxa"/>
              <w:right w:w="108" w:type="dxa"/>
            </w:tcMar>
            <w:vAlign w:val="center"/>
          </w:tcPr>
          <w:p w14:paraId="6D86FFFE">
            <w:pPr>
              <w:jc w:val="center"/>
              <w:rPr>
                <w:color w:val="000000" w:themeColor="text1"/>
                <w:highlight w:val="none"/>
                <w14:textFill>
                  <w14:solidFill>
                    <w14:schemeClr w14:val="tx1"/>
                  </w14:solidFill>
                </w14:textFill>
              </w:rPr>
            </w:pPr>
          </w:p>
        </w:tc>
        <w:tc>
          <w:tcPr>
            <w:tcW w:w="751" w:type="dxa"/>
            <w:tcMar>
              <w:left w:w="108" w:type="dxa"/>
              <w:right w:w="108" w:type="dxa"/>
            </w:tcMar>
            <w:vAlign w:val="center"/>
          </w:tcPr>
          <w:p w14:paraId="5153966F">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950" w:type="dxa"/>
            <w:tcMar>
              <w:left w:w="108" w:type="dxa"/>
              <w:right w:w="108" w:type="dxa"/>
            </w:tcMar>
            <w:vAlign w:val="center"/>
          </w:tcPr>
          <w:p w14:paraId="30E16A7C">
            <w:pPr>
              <w:jc w:val="center"/>
              <w:rPr>
                <w:color w:val="000000" w:themeColor="text1"/>
                <w:highlight w:val="none"/>
                <w14:textFill>
                  <w14:solidFill>
                    <w14:schemeClr w14:val="tx1"/>
                  </w14:solidFill>
                </w14:textFill>
              </w:rPr>
            </w:pPr>
          </w:p>
        </w:tc>
        <w:tc>
          <w:tcPr>
            <w:tcW w:w="1123" w:type="dxa"/>
            <w:tcMar>
              <w:left w:w="108" w:type="dxa"/>
              <w:right w:w="108" w:type="dxa"/>
            </w:tcMar>
            <w:vAlign w:val="center"/>
          </w:tcPr>
          <w:p w14:paraId="5D96C8C0">
            <w:pPr>
              <w:jc w:val="center"/>
              <w:rPr>
                <w:color w:val="000000" w:themeColor="text1"/>
                <w:highlight w:val="none"/>
                <w14:textFill>
                  <w14:solidFill>
                    <w14:schemeClr w14:val="tx1"/>
                  </w14:solidFill>
                </w14:textFill>
              </w:rPr>
            </w:pPr>
          </w:p>
        </w:tc>
        <w:tc>
          <w:tcPr>
            <w:tcW w:w="1090" w:type="dxa"/>
            <w:tcMar>
              <w:left w:w="108" w:type="dxa"/>
              <w:right w:w="108" w:type="dxa"/>
            </w:tcMar>
            <w:vAlign w:val="center"/>
          </w:tcPr>
          <w:p w14:paraId="6E269EA0">
            <w:pPr>
              <w:jc w:val="center"/>
              <w:rPr>
                <w:color w:val="000000" w:themeColor="text1"/>
                <w:highlight w:val="none"/>
                <w14:textFill>
                  <w14:solidFill>
                    <w14:schemeClr w14:val="tx1"/>
                  </w14:solidFill>
                </w14:textFill>
              </w:rPr>
            </w:pPr>
          </w:p>
        </w:tc>
        <w:tc>
          <w:tcPr>
            <w:tcW w:w="1197" w:type="dxa"/>
            <w:tcMar>
              <w:left w:w="108" w:type="dxa"/>
              <w:right w:w="108" w:type="dxa"/>
            </w:tcMar>
            <w:vAlign w:val="center"/>
          </w:tcPr>
          <w:p w14:paraId="6F0DF6C7">
            <w:pPr>
              <w:jc w:val="center"/>
              <w:rPr>
                <w:color w:val="000000" w:themeColor="text1"/>
                <w:highlight w:val="none"/>
                <w14:textFill>
                  <w14:solidFill>
                    <w14:schemeClr w14:val="tx1"/>
                  </w14:solidFill>
                </w14:textFill>
              </w:rPr>
            </w:pPr>
          </w:p>
        </w:tc>
        <w:tc>
          <w:tcPr>
            <w:tcW w:w="1268" w:type="dxa"/>
            <w:vAlign w:val="center"/>
          </w:tcPr>
          <w:p w14:paraId="39D90C4D">
            <w:pPr>
              <w:jc w:val="center"/>
              <w:rPr>
                <w:color w:val="000000" w:themeColor="text1"/>
                <w:highlight w:val="none"/>
                <w14:textFill>
                  <w14:solidFill>
                    <w14:schemeClr w14:val="tx1"/>
                  </w14:solidFill>
                </w14:textFill>
              </w:rPr>
            </w:pPr>
          </w:p>
        </w:tc>
        <w:tc>
          <w:tcPr>
            <w:tcW w:w="673" w:type="dxa"/>
            <w:tcMar>
              <w:left w:w="108" w:type="dxa"/>
              <w:right w:w="108" w:type="dxa"/>
            </w:tcMar>
            <w:vAlign w:val="center"/>
          </w:tcPr>
          <w:p w14:paraId="7746DB84">
            <w:pPr>
              <w:jc w:val="center"/>
              <w:rPr>
                <w:color w:val="000000" w:themeColor="text1"/>
                <w:highlight w:val="none"/>
                <w14:textFill>
                  <w14:solidFill>
                    <w14:schemeClr w14:val="tx1"/>
                  </w14:solidFill>
                </w14:textFill>
              </w:rPr>
            </w:pPr>
          </w:p>
        </w:tc>
      </w:tr>
      <w:tr w14:paraId="56BA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1F5B395C">
            <w:pPr>
              <w:jc w:val="center"/>
              <w:rPr>
                <w:color w:val="000000" w:themeColor="text1"/>
                <w:highlight w:val="none"/>
                <w14:textFill>
                  <w14:solidFill>
                    <w14:schemeClr w14:val="tx1"/>
                  </w14:solidFill>
                </w14:textFill>
              </w:rPr>
            </w:pPr>
          </w:p>
        </w:tc>
        <w:tc>
          <w:tcPr>
            <w:tcW w:w="1693" w:type="dxa"/>
            <w:vMerge w:val="continue"/>
            <w:tcMar>
              <w:left w:w="108" w:type="dxa"/>
              <w:right w:w="108" w:type="dxa"/>
            </w:tcMar>
            <w:vAlign w:val="center"/>
          </w:tcPr>
          <w:p w14:paraId="7DA227AE">
            <w:pPr>
              <w:jc w:val="center"/>
              <w:rPr>
                <w:color w:val="000000" w:themeColor="text1"/>
                <w:highlight w:val="none"/>
                <w14:textFill>
                  <w14:solidFill>
                    <w14:schemeClr w14:val="tx1"/>
                  </w14:solidFill>
                </w14:textFill>
              </w:rPr>
            </w:pPr>
          </w:p>
        </w:tc>
        <w:tc>
          <w:tcPr>
            <w:tcW w:w="751" w:type="dxa"/>
            <w:tcMar>
              <w:left w:w="108" w:type="dxa"/>
              <w:right w:w="108" w:type="dxa"/>
            </w:tcMar>
            <w:vAlign w:val="center"/>
          </w:tcPr>
          <w:p w14:paraId="62019E0A">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950" w:type="dxa"/>
            <w:tcMar>
              <w:left w:w="108" w:type="dxa"/>
              <w:right w:w="108" w:type="dxa"/>
            </w:tcMar>
            <w:vAlign w:val="center"/>
          </w:tcPr>
          <w:p w14:paraId="6BE1344D">
            <w:pPr>
              <w:jc w:val="center"/>
              <w:rPr>
                <w:color w:val="000000" w:themeColor="text1"/>
                <w:highlight w:val="none"/>
                <w14:textFill>
                  <w14:solidFill>
                    <w14:schemeClr w14:val="tx1"/>
                  </w14:solidFill>
                </w14:textFill>
              </w:rPr>
            </w:pPr>
          </w:p>
        </w:tc>
        <w:tc>
          <w:tcPr>
            <w:tcW w:w="1123" w:type="dxa"/>
            <w:tcMar>
              <w:left w:w="108" w:type="dxa"/>
              <w:right w:w="108" w:type="dxa"/>
            </w:tcMar>
            <w:vAlign w:val="center"/>
          </w:tcPr>
          <w:p w14:paraId="21C470AF">
            <w:pPr>
              <w:jc w:val="center"/>
              <w:rPr>
                <w:color w:val="000000" w:themeColor="text1"/>
                <w:highlight w:val="none"/>
                <w14:textFill>
                  <w14:solidFill>
                    <w14:schemeClr w14:val="tx1"/>
                  </w14:solidFill>
                </w14:textFill>
              </w:rPr>
            </w:pPr>
          </w:p>
        </w:tc>
        <w:tc>
          <w:tcPr>
            <w:tcW w:w="1090" w:type="dxa"/>
            <w:tcMar>
              <w:left w:w="108" w:type="dxa"/>
              <w:right w:w="108" w:type="dxa"/>
            </w:tcMar>
            <w:vAlign w:val="center"/>
          </w:tcPr>
          <w:p w14:paraId="042CDBC7">
            <w:pPr>
              <w:jc w:val="center"/>
              <w:rPr>
                <w:color w:val="000000" w:themeColor="text1"/>
                <w:highlight w:val="none"/>
                <w14:textFill>
                  <w14:solidFill>
                    <w14:schemeClr w14:val="tx1"/>
                  </w14:solidFill>
                </w14:textFill>
              </w:rPr>
            </w:pPr>
          </w:p>
        </w:tc>
        <w:tc>
          <w:tcPr>
            <w:tcW w:w="1197" w:type="dxa"/>
            <w:tcMar>
              <w:left w:w="108" w:type="dxa"/>
              <w:right w:w="108" w:type="dxa"/>
            </w:tcMar>
            <w:vAlign w:val="center"/>
          </w:tcPr>
          <w:p w14:paraId="5501D556">
            <w:pPr>
              <w:jc w:val="center"/>
              <w:rPr>
                <w:color w:val="000000" w:themeColor="text1"/>
                <w:highlight w:val="none"/>
                <w14:textFill>
                  <w14:solidFill>
                    <w14:schemeClr w14:val="tx1"/>
                  </w14:solidFill>
                </w14:textFill>
              </w:rPr>
            </w:pPr>
          </w:p>
        </w:tc>
        <w:tc>
          <w:tcPr>
            <w:tcW w:w="1268" w:type="dxa"/>
          </w:tcPr>
          <w:p w14:paraId="1B054E16">
            <w:pPr>
              <w:jc w:val="center"/>
              <w:rPr>
                <w:color w:val="000000" w:themeColor="text1"/>
                <w:highlight w:val="none"/>
                <w14:textFill>
                  <w14:solidFill>
                    <w14:schemeClr w14:val="tx1"/>
                  </w14:solidFill>
                </w14:textFill>
              </w:rPr>
            </w:pPr>
          </w:p>
        </w:tc>
        <w:tc>
          <w:tcPr>
            <w:tcW w:w="673" w:type="dxa"/>
            <w:tcMar>
              <w:left w:w="108" w:type="dxa"/>
              <w:right w:w="108" w:type="dxa"/>
            </w:tcMar>
            <w:vAlign w:val="center"/>
          </w:tcPr>
          <w:p w14:paraId="7783EAE0">
            <w:pPr>
              <w:jc w:val="center"/>
              <w:rPr>
                <w:color w:val="000000" w:themeColor="text1"/>
                <w:highlight w:val="none"/>
                <w14:textFill>
                  <w14:solidFill>
                    <w14:schemeClr w14:val="tx1"/>
                  </w14:solidFill>
                </w14:textFill>
              </w:rPr>
            </w:pPr>
          </w:p>
        </w:tc>
      </w:tr>
      <w:tr w14:paraId="18AB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519E2EFA">
            <w:pPr>
              <w:jc w:val="center"/>
              <w:rPr>
                <w:color w:val="000000" w:themeColor="text1"/>
                <w:highlight w:val="none"/>
                <w14:textFill>
                  <w14:solidFill>
                    <w14:schemeClr w14:val="tx1"/>
                  </w14:solidFill>
                </w14:textFill>
              </w:rPr>
            </w:pPr>
          </w:p>
        </w:tc>
        <w:tc>
          <w:tcPr>
            <w:tcW w:w="1693" w:type="dxa"/>
            <w:vMerge w:val="continue"/>
            <w:tcMar>
              <w:left w:w="108" w:type="dxa"/>
              <w:right w:w="108" w:type="dxa"/>
            </w:tcMar>
            <w:vAlign w:val="center"/>
          </w:tcPr>
          <w:p w14:paraId="64B86F50">
            <w:pPr>
              <w:jc w:val="center"/>
              <w:rPr>
                <w:color w:val="000000" w:themeColor="text1"/>
                <w:highlight w:val="none"/>
                <w14:textFill>
                  <w14:solidFill>
                    <w14:schemeClr w14:val="tx1"/>
                  </w14:solidFill>
                </w14:textFill>
              </w:rPr>
            </w:pPr>
          </w:p>
        </w:tc>
        <w:tc>
          <w:tcPr>
            <w:tcW w:w="751" w:type="dxa"/>
            <w:tcMar>
              <w:left w:w="108" w:type="dxa"/>
              <w:right w:w="108" w:type="dxa"/>
            </w:tcMar>
            <w:vAlign w:val="center"/>
          </w:tcPr>
          <w:p w14:paraId="1353AFD0">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950" w:type="dxa"/>
            <w:tcMar>
              <w:left w:w="108" w:type="dxa"/>
              <w:right w:w="108" w:type="dxa"/>
            </w:tcMar>
            <w:vAlign w:val="center"/>
          </w:tcPr>
          <w:p w14:paraId="02575FFC">
            <w:pPr>
              <w:jc w:val="center"/>
              <w:rPr>
                <w:color w:val="000000" w:themeColor="text1"/>
                <w:highlight w:val="none"/>
                <w14:textFill>
                  <w14:solidFill>
                    <w14:schemeClr w14:val="tx1"/>
                  </w14:solidFill>
                </w14:textFill>
              </w:rPr>
            </w:pPr>
          </w:p>
        </w:tc>
        <w:tc>
          <w:tcPr>
            <w:tcW w:w="1123" w:type="dxa"/>
            <w:tcMar>
              <w:left w:w="108" w:type="dxa"/>
              <w:right w:w="108" w:type="dxa"/>
            </w:tcMar>
            <w:vAlign w:val="center"/>
          </w:tcPr>
          <w:p w14:paraId="030D96B1">
            <w:pPr>
              <w:jc w:val="center"/>
              <w:rPr>
                <w:color w:val="000000" w:themeColor="text1"/>
                <w:highlight w:val="none"/>
                <w14:textFill>
                  <w14:solidFill>
                    <w14:schemeClr w14:val="tx1"/>
                  </w14:solidFill>
                </w14:textFill>
              </w:rPr>
            </w:pPr>
          </w:p>
        </w:tc>
        <w:tc>
          <w:tcPr>
            <w:tcW w:w="1090" w:type="dxa"/>
            <w:tcMar>
              <w:left w:w="108" w:type="dxa"/>
              <w:right w:w="108" w:type="dxa"/>
            </w:tcMar>
            <w:vAlign w:val="center"/>
          </w:tcPr>
          <w:p w14:paraId="0725C7D0">
            <w:pPr>
              <w:jc w:val="center"/>
              <w:rPr>
                <w:color w:val="000000" w:themeColor="text1"/>
                <w:highlight w:val="none"/>
                <w14:textFill>
                  <w14:solidFill>
                    <w14:schemeClr w14:val="tx1"/>
                  </w14:solidFill>
                </w14:textFill>
              </w:rPr>
            </w:pPr>
          </w:p>
        </w:tc>
        <w:tc>
          <w:tcPr>
            <w:tcW w:w="1197" w:type="dxa"/>
            <w:tcMar>
              <w:left w:w="108" w:type="dxa"/>
              <w:right w:w="108" w:type="dxa"/>
            </w:tcMar>
            <w:vAlign w:val="center"/>
          </w:tcPr>
          <w:p w14:paraId="120AD484">
            <w:pPr>
              <w:jc w:val="center"/>
              <w:rPr>
                <w:color w:val="000000" w:themeColor="text1"/>
                <w:highlight w:val="none"/>
                <w14:textFill>
                  <w14:solidFill>
                    <w14:schemeClr w14:val="tx1"/>
                  </w14:solidFill>
                </w14:textFill>
              </w:rPr>
            </w:pPr>
          </w:p>
        </w:tc>
        <w:tc>
          <w:tcPr>
            <w:tcW w:w="1268" w:type="dxa"/>
          </w:tcPr>
          <w:p w14:paraId="119CC2F3">
            <w:pPr>
              <w:jc w:val="center"/>
              <w:rPr>
                <w:color w:val="000000" w:themeColor="text1"/>
                <w:highlight w:val="none"/>
                <w14:textFill>
                  <w14:solidFill>
                    <w14:schemeClr w14:val="tx1"/>
                  </w14:solidFill>
                </w14:textFill>
              </w:rPr>
            </w:pPr>
          </w:p>
        </w:tc>
        <w:tc>
          <w:tcPr>
            <w:tcW w:w="673" w:type="dxa"/>
            <w:tcMar>
              <w:left w:w="108" w:type="dxa"/>
              <w:right w:w="108" w:type="dxa"/>
            </w:tcMar>
            <w:vAlign w:val="center"/>
          </w:tcPr>
          <w:p w14:paraId="7F3B3C0F">
            <w:pPr>
              <w:jc w:val="center"/>
              <w:rPr>
                <w:color w:val="000000" w:themeColor="text1"/>
                <w:highlight w:val="none"/>
                <w14:textFill>
                  <w14:solidFill>
                    <w14:schemeClr w14:val="tx1"/>
                  </w14:solidFill>
                </w14:textFill>
              </w:rPr>
            </w:pPr>
          </w:p>
        </w:tc>
      </w:tr>
      <w:tr w14:paraId="2887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367C036B">
            <w:pPr>
              <w:jc w:val="center"/>
              <w:rPr>
                <w:color w:val="000000" w:themeColor="text1"/>
                <w:highlight w:val="none"/>
                <w14:textFill>
                  <w14:solidFill>
                    <w14:schemeClr w14:val="tx1"/>
                  </w14:solidFill>
                </w14:textFill>
              </w:rPr>
            </w:pPr>
          </w:p>
        </w:tc>
        <w:tc>
          <w:tcPr>
            <w:tcW w:w="1693" w:type="dxa"/>
            <w:vMerge w:val="restart"/>
            <w:tcMar>
              <w:left w:w="108" w:type="dxa"/>
              <w:right w:w="108" w:type="dxa"/>
            </w:tcMar>
            <w:vAlign w:val="center"/>
          </w:tcPr>
          <w:p w14:paraId="34C9FCFD">
            <w:pPr>
              <w:jc w:val="center"/>
              <w:rPr>
                <w:color w:val="000000" w:themeColor="text1"/>
                <w:highlight w:val="none"/>
                <w14:textFill>
                  <w14:solidFill>
                    <w14:schemeClr w14:val="tx1"/>
                  </w14:solidFill>
                </w14:textFill>
              </w:rPr>
            </w:pPr>
          </w:p>
        </w:tc>
        <w:tc>
          <w:tcPr>
            <w:tcW w:w="751" w:type="dxa"/>
            <w:tcMar>
              <w:left w:w="108" w:type="dxa"/>
              <w:right w:w="108" w:type="dxa"/>
            </w:tcMar>
            <w:vAlign w:val="center"/>
          </w:tcPr>
          <w:p w14:paraId="175B0D33">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950" w:type="dxa"/>
            <w:tcMar>
              <w:left w:w="108" w:type="dxa"/>
              <w:right w:w="108" w:type="dxa"/>
            </w:tcMar>
            <w:vAlign w:val="center"/>
          </w:tcPr>
          <w:p w14:paraId="5BD55113">
            <w:pPr>
              <w:jc w:val="center"/>
              <w:rPr>
                <w:color w:val="000000" w:themeColor="text1"/>
                <w:highlight w:val="none"/>
                <w14:textFill>
                  <w14:solidFill>
                    <w14:schemeClr w14:val="tx1"/>
                  </w14:solidFill>
                </w14:textFill>
              </w:rPr>
            </w:pPr>
          </w:p>
        </w:tc>
        <w:tc>
          <w:tcPr>
            <w:tcW w:w="1123" w:type="dxa"/>
            <w:tcMar>
              <w:left w:w="108" w:type="dxa"/>
              <w:right w:w="108" w:type="dxa"/>
            </w:tcMar>
            <w:vAlign w:val="center"/>
          </w:tcPr>
          <w:p w14:paraId="462F1859">
            <w:pPr>
              <w:jc w:val="center"/>
              <w:rPr>
                <w:color w:val="000000" w:themeColor="text1"/>
                <w:highlight w:val="none"/>
                <w14:textFill>
                  <w14:solidFill>
                    <w14:schemeClr w14:val="tx1"/>
                  </w14:solidFill>
                </w14:textFill>
              </w:rPr>
            </w:pPr>
          </w:p>
        </w:tc>
        <w:tc>
          <w:tcPr>
            <w:tcW w:w="1090" w:type="dxa"/>
            <w:tcMar>
              <w:left w:w="108" w:type="dxa"/>
              <w:right w:w="108" w:type="dxa"/>
            </w:tcMar>
            <w:vAlign w:val="center"/>
          </w:tcPr>
          <w:p w14:paraId="42858177">
            <w:pPr>
              <w:jc w:val="center"/>
              <w:rPr>
                <w:color w:val="000000" w:themeColor="text1"/>
                <w:highlight w:val="none"/>
                <w14:textFill>
                  <w14:solidFill>
                    <w14:schemeClr w14:val="tx1"/>
                  </w14:solidFill>
                </w14:textFill>
              </w:rPr>
            </w:pPr>
          </w:p>
        </w:tc>
        <w:tc>
          <w:tcPr>
            <w:tcW w:w="1197" w:type="dxa"/>
            <w:tcMar>
              <w:left w:w="108" w:type="dxa"/>
              <w:right w:w="108" w:type="dxa"/>
            </w:tcMar>
            <w:vAlign w:val="center"/>
          </w:tcPr>
          <w:p w14:paraId="73FDFB31">
            <w:pPr>
              <w:jc w:val="center"/>
              <w:rPr>
                <w:color w:val="000000" w:themeColor="text1"/>
                <w:highlight w:val="none"/>
                <w14:textFill>
                  <w14:solidFill>
                    <w14:schemeClr w14:val="tx1"/>
                  </w14:solidFill>
                </w14:textFill>
              </w:rPr>
            </w:pPr>
          </w:p>
        </w:tc>
        <w:tc>
          <w:tcPr>
            <w:tcW w:w="1268" w:type="dxa"/>
          </w:tcPr>
          <w:p w14:paraId="1BAACFA3">
            <w:pPr>
              <w:jc w:val="center"/>
              <w:rPr>
                <w:color w:val="000000" w:themeColor="text1"/>
                <w:highlight w:val="none"/>
                <w14:textFill>
                  <w14:solidFill>
                    <w14:schemeClr w14:val="tx1"/>
                  </w14:solidFill>
                </w14:textFill>
              </w:rPr>
            </w:pPr>
          </w:p>
        </w:tc>
        <w:tc>
          <w:tcPr>
            <w:tcW w:w="673" w:type="dxa"/>
            <w:tcMar>
              <w:left w:w="108" w:type="dxa"/>
              <w:right w:w="108" w:type="dxa"/>
            </w:tcMar>
            <w:vAlign w:val="center"/>
          </w:tcPr>
          <w:p w14:paraId="467E3DDF">
            <w:pPr>
              <w:jc w:val="center"/>
              <w:rPr>
                <w:color w:val="000000" w:themeColor="text1"/>
                <w:highlight w:val="none"/>
                <w14:textFill>
                  <w14:solidFill>
                    <w14:schemeClr w14:val="tx1"/>
                  </w14:solidFill>
                </w14:textFill>
              </w:rPr>
            </w:pPr>
          </w:p>
        </w:tc>
      </w:tr>
      <w:tr w14:paraId="4300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00BC04A3">
            <w:pPr>
              <w:jc w:val="center"/>
              <w:rPr>
                <w:color w:val="000000" w:themeColor="text1"/>
                <w:highlight w:val="none"/>
                <w14:textFill>
                  <w14:solidFill>
                    <w14:schemeClr w14:val="tx1"/>
                  </w14:solidFill>
                </w14:textFill>
              </w:rPr>
            </w:pPr>
          </w:p>
        </w:tc>
        <w:tc>
          <w:tcPr>
            <w:tcW w:w="1693" w:type="dxa"/>
            <w:vMerge w:val="continue"/>
            <w:tcMar>
              <w:left w:w="108" w:type="dxa"/>
              <w:right w:w="108" w:type="dxa"/>
            </w:tcMar>
            <w:vAlign w:val="center"/>
          </w:tcPr>
          <w:p w14:paraId="7D54D0B9">
            <w:pPr>
              <w:jc w:val="center"/>
              <w:rPr>
                <w:color w:val="000000" w:themeColor="text1"/>
                <w:highlight w:val="none"/>
                <w14:textFill>
                  <w14:solidFill>
                    <w14:schemeClr w14:val="tx1"/>
                  </w14:solidFill>
                </w14:textFill>
              </w:rPr>
            </w:pPr>
          </w:p>
        </w:tc>
        <w:tc>
          <w:tcPr>
            <w:tcW w:w="751" w:type="dxa"/>
            <w:tcMar>
              <w:left w:w="108" w:type="dxa"/>
              <w:right w:w="108" w:type="dxa"/>
            </w:tcMar>
            <w:vAlign w:val="center"/>
          </w:tcPr>
          <w:p w14:paraId="429D89E1">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950" w:type="dxa"/>
            <w:tcMar>
              <w:left w:w="108" w:type="dxa"/>
              <w:right w:w="108" w:type="dxa"/>
            </w:tcMar>
            <w:vAlign w:val="center"/>
          </w:tcPr>
          <w:p w14:paraId="47ADDA3E">
            <w:pPr>
              <w:jc w:val="center"/>
              <w:rPr>
                <w:color w:val="000000" w:themeColor="text1"/>
                <w:highlight w:val="none"/>
                <w14:textFill>
                  <w14:solidFill>
                    <w14:schemeClr w14:val="tx1"/>
                  </w14:solidFill>
                </w14:textFill>
              </w:rPr>
            </w:pPr>
          </w:p>
        </w:tc>
        <w:tc>
          <w:tcPr>
            <w:tcW w:w="1123" w:type="dxa"/>
            <w:tcMar>
              <w:left w:w="108" w:type="dxa"/>
              <w:right w:w="108" w:type="dxa"/>
            </w:tcMar>
            <w:vAlign w:val="center"/>
          </w:tcPr>
          <w:p w14:paraId="5AAD8621">
            <w:pPr>
              <w:jc w:val="center"/>
              <w:rPr>
                <w:color w:val="000000" w:themeColor="text1"/>
                <w:highlight w:val="none"/>
                <w14:textFill>
                  <w14:solidFill>
                    <w14:schemeClr w14:val="tx1"/>
                  </w14:solidFill>
                </w14:textFill>
              </w:rPr>
            </w:pPr>
          </w:p>
        </w:tc>
        <w:tc>
          <w:tcPr>
            <w:tcW w:w="1090" w:type="dxa"/>
            <w:tcMar>
              <w:left w:w="108" w:type="dxa"/>
              <w:right w:w="108" w:type="dxa"/>
            </w:tcMar>
            <w:vAlign w:val="center"/>
          </w:tcPr>
          <w:p w14:paraId="0D42749C">
            <w:pPr>
              <w:jc w:val="center"/>
              <w:rPr>
                <w:color w:val="000000" w:themeColor="text1"/>
                <w:highlight w:val="none"/>
                <w14:textFill>
                  <w14:solidFill>
                    <w14:schemeClr w14:val="tx1"/>
                  </w14:solidFill>
                </w14:textFill>
              </w:rPr>
            </w:pPr>
          </w:p>
        </w:tc>
        <w:tc>
          <w:tcPr>
            <w:tcW w:w="1197" w:type="dxa"/>
            <w:tcMar>
              <w:left w:w="108" w:type="dxa"/>
              <w:right w:w="108" w:type="dxa"/>
            </w:tcMar>
            <w:vAlign w:val="center"/>
          </w:tcPr>
          <w:p w14:paraId="742C4D5E">
            <w:pPr>
              <w:jc w:val="center"/>
              <w:rPr>
                <w:color w:val="000000" w:themeColor="text1"/>
                <w:highlight w:val="none"/>
                <w14:textFill>
                  <w14:solidFill>
                    <w14:schemeClr w14:val="tx1"/>
                  </w14:solidFill>
                </w14:textFill>
              </w:rPr>
            </w:pPr>
          </w:p>
        </w:tc>
        <w:tc>
          <w:tcPr>
            <w:tcW w:w="1268" w:type="dxa"/>
          </w:tcPr>
          <w:p w14:paraId="1E583BA0">
            <w:pPr>
              <w:jc w:val="center"/>
              <w:rPr>
                <w:color w:val="000000" w:themeColor="text1"/>
                <w:highlight w:val="none"/>
                <w14:textFill>
                  <w14:solidFill>
                    <w14:schemeClr w14:val="tx1"/>
                  </w14:solidFill>
                </w14:textFill>
              </w:rPr>
            </w:pPr>
          </w:p>
        </w:tc>
        <w:tc>
          <w:tcPr>
            <w:tcW w:w="673" w:type="dxa"/>
            <w:tcMar>
              <w:left w:w="108" w:type="dxa"/>
              <w:right w:w="108" w:type="dxa"/>
            </w:tcMar>
            <w:vAlign w:val="center"/>
          </w:tcPr>
          <w:p w14:paraId="58E0AA1D">
            <w:pPr>
              <w:jc w:val="center"/>
              <w:rPr>
                <w:color w:val="000000" w:themeColor="text1"/>
                <w:highlight w:val="none"/>
                <w14:textFill>
                  <w14:solidFill>
                    <w14:schemeClr w14:val="tx1"/>
                  </w14:solidFill>
                </w14:textFill>
              </w:rPr>
            </w:pPr>
          </w:p>
        </w:tc>
      </w:tr>
      <w:tr w14:paraId="21B8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6CF3810D">
            <w:pPr>
              <w:jc w:val="center"/>
              <w:rPr>
                <w:color w:val="000000" w:themeColor="text1"/>
                <w:highlight w:val="none"/>
                <w14:textFill>
                  <w14:solidFill>
                    <w14:schemeClr w14:val="tx1"/>
                  </w14:solidFill>
                </w14:textFill>
              </w:rPr>
            </w:pPr>
          </w:p>
        </w:tc>
        <w:tc>
          <w:tcPr>
            <w:tcW w:w="1693" w:type="dxa"/>
            <w:vMerge w:val="continue"/>
            <w:tcMar>
              <w:left w:w="108" w:type="dxa"/>
              <w:right w:w="108" w:type="dxa"/>
            </w:tcMar>
            <w:vAlign w:val="center"/>
          </w:tcPr>
          <w:p w14:paraId="3CECA2EB">
            <w:pPr>
              <w:jc w:val="center"/>
              <w:rPr>
                <w:color w:val="000000" w:themeColor="text1"/>
                <w:highlight w:val="none"/>
                <w14:textFill>
                  <w14:solidFill>
                    <w14:schemeClr w14:val="tx1"/>
                  </w14:solidFill>
                </w14:textFill>
              </w:rPr>
            </w:pPr>
          </w:p>
        </w:tc>
        <w:tc>
          <w:tcPr>
            <w:tcW w:w="751" w:type="dxa"/>
            <w:tcMar>
              <w:left w:w="108" w:type="dxa"/>
              <w:right w:w="108" w:type="dxa"/>
            </w:tcMar>
            <w:vAlign w:val="center"/>
          </w:tcPr>
          <w:p w14:paraId="79A49BEB">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950" w:type="dxa"/>
            <w:tcMar>
              <w:left w:w="108" w:type="dxa"/>
              <w:right w:w="108" w:type="dxa"/>
            </w:tcMar>
            <w:vAlign w:val="center"/>
          </w:tcPr>
          <w:p w14:paraId="63DB5F5D">
            <w:pPr>
              <w:jc w:val="center"/>
              <w:rPr>
                <w:color w:val="000000" w:themeColor="text1"/>
                <w:highlight w:val="none"/>
                <w14:textFill>
                  <w14:solidFill>
                    <w14:schemeClr w14:val="tx1"/>
                  </w14:solidFill>
                </w14:textFill>
              </w:rPr>
            </w:pPr>
          </w:p>
        </w:tc>
        <w:tc>
          <w:tcPr>
            <w:tcW w:w="1123" w:type="dxa"/>
            <w:tcMar>
              <w:left w:w="108" w:type="dxa"/>
              <w:right w:w="108" w:type="dxa"/>
            </w:tcMar>
            <w:vAlign w:val="center"/>
          </w:tcPr>
          <w:p w14:paraId="5F7DCEF3">
            <w:pPr>
              <w:jc w:val="center"/>
              <w:rPr>
                <w:color w:val="000000" w:themeColor="text1"/>
                <w:highlight w:val="none"/>
                <w14:textFill>
                  <w14:solidFill>
                    <w14:schemeClr w14:val="tx1"/>
                  </w14:solidFill>
                </w14:textFill>
              </w:rPr>
            </w:pPr>
          </w:p>
        </w:tc>
        <w:tc>
          <w:tcPr>
            <w:tcW w:w="1090" w:type="dxa"/>
            <w:tcMar>
              <w:left w:w="108" w:type="dxa"/>
              <w:right w:w="108" w:type="dxa"/>
            </w:tcMar>
            <w:vAlign w:val="center"/>
          </w:tcPr>
          <w:p w14:paraId="7E55569D">
            <w:pPr>
              <w:jc w:val="center"/>
              <w:rPr>
                <w:color w:val="000000" w:themeColor="text1"/>
                <w:highlight w:val="none"/>
                <w14:textFill>
                  <w14:solidFill>
                    <w14:schemeClr w14:val="tx1"/>
                  </w14:solidFill>
                </w14:textFill>
              </w:rPr>
            </w:pPr>
          </w:p>
        </w:tc>
        <w:tc>
          <w:tcPr>
            <w:tcW w:w="1197" w:type="dxa"/>
            <w:tcMar>
              <w:left w:w="108" w:type="dxa"/>
              <w:right w:w="108" w:type="dxa"/>
            </w:tcMar>
            <w:vAlign w:val="center"/>
          </w:tcPr>
          <w:p w14:paraId="4D0D64F5">
            <w:pPr>
              <w:jc w:val="center"/>
              <w:rPr>
                <w:color w:val="000000" w:themeColor="text1"/>
                <w:highlight w:val="none"/>
                <w14:textFill>
                  <w14:solidFill>
                    <w14:schemeClr w14:val="tx1"/>
                  </w14:solidFill>
                </w14:textFill>
              </w:rPr>
            </w:pPr>
          </w:p>
        </w:tc>
        <w:tc>
          <w:tcPr>
            <w:tcW w:w="1268" w:type="dxa"/>
          </w:tcPr>
          <w:p w14:paraId="23FE67C2">
            <w:pPr>
              <w:jc w:val="center"/>
              <w:rPr>
                <w:color w:val="000000" w:themeColor="text1"/>
                <w:highlight w:val="none"/>
                <w14:textFill>
                  <w14:solidFill>
                    <w14:schemeClr w14:val="tx1"/>
                  </w14:solidFill>
                </w14:textFill>
              </w:rPr>
            </w:pPr>
          </w:p>
        </w:tc>
        <w:tc>
          <w:tcPr>
            <w:tcW w:w="673" w:type="dxa"/>
            <w:tcMar>
              <w:left w:w="108" w:type="dxa"/>
              <w:right w:w="108" w:type="dxa"/>
            </w:tcMar>
            <w:vAlign w:val="center"/>
          </w:tcPr>
          <w:p w14:paraId="64D4403C">
            <w:pPr>
              <w:jc w:val="center"/>
              <w:rPr>
                <w:color w:val="000000" w:themeColor="text1"/>
                <w:highlight w:val="none"/>
                <w14:textFill>
                  <w14:solidFill>
                    <w14:schemeClr w14:val="tx1"/>
                  </w14:solidFill>
                </w14:textFill>
              </w:rPr>
            </w:pPr>
          </w:p>
        </w:tc>
      </w:tr>
    </w:tbl>
    <w:p w14:paraId="7396B335">
      <w:pPr>
        <w:spacing w:line="440" w:lineRule="exact"/>
        <w:ind w:right="420" w:firstLine="480" w:firstLineChars="200"/>
        <w:rPr>
          <w:rFonts w:cs="宋体"/>
          <w:color w:val="000000" w:themeColor="text1"/>
          <w:sz w:val="24"/>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备注：1.若无分包计划，则供应商应在本表填写“无”。</w:t>
      </w:r>
    </w:p>
    <w:p w14:paraId="05D28D0C">
      <w:pPr>
        <w:spacing w:line="440" w:lineRule="exact"/>
        <w:ind w:right="420" w:firstLine="1200" w:firstLineChars="500"/>
        <w:rPr>
          <w:color w:val="000000" w:themeColor="text1"/>
          <w:sz w:val="24"/>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2.本表所列分包仅限于承包人自行施工范围内的非主体、非关键工程。</w:t>
      </w:r>
    </w:p>
    <w:p w14:paraId="68435E5F">
      <w:pPr>
        <w:adjustRightInd w:val="0"/>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7406D947">
      <w:pPr>
        <w:spacing w:line="360" w:lineRule="auto"/>
        <w:ind w:right="-817" w:rightChars="-389"/>
        <w:contextualSpacing/>
        <w:rPr>
          <w:rFonts w:hint="eastAsia" w:ascii="宋体" w:hAnsi="宋体" w:cs="仿宋_GB2312"/>
          <w:color w:val="000000" w:themeColor="text1"/>
          <w:sz w:val="24"/>
          <w:highlight w:val="none"/>
          <w14:textFill>
            <w14:solidFill>
              <w14:schemeClr w14:val="tx1"/>
            </w14:solidFill>
          </w14:textFill>
        </w:rPr>
      </w:pPr>
    </w:p>
    <w:p w14:paraId="7B4DAEC0">
      <w:pPr>
        <w:spacing w:line="360" w:lineRule="auto"/>
        <w:ind w:right="-817" w:rightChars="-389"/>
        <w:contextualSpacing/>
        <w:rPr>
          <w:rFonts w:hint="eastAsia" w:ascii="宋体" w:hAnsi="宋体" w:cs="仿宋_GB2312"/>
          <w:color w:val="000000" w:themeColor="text1"/>
          <w:sz w:val="24"/>
          <w:highlight w:val="none"/>
          <w14:textFill>
            <w14:solidFill>
              <w14:schemeClr w14:val="tx1"/>
            </w14:solidFill>
          </w14:textFill>
        </w:rPr>
      </w:pPr>
    </w:p>
    <w:p w14:paraId="5695B273">
      <w:pPr>
        <w:spacing w:line="360" w:lineRule="auto"/>
        <w:ind w:right="-817" w:rightChars="-389"/>
        <w:contextualSpacing/>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法定代表人或者委托代理人（签字或盖章</w:t>
      </w:r>
      <w:r>
        <w:rPr>
          <w:rFonts w:hint="eastAsia" w:ascii="宋体" w:hAnsi="宋体"/>
          <w:color w:val="000000" w:themeColor="text1"/>
          <w:sz w:val="24"/>
          <w:highlight w:val="none"/>
          <w14:textFill>
            <w14:solidFill>
              <w14:schemeClr w14:val="tx1"/>
            </w14:solidFill>
          </w14:textFill>
        </w:rPr>
        <w:t>或电子签名</w:t>
      </w:r>
      <w:r>
        <w:rPr>
          <w:rFonts w:hint="eastAsia" w:ascii="宋体" w:hAnsi="宋体" w:cs="仿宋_GB2312"/>
          <w:color w:val="000000" w:themeColor="text1"/>
          <w:sz w:val="24"/>
          <w:highlight w:val="none"/>
          <w14:textFill>
            <w14:solidFill>
              <w14:schemeClr w14:val="tx1"/>
            </w14:solidFill>
          </w14:textFill>
        </w:rPr>
        <w:t>）：</w:t>
      </w:r>
    </w:p>
    <w:p w14:paraId="3C2DD34C">
      <w:pPr>
        <w:spacing w:line="360" w:lineRule="auto"/>
        <w:ind w:right="-817" w:rightChars="-389" w:firstLine="2640" w:firstLineChars="11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14:paraId="5BD83378">
      <w:pPr>
        <w:spacing w:line="360" w:lineRule="auto"/>
        <w:ind w:right="-817" w:rightChars="-389" w:firstLine="4080" w:firstLineChars="17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74E99890">
      <w:pPr>
        <w:adjustRightInd w:val="0"/>
        <w:snapToGrid w:val="0"/>
        <w:spacing w:line="300" w:lineRule="auto"/>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项目管理机构配备情况表</w:t>
      </w:r>
    </w:p>
    <w:p w14:paraId="59A62092">
      <w:pPr>
        <w:adjustRightInd w:val="0"/>
        <w:snapToGrid w:val="0"/>
        <w:spacing w:line="300" w:lineRule="auto"/>
        <w:jc w:val="center"/>
        <w:rPr>
          <w:rFonts w:hint="eastAsia" w:ascii="宋体" w:hAnsi="宋体"/>
          <w:b/>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及主要人员简历表</w:t>
      </w:r>
    </w:p>
    <w:p w14:paraId="6B9DC14F">
      <w:pPr>
        <w:snapToGrid w:val="0"/>
        <w:spacing w:before="156" w:beforeLines="50" w:after="50"/>
        <w:jc w:val="center"/>
        <w:outlineLvl w:val="4"/>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（一）项目管理机构配备情况表</w:t>
      </w:r>
    </w:p>
    <w:p w14:paraId="49CD54E6">
      <w:pPr>
        <w:pStyle w:val="25"/>
        <w:spacing w:line="360" w:lineRule="auto"/>
        <w:contextualSpacing/>
        <w:rPr>
          <w:color w:val="000000" w:themeColor="text1"/>
          <w:sz w:val="24"/>
          <w:szCs w:val="24"/>
          <w:highlight w:val="none"/>
          <w14:textFill>
            <w14:solidFill>
              <w14:schemeClr w14:val="tx1"/>
            </w14:solidFill>
          </w14:textFill>
        </w:rPr>
      </w:pPr>
      <w:r>
        <w:rPr>
          <w:rFonts w:hint="eastAsia" w:hAnsi="宋体" w:cs="仿宋_GB2312"/>
          <w:color w:val="000000" w:themeColor="text1"/>
          <w:sz w:val="24"/>
          <w:highlight w:val="none"/>
          <w14:textFill>
            <w14:solidFill>
              <w14:schemeClr w14:val="tx1"/>
            </w14:solidFill>
          </w14:textFill>
        </w:rPr>
        <w:t>分标（如有）</w:t>
      </w:r>
      <w:r>
        <w:rPr>
          <w:rFonts w:hint="eastAsia"/>
          <w:color w:val="000000" w:themeColor="text1"/>
          <w:sz w:val="24"/>
          <w:szCs w:val="24"/>
          <w:highlight w:val="none"/>
          <w14:textFill>
            <w14:solidFill>
              <w14:schemeClr w14:val="tx1"/>
            </w14:solidFill>
          </w14:textFill>
        </w:rPr>
        <w:t>：</w:t>
      </w:r>
    </w:p>
    <w:tbl>
      <w:tblPr>
        <w:tblStyle w:val="45"/>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3B00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68B3B787">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岗位</w:t>
            </w:r>
          </w:p>
        </w:tc>
        <w:tc>
          <w:tcPr>
            <w:tcW w:w="670" w:type="dxa"/>
            <w:vMerge w:val="restart"/>
            <w:vAlign w:val="center"/>
          </w:tcPr>
          <w:p w14:paraId="23E19013">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姓名</w:t>
            </w:r>
          </w:p>
        </w:tc>
        <w:tc>
          <w:tcPr>
            <w:tcW w:w="829" w:type="dxa"/>
            <w:vMerge w:val="restart"/>
            <w:vAlign w:val="center"/>
          </w:tcPr>
          <w:p w14:paraId="4D6CEBFD">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身份证号</w:t>
            </w:r>
          </w:p>
        </w:tc>
        <w:tc>
          <w:tcPr>
            <w:tcW w:w="816" w:type="dxa"/>
            <w:vMerge w:val="restart"/>
            <w:vAlign w:val="center"/>
          </w:tcPr>
          <w:p w14:paraId="5A2DB13D">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职称</w:t>
            </w:r>
          </w:p>
        </w:tc>
        <w:tc>
          <w:tcPr>
            <w:tcW w:w="4188" w:type="dxa"/>
            <w:gridSpan w:val="4"/>
            <w:vAlign w:val="center"/>
          </w:tcPr>
          <w:p w14:paraId="09364B43">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执业或职业资格</w:t>
            </w:r>
          </w:p>
        </w:tc>
        <w:tc>
          <w:tcPr>
            <w:tcW w:w="2443" w:type="dxa"/>
            <w:gridSpan w:val="2"/>
            <w:vAlign w:val="center"/>
          </w:tcPr>
          <w:p w14:paraId="09C725D7">
            <w:pPr>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承担完工</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在建工程情况</w:t>
            </w:r>
          </w:p>
        </w:tc>
      </w:tr>
      <w:tr w14:paraId="35D8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029BCFB5">
            <w:pPr>
              <w:ind w:left="223" w:hanging="222" w:hangingChars="106"/>
              <w:jc w:val="center"/>
              <w:rPr>
                <w:color w:val="000000" w:themeColor="text1"/>
                <w:highlight w:val="none"/>
                <w14:textFill>
                  <w14:solidFill>
                    <w14:schemeClr w14:val="tx1"/>
                  </w14:solidFill>
                </w14:textFill>
              </w:rPr>
            </w:pPr>
          </w:p>
        </w:tc>
        <w:tc>
          <w:tcPr>
            <w:tcW w:w="670" w:type="dxa"/>
            <w:vMerge w:val="continue"/>
            <w:vAlign w:val="center"/>
          </w:tcPr>
          <w:p w14:paraId="35F8D13B">
            <w:pPr>
              <w:ind w:left="223" w:hanging="222" w:hangingChars="106"/>
              <w:jc w:val="center"/>
              <w:rPr>
                <w:color w:val="000000" w:themeColor="text1"/>
                <w:highlight w:val="none"/>
                <w14:textFill>
                  <w14:solidFill>
                    <w14:schemeClr w14:val="tx1"/>
                  </w14:solidFill>
                </w14:textFill>
              </w:rPr>
            </w:pPr>
          </w:p>
        </w:tc>
        <w:tc>
          <w:tcPr>
            <w:tcW w:w="829" w:type="dxa"/>
            <w:vMerge w:val="continue"/>
            <w:vAlign w:val="center"/>
          </w:tcPr>
          <w:p w14:paraId="50F331B9">
            <w:pPr>
              <w:ind w:left="223" w:hanging="222" w:hangingChars="106"/>
              <w:jc w:val="center"/>
              <w:rPr>
                <w:color w:val="000000" w:themeColor="text1"/>
                <w:highlight w:val="none"/>
                <w14:textFill>
                  <w14:solidFill>
                    <w14:schemeClr w14:val="tx1"/>
                  </w14:solidFill>
                </w14:textFill>
              </w:rPr>
            </w:pPr>
          </w:p>
        </w:tc>
        <w:tc>
          <w:tcPr>
            <w:tcW w:w="816" w:type="dxa"/>
            <w:vMerge w:val="continue"/>
            <w:vAlign w:val="center"/>
          </w:tcPr>
          <w:p w14:paraId="76FA9DF4">
            <w:pPr>
              <w:ind w:left="223" w:hanging="222" w:hangingChars="106"/>
              <w:jc w:val="center"/>
              <w:rPr>
                <w:color w:val="000000" w:themeColor="text1"/>
                <w:highlight w:val="none"/>
                <w14:textFill>
                  <w14:solidFill>
                    <w14:schemeClr w14:val="tx1"/>
                  </w14:solidFill>
                </w14:textFill>
              </w:rPr>
            </w:pPr>
          </w:p>
        </w:tc>
        <w:tc>
          <w:tcPr>
            <w:tcW w:w="1148" w:type="dxa"/>
            <w:vAlign w:val="center"/>
          </w:tcPr>
          <w:p w14:paraId="69B408F8">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证书名称</w:t>
            </w:r>
          </w:p>
        </w:tc>
        <w:tc>
          <w:tcPr>
            <w:tcW w:w="1148" w:type="dxa"/>
            <w:vAlign w:val="center"/>
          </w:tcPr>
          <w:p w14:paraId="457CA658">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148" w:type="dxa"/>
            <w:vAlign w:val="center"/>
          </w:tcPr>
          <w:p w14:paraId="45857C5E">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证号</w:t>
            </w:r>
          </w:p>
        </w:tc>
        <w:tc>
          <w:tcPr>
            <w:tcW w:w="744" w:type="dxa"/>
            <w:vAlign w:val="center"/>
          </w:tcPr>
          <w:p w14:paraId="3320FE8B">
            <w:pPr>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专业</w:t>
            </w:r>
          </w:p>
        </w:tc>
        <w:tc>
          <w:tcPr>
            <w:tcW w:w="1167" w:type="dxa"/>
            <w:vAlign w:val="center"/>
          </w:tcPr>
          <w:p w14:paraId="104F55E3">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完工/在建</w:t>
            </w:r>
          </w:p>
        </w:tc>
        <w:tc>
          <w:tcPr>
            <w:tcW w:w="1276" w:type="dxa"/>
            <w:vAlign w:val="center"/>
          </w:tcPr>
          <w:p w14:paraId="0F5E249E">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主要项目</w:t>
            </w:r>
          </w:p>
          <w:p w14:paraId="4E3663E0">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名称</w:t>
            </w:r>
          </w:p>
        </w:tc>
      </w:tr>
      <w:tr w14:paraId="1F25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509D089">
            <w:pPr>
              <w:pStyle w:val="173"/>
              <w:spacing w:line="240" w:lineRule="auto"/>
              <w:ind w:firstLine="0"/>
              <w:rPr>
                <w:rFonts w:hint="eastAsia"/>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1.</w:t>
            </w:r>
            <w:r>
              <w:rPr>
                <w:color w:val="000000" w:themeColor="text1"/>
                <w:sz w:val="21"/>
                <w:szCs w:val="21"/>
                <w:highlight w:val="none"/>
                <w14:textFill>
                  <w14:solidFill>
                    <w14:schemeClr w14:val="tx1"/>
                  </w14:solidFill>
                </w14:textFill>
              </w:rPr>
              <w:t>项目经理</w:t>
            </w:r>
          </w:p>
        </w:tc>
        <w:tc>
          <w:tcPr>
            <w:tcW w:w="670" w:type="dxa"/>
            <w:vAlign w:val="center"/>
          </w:tcPr>
          <w:p w14:paraId="0EB32F0B">
            <w:pPr>
              <w:ind w:left="223" w:hanging="222" w:hangingChars="106"/>
              <w:jc w:val="center"/>
              <w:rPr>
                <w:color w:val="000000" w:themeColor="text1"/>
                <w:szCs w:val="21"/>
                <w:highlight w:val="none"/>
                <w14:textFill>
                  <w14:solidFill>
                    <w14:schemeClr w14:val="tx1"/>
                  </w14:solidFill>
                </w14:textFill>
              </w:rPr>
            </w:pPr>
          </w:p>
        </w:tc>
        <w:tc>
          <w:tcPr>
            <w:tcW w:w="829" w:type="dxa"/>
            <w:vAlign w:val="center"/>
          </w:tcPr>
          <w:p w14:paraId="646FCD02">
            <w:pPr>
              <w:ind w:left="223" w:hanging="222" w:hangingChars="106"/>
              <w:jc w:val="center"/>
              <w:rPr>
                <w:color w:val="000000" w:themeColor="text1"/>
                <w:szCs w:val="21"/>
                <w:highlight w:val="none"/>
                <w14:textFill>
                  <w14:solidFill>
                    <w14:schemeClr w14:val="tx1"/>
                  </w14:solidFill>
                </w14:textFill>
              </w:rPr>
            </w:pPr>
          </w:p>
        </w:tc>
        <w:tc>
          <w:tcPr>
            <w:tcW w:w="816" w:type="dxa"/>
            <w:vAlign w:val="center"/>
          </w:tcPr>
          <w:p w14:paraId="3980C058">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50ED0447">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0C2AF9E8">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66DD2C1B">
            <w:pPr>
              <w:ind w:left="223" w:hanging="222" w:hangingChars="106"/>
              <w:jc w:val="center"/>
              <w:rPr>
                <w:color w:val="000000" w:themeColor="text1"/>
                <w:szCs w:val="21"/>
                <w:highlight w:val="none"/>
                <w14:textFill>
                  <w14:solidFill>
                    <w14:schemeClr w14:val="tx1"/>
                  </w14:solidFill>
                </w14:textFill>
              </w:rPr>
            </w:pPr>
          </w:p>
        </w:tc>
        <w:tc>
          <w:tcPr>
            <w:tcW w:w="744" w:type="dxa"/>
            <w:vAlign w:val="center"/>
          </w:tcPr>
          <w:p w14:paraId="442E8FAB">
            <w:pPr>
              <w:ind w:left="223" w:hanging="222" w:hangingChars="106"/>
              <w:jc w:val="center"/>
              <w:rPr>
                <w:color w:val="000000" w:themeColor="text1"/>
                <w:szCs w:val="21"/>
                <w:highlight w:val="none"/>
                <w14:textFill>
                  <w14:solidFill>
                    <w14:schemeClr w14:val="tx1"/>
                  </w14:solidFill>
                </w14:textFill>
              </w:rPr>
            </w:pPr>
          </w:p>
        </w:tc>
        <w:tc>
          <w:tcPr>
            <w:tcW w:w="1167" w:type="dxa"/>
            <w:vAlign w:val="center"/>
          </w:tcPr>
          <w:p w14:paraId="4DE5A275">
            <w:pPr>
              <w:ind w:left="223" w:hanging="222" w:hangingChars="106"/>
              <w:jc w:val="center"/>
              <w:rPr>
                <w:color w:val="000000" w:themeColor="text1"/>
                <w:szCs w:val="21"/>
                <w:highlight w:val="none"/>
                <w14:textFill>
                  <w14:solidFill>
                    <w14:schemeClr w14:val="tx1"/>
                  </w14:solidFill>
                </w14:textFill>
              </w:rPr>
            </w:pPr>
          </w:p>
        </w:tc>
        <w:tc>
          <w:tcPr>
            <w:tcW w:w="1276" w:type="dxa"/>
            <w:vAlign w:val="center"/>
          </w:tcPr>
          <w:p w14:paraId="79DE323D">
            <w:pPr>
              <w:ind w:left="223" w:hanging="222" w:hangingChars="106"/>
              <w:jc w:val="center"/>
              <w:rPr>
                <w:color w:val="000000" w:themeColor="text1"/>
                <w:szCs w:val="21"/>
                <w:highlight w:val="none"/>
                <w14:textFill>
                  <w14:solidFill>
                    <w14:schemeClr w14:val="tx1"/>
                  </w14:solidFill>
                </w14:textFill>
              </w:rPr>
            </w:pPr>
          </w:p>
        </w:tc>
      </w:tr>
      <w:tr w14:paraId="5EB5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FB8CDA4">
            <w:pPr>
              <w:pStyle w:val="173"/>
              <w:spacing w:line="240" w:lineRule="auto"/>
              <w:ind w:firstLine="0"/>
              <w:rPr>
                <w:rFonts w:hint="eastAsia"/>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bidi="en-US"/>
                <w14:textFill>
                  <w14:solidFill>
                    <w14:schemeClr w14:val="tx1"/>
                  </w14:solidFill>
                </w14:textFill>
              </w:rPr>
              <w:t>2.</w:t>
            </w:r>
            <w:r>
              <w:rPr>
                <w:color w:val="000000" w:themeColor="text1"/>
                <w:sz w:val="21"/>
                <w:szCs w:val="21"/>
                <w:highlight w:val="none"/>
                <w14:textFill>
                  <w14:solidFill>
                    <w14:schemeClr w14:val="tx1"/>
                  </w14:solidFill>
                </w14:textFill>
              </w:rPr>
              <w:t>技术负责人</w:t>
            </w:r>
            <w:r>
              <w:rPr>
                <w:rFonts w:hint="eastAsia"/>
                <w:color w:val="000000" w:themeColor="text1"/>
                <w:sz w:val="21"/>
                <w:szCs w:val="21"/>
                <w:highlight w:val="none"/>
                <w14:textFill>
                  <w14:solidFill>
                    <w14:schemeClr w14:val="tx1"/>
                  </w14:solidFill>
                </w14:textFill>
              </w:rPr>
              <w:t>（项目总工）</w:t>
            </w:r>
          </w:p>
        </w:tc>
        <w:tc>
          <w:tcPr>
            <w:tcW w:w="670" w:type="dxa"/>
            <w:vAlign w:val="center"/>
          </w:tcPr>
          <w:p w14:paraId="359388C9">
            <w:pPr>
              <w:ind w:left="223" w:hanging="222" w:hangingChars="106"/>
              <w:jc w:val="center"/>
              <w:rPr>
                <w:color w:val="000000" w:themeColor="text1"/>
                <w:szCs w:val="21"/>
                <w:highlight w:val="none"/>
                <w14:textFill>
                  <w14:solidFill>
                    <w14:schemeClr w14:val="tx1"/>
                  </w14:solidFill>
                </w14:textFill>
              </w:rPr>
            </w:pPr>
          </w:p>
        </w:tc>
        <w:tc>
          <w:tcPr>
            <w:tcW w:w="829" w:type="dxa"/>
            <w:vAlign w:val="center"/>
          </w:tcPr>
          <w:p w14:paraId="2CC33F21">
            <w:pPr>
              <w:ind w:left="223" w:hanging="222" w:hangingChars="106"/>
              <w:jc w:val="center"/>
              <w:rPr>
                <w:color w:val="000000" w:themeColor="text1"/>
                <w:szCs w:val="21"/>
                <w:highlight w:val="none"/>
                <w14:textFill>
                  <w14:solidFill>
                    <w14:schemeClr w14:val="tx1"/>
                  </w14:solidFill>
                </w14:textFill>
              </w:rPr>
            </w:pPr>
          </w:p>
        </w:tc>
        <w:tc>
          <w:tcPr>
            <w:tcW w:w="816" w:type="dxa"/>
            <w:vAlign w:val="center"/>
          </w:tcPr>
          <w:p w14:paraId="47D31310">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61295C48">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17ED7ADF">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7B3CE569">
            <w:pPr>
              <w:ind w:left="223" w:hanging="222" w:hangingChars="106"/>
              <w:jc w:val="center"/>
              <w:rPr>
                <w:color w:val="000000" w:themeColor="text1"/>
                <w:szCs w:val="21"/>
                <w:highlight w:val="none"/>
                <w14:textFill>
                  <w14:solidFill>
                    <w14:schemeClr w14:val="tx1"/>
                  </w14:solidFill>
                </w14:textFill>
              </w:rPr>
            </w:pPr>
          </w:p>
        </w:tc>
        <w:tc>
          <w:tcPr>
            <w:tcW w:w="744" w:type="dxa"/>
            <w:vAlign w:val="center"/>
          </w:tcPr>
          <w:p w14:paraId="7483B3F4">
            <w:pPr>
              <w:ind w:left="223" w:hanging="222" w:hangingChars="106"/>
              <w:jc w:val="center"/>
              <w:rPr>
                <w:color w:val="000000" w:themeColor="text1"/>
                <w:szCs w:val="21"/>
                <w:highlight w:val="none"/>
                <w14:textFill>
                  <w14:solidFill>
                    <w14:schemeClr w14:val="tx1"/>
                  </w14:solidFill>
                </w14:textFill>
              </w:rPr>
            </w:pPr>
          </w:p>
        </w:tc>
        <w:tc>
          <w:tcPr>
            <w:tcW w:w="1167" w:type="dxa"/>
            <w:vAlign w:val="center"/>
          </w:tcPr>
          <w:p w14:paraId="0D6DA18D">
            <w:pPr>
              <w:ind w:left="223" w:hanging="222" w:hangingChars="106"/>
              <w:jc w:val="center"/>
              <w:rPr>
                <w:color w:val="000000" w:themeColor="text1"/>
                <w:szCs w:val="21"/>
                <w:highlight w:val="none"/>
                <w14:textFill>
                  <w14:solidFill>
                    <w14:schemeClr w14:val="tx1"/>
                  </w14:solidFill>
                </w14:textFill>
              </w:rPr>
            </w:pPr>
          </w:p>
        </w:tc>
        <w:tc>
          <w:tcPr>
            <w:tcW w:w="1276" w:type="dxa"/>
            <w:vAlign w:val="center"/>
          </w:tcPr>
          <w:p w14:paraId="056F78A5">
            <w:pPr>
              <w:ind w:left="223" w:hanging="222" w:hangingChars="106"/>
              <w:jc w:val="center"/>
              <w:rPr>
                <w:color w:val="000000" w:themeColor="text1"/>
                <w:szCs w:val="21"/>
                <w:highlight w:val="none"/>
                <w14:textFill>
                  <w14:solidFill>
                    <w14:schemeClr w14:val="tx1"/>
                  </w14:solidFill>
                </w14:textFill>
              </w:rPr>
            </w:pPr>
          </w:p>
        </w:tc>
      </w:tr>
      <w:tr w14:paraId="460F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9D1EA71">
            <w:pPr>
              <w:pStyle w:val="173"/>
              <w:spacing w:line="240" w:lineRule="auto"/>
              <w:ind w:firstLine="0"/>
              <w:rPr>
                <w:rFonts w:hint="eastAsia"/>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3.</w:t>
            </w:r>
            <w:r>
              <w:rPr>
                <w:color w:val="000000" w:themeColor="text1"/>
                <w:sz w:val="21"/>
                <w:szCs w:val="21"/>
                <w:highlight w:val="none"/>
                <w14:textFill>
                  <w14:solidFill>
                    <w14:schemeClr w14:val="tx1"/>
                  </w14:solidFill>
                </w14:textFill>
              </w:rPr>
              <w:t>安全员</w:t>
            </w:r>
          </w:p>
        </w:tc>
        <w:tc>
          <w:tcPr>
            <w:tcW w:w="670" w:type="dxa"/>
            <w:vAlign w:val="center"/>
          </w:tcPr>
          <w:p w14:paraId="78A61BAA">
            <w:pPr>
              <w:ind w:left="223" w:hanging="222" w:hangingChars="106"/>
              <w:jc w:val="center"/>
              <w:rPr>
                <w:color w:val="000000" w:themeColor="text1"/>
                <w:szCs w:val="21"/>
                <w:highlight w:val="none"/>
                <w14:textFill>
                  <w14:solidFill>
                    <w14:schemeClr w14:val="tx1"/>
                  </w14:solidFill>
                </w14:textFill>
              </w:rPr>
            </w:pPr>
          </w:p>
        </w:tc>
        <w:tc>
          <w:tcPr>
            <w:tcW w:w="829" w:type="dxa"/>
            <w:vAlign w:val="center"/>
          </w:tcPr>
          <w:p w14:paraId="082E17E9">
            <w:pPr>
              <w:ind w:left="223" w:hanging="222" w:hangingChars="106"/>
              <w:jc w:val="center"/>
              <w:rPr>
                <w:color w:val="000000" w:themeColor="text1"/>
                <w:szCs w:val="21"/>
                <w:highlight w:val="none"/>
                <w14:textFill>
                  <w14:solidFill>
                    <w14:schemeClr w14:val="tx1"/>
                  </w14:solidFill>
                </w14:textFill>
              </w:rPr>
            </w:pPr>
          </w:p>
        </w:tc>
        <w:tc>
          <w:tcPr>
            <w:tcW w:w="816" w:type="dxa"/>
            <w:vAlign w:val="center"/>
          </w:tcPr>
          <w:p w14:paraId="1AF13645">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33C77941">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79890266">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4A28A7FF">
            <w:pPr>
              <w:ind w:left="223" w:hanging="222" w:hangingChars="106"/>
              <w:jc w:val="center"/>
              <w:rPr>
                <w:color w:val="000000" w:themeColor="text1"/>
                <w:szCs w:val="21"/>
                <w:highlight w:val="none"/>
                <w14:textFill>
                  <w14:solidFill>
                    <w14:schemeClr w14:val="tx1"/>
                  </w14:solidFill>
                </w14:textFill>
              </w:rPr>
            </w:pPr>
          </w:p>
        </w:tc>
        <w:tc>
          <w:tcPr>
            <w:tcW w:w="744" w:type="dxa"/>
            <w:vAlign w:val="center"/>
          </w:tcPr>
          <w:p w14:paraId="359482CF">
            <w:pPr>
              <w:ind w:left="223" w:hanging="222" w:hangingChars="106"/>
              <w:jc w:val="center"/>
              <w:rPr>
                <w:color w:val="000000" w:themeColor="text1"/>
                <w:szCs w:val="21"/>
                <w:highlight w:val="none"/>
                <w14:textFill>
                  <w14:solidFill>
                    <w14:schemeClr w14:val="tx1"/>
                  </w14:solidFill>
                </w14:textFill>
              </w:rPr>
            </w:pPr>
          </w:p>
        </w:tc>
        <w:tc>
          <w:tcPr>
            <w:tcW w:w="1167" w:type="dxa"/>
            <w:vAlign w:val="center"/>
          </w:tcPr>
          <w:p w14:paraId="4472003F">
            <w:pPr>
              <w:ind w:left="223" w:hanging="222" w:hangingChars="106"/>
              <w:jc w:val="center"/>
              <w:rPr>
                <w:color w:val="000000" w:themeColor="text1"/>
                <w:szCs w:val="21"/>
                <w:highlight w:val="none"/>
                <w14:textFill>
                  <w14:solidFill>
                    <w14:schemeClr w14:val="tx1"/>
                  </w14:solidFill>
                </w14:textFill>
              </w:rPr>
            </w:pPr>
          </w:p>
        </w:tc>
        <w:tc>
          <w:tcPr>
            <w:tcW w:w="1276" w:type="dxa"/>
            <w:vAlign w:val="center"/>
          </w:tcPr>
          <w:p w14:paraId="7818E368">
            <w:pPr>
              <w:ind w:left="223" w:hanging="222" w:hangingChars="106"/>
              <w:jc w:val="center"/>
              <w:rPr>
                <w:color w:val="000000" w:themeColor="text1"/>
                <w:szCs w:val="21"/>
                <w:highlight w:val="none"/>
                <w14:textFill>
                  <w14:solidFill>
                    <w14:schemeClr w14:val="tx1"/>
                  </w14:solidFill>
                </w14:textFill>
              </w:rPr>
            </w:pPr>
          </w:p>
        </w:tc>
      </w:tr>
      <w:tr w14:paraId="069E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36D3C63">
            <w:pPr>
              <w:ind w:left="223" w:hanging="222" w:hangingChars="106"/>
              <w:jc w:val="center"/>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w:t>
            </w:r>
          </w:p>
        </w:tc>
        <w:tc>
          <w:tcPr>
            <w:tcW w:w="670" w:type="dxa"/>
            <w:vAlign w:val="center"/>
          </w:tcPr>
          <w:p w14:paraId="685B7AC4">
            <w:pPr>
              <w:ind w:left="223" w:hanging="222" w:hangingChars="106"/>
              <w:jc w:val="center"/>
              <w:rPr>
                <w:color w:val="000000" w:themeColor="text1"/>
                <w:szCs w:val="21"/>
                <w:highlight w:val="none"/>
                <w14:textFill>
                  <w14:solidFill>
                    <w14:schemeClr w14:val="tx1"/>
                  </w14:solidFill>
                </w14:textFill>
              </w:rPr>
            </w:pPr>
          </w:p>
        </w:tc>
        <w:tc>
          <w:tcPr>
            <w:tcW w:w="829" w:type="dxa"/>
            <w:vAlign w:val="center"/>
          </w:tcPr>
          <w:p w14:paraId="0E63E600">
            <w:pPr>
              <w:ind w:left="223" w:hanging="222" w:hangingChars="106"/>
              <w:jc w:val="center"/>
              <w:rPr>
                <w:color w:val="000000" w:themeColor="text1"/>
                <w:szCs w:val="21"/>
                <w:highlight w:val="none"/>
                <w14:textFill>
                  <w14:solidFill>
                    <w14:schemeClr w14:val="tx1"/>
                  </w14:solidFill>
                </w14:textFill>
              </w:rPr>
            </w:pPr>
          </w:p>
        </w:tc>
        <w:tc>
          <w:tcPr>
            <w:tcW w:w="816" w:type="dxa"/>
            <w:vAlign w:val="center"/>
          </w:tcPr>
          <w:p w14:paraId="74152EF5">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46D88A81">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1BAB56A9">
            <w:pPr>
              <w:ind w:left="223" w:hanging="222" w:hangingChars="106"/>
              <w:jc w:val="center"/>
              <w:rPr>
                <w:color w:val="000000" w:themeColor="text1"/>
                <w:szCs w:val="21"/>
                <w:highlight w:val="none"/>
                <w14:textFill>
                  <w14:solidFill>
                    <w14:schemeClr w14:val="tx1"/>
                  </w14:solidFill>
                </w14:textFill>
              </w:rPr>
            </w:pPr>
          </w:p>
        </w:tc>
        <w:tc>
          <w:tcPr>
            <w:tcW w:w="1148" w:type="dxa"/>
            <w:vAlign w:val="center"/>
          </w:tcPr>
          <w:p w14:paraId="15F80B8B">
            <w:pPr>
              <w:ind w:left="223" w:hanging="222" w:hangingChars="106"/>
              <w:jc w:val="center"/>
              <w:rPr>
                <w:color w:val="000000" w:themeColor="text1"/>
                <w:szCs w:val="21"/>
                <w:highlight w:val="none"/>
                <w14:textFill>
                  <w14:solidFill>
                    <w14:schemeClr w14:val="tx1"/>
                  </w14:solidFill>
                </w14:textFill>
              </w:rPr>
            </w:pPr>
          </w:p>
        </w:tc>
        <w:tc>
          <w:tcPr>
            <w:tcW w:w="744" w:type="dxa"/>
            <w:vAlign w:val="center"/>
          </w:tcPr>
          <w:p w14:paraId="47B5CDC3">
            <w:pPr>
              <w:ind w:left="223" w:hanging="222" w:hangingChars="106"/>
              <w:jc w:val="center"/>
              <w:rPr>
                <w:color w:val="000000" w:themeColor="text1"/>
                <w:szCs w:val="21"/>
                <w:highlight w:val="none"/>
                <w14:textFill>
                  <w14:solidFill>
                    <w14:schemeClr w14:val="tx1"/>
                  </w14:solidFill>
                </w14:textFill>
              </w:rPr>
            </w:pPr>
          </w:p>
        </w:tc>
        <w:tc>
          <w:tcPr>
            <w:tcW w:w="1167" w:type="dxa"/>
            <w:vAlign w:val="center"/>
          </w:tcPr>
          <w:p w14:paraId="6DB4F371">
            <w:pPr>
              <w:ind w:left="223" w:hanging="222" w:hangingChars="106"/>
              <w:jc w:val="center"/>
              <w:rPr>
                <w:color w:val="000000" w:themeColor="text1"/>
                <w:szCs w:val="21"/>
                <w:highlight w:val="none"/>
                <w14:textFill>
                  <w14:solidFill>
                    <w14:schemeClr w14:val="tx1"/>
                  </w14:solidFill>
                </w14:textFill>
              </w:rPr>
            </w:pPr>
          </w:p>
        </w:tc>
        <w:tc>
          <w:tcPr>
            <w:tcW w:w="1276" w:type="dxa"/>
            <w:vAlign w:val="center"/>
          </w:tcPr>
          <w:p w14:paraId="0E885C8E">
            <w:pPr>
              <w:ind w:left="223" w:hanging="222" w:hangingChars="106"/>
              <w:jc w:val="center"/>
              <w:rPr>
                <w:color w:val="000000" w:themeColor="text1"/>
                <w:szCs w:val="21"/>
                <w:highlight w:val="none"/>
                <w14:textFill>
                  <w14:solidFill>
                    <w14:schemeClr w14:val="tx1"/>
                  </w14:solidFill>
                </w14:textFill>
              </w:rPr>
            </w:pPr>
          </w:p>
        </w:tc>
      </w:tr>
      <w:tr w14:paraId="67DC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14:paraId="57E3559E">
            <w:pPr>
              <w:ind w:left="223" w:hanging="222" w:hangingChars="10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p>
        </w:tc>
      </w:tr>
    </w:tbl>
    <w:p w14:paraId="537F33F6">
      <w:pPr>
        <w:spacing w:line="360" w:lineRule="auto"/>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备注：</w:t>
      </w:r>
    </w:p>
    <w:p w14:paraId="4D9FBC33">
      <w:pPr>
        <w:spacing w:line="360" w:lineRule="auto"/>
        <w:ind w:firstLine="480" w:firstLineChars="200"/>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1</w:t>
      </w:r>
      <w:r>
        <w:rPr>
          <w:rFonts w:ascii="宋体" w:hAnsi="宋体"/>
          <w:color w:val="000000" w:themeColor="text1"/>
          <w:sz w:val="24"/>
          <w:szCs w:val="20"/>
          <w:highlight w:val="none"/>
          <w14:textFill>
            <w14:solidFill>
              <w14:schemeClr w14:val="tx1"/>
            </w14:solidFill>
          </w14:textFill>
        </w:rPr>
        <w:t>.</w:t>
      </w:r>
      <w:r>
        <w:rPr>
          <w:rFonts w:hint="eastAsia" w:ascii="宋体" w:hAnsi="宋体"/>
          <w:color w:val="000000" w:themeColor="text1"/>
          <w:sz w:val="24"/>
          <w:szCs w:val="20"/>
          <w:highlight w:val="none"/>
          <w14:textFill>
            <w14:solidFill>
              <w14:schemeClr w14:val="tx1"/>
            </w14:solidFill>
          </w14:textFill>
        </w:rPr>
        <w:t>本表所列岗位的所有管理人员的情况均应如实填写。可按以上格式扩展为多页填写。</w:t>
      </w:r>
    </w:p>
    <w:p w14:paraId="34F2470D">
      <w:pPr>
        <w:spacing w:line="360" w:lineRule="auto"/>
        <w:ind w:firstLine="480" w:firstLineChars="200"/>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2</w:t>
      </w:r>
      <w:r>
        <w:rPr>
          <w:rFonts w:ascii="宋体" w:hAnsi="宋体"/>
          <w:color w:val="000000" w:themeColor="text1"/>
          <w:sz w:val="24"/>
          <w:szCs w:val="20"/>
          <w:highlight w:val="none"/>
          <w14:textFill>
            <w14:solidFill>
              <w14:schemeClr w14:val="tx1"/>
            </w14:solidFill>
          </w14:textFill>
        </w:rPr>
        <w:t>.</w:t>
      </w:r>
      <w:r>
        <w:rPr>
          <w:rFonts w:hint="eastAsia" w:ascii="宋体" w:hAnsi="宋体"/>
          <w:color w:val="000000" w:themeColor="text1"/>
          <w:sz w:val="24"/>
          <w:szCs w:val="20"/>
          <w:highlight w:val="none"/>
          <w14:textFill>
            <w14:solidFill>
              <w14:schemeClr w14:val="tx1"/>
            </w14:solidFill>
          </w14:textFill>
        </w:rPr>
        <w:t>供应商应当在本表后附所有管理人员的身份证、职称证</w:t>
      </w:r>
      <w:r>
        <w:rPr>
          <w:rFonts w:hint="eastAsia" w:ascii="宋体" w:hAnsi="宋体"/>
          <w:color w:val="000000" w:themeColor="text1"/>
          <w:sz w:val="24"/>
          <w:szCs w:val="20"/>
          <w:highlight w:val="none"/>
          <w:lang w:val="en-US" w:eastAsia="zh-CN"/>
          <w14:textFill>
            <w14:solidFill>
              <w14:schemeClr w14:val="tx1"/>
            </w14:solidFill>
          </w14:textFill>
        </w:rPr>
        <w:t>(如有)</w:t>
      </w:r>
      <w:r>
        <w:rPr>
          <w:rFonts w:hint="eastAsia" w:ascii="宋体" w:hAnsi="宋体"/>
          <w:color w:val="000000" w:themeColor="text1"/>
          <w:sz w:val="24"/>
          <w:szCs w:val="20"/>
          <w:highlight w:val="none"/>
          <w14:textFill>
            <w14:solidFill>
              <w14:schemeClr w14:val="tx1"/>
            </w14:solidFill>
          </w14:textFill>
        </w:rPr>
        <w:t>、执业或职业资格证书的证明材料的</w:t>
      </w:r>
      <w:r>
        <w:rPr>
          <w:rFonts w:hint="eastAsia" w:ascii="宋体" w:hAnsi="宋体"/>
          <w:color w:val="000000" w:themeColor="text1"/>
          <w:sz w:val="24"/>
          <w:szCs w:val="20"/>
          <w:highlight w:val="none"/>
          <w:lang w:eastAsia="zh-CN"/>
          <w14:textFill>
            <w14:solidFill>
              <w14:schemeClr w14:val="tx1"/>
            </w14:solidFill>
          </w14:textFill>
        </w:rPr>
        <w:t>复印件（或扫描件）</w:t>
      </w:r>
      <w:r>
        <w:rPr>
          <w:rFonts w:hint="eastAsia" w:ascii="宋体" w:hAnsi="宋体"/>
          <w:color w:val="000000" w:themeColor="text1"/>
          <w:sz w:val="24"/>
          <w:szCs w:val="20"/>
          <w:highlight w:val="none"/>
          <w14:textFill>
            <w14:solidFill>
              <w14:schemeClr w14:val="tx1"/>
            </w14:solidFill>
          </w14:textFill>
        </w:rPr>
        <w:t>并加盖供应商电子签章。</w:t>
      </w:r>
    </w:p>
    <w:p w14:paraId="324967B5">
      <w:pPr>
        <w:spacing w:line="360" w:lineRule="auto"/>
        <w:ind w:firstLine="480" w:firstLineChars="200"/>
        <w:contextualSpacing/>
        <w:jc w:val="left"/>
        <w:rPr>
          <w:rFonts w:hint="eastAsia" w:ascii="宋体" w:hAnsi="宋体"/>
          <w:color w:val="000000" w:themeColor="text1"/>
          <w:sz w:val="24"/>
          <w:szCs w:val="20"/>
          <w:highlight w:val="none"/>
          <w14:textFill>
            <w14:solidFill>
              <w14:schemeClr w14:val="tx1"/>
            </w14:solidFill>
          </w14:textFill>
        </w:rPr>
      </w:pPr>
    </w:p>
    <w:p w14:paraId="73FA83C4">
      <w:pPr>
        <w:spacing w:line="360" w:lineRule="auto"/>
        <w:ind w:firstLine="480" w:firstLineChars="200"/>
        <w:contextualSpacing/>
        <w:jc w:val="left"/>
        <w:rPr>
          <w:rFonts w:hint="eastAsia" w:ascii="宋体" w:hAnsi="宋体"/>
          <w:color w:val="000000" w:themeColor="text1"/>
          <w:sz w:val="24"/>
          <w:szCs w:val="20"/>
          <w:highlight w:val="none"/>
          <w14:textFill>
            <w14:solidFill>
              <w14:schemeClr w14:val="tx1"/>
            </w14:solidFill>
          </w14:textFill>
        </w:rPr>
      </w:pPr>
    </w:p>
    <w:p w14:paraId="0401E73E">
      <w:pPr>
        <w:spacing w:line="360" w:lineRule="auto"/>
        <w:ind w:firstLine="480" w:firstLineChars="200"/>
        <w:contextualSpacing/>
        <w:rPr>
          <w:rFonts w:hint="eastAsia" w:ascii="宋体" w:hAnsi="宋体"/>
          <w:color w:val="000000" w:themeColor="text1"/>
          <w:spacing w:val="20"/>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s="仿宋_GB2312"/>
          <w:color w:val="000000" w:themeColor="text1"/>
          <w:sz w:val="24"/>
          <w:highlight w:val="none"/>
          <w14:textFill>
            <w14:solidFill>
              <w14:schemeClr w14:val="tx1"/>
            </w14:solidFill>
          </w14:textFill>
        </w:rPr>
        <w:t>（签字或盖章</w:t>
      </w:r>
      <w:r>
        <w:rPr>
          <w:rFonts w:hint="eastAsia" w:ascii="宋体" w:hAnsi="宋体"/>
          <w:color w:val="000000" w:themeColor="text1"/>
          <w:sz w:val="24"/>
          <w:highlight w:val="none"/>
          <w14:textFill>
            <w14:solidFill>
              <w14:schemeClr w14:val="tx1"/>
            </w14:solidFill>
          </w14:textFill>
        </w:rPr>
        <w:t>或电子签名</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olor w:val="000000" w:themeColor="text1"/>
          <w:spacing w:val="20"/>
          <w:sz w:val="24"/>
          <w:highlight w:val="none"/>
          <w14:textFill>
            <w14:solidFill>
              <w14:schemeClr w14:val="tx1"/>
            </w14:solidFill>
          </w14:textFill>
        </w:rPr>
        <w:t>：</w:t>
      </w:r>
    </w:p>
    <w:p w14:paraId="78450B9A">
      <w:pPr>
        <w:spacing w:line="360" w:lineRule="auto"/>
        <w:ind w:firstLine="560" w:firstLineChars="200"/>
        <w:contextualSpacing/>
        <w:jc w:val="left"/>
        <w:rPr>
          <w:rFonts w:hint="eastAsia"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 xml:space="preserve">供应商（电子签章）：       </w:t>
      </w:r>
    </w:p>
    <w:p w14:paraId="081A156F">
      <w:pPr>
        <w:spacing w:line="360" w:lineRule="auto"/>
        <w:ind w:firstLine="560" w:firstLineChars="200"/>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p>
    <w:p w14:paraId="4C8ACE2B">
      <w:pPr>
        <w:spacing w:line="360" w:lineRule="auto"/>
        <w:jc w:val="center"/>
        <w:outlineLvl w:val="4"/>
        <w:rPr>
          <w:rFonts w:hint="eastAsia"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（二）拟投入的主要人员简历表</w:t>
      </w:r>
    </w:p>
    <w:p w14:paraId="14AE5608">
      <w:pPr>
        <w:spacing w:line="360" w:lineRule="auto"/>
        <w:ind w:firstLine="643" w:firstLineChars="200"/>
        <w:jc w:val="center"/>
        <w:outlineLvl w:val="2"/>
        <w:rPr>
          <w:color w:val="000000" w:themeColor="text1"/>
          <w:highlight w:val="none"/>
          <w:u w:val="single"/>
          <w14:textFill>
            <w14:solidFill>
              <w14:schemeClr w14:val="tx1"/>
            </w14:solidFill>
          </w14:textFill>
        </w:rPr>
      </w:pPr>
      <w:r>
        <w:rPr>
          <w:rFonts w:hint="eastAsia" w:cs="宋体"/>
          <w:b/>
          <w:color w:val="000000" w:themeColor="text1"/>
          <w:sz w:val="32"/>
          <w:szCs w:val="32"/>
          <w:highlight w:val="none"/>
          <w14:textFill>
            <w14:solidFill>
              <w14:schemeClr w14:val="tx1"/>
            </w14:solidFill>
          </w14:textFill>
        </w:rPr>
        <w:t>项目经理简历表</w:t>
      </w:r>
    </w:p>
    <w:tbl>
      <w:tblPr>
        <w:tblStyle w:val="45"/>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397"/>
        <w:gridCol w:w="221"/>
        <w:gridCol w:w="888"/>
        <w:gridCol w:w="660"/>
        <w:gridCol w:w="328"/>
        <w:gridCol w:w="234"/>
        <w:gridCol w:w="1417"/>
        <w:gridCol w:w="242"/>
        <w:gridCol w:w="1088"/>
        <w:gridCol w:w="88"/>
        <w:gridCol w:w="409"/>
        <w:gridCol w:w="1108"/>
        <w:gridCol w:w="36"/>
        <w:gridCol w:w="79"/>
        <w:gridCol w:w="1405"/>
        <w:gridCol w:w="11"/>
      </w:tblGrid>
      <w:tr w14:paraId="3283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97" w:type="dxa"/>
            <w:vAlign w:val="center"/>
          </w:tcPr>
          <w:p w14:paraId="77069976">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097" w:type="dxa"/>
            <w:gridSpan w:val="4"/>
            <w:vAlign w:val="center"/>
          </w:tcPr>
          <w:p w14:paraId="2C154911">
            <w:pPr>
              <w:jc w:val="center"/>
              <w:rPr>
                <w:color w:val="000000" w:themeColor="text1"/>
                <w:highlight w:val="none"/>
                <w14:textFill>
                  <w14:solidFill>
                    <w14:schemeClr w14:val="tx1"/>
                  </w14:solidFill>
                </w14:textFill>
              </w:rPr>
            </w:pPr>
          </w:p>
        </w:tc>
        <w:tc>
          <w:tcPr>
            <w:tcW w:w="1893" w:type="dxa"/>
            <w:gridSpan w:val="3"/>
            <w:vAlign w:val="center"/>
          </w:tcPr>
          <w:p w14:paraId="217739B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vAlign w:val="center"/>
          </w:tcPr>
          <w:p w14:paraId="724EEA86">
            <w:pPr>
              <w:jc w:val="center"/>
              <w:rPr>
                <w:color w:val="000000" w:themeColor="text1"/>
                <w:highlight w:val="none"/>
                <w14:textFill>
                  <w14:solidFill>
                    <w14:schemeClr w14:val="tx1"/>
                  </w14:solidFill>
                </w14:textFill>
              </w:rPr>
            </w:pPr>
          </w:p>
        </w:tc>
        <w:tc>
          <w:tcPr>
            <w:tcW w:w="1108" w:type="dxa"/>
            <w:vAlign w:val="center"/>
          </w:tcPr>
          <w:p w14:paraId="2C0CD08B">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vAlign w:val="center"/>
          </w:tcPr>
          <w:p w14:paraId="3CC4065D">
            <w:pPr>
              <w:jc w:val="center"/>
              <w:rPr>
                <w:color w:val="000000" w:themeColor="text1"/>
                <w:highlight w:val="none"/>
                <w14:textFill>
                  <w14:solidFill>
                    <w14:schemeClr w14:val="tx1"/>
                  </w14:solidFill>
                </w14:textFill>
              </w:rPr>
            </w:pPr>
          </w:p>
        </w:tc>
      </w:tr>
      <w:tr w14:paraId="34C8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397" w:type="dxa"/>
            <w:vAlign w:val="center"/>
          </w:tcPr>
          <w:p w14:paraId="0BC361FE">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097" w:type="dxa"/>
            <w:gridSpan w:val="4"/>
            <w:vAlign w:val="center"/>
          </w:tcPr>
          <w:p w14:paraId="5B9039C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项目经理</w:t>
            </w:r>
          </w:p>
        </w:tc>
        <w:tc>
          <w:tcPr>
            <w:tcW w:w="1893" w:type="dxa"/>
            <w:gridSpan w:val="3"/>
            <w:vAlign w:val="center"/>
          </w:tcPr>
          <w:p w14:paraId="21F47822">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vAlign w:val="center"/>
          </w:tcPr>
          <w:p w14:paraId="05450ACE">
            <w:pPr>
              <w:jc w:val="center"/>
              <w:rPr>
                <w:color w:val="000000" w:themeColor="text1"/>
                <w:highlight w:val="none"/>
                <w14:textFill>
                  <w14:solidFill>
                    <w14:schemeClr w14:val="tx1"/>
                  </w14:solidFill>
                </w14:textFill>
              </w:rPr>
            </w:pPr>
          </w:p>
        </w:tc>
        <w:tc>
          <w:tcPr>
            <w:tcW w:w="1108" w:type="dxa"/>
            <w:vAlign w:val="center"/>
          </w:tcPr>
          <w:p w14:paraId="01D68C16">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vAlign w:val="center"/>
          </w:tcPr>
          <w:p w14:paraId="53550BFD">
            <w:pPr>
              <w:jc w:val="center"/>
              <w:rPr>
                <w:color w:val="000000" w:themeColor="text1"/>
                <w:highlight w:val="none"/>
                <w14:textFill>
                  <w14:solidFill>
                    <w14:schemeClr w14:val="tx1"/>
                  </w14:solidFill>
                </w14:textFill>
              </w:rPr>
            </w:pPr>
          </w:p>
        </w:tc>
      </w:tr>
      <w:tr w14:paraId="30F4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397" w:type="dxa"/>
            <w:vAlign w:val="center"/>
          </w:tcPr>
          <w:p w14:paraId="2D68CE18">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097" w:type="dxa"/>
            <w:gridSpan w:val="4"/>
            <w:vAlign w:val="center"/>
          </w:tcPr>
          <w:p w14:paraId="77740F26">
            <w:pPr>
              <w:jc w:val="center"/>
              <w:rPr>
                <w:color w:val="000000" w:themeColor="text1"/>
                <w:highlight w:val="none"/>
                <w14:textFill>
                  <w14:solidFill>
                    <w14:schemeClr w14:val="tx1"/>
                  </w14:solidFill>
                </w14:textFill>
              </w:rPr>
            </w:pPr>
          </w:p>
        </w:tc>
        <w:tc>
          <w:tcPr>
            <w:tcW w:w="1893" w:type="dxa"/>
            <w:gridSpan w:val="3"/>
            <w:vAlign w:val="center"/>
          </w:tcPr>
          <w:p w14:paraId="6BB441DF">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vAlign w:val="center"/>
          </w:tcPr>
          <w:p w14:paraId="004AC7B9">
            <w:pPr>
              <w:jc w:val="center"/>
              <w:rPr>
                <w:color w:val="000000" w:themeColor="text1"/>
                <w:highlight w:val="none"/>
                <w14:textFill>
                  <w14:solidFill>
                    <w14:schemeClr w14:val="tx1"/>
                  </w14:solidFill>
                </w14:textFill>
              </w:rPr>
            </w:pPr>
          </w:p>
        </w:tc>
        <w:tc>
          <w:tcPr>
            <w:tcW w:w="1108" w:type="dxa"/>
            <w:vAlign w:val="center"/>
          </w:tcPr>
          <w:p w14:paraId="2728F6AA">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vAlign w:val="center"/>
          </w:tcPr>
          <w:p w14:paraId="789EAAA8">
            <w:pPr>
              <w:jc w:val="center"/>
              <w:rPr>
                <w:color w:val="000000" w:themeColor="text1"/>
                <w:highlight w:val="none"/>
                <w14:textFill>
                  <w14:solidFill>
                    <w14:schemeClr w14:val="tx1"/>
                  </w14:solidFill>
                </w14:textFill>
              </w:rPr>
            </w:pPr>
          </w:p>
        </w:tc>
      </w:tr>
      <w:tr w14:paraId="629E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97" w:type="dxa"/>
            <w:vAlign w:val="center"/>
          </w:tcPr>
          <w:p w14:paraId="658D034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担任项目经理年限</w:t>
            </w:r>
          </w:p>
        </w:tc>
        <w:tc>
          <w:tcPr>
            <w:tcW w:w="2097" w:type="dxa"/>
            <w:gridSpan w:val="4"/>
            <w:vAlign w:val="center"/>
          </w:tcPr>
          <w:p w14:paraId="297BE8A0">
            <w:pPr>
              <w:jc w:val="center"/>
              <w:rPr>
                <w:color w:val="000000" w:themeColor="text1"/>
                <w:highlight w:val="none"/>
                <w14:textFill>
                  <w14:solidFill>
                    <w14:schemeClr w14:val="tx1"/>
                  </w14:solidFill>
                </w14:textFill>
              </w:rPr>
            </w:pPr>
          </w:p>
        </w:tc>
        <w:tc>
          <w:tcPr>
            <w:tcW w:w="1893" w:type="dxa"/>
            <w:gridSpan w:val="3"/>
            <w:vAlign w:val="center"/>
          </w:tcPr>
          <w:p w14:paraId="7CEB1F57">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224" w:type="dxa"/>
            <w:gridSpan w:val="8"/>
            <w:vAlign w:val="center"/>
          </w:tcPr>
          <w:p w14:paraId="307F2C25">
            <w:pPr>
              <w:jc w:val="center"/>
              <w:rPr>
                <w:color w:val="000000" w:themeColor="text1"/>
                <w:highlight w:val="none"/>
                <w14:textFill>
                  <w14:solidFill>
                    <w14:schemeClr w14:val="tx1"/>
                  </w14:solidFill>
                </w14:textFill>
              </w:rPr>
            </w:pPr>
          </w:p>
        </w:tc>
      </w:tr>
      <w:tr w14:paraId="7C9E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97" w:type="dxa"/>
            <w:vAlign w:val="center"/>
          </w:tcPr>
          <w:p w14:paraId="063C019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109" w:type="dxa"/>
            <w:gridSpan w:val="2"/>
            <w:vAlign w:val="center"/>
          </w:tcPr>
          <w:p w14:paraId="69F5C1F3">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vAlign w:val="center"/>
          </w:tcPr>
          <w:p w14:paraId="02B381BD">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vAlign w:val="center"/>
          </w:tcPr>
          <w:p w14:paraId="58EBFF5C">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vAlign w:val="center"/>
          </w:tcPr>
          <w:p w14:paraId="6D222F7F">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vAlign w:val="center"/>
          </w:tcPr>
          <w:p w14:paraId="20FD4C7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vAlign w:val="center"/>
          </w:tcPr>
          <w:p w14:paraId="5405798B">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14:paraId="2418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97" w:type="dxa"/>
            <w:vAlign w:val="center"/>
          </w:tcPr>
          <w:p w14:paraId="7A1EF5B2">
            <w:pPr>
              <w:jc w:val="center"/>
              <w:rPr>
                <w:color w:val="000000" w:themeColor="text1"/>
                <w:highlight w:val="none"/>
                <w14:textFill>
                  <w14:solidFill>
                    <w14:schemeClr w14:val="tx1"/>
                  </w14:solidFill>
                </w14:textFill>
              </w:rPr>
            </w:pPr>
          </w:p>
        </w:tc>
        <w:tc>
          <w:tcPr>
            <w:tcW w:w="1109" w:type="dxa"/>
            <w:gridSpan w:val="2"/>
            <w:vAlign w:val="center"/>
          </w:tcPr>
          <w:p w14:paraId="50936B23">
            <w:pPr>
              <w:jc w:val="center"/>
              <w:rPr>
                <w:color w:val="000000" w:themeColor="text1"/>
                <w:highlight w:val="none"/>
                <w14:textFill>
                  <w14:solidFill>
                    <w14:schemeClr w14:val="tx1"/>
                  </w14:solidFill>
                </w14:textFill>
              </w:rPr>
            </w:pPr>
          </w:p>
        </w:tc>
        <w:tc>
          <w:tcPr>
            <w:tcW w:w="1222" w:type="dxa"/>
            <w:gridSpan w:val="3"/>
            <w:vAlign w:val="center"/>
          </w:tcPr>
          <w:p w14:paraId="61EC34E1">
            <w:pPr>
              <w:jc w:val="center"/>
              <w:rPr>
                <w:rFonts w:cs="宋体"/>
                <w:color w:val="000000" w:themeColor="text1"/>
                <w:highlight w:val="none"/>
                <w14:textFill>
                  <w14:solidFill>
                    <w14:schemeClr w14:val="tx1"/>
                  </w14:solidFill>
                </w14:textFill>
              </w:rPr>
            </w:pPr>
          </w:p>
        </w:tc>
        <w:tc>
          <w:tcPr>
            <w:tcW w:w="1417" w:type="dxa"/>
            <w:vAlign w:val="center"/>
          </w:tcPr>
          <w:p w14:paraId="0402B550">
            <w:pPr>
              <w:jc w:val="center"/>
              <w:rPr>
                <w:color w:val="000000" w:themeColor="text1"/>
                <w:highlight w:val="none"/>
                <w14:textFill>
                  <w14:solidFill>
                    <w14:schemeClr w14:val="tx1"/>
                  </w14:solidFill>
                </w14:textFill>
              </w:rPr>
            </w:pPr>
          </w:p>
        </w:tc>
        <w:tc>
          <w:tcPr>
            <w:tcW w:w="1418" w:type="dxa"/>
            <w:gridSpan w:val="3"/>
            <w:vAlign w:val="center"/>
          </w:tcPr>
          <w:p w14:paraId="6C23F349">
            <w:pPr>
              <w:jc w:val="center"/>
              <w:rPr>
                <w:color w:val="000000" w:themeColor="text1"/>
                <w:highlight w:val="none"/>
                <w14:textFill>
                  <w14:solidFill>
                    <w14:schemeClr w14:val="tx1"/>
                  </w14:solidFill>
                </w14:textFill>
              </w:rPr>
            </w:pPr>
          </w:p>
        </w:tc>
        <w:tc>
          <w:tcPr>
            <w:tcW w:w="1632" w:type="dxa"/>
            <w:gridSpan w:val="4"/>
            <w:vAlign w:val="center"/>
          </w:tcPr>
          <w:p w14:paraId="34EC8DA3">
            <w:pPr>
              <w:jc w:val="center"/>
              <w:rPr>
                <w:color w:val="000000" w:themeColor="text1"/>
                <w:highlight w:val="none"/>
                <w14:textFill>
                  <w14:solidFill>
                    <w14:schemeClr w14:val="tx1"/>
                  </w14:solidFill>
                </w14:textFill>
              </w:rPr>
            </w:pPr>
          </w:p>
        </w:tc>
        <w:tc>
          <w:tcPr>
            <w:tcW w:w="1416" w:type="dxa"/>
            <w:gridSpan w:val="2"/>
            <w:vAlign w:val="center"/>
          </w:tcPr>
          <w:p w14:paraId="151684C7">
            <w:pPr>
              <w:jc w:val="center"/>
              <w:rPr>
                <w:color w:val="000000" w:themeColor="text1"/>
                <w:highlight w:val="none"/>
                <w14:textFill>
                  <w14:solidFill>
                    <w14:schemeClr w14:val="tx1"/>
                  </w14:solidFill>
                </w14:textFill>
              </w:rPr>
            </w:pPr>
          </w:p>
        </w:tc>
      </w:tr>
      <w:tr w14:paraId="49DB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97" w:type="dxa"/>
            <w:vAlign w:val="center"/>
          </w:tcPr>
          <w:p w14:paraId="73A885F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安全生产考核合格证书</w:t>
            </w:r>
          </w:p>
        </w:tc>
        <w:tc>
          <w:tcPr>
            <w:tcW w:w="1109" w:type="dxa"/>
            <w:gridSpan w:val="2"/>
            <w:vAlign w:val="center"/>
          </w:tcPr>
          <w:p w14:paraId="52DD9D18">
            <w:pPr>
              <w:jc w:val="center"/>
              <w:rPr>
                <w:color w:val="000000" w:themeColor="text1"/>
                <w:highlight w:val="none"/>
                <w14:textFill>
                  <w14:solidFill>
                    <w14:schemeClr w14:val="tx1"/>
                  </w14:solidFill>
                </w14:textFill>
              </w:rPr>
            </w:pPr>
          </w:p>
        </w:tc>
        <w:tc>
          <w:tcPr>
            <w:tcW w:w="1222" w:type="dxa"/>
            <w:gridSpan w:val="3"/>
            <w:vAlign w:val="center"/>
          </w:tcPr>
          <w:p w14:paraId="35E946F7">
            <w:pPr>
              <w:jc w:val="center"/>
              <w:rPr>
                <w:rFonts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B类</w:t>
            </w:r>
          </w:p>
        </w:tc>
        <w:tc>
          <w:tcPr>
            <w:tcW w:w="1417" w:type="dxa"/>
            <w:vAlign w:val="center"/>
          </w:tcPr>
          <w:p w14:paraId="1E1FE0D2">
            <w:pPr>
              <w:jc w:val="center"/>
              <w:rPr>
                <w:color w:val="000000" w:themeColor="text1"/>
                <w:highlight w:val="none"/>
                <w14:textFill>
                  <w14:solidFill>
                    <w14:schemeClr w14:val="tx1"/>
                  </w14:solidFill>
                </w14:textFill>
              </w:rPr>
            </w:pPr>
          </w:p>
        </w:tc>
        <w:tc>
          <w:tcPr>
            <w:tcW w:w="1418" w:type="dxa"/>
            <w:gridSpan w:val="3"/>
            <w:vAlign w:val="center"/>
          </w:tcPr>
          <w:p w14:paraId="1E872ADD">
            <w:pPr>
              <w:jc w:val="center"/>
              <w:rPr>
                <w:color w:val="000000" w:themeColor="text1"/>
                <w:highlight w:val="none"/>
                <w14:textFill>
                  <w14:solidFill>
                    <w14:schemeClr w14:val="tx1"/>
                  </w14:solidFill>
                </w14:textFill>
              </w:rPr>
            </w:pPr>
          </w:p>
        </w:tc>
        <w:tc>
          <w:tcPr>
            <w:tcW w:w="1632" w:type="dxa"/>
            <w:gridSpan w:val="4"/>
            <w:vAlign w:val="center"/>
          </w:tcPr>
          <w:p w14:paraId="78A3C13B">
            <w:pPr>
              <w:jc w:val="center"/>
              <w:rPr>
                <w:color w:val="000000" w:themeColor="text1"/>
                <w:highlight w:val="none"/>
                <w14:textFill>
                  <w14:solidFill>
                    <w14:schemeClr w14:val="tx1"/>
                  </w14:solidFill>
                </w14:textFill>
              </w:rPr>
            </w:pPr>
          </w:p>
        </w:tc>
        <w:tc>
          <w:tcPr>
            <w:tcW w:w="1416" w:type="dxa"/>
            <w:gridSpan w:val="2"/>
            <w:vAlign w:val="center"/>
          </w:tcPr>
          <w:p w14:paraId="7B2B83AA">
            <w:pPr>
              <w:jc w:val="center"/>
              <w:rPr>
                <w:color w:val="000000" w:themeColor="text1"/>
                <w:highlight w:val="none"/>
                <w14:textFill>
                  <w14:solidFill>
                    <w14:schemeClr w14:val="tx1"/>
                  </w14:solidFill>
                </w14:textFill>
              </w:rPr>
            </w:pPr>
          </w:p>
        </w:tc>
      </w:tr>
      <w:tr w14:paraId="46AD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6"/>
            <w:vAlign w:val="center"/>
          </w:tcPr>
          <w:p w14:paraId="7BA7837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14:paraId="74F6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714A9E55">
            <w:pPr>
              <w:jc w:val="center"/>
              <w:rPr>
                <w:color w:val="000000" w:themeColor="text1"/>
                <w:highlight w:val="none"/>
                <w14:textFill>
                  <w14:solidFill>
                    <w14:schemeClr w14:val="tx1"/>
                  </w14:solidFill>
                </w14:textFill>
              </w:rPr>
            </w:pPr>
          </w:p>
        </w:tc>
        <w:tc>
          <w:tcPr>
            <w:tcW w:w="1548" w:type="dxa"/>
            <w:gridSpan w:val="2"/>
            <w:vAlign w:val="center"/>
          </w:tcPr>
          <w:p w14:paraId="36C03D3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2221" w:type="dxa"/>
            <w:gridSpan w:val="4"/>
            <w:vAlign w:val="center"/>
          </w:tcPr>
          <w:p w14:paraId="02EFE5F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088" w:type="dxa"/>
            <w:vAlign w:val="center"/>
          </w:tcPr>
          <w:p w14:paraId="6A24D11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vAlign w:val="center"/>
          </w:tcPr>
          <w:p w14:paraId="65204DBF">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vAlign w:val="center"/>
          </w:tcPr>
          <w:p w14:paraId="0BC1F1F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14:paraId="0A7D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6758FE9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vAlign w:val="center"/>
          </w:tcPr>
          <w:p w14:paraId="53E2E1D7">
            <w:pPr>
              <w:jc w:val="center"/>
              <w:rPr>
                <w:color w:val="000000" w:themeColor="text1"/>
                <w:highlight w:val="none"/>
                <w14:textFill>
                  <w14:solidFill>
                    <w14:schemeClr w14:val="tx1"/>
                  </w14:solidFill>
                </w14:textFill>
              </w:rPr>
            </w:pPr>
          </w:p>
        </w:tc>
        <w:tc>
          <w:tcPr>
            <w:tcW w:w="2221" w:type="dxa"/>
            <w:gridSpan w:val="4"/>
            <w:vAlign w:val="center"/>
          </w:tcPr>
          <w:p w14:paraId="72A3596E">
            <w:pPr>
              <w:jc w:val="center"/>
              <w:rPr>
                <w:color w:val="000000" w:themeColor="text1"/>
                <w:highlight w:val="none"/>
                <w14:textFill>
                  <w14:solidFill>
                    <w14:schemeClr w14:val="tx1"/>
                  </w14:solidFill>
                </w14:textFill>
              </w:rPr>
            </w:pPr>
          </w:p>
        </w:tc>
        <w:tc>
          <w:tcPr>
            <w:tcW w:w="1088" w:type="dxa"/>
            <w:vAlign w:val="center"/>
          </w:tcPr>
          <w:p w14:paraId="395E4D3C">
            <w:pPr>
              <w:jc w:val="center"/>
              <w:rPr>
                <w:color w:val="000000" w:themeColor="text1"/>
                <w:highlight w:val="none"/>
                <w14:textFill>
                  <w14:solidFill>
                    <w14:schemeClr w14:val="tx1"/>
                  </w14:solidFill>
                </w14:textFill>
              </w:rPr>
            </w:pPr>
          </w:p>
        </w:tc>
        <w:tc>
          <w:tcPr>
            <w:tcW w:w="1641" w:type="dxa"/>
            <w:gridSpan w:val="4"/>
            <w:vAlign w:val="center"/>
          </w:tcPr>
          <w:p w14:paraId="4A533101">
            <w:pPr>
              <w:jc w:val="center"/>
              <w:rPr>
                <w:color w:val="000000" w:themeColor="text1"/>
                <w:highlight w:val="none"/>
                <w14:textFill>
                  <w14:solidFill>
                    <w14:schemeClr w14:val="tx1"/>
                  </w14:solidFill>
                </w14:textFill>
              </w:rPr>
            </w:pPr>
          </w:p>
        </w:tc>
        <w:tc>
          <w:tcPr>
            <w:tcW w:w="1484" w:type="dxa"/>
            <w:gridSpan w:val="2"/>
            <w:vAlign w:val="center"/>
          </w:tcPr>
          <w:p w14:paraId="2EC79F01">
            <w:pPr>
              <w:jc w:val="center"/>
              <w:rPr>
                <w:color w:val="000000" w:themeColor="text1"/>
                <w:highlight w:val="none"/>
                <w14:textFill>
                  <w14:solidFill>
                    <w14:schemeClr w14:val="tx1"/>
                  </w14:solidFill>
                </w14:textFill>
              </w:rPr>
            </w:pPr>
          </w:p>
        </w:tc>
      </w:tr>
      <w:tr w14:paraId="2213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4A5E6FD">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vAlign w:val="center"/>
          </w:tcPr>
          <w:p w14:paraId="57FAF05E">
            <w:pPr>
              <w:jc w:val="center"/>
              <w:rPr>
                <w:color w:val="000000" w:themeColor="text1"/>
                <w:highlight w:val="none"/>
                <w14:textFill>
                  <w14:solidFill>
                    <w14:schemeClr w14:val="tx1"/>
                  </w14:solidFill>
                </w14:textFill>
              </w:rPr>
            </w:pPr>
          </w:p>
        </w:tc>
        <w:tc>
          <w:tcPr>
            <w:tcW w:w="2221" w:type="dxa"/>
            <w:gridSpan w:val="4"/>
            <w:vAlign w:val="center"/>
          </w:tcPr>
          <w:p w14:paraId="0D9555DA">
            <w:pPr>
              <w:jc w:val="center"/>
              <w:rPr>
                <w:color w:val="000000" w:themeColor="text1"/>
                <w:highlight w:val="none"/>
                <w14:textFill>
                  <w14:solidFill>
                    <w14:schemeClr w14:val="tx1"/>
                  </w14:solidFill>
                </w14:textFill>
              </w:rPr>
            </w:pPr>
          </w:p>
        </w:tc>
        <w:tc>
          <w:tcPr>
            <w:tcW w:w="1088" w:type="dxa"/>
            <w:vAlign w:val="center"/>
          </w:tcPr>
          <w:p w14:paraId="0BE8EA51">
            <w:pPr>
              <w:jc w:val="center"/>
              <w:rPr>
                <w:color w:val="000000" w:themeColor="text1"/>
                <w:highlight w:val="none"/>
                <w14:textFill>
                  <w14:solidFill>
                    <w14:schemeClr w14:val="tx1"/>
                  </w14:solidFill>
                </w14:textFill>
              </w:rPr>
            </w:pPr>
          </w:p>
        </w:tc>
        <w:tc>
          <w:tcPr>
            <w:tcW w:w="1641" w:type="dxa"/>
            <w:gridSpan w:val="4"/>
            <w:vAlign w:val="center"/>
          </w:tcPr>
          <w:p w14:paraId="77F0B20A">
            <w:pPr>
              <w:jc w:val="center"/>
              <w:rPr>
                <w:color w:val="000000" w:themeColor="text1"/>
                <w:highlight w:val="none"/>
                <w14:textFill>
                  <w14:solidFill>
                    <w14:schemeClr w14:val="tx1"/>
                  </w14:solidFill>
                </w14:textFill>
              </w:rPr>
            </w:pPr>
          </w:p>
        </w:tc>
        <w:tc>
          <w:tcPr>
            <w:tcW w:w="1484" w:type="dxa"/>
            <w:gridSpan w:val="2"/>
            <w:vAlign w:val="center"/>
          </w:tcPr>
          <w:p w14:paraId="768BAEB5">
            <w:pPr>
              <w:jc w:val="center"/>
              <w:rPr>
                <w:color w:val="000000" w:themeColor="text1"/>
                <w:highlight w:val="none"/>
                <w14:textFill>
                  <w14:solidFill>
                    <w14:schemeClr w14:val="tx1"/>
                  </w14:solidFill>
                </w14:textFill>
              </w:rPr>
            </w:pPr>
          </w:p>
        </w:tc>
      </w:tr>
      <w:tr w14:paraId="6A6F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26C5F44">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vAlign w:val="center"/>
          </w:tcPr>
          <w:p w14:paraId="6C128295">
            <w:pPr>
              <w:jc w:val="center"/>
              <w:rPr>
                <w:color w:val="000000" w:themeColor="text1"/>
                <w:highlight w:val="none"/>
                <w14:textFill>
                  <w14:solidFill>
                    <w14:schemeClr w14:val="tx1"/>
                  </w14:solidFill>
                </w14:textFill>
              </w:rPr>
            </w:pPr>
          </w:p>
        </w:tc>
        <w:tc>
          <w:tcPr>
            <w:tcW w:w="2221" w:type="dxa"/>
            <w:gridSpan w:val="4"/>
            <w:vAlign w:val="center"/>
          </w:tcPr>
          <w:p w14:paraId="53B8AE12">
            <w:pPr>
              <w:jc w:val="center"/>
              <w:rPr>
                <w:color w:val="000000" w:themeColor="text1"/>
                <w:highlight w:val="none"/>
                <w14:textFill>
                  <w14:solidFill>
                    <w14:schemeClr w14:val="tx1"/>
                  </w14:solidFill>
                </w14:textFill>
              </w:rPr>
            </w:pPr>
          </w:p>
        </w:tc>
        <w:tc>
          <w:tcPr>
            <w:tcW w:w="1088" w:type="dxa"/>
            <w:vAlign w:val="center"/>
          </w:tcPr>
          <w:p w14:paraId="763EDEA8">
            <w:pPr>
              <w:jc w:val="center"/>
              <w:rPr>
                <w:color w:val="000000" w:themeColor="text1"/>
                <w:highlight w:val="none"/>
                <w14:textFill>
                  <w14:solidFill>
                    <w14:schemeClr w14:val="tx1"/>
                  </w14:solidFill>
                </w14:textFill>
              </w:rPr>
            </w:pPr>
          </w:p>
        </w:tc>
        <w:tc>
          <w:tcPr>
            <w:tcW w:w="1641" w:type="dxa"/>
            <w:gridSpan w:val="4"/>
            <w:vAlign w:val="center"/>
          </w:tcPr>
          <w:p w14:paraId="2666359E">
            <w:pPr>
              <w:jc w:val="center"/>
              <w:rPr>
                <w:color w:val="000000" w:themeColor="text1"/>
                <w:highlight w:val="none"/>
                <w14:textFill>
                  <w14:solidFill>
                    <w14:schemeClr w14:val="tx1"/>
                  </w14:solidFill>
                </w14:textFill>
              </w:rPr>
            </w:pPr>
          </w:p>
        </w:tc>
        <w:tc>
          <w:tcPr>
            <w:tcW w:w="1484" w:type="dxa"/>
            <w:gridSpan w:val="2"/>
            <w:vAlign w:val="center"/>
          </w:tcPr>
          <w:p w14:paraId="33C4C5DC">
            <w:pPr>
              <w:jc w:val="center"/>
              <w:rPr>
                <w:color w:val="000000" w:themeColor="text1"/>
                <w:highlight w:val="none"/>
                <w14:textFill>
                  <w14:solidFill>
                    <w14:schemeClr w14:val="tx1"/>
                  </w14:solidFill>
                </w14:textFill>
              </w:rPr>
            </w:pPr>
          </w:p>
        </w:tc>
      </w:tr>
      <w:tr w14:paraId="2080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079B3DCE">
            <w:pPr>
              <w:jc w:val="center"/>
              <w:rPr>
                <w:rFonts w:hint="eastAsia" w:ascii="宋体" w:hAnsi="宋体" w:cs="宋体"/>
                <w:color w:val="000000" w:themeColor="text1"/>
                <w:sz w:val="27"/>
                <w:szCs w:val="27"/>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vAlign w:val="center"/>
          </w:tcPr>
          <w:p w14:paraId="1E7E2F9E">
            <w:pPr>
              <w:jc w:val="center"/>
              <w:rPr>
                <w:color w:val="000000" w:themeColor="text1"/>
                <w:highlight w:val="none"/>
                <w14:textFill>
                  <w14:solidFill>
                    <w14:schemeClr w14:val="tx1"/>
                  </w14:solidFill>
                </w14:textFill>
              </w:rPr>
            </w:pPr>
          </w:p>
        </w:tc>
        <w:tc>
          <w:tcPr>
            <w:tcW w:w="2221" w:type="dxa"/>
            <w:gridSpan w:val="4"/>
            <w:vAlign w:val="center"/>
          </w:tcPr>
          <w:p w14:paraId="52C5EE90">
            <w:pPr>
              <w:jc w:val="center"/>
              <w:rPr>
                <w:color w:val="000000" w:themeColor="text1"/>
                <w:highlight w:val="none"/>
                <w14:textFill>
                  <w14:solidFill>
                    <w14:schemeClr w14:val="tx1"/>
                  </w14:solidFill>
                </w14:textFill>
              </w:rPr>
            </w:pPr>
          </w:p>
        </w:tc>
        <w:tc>
          <w:tcPr>
            <w:tcW w:w="1088" w:type="dxa"/>
            <w:vAlign w:val="center"/>
          </w:tcPr>
          <w:p w14:paraId="67555190">
            <w:pPr>
              <w:jc w:val="center"/>
              <w:rPr>
                <w:color w:val="000000" w:themeColor="text1"/>
                <w:highlight w:val="none"/>
                <w14:textFill>
                  <w14:solidFill>
                    <w14:schemeClr w14:val="tx1"/>
                  </w14:solidFill>
                </w14:textFill>
              </w:rPr>
            </w:pPr>
          </w:p>
        </w:tc>
        <w:tc>
          <w:tcPr>
            <w:tcW w:w="1641" w:type="dxa"/>
            <w:gridSpan w:val="4"/>
            <w:vAlign w:val="center"/>
          </w:tcPr>
          <w:p w14:paraId="785C55DD">
            <w:pPr>
              <w:jc w:val="center"/>
              <w:rPr>
                <w:color w:val="000000" w:themeColor="text1"/>
                <w:highlight w:val="none"/>
                <w14:textFill>
                  <w14:solidFill>
                    <w14:schemeClr w14:val="tx1"/>
                  </w14:solidFill>
                </w14:textFill>
              </w:rPr>
            </w:pPr>
          </w:p>
        </w:tc>
        <w:tc>
          <w:tcPr>
            <w:tcW w:w="1484" w:type="dxa"/>
            <w:gridSpan w:val="2"/>
            <w:vAlign w:val="center"/>
          </w:tcPr>
          <w:p w14:paraId="3A73F16D">
            <w:pPr>
              <w:jc w:val="center"/>
              <w:rPr>
                <w:color w:val="000000" w:themeColor="text1"/>
                <w:highlight w:val="none"/>
                <w14:textFill>
                  <w14:solidFill>
                    <w14:schemeClr w14:val="tx1"/>
                  </w14:solidFill>
                </w14:textFill>
              </w:rPr>
            </w:pPr>
          </w:p>
        </w:tc>
      </w:tr>
      <w:tr w14:paraId="25BA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68E9F28D">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vAlign w:val="center"/>
          </w:tcPr>
          <w:p w14:paraId="6D3333BC">
            <w:pPr>
              <w:jc w:val="center"/>
              <w:rPr>
                <w:color w:val="000000" w:themeColor="text1"/>
                <w:highlight w:val="none"/>
                <w14:textFill>
                  <w14:solidFill>
                    <w14:schemeClr w14:val="tx1"/>
                  </w14:solidFill>
                </w14:textFill>
              </w:rPr>
            </w:pPr>
          </w:p>
        </w:tc>
        <w:tc>
          <w:tcPr>
            <w:tcW w:w="2221" w:type="dxa"/>
            <w:gridSpan w:val="4"/>
            <w:vAlign w:val="center"/>
          </w:tcPr>
          <w:p w14:paraId="68ACEC24">
            <w:pPr>
              <w:jc w:val="center"/>
              <w:rPr>
                <w:color w:val="000000" w:themeColor="text1"/>
                <w:highlight w:val="none"/>
                <w14:textFill>
                  <w14:solidFill>
                    <w14:schemeClr w14:val="tx1"/>
                  </w14:solidFill>
                </w14:textFill>
              </w:rPr>
            </w:pPr>
          </w:p>
        </w:tc>
        <w:tc>
          <w:tcPr>
            <w:tcW w:w="1088" w:type="dxa"/>
            <w:vAlign w:val="center"/>
          </w:tcPr>
          <w:p w14:paraId="433A7457">
            <w:pPr>
              <w:jc w:val="center"/>
              <w:rPr>
                <w:color w:val="000000" w:themeColor="text1"/>
                <w:highlight w:val="none"/>
                <w14:textFill>
                  <w14:solidFill>
                    <w14:schemeClr w14:val="tx1"/>
                  </w14:solidFill>
                </w14:textFill>
              </w:rPr>
            </w:pPr>
          </w:p>
        </w:tc>
        <w:tc>
          <w:tcPr>
            <w:tcW w:w="1641" w:type="dxa"/>
            <w:gridSpan w:val="4"/>
            <w:vAlign w:val="center"/>
          </w:tcPr>
          <w:p w14:paraId="242F37D4">
            <w:pPr>
              <w:jc w:val="center"/>
              <w:rPr>
                <w:color w:val="000000" w:themeColor="text1"/>
                <w:highlight w:val="none"/>
                <w14:textFill>
                  <w14:solidFill>
                    <w14:schemeClr w14:val="tx1"/>
                  </w14:solidFill>
                </w14:textFill>
              </w:rPr>
            </w:pPr>
          </w:p>
        </w:tc>
        <w:tc>
          <w:tcPr>
            <w:tcW w:w="1484" w:type="dxa"/>
            <w:gridSpan w:val="2"/>
            <w:vAlign w:val="center"/>
          </w:tcPr>
          <w:p w14:paraId="2FEB076C">
            <w:pPr>
              <w:jc w:val="center"/>
              <w:rPr>
                <w:color w:val="000000" w:themeColor="text1"/>
                <w:highlight w:val="none"/>
                <w14:textFill>
                  <w14:solidFill>
                    <w14:schemeClr w14:val="tx1"/>
                  </w14:solidFill>
                </w14:textFill>
              </w:rPr>
            </w:pPr>
          </w:p>
        </w:tc>
      </w:tr>
      <w:tr w14:paraId="69B6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CF5C2AB">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vAlign w:val="center"/>
          </w:tcPr>
          <w:p w14:paraId="648E63FC">
            <w:pPr>
              <w:jc w:val="center"/>
              <w:rPr>
                <w:color w:val="000000" w:themeColor="text1"/>
                <w:highlight w:val="none"/>
                <w14:textFill>
                  <w14:solidFill>
                    <w14:schemeClr w14:val="tx1"/>
                  </w14:solidFill>
                </w14:textFill>
              </w:rPr>
            </w:pPr>
          </w:p>
        </w:tc>
        <w:tc>
          <w:tcPr>
            <w:tcW w:w="2221" w:type="dxa"/>
            <w:gridSpan w:val="4"/>
            <w:vAlign w:val="center"/>
          </w:tcPr>
          <w:p w14:paraId="1A05BA68">
            <w:pPr>
              <w:jc w:val="center"/>
              <w:rPr>
                <w:color w:val="000000" w:themeColor="text1"/>
                <w:highlight w:val="none"/>
                <w14:textFill>
                  <w14:solidFill>
                    <w14:schemeClr w14:val="tx1"/>
                  </w14:solidFill>
                </w14:textFill>
              </w:rPr>
            </w:pPr>
          </w:p>
        </w:tc>
        <w:tc>
          <w:tcPr>
            <w:tcW w:w="1088" w:type="dxa"/>
            <w:vAlign w:val="center"/>
          </w:tcPr>
          <w:p w14:paraId="0E10CA45">
            <w:pPr>
              <w:jc w:val="center"/>
              <w:rPr>
                <w:color w:val="000000" w:themeColor="text1"/>
                <w:highlight w:val="none"/>
                <w14:textFill>
                  <w14:solidFill>
                    <w14:schemeClr w14:val="tx1"/>
                  </w14:solidFill>
                </w14:textFill>
              </w:rPr>
            </w:pPr>
          </w:p>
        </w:tc>
        <w:tc>
          <w:tcPr>
            <w:tcW w:w="1641" w:type="dxa"/>
            <w:gridSpan w:val="4"/>
            <w:vAlign w:val="center"/>
          </w:tcPr>
          <w:p w14:paraId="2617AAB8">
            <w:pPr>
              <w:jc w:val="center"/>
              <w:rPr>
                <w:color w:val="000000" w:themeColor="text1"/>
                <w:highlight w:val="none"/>
                <w14:textFill>
                  <w14:solidFill>
                    <w14:schemeClr w14:val="tx1"/>
                  </w14:solidFill>
                </w14:textFill>
              </w:rPr>
            </w:pPr>
          </w:p>
        </w:tc>
        <w:tc>
          <w:tcPr>
            <w:tcW w:w="1484" w:type="dxa"/>
            <w:gridSpan w:val="2"/>
            <w:vAlign w:val="center"/>
          </w:tcPr>
          <w:p w14:paraId="4D2125B2">
            <w:pPr>
              <w:jc w:val="center"/>
              <w:rPr>
                <w:color w:val="000000" w:themeColor="text1"/>
                <w:highlight w:val="none"/>
                <w14:textFill>
                  <w14:solidFill>
                    <w14:schemeClr w14:val="tx1"/>
                  </w14:solidFill>
                </w14:textFill>
              </w:rPr>
            </w:pPr>
          </w:p>
        </w:tc>
      </w:tr>
      <w:tr w14:paraId="69B8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13F178F2">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vAlign w:val="center"/>
          </w:tcPr>
          <w:p w14:paraId="6F2DC508">
            <w:pPr>
              <w:jc w:val="center"/>
              <w:rPr>
                <w:color w:val="000000" w:themeColor="text1"/>
                <w:highlight w:val="none"/>
                <w14:textFill>
                  <w14:solidFill>
                    <w14:schemeClr w14:val="tx1"/>
                  </w14:solidFill>
                </w14:textFill>
              </w:rPr>
            </w:pPr>
          </w:p>
        </w:tc>
        <w:tc>
          <w:tcPr>
            <w:tcW w:w="2221" w:type="dxa"/>
            <w:gridSpan w:val="4"/>
            <w:vAlign w:val="center"/>
          </w:tcPr>
          <w:p w14:paraId="16A68926">
            <w:pPr>
              <w:jc w:val="center"/>
              <w:rPr>
                <w:color w:val="000000" w:themeColor="text1"/>
                <w:highlight w:val="none"/>
                <w14:textFill>
                  <w14:solidFill>
                    <w14:schemeClr w14:val="tx1"/>
                  </w14:solidFill>
                </w14:textFill>
              </w:rPr>
            </w:pPr>
          </w:p>
        </w:tc>
        <w:tc>
          <w:tcPr>
            <w:tcW w:w="1088" w:type="dxa"/>
            <w:vAlign w:val="center"/>
          </w:tcPr>
          <w:p w14:paraId="38BD1C17">
            <w:pPr>
              <w:jc w:val="center"/>
              <w:rPr>
                <w:color w:val="000000" w:themeColor="text1"/>
                <w:highlight w:val="none"/>
                <w14:textFill>
                  <w14:solidFill>
                    <w14:schemeClr w14:val="tx1"/>
                  </w14:solidFill>
                </w14:textFill>
              </w:rPr>
            </w:pPr>
          </w:p>
        </w:tc>
        <w:tc>
          <w:tcPr>
            <w:tcW w:w="1641" w:type="dxa"/>
            <w:gridSpan w:val="4"/>
            <w:vAlign w:val="center"/>
          </w:tcPr>
          <w:p w14:paraId="45D66A62">
            <w:pPr>
              <w:jc w:val="center"/>
              <w:rPr>
                <w:color w:val="000000" w:themeColor="text1"/>
                <w:highlight w:val="none"/>
                <w14:textFill>
                  <w14:solidFill>
                    <w14:schemeClr w14:val="tx1"/>
                  </w14:solidFill>
                </w14:textFill>
              </w:rPr>
            </w:pPr>
          </w:p>
        </w:tc>
        <w:tc>
          <w:tcPr>
            <w:tcW w:w="1484" w:type="dxa"/>
            <w:gridSpan w:val="2"/>
            <w:vAlign w:val="center"/>
          </w:tcPr>
          <w:p w14:paraId="0C8625F3">
            <w:pPr>
              <w:jc w:val="center"/>
              <w:rPr>
                <w:color w:val="000000" w:themeColor="text1"/>
                <w:highlight w:val="none"/>
                <w14:textFill>
                  <w14:solidFill>
                    <w14:schemeClr w14:val="tx1"/>
                  </w14:solidFill>
                </w14:textFill>
              </w:rPr>
            </w:pPr>
          </w:p>
        </w:tc>
      </w:tr>
      <w:tr w14:paraId="71CF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CC49450">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vAlign w:val="center"/>
          </w:tcPr>
          <w:p w14:paraId="20C2FD6A">
            <w:pPr>
              <w:jc w:val="center"/>
              <w:rPr>
                <w:color w:val="000000" w:themeColor="text1"/>
                <w:highlight w:val="none"/>
                <w14:textFill>
                  <w14:solidFill>
                    <w14:schemeClr w14:val="tx1"/>
                  </w14:solidFill>
                </w14:textFill>
              </w:rPr>
            </w:pPr>
          </w:p>
        </w:tc>
        <w:tc>
          <w:tcPr>
            <w:tcW w:w="2221" w:type="dxa"/>
            <w:gridSpan w:val="4"/>
            <w:vAlign w:val="center"/>
          </w:tcPr>
          <w:p w14:paraId="4DE12CC4">
            <w:pPr>
              <w:jc w:val="center"/>
              <w:rPr>
                <w:color w:val="000000" w:themeColor="text1"/>
                <w:highlight w:val="none"/>
                <w14:textFill>
                  <w14:solidFill>
                    <w14:schemeClr w14:val="tx1"/>
                  </w14:solidFill>
                </w14:textFill>
              </w:rPr>
            </w:pPr>
          </w:p>
        </w:tc>
        <w:tc>
          <w:tcPr>
            <w:tcW w:w="1088" w:type="dxa"/>
            <w:vAlign w:val="center"/>
          </w:tcPr>
          <w:p w14:paraId="101D3ED2">
            <w:pPr>
              <w:jc w:val="center"/>
              <w:rPr>
                <w:color w:val="000000" w:themeColor="text1"/>
                <w:highlight w:val="none"/>
                <w14:textFill>
                  <w14:solidFill>
                    <w14:schemeClr w14:val="tx1"/>
                  </w14:solidFill>
                </w14:textFill>
              </w:rPr>
            </w:pPr>
          </w:p>
        </w:tc>
        <w:tc>
          <w:tcPr>
            <w:tcW w:w="1641" w:type="dxa"/>
            <w:gridSpan w:val="4"/>
            <w:vAlign w:val="center"/>
          </w:tcPr>
          <w:p w14:paraId="0039A886">
            <w:pPr>
              <w:jc w:val="center"/>
              <w:rPr>
                <w:color w:val="000000" w:themeColor="text1"/>
                <w:highlight w:val="none"/>
                <w14:textFill>
                  <w14:solidFill>
                    <w14:schemeClr w14:val="tx1"/>
                  </w14:solidFill>
                </w14:textFill>
              </w:rPr>
            </w:pPr>
          </w:p>
        </w:tc>
        <w:tc>
          <w:tcPr>
            <w:tcW w:w="1484" w:type="dxa"/>
            <w:gridSpan w:val="2"/>
            <w:vAlign w:val="center"/>
          </w:tcPr>
          <w:p w14:paraId="65E38A9C">
            <w:pPr>
              <w:jc w:val="center"/>
              <w:rPr>
                <w:color w:val="000000" w:themeColor="text1"/>
                <w:highlight w:val="none"/>
                <w14:textFill>
                  <w14:solidFill>
                    <w14:schemeClr w14:val="tx1"/>
                  </w14:solidFill>
                </w14:textFill>
              </w:rPr>
            </w:pPr>
          </w:p>
        </w:tc>
      </w:tr>
      <w:tr w14:paraId="7AEA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63D01420">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vAlign w:val="center"/>
          </w:tcPr>
          <w:p w14:paraId="4FE6AC8A">
            <w:pPr>
              <w:jc w:val="center"/>
              <w:rPr>
                <w:color w:val="000000" w:themeColor="text1"/>
                <w:highlight w:val="none"/>
                <w14:textFill>
                  <w14:solidFill>
                    <w14:schemeClr w14:val="tx1"/>
                  </w14:solidFill>
                </w14:textFill>
              </w:rPr>
            </w:pPr>
          </w:p>
        </w:tc>
        <w:tc>
          <w:tcPr>
            <w:tcW w:w="2221" w:type="dxa"/>
            <w:gridSpan w:val="4"/>
            <w:vAlign w:val="center"/>
          </w:tcPr>
          <w:p w14:paraId="7131858D">
            <w:pPr>
              <w:jc w:val="center"/>
              <w:rPr>
                <w:color w:val="000000" w:themeColor="text1"/>
                <w:highlight w:val="none"/>
                <w14:textFill>
                  <w14:solidFill>
                    <w14:schemeClr w14:val="tx1"/>
                  </w14:solidFill>
                </w14:textFill>
              </w:rPr>
            </w:pPr>
          </w:p>
        </w:tc>
        <w:tc>
          <w:tcPr>
            <w:tcW w:w="1088" w:type="dxa"/>
            <w:vAlign w:val="center"/>
          </w:tcPr>
          <w:p w14:paraId="6BCB0173">
            <w:pPr>
              <w:jc w:val="center"/>
              <w:rPr>
                <w:color w:val="000000" w:themeColor="text1"/>
                <w:highlight w:val="none"/>
                <w14:textFill>
                  <w14:solidFill>
                    <w14:schemeClr w14:val="tx1"/>
                  </w14:solidFill>
                </w14:textFill>
              </w:rPr>
            </w:pPr>
          </w:p>
        </w:tc>
        <w:tc>
          <w:tcPr>
            <w:tcW w:w="1641" w:type="dxa"/>
            <w:gridSpan w:val="4"/>
            <w:vAlign w:val="center"/>
          </w:tcPr>
          <w:p w14:paraId="1AC68705">
            <w:pPr>
              <w:jc w:val="center"/>
              <w:rPr>
                <w:color w:val="000000" w:themeColor="text1"/>
                <w:highlight w:val="none"/>
                <w14:textFill>
                  <w14:solidFill>
                    <w14:schemeClr w14:val="tx1"/>
                  </w14:solidFill>
                </w14:textFill>
              </w:rPr>
            </w:pPr>
          </w:p>
        </w:tc>
        <w:tc>
          <w:tcPr>
            <w:tcW w:w="1484" w:type="dxa"/>
            <w:gridSpan w:val="2"/>
            <w:vAlign w:val="center"/>
          </w:tcPr>
          <w:p w14:paraId="79F9102A">
            <w:pPr>
              <w:jc w:val="center"/>
              <w:rPr>
                <w:color w:val="000000" w:themeColor="text1"/>
                <w:highlight w:val="none"/>
                <w14:textFill>
                  <w14:solidFill>
                    <w14:schemeClr w14:val="tx1"/>
                  </w14:solidFill>
                </w14:textFill>
              </w:rPr>
            </w:pPr>
          </w:p>
        </w:tc>
      </w:tr>
    </w:tbl>
    <w:p w14:paraId="52008689">
      <w:pPr>
        <w:rPr>
          <w:rFonts w:hint="eastAsia" w:ascii="宋体" w:hAnsi="宋体"/>
          <w:color w:val="000000" w:themeColor="text1"/>
          <w:szCs w:val="21"/>
          <w:highlight w:val="none"/>
          <w14:textFill>
            <w14:solidFill>
              <w14:schemeClr w14:val="tx1"/>
            </w14:solidFill>
          </w14:textFill>
        </w:rPr>
      </w:pPr>
      <w:r>
        <w:rPr>
          <w:rFonts w:hint="eastAsia" w:ascii="宋体" w:hAnsi="宋体" w:cs="楷体_GB2312"/>
          <w:color w:val="000000" w:themeColor="text1"/>
          <w:szCs w:val="21"/>
          <w:highlight w:val="none"/>
          <w14:textFill>
            <w14:solidFill>
              <w14:schemeClr w14:val="tx1"/>
            </w14:solidFill>
          </w14:textFill>
        </w:rPr>
        <w:t>备注：</w:t>
      </w:r>
    </w:p>
    <w:p w14:paraId="46E8DE6A">
      <w:pPr>
        <w:spacing w:line="360" w:lineRule="auto"/>
        <w:ind w:firstLine="420" w:firstLineChars="200"/>
        <w:outlineLvl w:val="2"/>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1.项目</w:t>
      </w:r>
      <w:r>
        <w:rPr>
          <w:rFonts w:ascii="宋体" w:hAnsi="宋体"/>
          <w:color w:val="000000" w:themeColor="text1"/>
          <w:szCs w:val="21"/>
          <w:highlight w:val="none"/>
          <w14:textFill>
            <w14:solidFill>
              <w14:schemeClr w14:val="tx1"/>
            </w14:solidFill>
          </w14:textFill>
        </w:rPr>
        <w:t>数</w:t>
      </w:r>
      <w:r>
        <w:rPr>
          <w:rFonts w:hint="eastAsia" w:ascii="宋体" w:hAnsi="宋体"/>
          <w:color w:val="000000" w:themeColor="text1"/>
          <w:szCs w:val="21"/>
          <w:highlight w:val="none"/>
          <w14:textFill>
            <w14:solidFill>
              <w14:schemeClr w14:val="tx1"/>
            </w14:solidFill>
          </w14:textFill>
        </w:rPr>
        <w:t>可</w:t>
      </w:r>
      <w:r>
        <w:rPr>
          <w:rFonts w:ascii="宋体" w:hAnsi="宋体"/>
          <w:color w:val="000000" w:themeColor="text1"/>
          <w:szCs w:val="21"/>
          <w:highlight w:val="none"/>
          <w14:textFill>
            <w14:solidFill>
              <w14:schemeClr w14:val="tx1"/>
            </w14:solidFill>
          </w14:textFill>
        </w:rPr>
        <w:t>以根据需要增加</w:t>
      </w:r>
      <w:r>
        <w:rPr>
          <w:rFonts w:hint="eastAsia" w:ascii="宋体" w:hAnsi="宋体"/>
          <w:color w:val="000000" w:themeColor="text1"/>
          <w:szCs w:val="21"/>
          <w:highlight w:val="none"/>
          <w14:textFill>
            <w14:solidFill>
              <w14:schemeClr w14:val="tx1"/>
            </w14:solidFill>
          </w14:textFill>
        </w:rPr>
        <w:t>。</w:t>
      </w:r>
    </w:p>
    <w:p w14:paraId="464C48A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2.本表后附项目经理的</w:t>
      </w:r>
      <w:r>
        <w:rPr>
          <w:rFonts w:hint="eastAsia" w:ascii="宋体" w:hAnsi="宋体"/>
          <w:color w:val="000000" w:themeColor="text1"/>
          <w:szCs w:val="21"/>
          <w:highlight w:val="none"/>
          <w:lang w:eastAsia="zh-CN"/>
          <w14:textFill>
            <w14:solidFill>
              <w14:schemeClr w14:val="tx1"/>
            </w14:solidFill>
          </w14:textFill>
        </w:rPr>
        <w:t>注册</w:t>
      </w:r>
      <w:r>
        <w:rPr>
          <w:rFonts w:hint="eastAsia" w:ascii="宋体" w:hAnsi="宋体"/>
          <w:color w:val="000000" w:themeColor="text1"/>
          <w:szCs w:val="21"/>
          <w:highlight w:val="none"/>
          <w14:textFill>
            <w14:solidFill>
              <w14:schemeClr w14:val="tx1"/>
            </w14:solidFill>
          </w14:textFill>
        </w:rPr>
        <w:t>证</w:t>
      </w:r>
      <w:r>
        <w:rPr>
          <w:rFonts w:hint="eastAsia" w:ascii="宋体" w:hAnsi="宋体"/>
          <w:color w:val="000000" w:themeColor="text1"/>
          <w:szCs w:val="21"/>
          <w:highlight w:val="none"/>
          <w:lang w:eastAsia="zh-CN"/>
          <w14:textFill>
            <w14:solidFill>
              <w14:schemeClr w14:val="tx1"/>
            </w14:solidFill>
          </w14:textFill>
        </w:rPr>
        <w:t>书</w:t>
      </w:r>
      <w:r>
        <w:rPr>
          <w:rFonts w:hint="eastAsia" w:ascii="宋体" w:hAnsi="宋体"/>
          <w:color w:val="000000" w:themeColor="text1"/>
          <w:szCs w:val="21"/>
          <w:highlight w:val="none"/>
          <w14:textFill>
            <w14:solidFill>
              <w14:schemeClr w14:val="tx1"/>
            </w14:solidFill>
          </w14:textFill>
        </w:rPr>
        <w:t>、安全生产考核合格证（B类）、本表所列证书</w:t>
      </w:r>
      <w:r>
        <w:rPr>
          <w:rFonts w:hint="eastAsia" w:ascii="宋体" w:hAnsi="宋体"/>
          <w:color w:val="000000" w:themeColor="text1"/>
          <w:szCs w:val="21"/>
          <w:highlight w:val="none"/>
          <w:lang w:eastAsia="zh-CN"/>
          <w14:textFill>
            <w14:solidFill>
              <w14:schemeClr w14:val="tx1"/>
            </w14:solidFill>
          </w14:textFill>
        </w:rPr>
        <w:t>复印件（或扫描件）</w:t>
      </w:r>
      <w:r>
        <w:rPr>
          <w:rFonts w:hint="eastAsia" w:ascii="宋体" w:hAnsi="宋体"/>
          <w:color w:val="000000" w:themeColor="text1"/>
          <w:szCs w:val="21"/>
          <w:highlight w:val="none"/>
          <w14:textFill>
            <w14:solidFill>
              <w14:schemeClr w14:val="tx1"/>
            </w14:solidFill>
          </w14:textFill>
        </w:rPr>
        <w:t>并加盖供应商电子签章。</w:t>
      </w:r>
    </w:p>
    <w:p w14:paraId="3163FD24">
      <w:pPr>
        <w:spacing w:before="156" w:beforeLines="50"/>
        <w:ind w:firstLine="643" w:firstLineChars="200"/>
        <w:jc w:val="center"/>
        <w:outlineLvl w:val="3"/>
        <w:rPr>
          <w:color w:val="000000" w:themeColor="text1"/>
          <w:highlight w:val="none"/>
          <w:u w:val="single"/>
          <w14:textFill>
            <w14:solidFill>
              <w14:schemeClr w14:val="tx1"/>
            </w14:solidFill>
          </w14:textFill>
        </w:rPr>
      </w:pPr>
      <w:r>
        <w:rPr>
          <w:rFonts w:cs="宋体"/>
          <w:b/>
          <w:color w:val="000000" w:themeColor="text1"/>
          <w:sz w:val="32"/>
          <w:szCs w:val="32"/>
          <w:highlight w:val="none"/>
          <w14:textFill>
            <w14:solidFill>
              <w14:schemeClr w14:val="tx1"/>
            </w14:solidFill>
          </w14:textFill>
        </w:rPr>
        <w:br w:type="page"/>
      </w:r>
      <w:r>
        <w:rPr>
          <w:rFonts w:hint="eastAsia" w:cs="宋体"/>
          <w:b/>
          <w:color w:val="000000" w:themeColor="text1"/>
          <w:sz w:val="32"/>
          <w:szCs w:val="32"/>
          <w:highlight w:val="none"/>
          <w14:textFill>
            <w14:solidFill>
              <w14:schemeClr w14:val="tx1"/>
            </w14:solidFill>
          </w14:textFill>
        </w:rPr>
        <w:t>项目技术负责人（项目总工）简历表</w:t>
      </w:r>
    </w:p>
    <w:tbl>
      <w:tblPr>
        <w:tblStyle w:val="45"/>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318"/>
        <w:gridCol w:w="300"/>
        <w:gridCol w:w="888"/>
        <w:gridCol w:w="660"/>
        <w:gridCol w:w="328"/>
        <w:gridCol w:w="234"/>
        <w:gridCol w:w="66"/>
        <w:gridCol w:w="1209"/>
        <w:gridCol w:w="142"/>
        <w:gridCol w:w="242"/>
        <w:gridCol w:w="1088"/>
        <w:gridCol w:w="88"/>
        <w:gridCol w:w="409"/>
        <w:gridCol w:w="1108"/>
        <w:gridCol w:w="36"/>
        <w:gridCol w:w="79"/>
        <w:gridCol w:w="1405"/>
        <w:gridCol w:w="11"/>
      </w:tblGrid>
      <w:tr w14:paraId="0220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vAlign w:val="center"/>
          </w:tcPr>
          <w:p w14:paraId="64FBDF4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176" w:type="dxa"/>
            <w:gridSpan w:val="4"/>
            <w:vAlign w:val="center"/>
          </w:tcPr>
          <w:p w14:paraId="3003438F">
            <w:pPr>
              <w:jc w:val="center"/>
              <w:rPr>
                <w:color w:val="000000" w:themeColor="text1"/>
                <w:highlight w:val="none"/>
                <w14:textFill>
                  <w14:solidFill>
                    <w14:schemeClr w14:val="tx1"/>
                  </w14:solidFill>
                </w14:textFill>
              </w:rPr>
            </w:pPr>
          </w:p>
        </w:tc>
        <w:tc>
          <w:tcPr>
            <w:tcW w:w="1893" w:type="dxa"/>
            <w:gridSpan w:val="5"/>
            <w:vAlign w:val="center"/>
          </w:tcPr>
          <w:p w14:paraId="33038ED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vAlign w:val="center"/>
          </w:tcPr>
          <w:p w14:paraId="2E48AB19">
            <w:pPr>
              <w:jc w:val="center"/>
              <w:rPr>
                <w:color w:val="000000" w:themeColor="text1"/>
                <w:highlight w:val="none"/>
                <w14:textFill>
                  <w14:solidFill>
                    <w14:schemeClr w14:val="tx1"/>
                  </w14:solidFill>
                </w14:textFill>
              </w:rPr>
            </w:pPr>
          </w:p>
        </w:tc>
        <w:tc>
          <w:tcPr>
            <w:tcW w:w="1108" w:type="dxa"/>
            <w:vAlign w:val="center"/>
          </w:tcPr>
          <w:p w14:paraId="796D4E0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vAlign w:val="center"/>
          </w:tcPr>
          <w:p w14:paraId="589AA1DF">
            <w:pPr>
              <w:jc w:val="center"/>
              <w:rPr>
                <w:color w:val="000000" w:themeColor="text1"/>
                <w:highlight w:val="none"/>
                <w14:textFill>
                  <w14:solidFill>
                    <w14:schemeClr w14:val="tx1"/>
                  </w14:solidFill>
                </w14:textFill>
              </w:rPr>
            </w:pPr>
          </w:p>
        </w:tc>
      </w:tr>
      <w:tr w14:paraId="7368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318" w:type="dxa"/>
            <w:vAlign w:val="center"/>
          </w:tcPr>
          <w:p w14:paraId="3D93F76B">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176" w:type="dxa"/>
            <w:gridSpan w:val="4"/>
            <w:vAlign w:val="center"/>
          </w:tcPr>
          <w:p w14:paraId="7AAFAD4E">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项目技术负责人（项目总工）</w:t>
            </w:r>
          </w:p>
        </w:tc>
        <w:tc>
          <w:tcPr>
            <w:tcW w:w="1893" w:type="dxa"/>
            <w:gridSpan w:val="5"/>
            <w:vAlign w:val="center"/>
          </w:tcPr>
          <w:p w14:paraId="4B05564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vAlign w:val="center"/>
          </w:tcPr>
          <w:p w14:paraId="4B13986F">
            <w:pPr>
              <w:jc w:val="center"/>
              <w:rPr>
                <w:color w:val="000000" w:themeColor="text1"/>
                <w:highlight w:val="none"/>
                <w14:textFill>
                  <w14:solidFill>
                    <w14:schemeClr w14:val="tx1"/>
                  </w14:solidFill>
                </w14:textFill>
              </w:rPr>
            </w:pPr>
          </w:p>
        </w:tc>
        <w:tc>
          <w:tcPr>
            <w:tcW w:w="1108" w:type="dxa"/>
            <w:vAlign w:val="center"/>
          </w:tcPr>
          <w:p w14:paraId="06336A2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vAlign w:val="center"/>
          </w:tcPr>
          <w:p w14:paraId="45272196">
            <w:pPr>
              <w:jc w:val="center"/>
              <w:rPr>
                <w:color w:val="000000" w:themeColor="text1"/>
                <w:highlight w:val="none"/>
                <w14:textFill>
                  <w14:solidFill>
                    <w14:schemeClr w14:val="tx1"/>
                  </w14:solidFill>
                </w14:textFill>
              </w:rPr>
            </w:pPr>
          </w:p>
        </w:tc>
      </w:tr>
      <w:tr w14:paraId="57F2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318" w:type="dxa"/>
            <w:vAlign w:val="center"/>
          </w:tcPr>
          <w:p w14:paraId="53BC1803">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176" w:type="dxa"/>
            <w:gridSpan w:val="4"/>
            <w:vAlign w:val="center"/>
          </w:tcPr>
          <w:p w14:paraId="67DD7BBB">
            <w:pPr>
              <w:jc w:val="center"/>
              <w:rPr>
                <w:color w:val="000000" w:themeColor="text1"/>
                <w:highlight w:val="none"/>
                <w14:textFill>
                  <w14:solidFill>
                    <w14:schemeClr w14:val="tx1"/>
                  </w14:solidFill>
                </w14:textFill>
              </w:rPr>
            </w:pPr>
          </w:p>
        </w:tc>
        <w:tc>
          <w:tcPr>
            <w:tcW w:w="1893" w:type="dxa"/>
            <w:gridSpan w:val="5"/>
            <w:vAlign w:val="center"/>
          </w:tcPr>
          <w:p w14:paraId="0E4067ED">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vAlign w:val="center"/>
          </w:tcPr>
          <w:p w14:paraId="40DBEB40">
            <w:pPr>
              <w:jc w:val="center"/>
              <w:rPr>
                <w:color w:val="000000" w:themeColor="text1"/>
                <w:highlight w:val="none"/>
                <w14:textFill>
                  <w14:solidFill>
                    <w14:schemeClr w14:val="tx1"/>
                  </w14:solidFill>
                </w14:textFill>
              </w:rPr>
            </w:pPr>
          </w:p>
        </w:tc>
        <w:tc>
          <w:tcPr>
            <w:tcW w:w="1108" w:type="dxa"/>
            <w:vAlign w:val="center"/>
          </w:tcPr>
          <w:p w14:paraId="69562124">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vAlign w:val="center"/>
          </w:tcPr>
          <w:p w14:paraId="373B4AC8">
            <w:pPr>
              <w:jc w:val="center"/>
              <w:rPr>
                <w:color w:val="000000" w:themeColor="text1"/>
                <w:highlight w:val="none"/>
                <w14:textFill>
                  <w14:solidFill>
                    <w14:schemeClr w14:val="tx1"/>
                  </w14:solidFill>
                </w14:textFill>
              </w:rPr>
            </w:pPr>
          </w:p>
        </w:tc>
      </w:tr>
      <w:tr w14:paraId="01A8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vAlign w:val="center"/>
          </w:tcPr>
          <w:p w14:paraId="5C178A8B">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w:t>
            </w:r>
            <w:r>
              <w:rPr>
                <w:rFonts w:hint="eastAsia"/>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年限</w:t>
            </w:r>
          </w:p>
        </w:tc>
        <w:tc>
          <w:tcPr>
            <w:tcW w:w="2476" w:type="dxa"/>
            <w:gridSpan w:val="6"/>
            <w:vAlign w:val="center"/>
          </w:tcPr>
          <w:p w14:paraId="108BE56D">
            <w:pPr>
              <w:jc w:val="center"/>
              <w:rPr>
                <w:color w:val="000000" w:themeColor="text1"/>
                <w:highlight w:val="none"/>
                <w14:textFill>
                  <w14:solidFill>
                    <w14:schemeClr w14:val="tx1"/>
                  </w14:solidFill>
                </w14:textFill>
              </w:rPr>
            </w:pPr>
          </w:p>
        </w:tc>
        <w:tc>
          <w:tcPr>
            <w:tcW w:w="1209" w:type="dxa"/>
            <w:vAlign w:val="center"/>
          </w:tcPr>
          <w:p w14:paraId="73EBDEF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608" w:type="dxa"/>
            <w:gridSpan w:val="10"/>
            <w:vAlign w:val="center"/>
          </w:tcPr>
          <w:p w14:paraId="73011BF6">
            <w:pPr>
              <w:jc w:val="center"/>
              <w:rPr>
                <w:color w:val="000000" w:themeColor="text1"/>
                <w:highlight w:val="none"/>
                <w14:textFill>
                  <w14:solidFill>
                    <w14:schemeClr w14:val="tx1"/>
                  </w14:solidFill>
                </w14:textFill>
              </w:rPr>
            </w:pPr>
          </w:p>
        </w:tc>
      </w:tr>
      <w:tr w14:paraId="1E3A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vAlign w:val="center"/>
          </w:tcPr>
          <w:p w14:paraId="4633701B">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188" w:type="dxa"/>
            <w:gridSpan w:val="2"/>
            <w:vAlign w:val="center"/>
          </w:tcPr>
          <w:p w14:paraId="5C4A4C5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vAlign w:val="center"/>
          </w:tcPr>
          <w:p w14:paraId="5DFBB39F">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gridSpan w:val="3"/>
            <w:vAlign w:val="center"/>
          </w:tcPr>
          <w:p w14:paraId="39016DFE">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vAlign w:val="center"/>
          </w:tcPr>
          <w:p w14:paraId="35CEC397">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vAlign w:val="center"/>
          </w:tcPr>
          <w:p w14:paraId="5587C210">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vAlign w:val="center"/>
          </w:tcPr>
          <w:p w14:paraId="2A0E5B5A">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14:paraId="6F3F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vAlign w:val="center"/>
          </w:tcPr>
          <w:p w14:paraId="0EB0A9BD">
            <w:pPr>
              <w:jc w:val="center"/>
              <w:rPr>
                <w:color w:val="000000" w:themeColor="text1"/>
                <w:highlight w:val="none"/>
                <w14:textFill>
                  <w14:solidFill>
                    <w14:schemeClr w14:val="tx1"/>
                  </w14:solidFill>
                </w14:textFill>
              </w:rPr>
            </w:pPr>
          </w:p>
        </w:tc>
        <w:tc>
          <w:tcPr>
            <w:tcW w:w="1188" w:type="dxa"/>
            <w:gridSpan w:val="2"/>
            <w:vAlign w:val="center"/>
          </w:tcPr>
          <w:p w14:paraId="5A285DCA">
            <w:pPr>
              <w:jc w:val="center"/>
              <w:rPr>
                <w:color w:val="000000" w:themeColor="text1"/>
                <w:highlight w:val="none"/>
                <w14:textFill>
                  <w14:solidFill>
                    <w14:schemeClr w14:val="tx1"/>
                  </w14:solidFill>
                </w14:textFill>
              </w:rPr>
            </w:pPr>
          </w:p>
        </w:tc>
        <w:tc>
          <w:tcPr>
            <w:tcW w:w="1222" w:type="dxa"/>
            <w:gridSpan w:val="3"/>
            <w:vAlign w:val="center"/>
          </w:tcPr>
          <w:p w14:paraId="4C96061D">
            <w:pPr>
              <w:jc w:val="center"/>
              <w:rPr>
                <w:rFonts w:cs="宋体"/>
                <w:color w:val="000000" w:themeColor="text1"/>
                <w:highlight w:val="none"/>
                <w14:textFill>
                  <w14:solidFill>
                    <w14:schemeClr w14:val="tx1"/>
                  </w14:solidFill>
                </w14:textFill>
              </w:rPr>
            </w:pPr>
          </w:p>
        </w:tc>
        <w:tc>
          <w:tcPr>
            <w:tcW w:w="1417" w:type="dxa"/>
            <w:gridSpan w:val="3"/>
            <w:vAlign w:val="center"/>
          </w:tcPr>
          <w:p w14:paraId="6745212F">
            <w:pPr>
              <w:jc w:val="center"/>
              <w:rPr>
                <w:color w:val="000000" w:themeColor="text1"/>
                <w:highlight w:val="none"/>
                <w14:textFill>
                  <w14:solidFill>
                    <w14:schemeClr w14:val="tx1"/>
                  </w14:solidFill>
                </w14:textFill>
              </w:rPr>
            </w:pPr>
          </w:p>
        </w:tc>
        <w:tc>
          <w:tcPr>
            <w:tcW w:w="1418" w:type="dxa"/>
            <w:gridSpan w:val="3"/>
            <w:vAlign w:val="center"/>
          </w:tcPr>
          <w:p w14:paraId="7D4009F2">
            <w:pPr>
              <w:jc w:val="center"/>
              <w:rPr>
                <w:color w:val="000000" w:themeColor="text1"/>
                <w:highlight w:val="none"/>
                <w14:textFill>
                  <w14:solidFill>
                    <w14:schemeClr w14:val="tx1"/>
                  </w14:solidFill>
                </w14:textFill>
              </w:rPr>
            </w:pPr>
          </w:p>
        </w:tc>
        <w:tc>
          <w:tcPr>
            <w:tcW w:w="1632" w:type="dxa"/>
            <w:gridSpan w:val="4"/>
            <w:vAlign w:val="center"/>
          </w:tcPr>
          <w:p w14:paraId="4CB564C2">
            <w:pPr>
              <w:jc w:val="center"/>
              <w:rPr>
                <w:color w:val="000000" w:themeColor="text1"/>
                <w:highlight w:val="none"/>
                <w14:textFill>
                  <w14:solidFill>
                    <w14:schemeClr w14:val="tx1"/>
                  </w14:solidFill>
                </w14:textFill>
              </w:rPr>
            </w:pPr>
          </w:p>
        </w:tc>
        <w:tc>
          <w:tcPr>
            <w:tcW w:w="1416" w:type="dxa"/>
            <w:gridSpan w:val="2"/>
            <w:vAlign w:val="center"/>
          </w:tcPr>
          <w:p w14:paraId="4A44D7D9">
            <w:pPr>
              <w:jc w:val="center"/>
              <w:rPr>
                <w:color w:val="000000" w:themeColor="text1"/>
                <w:highlight w:val="none"/>
                <w14:textFill>
                  <w14:solidFill>
                    <w14:schemeClr w14:val="tx1"/>
                  </w14:solidFill>
                </w14:textFill>
              </w:rPr>
            </w:pPr>
          </w:p>
        </w:tc>
      </w:tr>
      <w:tr w14:paraId="3B83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vAlign w:val="center"/>
          </w:tcPr>
          <w:p w14:paraId="18FADC09">
            <w:pPr>
              <w:jc w:val="center"/>
              <w:rPr>
                <w:color w:val="000000" w:themeColor="text1"/>
                <w:highlight w:val="none"/>
                <w14:textFill>
                  <w14:solidFill>
                    <w14:schemeClr w14:val="tx1"/>
                  </w14:solidFill>
                </w14:textFill>
              </w:rPr>
            </w:pPr>
          </w:p>
        </w:tc>
        <w:tc>
          <w:tcPr>
            <w:tcW w:w="1188" w:type="dxa"/>
            <w:gridSpan w:val="2"/>
            <w:vAlign w:val="center"/>
          </w:tcPr>
          <w:p w14:paraId="7BE50258">
            <w:pPr>
              <w:jc w:val="center"/>
              <w:rPr>
                <w:color w:val="000000" w:themeColor="text1"/>
                <w:highlight w:val="none"/>
                <w14:textFill>
                  <w14:solidFill>
                    <w14:schemeClr w14:val="tx1"/>
                  </w14:solidFill>
                </w14:textFill>
              </w:rPr>
            </w:pPr>
          </w:p>
        </w:tc>
        <w:tc>
          <w:tcPr>
            <w:tcW w:w="1222" w:type="dxa"/>
            <w:gridSpan w:val="3"/>
            <w:vAlign w:val="center"/>
          </w:tcPr>
          <w:p w14:paraId="7087148F">
            <w:pPr>
              <w:jc w:val="center"/>
              <w:rPr>
                <w:rFonts w:cs="宋体"/>
                <w:color w:val="000000" w:themeColor="text1"/>
                <w:highlight w:val="none"/>
                <w14:textFill>
                  <w14:solidFill>
                    <w14:schemeClr w14:val="tx1"/>
                  </w14:solidFill>
                </w14:textFill>
              </w:rPr>
            </w:pPr>
          </w:p>
        </w:tc>
        <w:tc>
          <w:tcPr>
            <w:tcW w:w="1417" w:type="dxa"/>
            <w:gridSpan w:val="3"/>
            <w:vAlign w:val="center"/>
          </w:tcPr>
          <w:p w14:paraId="45852875">
            <w:pPr>
              <w:jc w:val="center"/>
              <w:rPr>
                <w:color w:val="000000" w:themeColor="text1"/>
                <w:highlight w:val="none"/>
                <w14:textFill>
                  <w14:solidFill>
                    <w14:schemeClr w14:val="tx1"/>
                  </w14:solidFill>
                </w14:textFill>
              </w:rPr>
            </w:pPr>
          </w:p>
        </w:tc>
        <w:tc>
          <w:tcPr>
            <w:tcW w:w="1418" w:type="dxa"/>
            <w:gridSpan w:val="3"/>
            <w:vAlign w:val="center"/>
          </w:tcPr>
          <w:p w14:paraId="409E4335">
            <w:pPr>
              <w:jc w:val="center"/>
              <w:rPr>
                <w:color w:val="000000" w:themeColor="text1"/>
                <w:highlight w:val="none"/>
                <w14:textFill>
                  <w14:solidFill>
                    <w14:schemeClr w14:val="tx1"/>
                  </w14:solidFill>
                </w14:textFill>
              </w:rPr>
            </w:pPr>
          </w:p>
        </w:tc>
        <w:tc>
          <w:tcPr>
            <w:tcW w:w="1632" w:type="dxa"/>
            <w:gridSpan w:val="4"/>
            <w:vAlign w:val="center"/>
          </w:tcPr>
          <w:p w14:paraId="12AB461F">
            <w:pPr>
              <w:jc w:val="center"/>
              <w:rPr>
                <w:color w:val="000000" w:themeColor="text1"/>
                <w:highlight w:val="none"/>
                <w14:textFill>
                  <w14:solidFill>
                    <w14:schemeClr w14:val="tx1"/>
                  </w14:solidFill>
                </w14:textFill>
              </w:rPr>
            </w:pPr>
          </w:p>
        </w:tc>
        <w:tc>
          <w:tcPr>
            <w:tcW w:w="1416" w:type="dxa"/>
            <w:gridSpan w:val="2"/>
            <w:vAlign w:val="center"/>
          </w:tcPr>
          <w:p w14:paraId="27E5A1B4">
            <w:pPr>
              <w:jc w:val="center"/>
              <w:rPr>
                <w:color w:val="000000" w:themeColor="text1"/>
                <w:highlight w:val="none"/>
                <w14:textFill>
                  <w14:solidFill>
                    <w14:schemeClr w14:val="tx1"/>
                  </w14:solidFill>
                </w14:textFill>
              </w:rPr>
            </w:pPr>
          </w:p>
        </w:tc>
      </w:tr>
      <w:tr w14:paraId="67CE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8"/>
            <w:vAlign w:val="center"/>
          </w:tcPr>
          <w:p w14:paraId="1B9B6C4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14:paraId="3AC5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4919B4B5">
            <w:pPr>
              <w:jc w:val="center"/>
              <w:rPr>
                <w:color w:val="000000" w:themeColor="text1"/>
                <w:highlight w:val="none"/>
                <w14:textFill>
                  <w14:solidFill>
                    <w14:schemeClr w14:val="tx1"/>
                  </w14:solidFill>
                </w14:textFill>
              </w:rPr>
            </w:pPr>
          </w:p>
        </w:tc>
        <w:tc>
          <w:tcPr>
            <w:tcW w:w="1548" w:type="dxa"/>
            <w:gridSpan w:val="2"/>
            <w:vAlign w:val="center"/>
          </w:tcPr>
          <w:p w14:paraId="1D744396">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1837" w:type="dxa"/>
            <w:gridSpan w:val="4"/>
            <w:vAlign w:val="center"/>
          </w:tcPr>
          <w:p w14:paraId="03B79B81">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472" w:type="dxa"/>
            <w:gridSpan w:val="3"/>
            <w:vAlign w:val="center"/>
          </w:tcPr>
          <w:p w14:paraId="4FC1A17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vAlign w:val="center"/>
          </w:tcPr>
          <w:p w14:paraId="1531EDBA">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vAlign w:val="center"/>
          </w:tcPr>
          <w:p w14:paraId="14636D96">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14:paraId="621F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5844646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vAlign w:val="center"/>
          </w:tcPr>
          <w:p w14:paraId="5D5F8B0C">
            <w:pPr>
              <w:jc w:val="center"/>
              <w:rPr>
                <w:color w:val="000000" w:themeColor="text1"/>
                <w:highlight w:val="none"/>
                <w14:textFill>
                  <w14:solidFill>
                    <w14:schemeClr w14:val="tx1"/>
                  </w14:solidFill>
                </w14:textFill>
              </w:rPr>
            </w:pPr>
          </w:p>
        </w:tc>
        <w:tc>
          <w:tcPr>
            <w:tcW w:w="1837" w:type="dxa"/>
            <w:gridSpan w:val="4"/>
            <w:vAlign w:val="center"/>
          </w:tcPr>
          <w:p w14:paraId="734AB950">
            <w:pPr>
              <w:jc w:val="center"/>
              <w:rPr>
                <w:color w:val="000000" w:themeColor="text1"/>
                <w:highlight w:val="none"/>
                <w14:textFill>
                  <w14:solidFill>
                    <w14:schemeClr w14:val="tx1"/>
                  </w14:solidFill>
                </w14:textFill>
              </w:rPr>
            </w:pPr>
          </w:p>
        </w:tc>
        <w:tc>
          <w:tcPr>
            <w:tcW w:w="1472" w:type="dxa"/>
            <w:gridSpan w:val="3"/>
            <w:vAlign w:val="center"/>
          </w:tcPr>
          <w:p w14:paraId="6F8FA863">
            <w:pPr>
              <w:jc w:val="center"/>
              <w:rPr>
                <w:color w:val="000000" w:themeColor="text1"/>
                <w:highlight w:val="none"/>
                <w14:textFill>
                  <w14:solidFill>
                    <w14:schemeClr w14:val="tx1"/>
                  </w14:solidFill>
                </w14:textFill>
              </w:rPr>
            </w:pPr>
          </w:p>
        </w:tc>
        <w:tc>
          <w:tcPr>
            <w:tcW w:w="1641" w:type="dxa"/>
            <w:gridSpan w:val="4"/>
            <w:vAlign w:val="center"/>
          </w:tcPr>
          <w:p w14:paraId="64EF5DFC">
            <w:pPr>
              <w:jc w:val="center"/>
              <w:rPr>
                <w:color w:val="000000" w:themeColor="text1"/>
                <w:highlight w:val="none"/>
                <w14:textFill>
                  <w14:solidFill>
                    <w14:schemeClr w14:val="tx1"/>
                  </w14:solidFill>
                </w14:textFill>
              </w:rPr>
            </w:pPr>
          </w:p>
        </w:tc>
        <w:tc>
          <w:tcPr>
            <w:tcW w:w="1484" w:type="dxa"/>
            <w:gridSpan w:val="2"/>
            <w:vAlign w:val="center"/>
          </w:tcPr>
          <w:p w14:paraId="29FF0D51">
            <w:pPr>
              <w:jc w:val="center"/>
              <w:rPr>
                <w:color w:val="000000" w:themeColor="text1"/>
                <w:highlight w:val="none"/>
                <w14:textFill>
                  <w14:solidFill>
                    <w14:schemeClr w14:val="tx1"/>
                  </w14:solidFill>
                </w14:textFill>
              </w:rPr>
            </w:pPr>
          </w:p>
        </w:tc>
      </w:tr>
      <w:tr w14:paraId="244E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4EDFFA0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vAlign w:val="center"/>
          </w:tcPr>
          <w:p w14:paraId="551203EF">
            <w:pPr>
              <w:jc w:val="center"/>
              <w:rPr>
                <w:color w:val="000000" w:themeColor="text1"/>
                <w:highlight w:val="none"/>
                <w14:textFill>
                  <w14:solidFill>
                    <w14:schemeClr w14:val="tx1"/>
                  </w14:solidFill>
                </w14:textFill>
              </w:rPr>
            </w:pPr>
          </w:p>
        </w:tc>
        <w:tc>
          <w:tcPr>
            <w:tcW w:w="1837" w:type="dxa"/>
            <w:gridSpan w:val="4"/>
            <w:vAlign w:val="center"/>
          </w:tcPr>
          <w:p w14:paraId="0D8D8DCA">
            <w:pPr>
              <w:jc w:val="center"/>
              <w:rPr>
                <w:color w:val="000000" w:themeColor="text1"/>
                <w:highlight w:val="none"/>
                <w14:textFill>
                  <w14:solidFill>
                    <w14:schemeClr w14:val="tx1"/>
                  </w14:solidFill>
                </w14:textFill>
              </w:rPr>
            </w:pPr>
          </w:p>
        </w:tc>
        <w:tc>
          <w:tcPr>
            <w:tcW w:w="1472" w:type="dxa"/>
            <w:gridSpan w:val="3"/>
            <w:vAlign w:val="center"/>
          </w:tcPr>
          <w:p w14:paraId="7F900F09">
            <w:pPr>
              <w:jc w:val="center"/>
              <w:rPr>
                <w:color w:val="000000" w:themeColor="text1"/>
                <w:highlight w:val="none"/>
                <w14:textFill>
                  <w14:solidFill>
                    <w14:schemeClr w14:val="tx1"/>
                  </w14:solidFill>
                </w14:textFill>
              </w:rPr>
            </w:pPr>
          </w:p>
        </w:tc>
        <w:tc>
          <w:tcPr>
            <w:tcW w:w="1641" w:type="dxa"/>
            <w:gridSpan w:val="4"/>
            <w:vAlign w:val="center"/>
          </w:tcPr>
          <w:p w14:paraId="68292AF9">
            <w:pPr>
              <w:jc w:val="center"/>
              <w:rPr>
                <w:color w:val="000000" w:themeColor="text1"/>
                <w:highlight w:val="none"/>
                <w14:textFill>
                  <w14:solidFill>
                    <w14:schemeClr w14:val="tx1"/>
                  </w14:solidFill>
                </w14:textFill>
              </w:rPr>
            </w:pPr>
          </w:p>
        </w:tc>
        <w:tc>
          <w:tcPr>
            <w:tcW w:w="1484" w:type="dxa"/>
            <w:gridSpan w:val="2"/>
            <w:vAlign w:val="center"/>
          </w:tcPr>
          <w:p w14:paraId="396C1365">
            <w:pPr>
              <w:jc w:val="center"/>
              <w:rPr>
                <w:color w:val="000000" w:themeColor="text1"/>
                <w:highlight w:val="none"/>
                <w14:textFill>
                  <w14:solidFill>
                    <w14:schemeClr w14:val="tx1"/>
                  </w14:solidFill>
                </w14:textFill>
              </w:rPr>
            </w:pPr>
          </w:p>
        </w:tc>
      </w:tr>
      <w:tr w14:paraId="7A8D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228343E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vAlign w:val="center"/>
          </w:tcPr>
          <w:p w14:paraId="02F346CD">
            <w:pPr>
              <w:jc w:val="center"/>
              <w:rPr>
                <w:color w:val="000000" w:themeColor="text1"/>
                <w:highlight w:val="none"/>
                <w14:textFill>
                  <w14:solidFill>
                    <w14:schemeClr w14:val="tx1"/>
                  </w14:solidFill>
                </w14:textFill>
              </w:rPr>
            </w:pPr>
          </w:p>
        </w:tc>
        <w:tc>
          <w:tcPr>
            <w:tcW w:w="1837" w:type="dxa"/>
            <w:gridSpan w:val="4"/>
            <w:vAlign w:val="center"/>
          </w:tcPr>
          <w:p w14:paraId="34669189">
            <w:pPr>
              <w:jc w:val="center"/>
              <w:rPr>
                <w:color w:val="000000" w:themeColor="text1"/>
                <w:highlight w:val="none"/>
                <w14:textFill>
                  <w14:solidFill>
                    <w14:schemeClr w14:val="tx1"/>
                  </w14:solidFill>
                </w14:textFill>
              </w:rPr>
            </w:pPr>
          </w:p>
        </w:tc>
        <w:tc>
          <w:tcPr>
            <w:tcW w:w="1472" w:type="dxa"/>
            <w:gridSpan w:val="3"/>
            <w:vAlign w:val="center"/>
          </w:tcPr>
          <w:p w14:paraId="47F2688A">
            <w:pPr>
              <w:jc w:val="center"/>
              <w:rPr>
                <w:color w:val="000000" w:themeColor="text1"/>
                <w:highlight w:val="none"/>
                <w14:textFill>
                  <w14:solidFill>
                    <w14:schemeClr w14:val="tx1"/>
                  </w14:solidFill>
                </w14:textFill>
              </w:rPr>
            </w:pPr>
          </w:p>
        </w:tc>
        <w:tc>
          <w:tcPr>
            <w:tcW w:w="1641" w:type="dxa"/>
            <w:gridSpan w:val="4"/>
            <w:vAlign w:val="center"/>
          </w:tcPr>
          <w:p w14:paraId="6E747BC9">
            <w:pPr>
              <w:jc w:val="center"/>
              <w:rPr>
                <w:color w:val="000000" w:themeColor="text1"/>
                <w:highlight w:val="none"/>
                <w14:textFill>
                  <w14:solidFill>
                    <w14:schemeClr w14:val="tx1"/>
                  </w14:solidFill>
                </w14:textFill>
              </w:rPr>
            </w:pPr>
          </w:p>
        </w:tc>
        <w:tc>
          <w:tcPr>
            <w:tcW w:w="1484" w:type="dxa"/>
            <w:gridSpan w:val="2"/>
            <w:vAlign w:val="center"/>
          </w:tcPr>
          <w:p w14:paraId="5271ACFA">
            <w:pPr>
              <w:jc w:val="center"/>
              <w:rPr>
                <w:color w:val="000000" w:themeColor="text1"/>
                <w:highlight w:val="none"/>
                <w14:textFill>
                  <w14:solidFill>
                    <w14:schemeClr w14:val="tx1"/>
                  </w14:solidFill>
                </w14:textFill>
              </w:rPr>
            </w:pPr>
          </w:p>
        </w:tc>
      </w:tr>
      <w:tr w14:paraId="5850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1CD62C1">
            <w:pPr>
              <w:jc w:val="center"/>
              <w:rPr>
                <w:rFonts w:hint="eastAsia" w:ascii="宋体" w:hAnsi="宋体" w:cs="宋体"/>
                <w:color w:val="000000" w:themeColor="text1"/>
                <w:sz w:val="27"/>
                <w:szCs w:val="27"/>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vAlign w:val="center"/>
          </w:tcPr>
          <w:p w14:paraId="1E54CE29">
            <w:pPr>
              <w:jc w:val="center"/>
              <w:rPr>
                <w:color w:val="000000" w:themeColor="text1"/>
                <w:highlight w:val="none"/>
                <w14:textFill>
                  <w14:solidFill>
                    <w14:schemeClr w14:val="tx1"/>
                  </w14:solidFill>
                </w14:textFill>
              </w:rPr>
            </w:pPr>
          </w:p>
        </w:tc>
        <w:tc>
          <w:tcPr>
            <w:tcW w:w="1837" w:type="dxa"/>
            <w:gridSpan w:val="4"/>
            <w:vAlign w:val="center"/>
          </w:tcPr>
          <w:p w14:paraId="20B7B4D9">
            <w:pPr>
              <w:jc w:val="center"/>
              <w:rPr>
                <w:color w:val="000000" w:themeColor="text1"/>
                <w:highlight w:val="none"/>
                <w14:textFill>
                  <w14:solidFill>
                    <w14:schemeClr w14:val="tx1"/>
                  </w14:solidFill>
                </w14:textFill>
              </w:rPr>
            </w:pPr>
          </w:p>
        </w:tc>
        <w:tc>
          <w:tcPr>
            <w:tcW w:w="1472" w:type="dxa"/>
            <w:gridSpan w:val="3"/>
            <w:vAlign w:val="center"/>
          </w:tcPr>
          <w:p w14:paraId="6BC4E2B6">
            <w:pPr>
              <w:jc w:val="center"/>
              <w:rPr>
                <w:color w:val="000000" w:themeColor="text1"/>
                <w:highlight w:val="none"/>
                <w14:textFill>
                  <w14:solidFill>
                    <w14:schemeClr w14:val="tx1"/>
                  </w14:solidFill>
                </w14:textFill>
              </w:rPr>
            </w:pPr>
          </w:p>
        </w:tc>
        <w:tc>
          <w:tcPr>
            <w:tcW w:w="1641" w:type="dxa"/>
            <w:gridSpan w:val="4"/>
            <w:vAlign w:val="center"/>
          </w:tcPr>
          <w:p w14:paraId="23CD245E">
            <w:pPr>
              <w:jc w:val="center"/>
              <w:rPr>
                <w:color w:val="000000" w:themeColor="text1"/>
                <w:highlight w:val="none"/>
                <w14:textFill>
                  <w14:solidFill>
                    <w14:schemeClr w14:val="tx1"/>
                  </w14:solidFill>
                </w14:textFill>
              </w:rPr>
            </w:pPr>
          </w:p>
        </w:tc>
        <w:tc>
          <w:tcPr>
            <w:tcW w:w="1484" w:type="dxa"/>
            <w:gridSpan w:val="2"/>
            <w:vAlign w:val="center"/>
          </w:tcPr>
          <w:p w14:paraId="166B3C67">
            <w:pPr>
              <w:jc w:val="center"/>
              <w:rPr>
                <w:color w:val="000000" w:themeColor="text1"/>
                <w:highlight w:val="none"/>
                <w14:textFill>
                  <w14:solidFill>
                    <w14:schemeClr w14:val="tx1"/>
                  </w14:solidFill>
                </w14:textFill>
              </w:rPr>
            </w:pPr>
          </w:p>
        </w:tc>
      </w:tr>
      <w:tr w14:paraId="49DF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5CA8B1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vAlign w:val="center"/>
          </w:tcPr>
          <w:p w14:paraId="67DFB7BA">
            <w:pPr>
              <w:jc w:val="center"/>
              <w:rPr>
                <w:color w:val="000000" w:themeColor="text1"/>
                <w:highlight w:val="none"/>
                <w14:textFill>
                  <w14:solidFill>
                    <w14:schemeClr w14:val="tx1"/>
                  </w14:solidFill>
                </w14:textFill>
              </w:rPr>
            </w:pPr>
          </w:p>
        </w:tc>
        <w:tc>
          <w:tcPr>
            <w:tcW w:w="1837" w:type="dxa"/>
            <w:gridSpan w:val="4"/>
            <w:vAlign w:val="center"/>
          </w:tcPr>
          <w:p w14:paraId="702BE0C5">
            <w:pPr>
              <w:jc w:val="center"/>
              <w:rPr>
                <w:color w:val="000000" w:themeColor="text1"/>
                <w:highlight w:val="none"/>
                <w14:textFill>
                  <w14:solidFill>
                    <w14:schemeClr w14:val="tx1"/>
                  </w14:solidFill>
                </w14:textFill>
              </w:rPr>
            </w:pPr>
          </w:p>
        </w:tc>
        <w:tc>
          <w:tcPr>
            <w:tcW w:w="1472" w:type="dxa"/>
            <w:gridSpan w:val="3"/>
            <w:vAlign w:val="center"/>
          </w:tcPr>
          <w:p w14:paraId="319290E0">
            <w:pPr>
              <w:jc w:val="center"/>
              <w:rPr>
                <w:color w:val="000000" w:themeColor="text1"/>
                <w:highlight w:val="none"/>
                <w14:textFill>
                  <w14:solidFill>
                    <w14:schemeClr w14:val="tx1"/>
                  </w14:solidFill>
                </w14:textFill>
              </w:rPr>
            </w:pPr>
          </w:p>
        </w:tc>
        <w:tc>
          <w:tcPr>
            <w:tcW w:w="1641" w:type="dxa"/>
            <w:gridSpan w:val="4"/>
            <w:vAlign w:val="center"/>
          </w:tcPr>
          <w:p w14:paraId="13C951C6">
            <w:pPr>
              <w:jc w:val="center"/>
              <w:rPr>
                <w:color w:val="000000" w:themeColor="text1"/>
                <w:highlight w:val="none"/>
                <w14:textFill>
                  <w14:solidFill>
                    <w14:schemeClr w14:val="tx1"/>
                  </w14:solidFill>
                </w14:textFill>
              </w:rPr>
            </w:pPr>
          </w:p>
        </w:tc>
        <w:tc>
          <w:tcPr>
            <w:tcW w:w="1484" w:type="dxa"/>
            <w:gridSpan w:val="2"/>
            <w:vAlign w:val="center"/>
          </w:tcPr>
          <w:p w14:paraId="17494003">
            <w:pPr>
              <w:jc w:val="center"/>
              <w:rPr>
                <w:color w:val="000000" w:themeColor="text1"/>
                <w:highlight w:val="none"/>
                <w14:textFill>
                  <w14:solidFill>
                    <w14:schemeClr w14:val="tx1"/>
                  </w14:solidFill>
                </w14:textFill>
              </w:rPr>
            </w:pPr>
          </w:p>
        </w:tc>
      </w:tr>
      <w:tr w14:paraId="4C7C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5459656">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vAlign w:val="center"/>
          </w:tcPr>
          <w:p w14:paraId="045F59FE">
            <w:pPr>
              <w:jc w:val="center"/>
              <w:rPr>
                <w:color w:val="000000" w:themeColor="text1"/>
                <w:highlight w:val="none"/>
                <w14:textFill>
                  <w14:solidFill>
                    <w14:schemeClr w14:val="tx1"/>
                  </w14:solidFill>
                </w14:textFill>
              </w:rPr>
            </w:pPr>
          </w:p>
        </w:tc>
        <w:tc>
          <w:tcPr>
            <w:tcW w:w="1837" w:type="dxa"/>
            <w:gridSpan w:val="4"/>
            <w:vAlign w:val="center"/>
          </w:tcPr>
          <w:p w14:paraId="0B6343B1">
            <w:pPr>
              <w:jc w:val="center"/>
              <w:rPr>
                <w:color w:val="000000" w:themeColor="text1"/>
                <w:highlight w:val="none"/>
                <w14:textFill>
                  <w14:solidFill>
                    <w14:schemeClr w14:val="tx1"/>
                  </w14:solidFill>
                </w14:textFill>
              </w:rPr>
            </w:pPr>
          </w:p>
        </w:tc>
        <w:tc>
          <w:tcPr>
            <w:tcW w:w="1472" w:type="dxa"/>
            <w:gridSpan w:val="3"/>
            <w:vAlign w:val="center"/>
          </w:tcPr>
          <w:p w14:paraId="222FD4E9">
            <w:pPr>
              <w:jc w:val="center"/>
              <w:rPr>
                <w:color w:val="000000" w:themeColor="text1"/>
                <w:highlight w:val="none"/>
                <w14:textFill>
                  <w14:solidFill>
                    <w14:schemeClr w14:val="tx1"/>
                  </w14:solidFill>
                </w14:textFill>
              </w:rPr>
            </w:pPr>
          </w:p>
        </w:tc>
        <w:tc>
          <w:tcPr>
            <w:tcW w:w="1641" w:type="dxa"/>
            <w:gridSpan w:val="4"/>
            <w:vAlign w:val="center"/>
          </w:tcPr>
          <w:p w14:paraId="0EE125C2">
            <w:pPr>
              <w:jc w:val="center"/>
              <w:rPr>
                <w:color w:val="000000" w:themeColor="text1"/>
                <w:highlight w:val="none"/>
                <w14:textFill>
                  <w14:solidFill>
                    <w14:schemeClr w14:val="tx1"/>
                  </w14:solidFill>
                </w14:textFill>
              </w:rPr>
            </w:pPr>
          </w:p>
        </w:tc>
        <w:tc>
          <w:tcPr>
            <w:tcW w:w="1484" w:type="dxa"/>
            <w:gridSpan w:val="2"/>
            <w:vAlign w:val="center"/>
          </w:tcPr>
          <w:p w14:paraId="2D9398B7">
            <w:pPr>
              <w:jc w:val="center"/>
              <w:rPr>
                <w:color w:val="000000" w:themeColor="text1"/>
                <w:highlight w:val="none"/>
                <w14:textFill>
                  <w14:solidFill>
                    <w14:schemeClr w14:val="tx1"/>
                  </w14:solidFill>
                </w14:textFill>
              </w:rPr>
            </w:pPr>
          </w:p>
        </w:tc>
      </w:tr>
      <w:tr w14:paraId="69AC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E69503B">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vAlign w:val="center"/>
          </w:tcPr>
          <w:p w14:paraId="0FF98669">
            <w:pPr>
              <w:jc w:val="center"/>
              <w:rPr>
                <w:color w:val="000000" w:themeColor="text1"/>
                <w:highlight w:val="none"/>
                <w14:textFill>
                  <w14:solidFill>
                    <w14:schemeClr w14:val="tx1"/>
                  </w14:solidFill>
                </w14:textFill>
              </w:rPr>
            </w:pPr>
          </w:p>
        </w:tc>
        <w:tc>
          <w:tcPr>
            <w:tcW w:w="1837" w:type="dxa"/>
            <w:gridSpan w:val="4"/>
            <w:vAlign w:val="center"/>
          </w:tcPr>
          <w:p w14:paraId="0280BB7F">
            <w:pPr>
              <w:jc w:val="center"/>
              <w:rPr>
                <w:color w:val="000000" w:themeColor="text1"/>
                <w:highlight w:val="none"/>
                <w14:textFill>
                  <w14:solidFill>
                    <w14:schemeClr w14:val="tx1"/>
                  </w14:solidFill>
                </w14:textFill>
              </w:rPr>
            </w:pPr>
          </w:p>
        </w:tc>
        <w:tc>
          <w:tcPr>
            <w:tcW w:w="1472" w:type="dxa"/>
            <w:gridSpan w:val="3"/>
            <w:vAlign w:val="center"/>
          </w:tcPr>
          <w:p w14:paraId="736AD510">
            <w:pPr>
              <w:jc w:val="center"/>
              <w:rPr>
                <w:color w:val="000000" w:themeColor="text1"/>
                <w:highlight w:val="none"/>
                <w14:textFill>
                  <w14:solidFill>
                    <w14:schemeClr w14:val="tx1"/>
                  </w14:solidFill>
                </w14:textFill>
              </w:rPr>
            </w:pPr>
          </w:p>
        </w:tc>
        <w:tc>
          <w:tcPr>
            <w:tcW w:w="1641" w:type="dxa"/>
            <w:gridSpan w:val="4"/>
            <w:vAlign w:val="center"/>
          </w:tcPr>
          <w:p w14:paraId="5D780D22">
            <w:pPr>
              <w:jc w:val="center"/>
              <w:rPr>
                <w:color w:val="000000" w:themeColor="text1"/>
                <w:highlight w:val="none"/>
                <w14:textFill>
                  <w14:solidFill>
                    <w14:schemeClr w14:val="tx1"/>
                  </w14:solidFill>
                </w14:textFill>
              </w:rPr>
            </w:pPr>
          </w:p>
        </w:tc>
        <w:tc>
          <w:tcPr>
            <w:tcW w:w="1484" w:type="dxa"/>
            <w:gridSpan w:val="2"/>
            <w:vAlign w:val="center"/>
          </w:tcPr>
          <w:p w14:paraId="3CAD9BB8">
            <w:pPr>
              <w:jc w:val="center"/>
              <w:rPr>
                <w:color w:val="000000" w:themeColor="text1"/>
                <w:highlight w:val="none"/>
                <w14:textFill>
                  <w14:solidFill>
                    <w14:schemeClr w14:val="tx1"/>
                  </w14:solidFill>
                </w14:textFill>
              </w:rPr>
            </w:pPr>
          </w:p>
        </w:tc>
      </w:tr>
      <w:tr w14:paraId="0119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612DCD74">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vAlign w:val="center"/>
          </w:tcPr>
          <w:p w14:paraId="58F1C820">
            <w:pPr>
              <w:jc w:val="center"/>
              <w:rPr>
                <w:color w:val="000000" w:themeColor="text1"/>
                <w:highlight w:val="none"/>
                <w14:textFill>
                  <w14:solidFill>
                    <w14:schemeClr w14:val="tx1"/>
                  </w14:solidFill>
                </w14:textFill>
              </w:rPr>
            </w:pPr>
          </w:p>
        </w:tc>
        <w:tc>
          <w:tcPr>
            <w:tcW w:w="1837" w:type="dxa"/>
            <w:gridSpan w:val="4"/>
            <w:vAlign w:val="center"/>
          </w:tcPr>
          <w:p w14:paraId="765B9490">
            <w:pPr>
              <w:jc w:val="center"/>
              <w:rPr>
                <w:color w:val="000000" w:themeColor="text1"/>
                <w:highlight w:val="none"/>
                <w14:textFill>
                  <w14:solidFill>
                    <w14:schemeClr w14:val="tx1"/>
                  </w14:solidFill>
                </w14:textFill>
              </w:rPr>
            </w:pPr>
          </w:p>
        </w:tc>
        <w:tc>
          <w:tcPr>
            <w:tcW w:w="1472" w:type="dxa"/>
            <w:gridSpan w:val="3"/>
            <w:vAlign w:val="center"/>
          </w:tcPr>
          <w:p w14:paraId="7488D18D">
            <w:pPr>
              <w:jc w:val="center"/>
              <w:rPr>
                <w:color w:val="000000" w:themeColor="text1"/>
                <w:highlight w:val="none"/>
                <w14:textFill>
                  <w14:solidFill>
                    <w14:schemeClr w14:val="tx1"/>
                  </w14:solidFill>
                </w14:textFill>
              </w:rPr>
            </w:pPr>
          </w:p>
        </w:tc>
        <w:tc>
          <w:tcPr>
            <w:tcW w:w="1641" w:type="dxa"/>
            <w:gridSpan w:val="4"/>
            <w:vAlign w:val="center"/>
          </w:tcPr>
          <w:p w14:paraId="79B8D7C7">
            <w:pPr>
              <w:jc w:val="center"/>
              <w:rPr>
                <w:color w:val="000000" w:themeColor="text1"/>
                <w:highlight w:val="none"/>
                <w14:textFill>
                  <w14:solidFill>
                    <w14:schemeClr w14:val="tx1"/>
                  </w14:solidFill>
                </w14:textFill>
              </w:rPr>
            </w:pPr>
          </w:p>
        </w:tc>
        <w:tc>
          <w:tcPr>
            <w:tcW w:w="1484" w:type="dxa"/>
            <w:gridSpan w:val="2"/>
            <w:vAlign w:val="center"/>
          </w:tcPr>
          <w:p w14:paraId="2EF7D929">
            <w:pPr>
              <w:jc w:val="center"/>
              <w:rPr>
                <w:color w:val="000000" w:themeColor="text1"/>
                <w:highlight w:val="none"/>
                <w14:textFill>
                  <w14:solidFill>
                    <w14:schemeClr w14:val="tx1"/>
                  </w14:solidFill>
                </w14:textFill>
              </w:rPr>
            </w:pPr>
          </w:p>
        </w:tc>
      </w:tr>
      <w:tr w14:paraId="3CB5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8D42C85">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vAlign w:val="center"/>
          </w:tcPr>
          <w:p w14:paraId="6CADED1A">
            <w:pPr>
              <w:jc w:val="center"/>
              <w:rPr>
                <w:color w:val="000000" w:themeColor="text1"/>
                <w:highlight w:val="none"/>
                <w14:textFill>
                  <w14:solidFill>
                    <w14:schemeClr w14:val="tx1"/>
                  </w14:solidFill>
                </w14:textFill>
              </w:rPr>
            </w:pPr>
          </w:p>
        </w:tc>
        <w:tc>
          <w:tcPr>
            <w:tcW w:w="1837" w:type="dxa"/>
            <w:gridSpan w:val="4"/>
            <w:vAlign w:val="center"/>
          </w:tcPr>
          <w:p w14:paraId="7D2CBF1F">
            <w:pPr>
              <w:jc w:val="center"/>
              <w:rPr>
                <w:color w:val="000000" w:themeColor="text1"/>
                <w:highlight w:val="none"/>
                <w14:textFill>
                  <w14:solidFill>
                    <w14:schemeClr w14:val="tx1"/>
                  </w14:solidFill>
                </w14:textFill>
              </w:rPr>
            </w:pPr>
          </w:p>
        </w:tc>
        <w:tc>
          <w:tcPr>
            <w:tcW w:w="1472" w:type="dxa"/>
            <w:gridSpan w:val="3"/>
            <w:vAlign w:val="center"/>
          </w:tcPr>
          <w:p w14:paraId="0E682F34">
            <w:pPr>
              <w:jc w:val="center"/>
              <w:rPr>
                <w:color w:val="000000" w:themeColor="text1"/>
                <w:highlight w:val="none"/>
                <w14:textFill>
                  <w14:solidFill>
                    <w14:schemeClr w14:val="tx1"/>
                  </w14:solidFill>
                </w14:textFill>
              </w:rPr>
            </w:pPr>
          </w:p>
        </w:tc>
        <w:tc>
          <w:tcPr>
            <w:tcW w:w="1641" w:type="dxa"/>
            <w:gridSpan w:val="4"/>
            <w:vAlign w:val="center"/>
          </w:tcPr>
          <w:p w14:paraId="59372662">
            <w:pPr>
              <w:jc w:val="center"/>
              <w:rPr>
                <w:color w:val="000000" w:themeColor="text1"/>
                <w:highlight w:val="none"/>
                <w14:textFill>
                  <w14:solidFill>
                    <w14:schemeClr w14:val="tx1"/>
                  </w14:solidFill>
                </w14:textFill>
              </w:rPr>
            </w:pPr>
          </w:p>
        </w:tc>
        <w:tc>
          <w:tcPr>
            <w:tcW w:w="1484" w:type="dxa"/>
            <w:gridSpan w:val="2"/>
            <w:vAlign w:val="center"/>
          </w:tcPr>
          <w:p w14:paraId="15817BE7">
            <w:pPr>
              <w:jc w:val="center"/>
              <w:rPr>
                <w:color w:val="000000" w:themeColor="text1"/>
                <w:highlight w:val="none"/>
                <w14:textFill>
                  <w14:solidFill>
                    <w14:schemeClr w14:val="tx1"/>
                  </w14:solidFill>
                </w14:textFill>
              </w:rPr>
            </w:pPr>
          </w:p>
        </w:tc>
      </w:tr>
    </w:tbl>
    <w:p w14:paraId="4920DC26">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楷体_GB2312"/>
          <w:color w:val="000000" w:themeColor="text1"/>
          <w:szCs w:val="21"/>
          <w:highlight w:val="none"/>
          <w14:textFill>
            <w14:solidFill>
              <w14:schemeClr w14:val="tx1"/>
            </w14:solidFill>
          </w14:textFill>
        </w:rPr>
        <w:t>备注：</w:t>
      </w:r>
    </w:p>
    <w:p w14:paraId="2A2210EC">
      <w:pPr>
        <w:spacing w:line="360" w:lineRule="auto"/>
        <w:ind w:firstLine="420" w:firstLineChars="200"/>
        <w:outlineLvl w:val="2"/>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.项目</w:t>
      </w:r>
      <w:r>
        <w:rPr>
          <w:rFonts w:ascii="宋体" w:hAnsi="宋体"/>
          <w:color w:val="000000" w:themeColor="text1"/>
          <w:szCs w:val="21"/>
          <w:highlight w:val="none"/>
          <w14:textFill>
            <w14:solidFill>
              <w14:schemeClr w14:val="tx1"/>
            </w14:solidFill>
          </w14:textFill>
        </w:rPr>
        <w:t>数</w:t>
      </w:r>
      <w:r>
        <w:rPr>
          <w:rFonts w:hint="eastAsia" w:ascii="宋体" w:hAnsi="宋体"/>
          <w:color w:val="000000" w:themeColor="text1"/>
          <w:szCs w:val="21"/>
          <w:highlight w:val="none"/>
          <w14:textFill>
            <w14:solidFill>
              <w14:schemeClr w14:val="tx1"/>
            </w14:solidFill>
          </w14:textFill>
        </w:rPr>
        <w:t>可</w:t>
      </w:r>
      <w:r>
        <w:rPr>
          <w:rFonts w:ascii="宋体" w:hAnsi="宋体"/>
          <w:color w:val="000000" w:themeColor="text1"/>
          <w:szCs w:val="21"/>
          <w:highlight w:val="none"/>
          <w14:textFill>
            <w14:solidFill>
              <w14:schemeClr w14:val="tx1"/>
            </w14:solidFill>
          </w14:textFill>
        </w:rPr>
        <w:t>以根据需要增加。</w:t>
      </w:r>
    </w:p>
    <w:p w14:paraId="0EC0C4C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2.本表后附项目技术负责人（项目总工）的</w:t>
      </w:r>
      <w:r>
        <w:rPr>
          <w:rFonts w:hint="eastAsia" w:ascii="宋体" w:hAnsi="宋体"/>
          <w:color w:val="000000" w:themeColor="text1"/>
          <w:szCs w:val="21"/>
          <w:highlight w:val="none"/>
          <w:lang w:eastAsia="zh-CN"/>
          <w14:textFill>
            <w14:solidFill>
              <w14:schemeClr w14:val="tx1"/>
            </w14:solidFill>
          </w14:textFill>
        </w:rPr>
        <w:t>职称证书、</w:t>
      </w:r>
      <w:r>
        <w:rPr>
          <w:rFonts w:hint="eastAsia" w:ascii="宋体" w:hAnsi="宋体"/>
          <w:color w:val="000000" w:themeColor="text1"/>
          <w:szCs w:val="21"/>
          <w:highlight w:val="none"/>
          <w14:textFill>
            <w14:solidFill>
              <w14:schemeClr w14:val="tx1"/>
            </w14:solidFill>
          </w14:textFill>
        </w:rPr>
        <w:t>本表所列证书</w:t>
      </w:r>
      <w:r>
        <w:rPr>
          <w:rFonts w:hint="eastAsia" w:ascii="宋体" w:hAnsi="宋体"/>
          <w:color w:val="000000" w:themeColor="text1"/>
          <w:szCs w:val="21"/>
          <w:highlight w:val="none"/>
          <w:lang w:eastAsia="zh-CN"/>
          <w14:textFill>
            <w14:solidFill>
              <w14:schemeClr w14:val="tx1"/>
            </w14:solidFill>
          </w14:textFill>
        </w:rPr>
        <w:t>复印件（或扫描件）</w:t>
      </w:r>
      <w:r>
        <w:rPr>
          <w:rFonts w:hint="eastAsia" w:ascii="宋体" w:hAnsi="宋体"/>
          <w:color w:val="000000" w:themeColor="text1"/>
          <w:szCs w:val="21"/>
          <w:highlight w:val="none"/>
          <w14:textFill>
            <w14:solidFill>
              <w14:schemeClr w14:val="tx1"/>
            </w14:solidFill>
          </w14:textFill>
        </w:rPr>
        <w:t>并加盖供应商电子签章。</w:t>
      </w:r>
    </w:p>
    <w:p w14:paraId="6AAA5B72">
      <w:pPr>
        <w:spacing w:line="360" w:lineRule="auto"/>
        <w:rPr>
          <w:rFonts w:eastAsia="楷体_GB2312"/>
          <w:color w:val="000000" w:themeColor="text1"/>
          <w:highlight w:val="none"/>
          <w14:textFill>
            <w14:solidFill>
              <w14:schemeClr w14:val="tx1"/>
            </w14:solidFill>
          </w14:textFill>
        </w:rPr>
      </w:pPr>
    </w:p>
    <w:p w14:paraId="5F140FA7">
      <w:pPr>
        <w:pStyle w:val="200"/>
        <w:spacing w:line="360" w:lineRule="auto"/>
        <w:jc w:val="center"/>
        <w:outlineLvl w:val="1"/>
        <w:rPr>
          <w:rFonts w:hint="eastAsia" w:eastAsia="宋体"/>
          <w:color w:val="000000" w:themeColor="text1"/>
          <w:highlight w:val="none"/>
          <w:u w:val="single"/>
          <w:lang w:eastAsia="zh-CN"/>
          <w14:textFill>
            <w14:solidFill>
              <w14:schemeClr w14:val="tx1"/>
            </w14:solidFill>
          </w14:textFill>
        </w:rPr>
      </w:pPr>
      <w:r>
        <w:rPr>
          <w:rFonts w:cs="宋体"/>
          <w:b/>
          <w:bCs/>
          <w:color w:val="000000" w:themeColor="text1"/>
          <w:sz w:val="28"/>
          <w:szCs w:val="28"/>
          <w:highlight w:val="none"/>
          <w14:textFill>
            <w14:solidFill>
              <w14:schemeClr w14:val="tx1"/>
            </w14:solidFill>
          </w14:textFill>
        </w:rPr>
        <w:br w:type="page"/>
      </w:r>
      <w:r>
        <w:rPr>
          <w:rFonts w:hint="eastAsia" w:cs="宋体"/>
          <w:b/>
          <w:color w:val="000000" w:themeColor="text1"/>
          <w:sz w:val="32"/>
          <w:szCs w:val="32"/>
          <w:highlight w:val="none"/>
          <w:lang w:eastAsia="zh-CN"/>
          <w14:textFill>
            <w14:solidFill>
              <w14:schemeClr w14:val="tx1"/>
            </w14:solidFill>
          </w14:textFill>
        </w:rPr>
        <w:t>安全管理员</w:t>
      </w:r>
    </w:p>
    <w:tbl>
      <w:tblPr>
        <w:tblStyle w:val="45"/>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231"/>
        <w:gridCol w:w="387"/>
        <w:gridCol w:w="888"/>
        <w:gridCol w:w="660"/>
        <w:gridCol w:w="328"/>
        <w:gridCol w:w="234"/>
        <w:gridCol w:w="1417"/>
        <w:gridCol w:w="242"/>
        <w:gridCol w:w="1088"/>
        <w:gridCol w:w="88"/>
        <w:gridCol w:w="409"/>
        <w:gridCol w:w="1108"/>
        <w:gridCol w:w="36"/>
        <w:gridCol w:w="79"/>
        <w:gridCol w:w="1405"/>
        <w:gridCol w:w="11"/>
      </w:tblGrid>
      <w:tr w14:paraId="48E7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2E5F77B4">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263" w:type="dxa"/>
            <w:gridSpan w:val="4"/>
            <w:vAlign w:val="center"/>
          </w:tcPr>
          <w:p w14:paraId="54757A58">
            <w:pPr>
              <w:jc w:val="center"/>
              <w:rPr>
                <w:color w:val="000000" w:themeColor="text1"/>
                <w:highlight w:val="none"/>
                <w14:textFill>
                  <w14:solidFill>
                    <w14:schemeClr w14:val="tx1"/>
                  </w14:solidFill>
                </w14:textFill>
              </w:rPr>
            </w:pPr>
          </w:p>
        </w:tc>
        <w:tc>
          <w:tcPr>
            <w:tcW w:w="1893" w:type="dxa"/>
            <w:gridSpan w:val="3"/>
            <w:vAlign w:val="center"/>
          </w:tcPr>
          <w:p w14:paraId="0B08D284">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vAlign w:val="center"/>
          </w:tcPr>
          <w:p w14:paraId="76005BCD">
            <w:pPr>
              <w:jc w:val="center"/>
              <w:rPr>
                <w:color w:val="000000" w:themeColor="text1"/>
                <w:highlight w:val="none"/>
                <w14:textFill>
                  <w14:solidFill>
                    <w14:schemeClr w14:val="tx1"/>
                  </w14:solidFill>
                </w14:textFill>
              </w:rPr>
            </w:pPr>
          </w:p>
        </w:tc>
        <w:tc>
          <w:tcPr>
            <w:tcW w:w="1108" w:type="dxa"/>
            <w:vAlign w:val="center"/>
          </w:tcPr>
          <w:p w14:paraId="56C601E3">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vAlign w:val="center"/>
          </w:tcPr>
          <w:p w14:paraId="1D6FE61C">
            <w:pPr>
              <w:jc w:val="center"/>
              <w:rPr>
                <w:color w:val="000000" w:themeColor="text1"/>
                <w:highlight w:val="none"/>
                <w14:textFill>
                  <w14:solidFill>
                    <w14:schemeClr w14:val="tx1"/>
                  </w14:solidFill>
                </w14:textFill>
              </w:rPr>
            </w:pPr>
          </w:p>
        </w:tc>
      </w:tr>
      <w:tr w14:paraId="0F02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231" w:type="dxa"/>
            <w:vAlign w:val="center"/>
          </w:tcPr>
          <w:p w14:paraId="7A7AE969">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263" w:type="dxa"/>
            <w:gridSpan w:val="4"/>
            <w:vAlign w:val="center"/>
          </w:tcPr>
          <w:p w14:paraId="565BA1C7">
            <w:pPr>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安全管理员</w:t>
            </w:r>
          </w:p>
        </w:tc>
        <w:tc>
          <w:tcPr>
            <w:tcW w:w="1893" w:type="dxa"/>
            <w:gridSpan w:val="3"/>
            <w:vAlign w:val="center"/>
          </w:tcPr>
          <w:p w14:paraId="04AC710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vAlign w:val="center"/>
          </w:tcPr>
          <w:p w14:paraId="36C0872F">
            <w:pPr>
              <w:jc w:val="center"/>
              <w:rPr>
                <w:color w:val="000000" w:themeColor="text1"/>
                <w:highlight w:val="none"/>
                <w14:textFill>
                  <w14:solidFill>
                    <w14:schemeClr w14:val="tx1"/>
                  </w14:solidFill>
                </w14:textFill>
              </w:rPr>
            </w:pPr>
          </w:p>
        </w:tc>
        <w:tc>
          <w:tcPr>
            <w:tcW w:w="1108" w:type="dxa"/>
            <w:vAlign w:val="center"/>
          </w:tcPr>
          <w:p w14:paraId="3016FCE2">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vAlign w:val="center"/>
          </w:tcPr>
          <w:p w14:paraId="2B50787D">
            <w:pPr>
              <w:jc w:val="center"/>
              <w:rPr>
                <w:color w:val="000000" w:themeColor="text1"/>
                <w:highlight w:val="none"/>
                <w14:textFill>
                  <w14:solidFill>
                    <w14:schemeClr w14:val="tx1"/>
                  </w14:solidFill>
                </w14:textFill>
              </w:rPr>
            </w:pPr>
          </w:p>
        </w:tc>
      </w:tr>
      <w:tr w14:paraId="17E9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231" w:type="dxa"/>
            <w:vAlign w:val="center"/>
          </w:tcPr>
          <w:p w14:paraId="18B03586">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263" w:type="dxa"/>
            <w:gridSpan w:val="4"/>
            <w:vAlign w:val="center"/>
          </w:tcPr>
          <w:p w14:paraId="0D027736">
            <w:pPr>
              <w:jc w:val="center"/>
              <w:rPr>
                <w:color w:val="000000" w:themeColor="text1"/>
                <w:highlight w:val="none"/>
                <w14:textFill>
                  <w14:solidFill>
                    <w14:schemeClr w14:val="tx1"/>
                  </w14:solidFill>
                </w14:textFill>
              </w:rPr>
            </w:pPr>
          </w:p>
        </w:tc>
        <w:tc>
          <w:tcPr>
            <w:tcW w:w="1893" w:type="dxa"/>
            <w:gridSpan w:val="3"/>
            <w:vAlign w:val="center"/>
          </w:tcPr>
          <w:p w14:paraId="5C741012">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vAlign w:val="center"/>
          </w:tcPr>
          <w:p w14:paraId="135D6CB8">
            <w:pPr>
              <w:jc w:val="center"/>
              <w:rPr>
                <w:color w:val="000000" w:themeColor="text1"/>
                <w:highlight w:val="none"/>
                <w14:textFill>
                  <w14:solidFill>
                    <w14:schemeClr w14:val="tx1"/>
                  </w14:solidFill>
                </w14:textFill>
              </w:rPr>
            </w:pPr>
          </w:p>
        </w:tc>
        <w:tc>
          <w:tcPr>
            <w:tcW w:w="1108" w:type="dxa"/>
            <w:vAlign w:val="center"/>
          </w:tcPr>
          <w:p w14:paraId="447F9CF9">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vAlign w:val="center"/>
          </w:tcPr>
          <w:p w14:paraId="1C6BE0E9">
            <w:pPr>
              <w:jc w:val="center"/>
              <w:rPr>
                <w:color w:val="000000" w:themeColor="text1"/>
                <w:highlight w:val="none"/>
                <w14:textFill>
                  <w14:solidFill>
                    <w14:schemeClr w14:val="tx1"/>
                  </w14:solidFill>
                </w14:textFill>
              </w:rPr>
            </w:pPr>
          </w:p>
        </w:tc>
      </w:tr>
      <w:tr w14:paraId="07CF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179F774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担任……年限</w:t>
            </w:r>
          </w:p>
        </w:tc>
        <w:tc>
          <w:tcPr>
            <w:tcW w:w="2263" w:type="dxa"/>
            <w:gridSpan w:val="4"/>
            <w:vAlign w:val="center"/>
          </w:tcPr>
          <w:p w14:paraId="74E5FA2B">
            <w:pPr>
              <w:jc w:val="center"/>
              <w:rPr>
                <w:color w:val="000000" w:themeColor="text1"/>
                <w:highlight w:val="none"/>
                <w14:textFill>
                  <w14:solidFill>
                    <w14:schemeClr w14:val="tx1"/>
                  </w14:solidFill>
                </w14:textFill>
              </w:rPr>
            </w:pPr>
          </w:p>
        </w:tc>
        <w:tc>
          <w:tcPr>
            <w:tcW w:w="1893" w:type="dxa"/>
            <w:gridSpan w:val="3"/>
            <w:vAlign w:val="center"/>
          </w:tcPr>
          <w:p w14:paraId="1101652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224" w:type="dxa"/>
            <w:gridSpan w:val="8"/>
            <w:vAlign w:val="center"/>
          </w:tcPr>
          <w:p w14:paraId="553ECA44">
            <w:pPr>
              <w:jc w:val="center"/>
              <w:rPr>
                <w:color w:val="000000" w:themeColor="text1"/>
                <w:highlight w:val="none"/>
                <w14:textFill>
                  <w14:solidFill>
                    <w14:schemeClr w14:val="tx1"/>
                  </w14:solidFill>
                </w14:textFill>
              </w:rPr>
            </w:pPr>
          </w:p>
        </w:tc>
      </w:tr>
      <w:tr w14:paraId="22C4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3D1F2B3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275" w:type="dxa"/>
            <w:gridSpan w:val="2"/>
            <w:vAlign w:val="center"/>
          </w:tcPr>
          <w:p w14:paraId="5E82EA3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vAlign w:val="center"/>
          </w:tcPr>
          <w:p w14:paraId="1D5BF804">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vAlign w:val="center"/>
          </w:tcPr>
          <w:p w14:paraId="3CF0648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vAlign w:val="center"/>
          </w:tcPr>
          <w:p w14:paraId="3EB91C0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vAlign w:val="center"/>
          </w:tcPr>
          <w:p w14:paraId="55816B16">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vAlign w:val="center"/>
          </w:tcPr>
          <w:p w14:paraId="6DF8417A">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14:paraId="1C6F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45E69EA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安全生产考核合格证书</w:t>
            </w:r>
          </w:p>
        </w:tc>
        <w:tc>
          <w:tcPr>
            <w:tcW w:w="1275" w:type="dxa"/>
            <w:gridSpan w:val="2"/>
            <w:vAlign w:val="center"/>
          </w:tcPr>
          <w:p w14:paraId="25E659BD">
            <w:pPr>
              <w:jc w:val="center"/>
              <w:rPr>
                <w:color w:val="000000" w:themeColor="text1"/>
                <w:highlight w:val="none"/>
                <w14:textFill>
                  <w14:solidFill>
                    <w14:schemeClr w14:val="tx1"/>
                  </w14:solidFill>
                </w14:textFill>
              </w:rPr>
            </w:pPr>
          </w:p>
        </w:tc>
        <w:tc>
          <w:tcPr>
            <w:tcW w:w="1222" w:type="dxa"/>
            <w:gridSpan w:val="3"/>
            <w:vAlign w:val="center"/>
          </w:tcPr>
          <w:p w14:paraId="774E71C1">
            <w:pPr>
              <w:jc w:val="center"/>
              <w:rPr>
                <w:rFonts w:cs="宋体"/>
                <w:color w:val="000000" w:themeColor="text1"/>
                <w:highlight w:val="none"/>
                <w14:textFill>
                  <w14:solidFill>
                    <w14:schemeClr w14:val="tx1"/>
                  </w14:solidFill>
                </w14:textFill>
              </w:rPr>
            </w:pPr>
          </w:p>
        </w:tc>
        <w:tc>
          <w:tcPr>
            <w:tcW w:w="1417" w:type="dxa"/>
            <w:vAlign w:val="center"/>
          </w:tcPr>
          <w:p w14:paraId="165D79BF">
            <w:pPr>
              <w:jc w:val="center"/>
              <w:rPr>
                <w:color w:val="000000" w:themeColor="text1"/>
                <w:highlight w:val="none"/>
                <w14:textFill>
                  <w14:solidFill>
                    <w14:schemeClr w14:val="tx1"/>
                  </w14:solidFill>
                </w14:textFill>
              </w:rPr>
            </w:pPr>
          </w:p>
        </w:tc>
        <w:tc>
          <w:tcPr>
            <w:tcW w:w="1418" w:type="dxa"/>
            <w:gridSpan w:val="3"/>
            <w:vAlign w:val="center"/>
          </w:tcPr>
          <w:p w14:paraId="29663C9A">
            <w:pPr>
              <w:jc w:val="center"/>
              <w:rPr>
                <w:color w:val="000000" w:themeColor="text1"/>
                <w:highlight w:val="none"/>
                <w14:textFill>
                  <w14:solidFill>
                    <w14:schemeClr w14:val="tx1"/>
                  </w14:solidFill>
                </w14:textFill>
              </w:rPr>
            </w:pPr>
          </w:p>
        </w:tc>
        <w:tc>
          <w:tcPr>
            <w:tcW w:w="1632" w:type="dxa"/>
            <w:gridSpan w:val="4"/>
            <w:vAlign w:val="center"/>
          </w:tcPr>
          <w:p w14:paraId="5A4E168D">
            <w:pPr>
              <w:jc w:val="center"/>
              <w:rPr>
                <w:color w:val="000000" w:themeColor="text1"/>
                <w:highlight w:val="none"/>
                <w14:textFill>
                  <w14:solidFill>
                    <w14:schemeClr w14:val="tx1"/>
                  </w14:solidFill>
                </w14:textFill>
              </w:rPr>
            </w:pPr>
          </w:p>
        </w:tc>
        <w:tc>
          <w:tcPr>
            <w:tcW w:w="1416" w:type="dxa"/>
            <w:gridSpan w:val="2"/>
            <w:vAlign w:val="center"/>
          </w:tcPr>
          <w:p w14:paraId="7326084F">
            <w:pPr>
              <w:jc w:val="center"/>
              <w:rPr>
                <w:color w:val="000000" w:themeColor="text1"/>
                <w:highlight w:val="none"/>
                <w14:textFill>
                  <w14:solidFill>
                    <w14:schemeClr w14:val="tx1"/>
                  </w14:solidFill>
                </w14:textFill>
              </w:rPr>
            </w:pPr>
          </w:p>
        </w:tc>
      </w:tr>
      <w:tr w14:paraId="480A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vAlign w:val="center"/>
          </w:tcPr>
          <w:p w14:paraId="368E0CB8">
            <w:pPr>
              <w:jc w:val="center"/>
              <w:rPr>
                <w:color w:val="000000" w:themeColor="text1"/>
                <w:highlight w:val="none"/>
                <w14:textFill>
                  <w14:solidFill>
                    <w14:schemeClr w14:val="tx1"/>
                  </w14:solidFill>
                </w14:textFill>
              </w:rPr>
            </w:pPr>
          </w:p>
        </w:tc>
        <w:tc>
          <w:tcPr>
            <w:tcW w:w="1275" w:type="dxa"/>
            <w:gridSpan w:val="2"/>
            <w:vAlign w:val="center"/>
          </w:tcPr>
          <w:p w14:paraId="24CB7123">
            <w:pPr>
              <w:jc w:val="center"/>
              <w:rPr>
                <w:color w:val="000000" w:themeColor="text1"/>
                <w:highlight w:val="none"/>
                <w14:textFill>
                  <w14:solidFill>
                    <w14:schemeClr w14:val="tx1"/>
                  </w14:solidFill>
                </w14:textFill>
              </w:rPr>
            </w:pPr>
          </w:p>
        </w:tc>
        <w:tc>
          <w:tcPr>
            <w:tcW w:w="1222" w:type="dxa"/>
            <w:gridSpan w:val="3"/>
            <w:vAlign w:val="center"/>
          </w:tcPr>
          <w:p w14:paraId="1702174A">
            <w:pPr>
              <w:jc w:val="center"/>
              <w:rPr>
                <w:rFonts w:cs="宋体"/>
                <w:color w:val="000000" w:themeColor="text1"/>
                <w:highlight w:val="none"/>
                <w14:textFill>
                  <w14:solidFill>
                    <w14:schemeClr w14:val="tx1"/>
                  </w14:solidFill>
                </w14:textFill>
              </w:rPr>
            </w:pPr>
          </w:p>
        </w:tc>
        <w:tc>
          <w:tcPr>
            <w:tcW w:w="1417" w:type="dxa"/>
            <w:vAlign w:val="center"/>
          </w:tcPr>
          <w:p w14:paraId="55BB57ED">
            <w:pPr>
              <w:jc w:val="center"/>
              <w:rPr>
                <w:color w:val="000000" w:themeColor="text1"/>
                <w:highlight w:val="none"/>
                <w14:textFill>
                  <w14:solidFill>
                    <w14:schemeClr w14:val="tx1"/>
                  </w14:solidFill>
                </w14:textFill>
              </w:rPr>
            </w:pPr>
          </w:p>
        </w:tc>
        <w:tc>
          <w:tcPr>
            <w:tcW w:w="1418" w:type="dxa"/>
            <w:gridSpan w:val="3"/>
            <w:vAlign w:val="center"/>
          </w:tcPr>
          <w:p w14:paraId="51AF7718">
            <w:pPr>
              <w:jc w:val="center"/>
              <w:rPr>
                <w:color w:val="000000" w:themeColor="text1"/>
                <w:highlight w:val="none"/>
                <w14:textFill>
                  <w14:solidFill>
                    <w14:schemeClr w14:val="tx1"/>
                  </w14:solidFill>
                </w14:textFill>
              </w:rPr>
            </w:pPr>
          </w:p>
        </w:tc>
        <w:tc>
          <w:tcPr>
            <w:tcW w:w="1632" w:type="dxa"/>
            <w:gridSpan w:val="4"/>
            <w:vAlign w:val="center"/>
          </w:tcPr>
          <w:p w14:paraId="6074ECEE">
            <w:pPr>
              <w:jc w:val="center"/>
              <w:rPr>
                <w:color w:val="000000" w:themeColor="text1"/>
                <w:highlight w:val="none"/>
                <w14:textFill>
                  <w14:solidFill>
                    <w14:schemeClr w14:val="tx1"/>
                  </w14:solidFill>
                </w14:textFill>
              </w:rPr>
            </w:pPr>
          </w:p>
        </w:tc>
        <w:tc>
          <w:tcPr>
            <w:tcW w:w="1416" w:type="dxa"/>
            <w:gridSpan w:val="2"/>
            <w:vAlign w:val="center"/>
          </w:tcPr>
          <w:p w14:paraId="62C5F0CB">
            <w:pPr>
              <w:jc w:val="center"/>
              <w:rPr>
                <w:color w:val="000000" w:themeColor="text1"/>
                <w:highlight w:val="none"/>
                <w14:textFill>
                  <w14:solidFill>
                    <w14:schemeClr w14:val="tx1"/>
                  </w14:solidFill>
                </w14:textFill>
              </w:rPr>
            </w:pPr>
          </w:p>
        </w:tc>
      </w:tr>
      <w:tr w14:paraId="12A9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6"/>
            <w:vAlign w:val="center"/>
          </w:tcPr>
          <w:p w14:paraId="042C20E1">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14:paraId="3EC0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004B5D4B">
            <w:pPr>
              <w:jc w:val="center"/>
              <w:rPr>
                <w:color w:val="000000" w:themeColor="text1"/>
                <w:highlight w:val="none"/>
                <w14:textFill>
                  <w14:solidFill>
                    <w14:schemeClr w14:val="tx1"/>
                  </w14:solidFill>
                </w14:textFill>
              </w:rPr>
            </w:pPr>
          </w:p>
        </w:tc>
        <w:tc>
          <w:tcPr>
            <w:tcW w:w="1548" w:type="dxa"/>
            <w:gridSpan w:val="2"/>
            <w:vAlign w:val="center"/>
          </w:tcPr>
          <w:p w14:paraId="4CF47ABE">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2221" w:type="dxa"/>
            <w:gridSpan w:val="4"/>
            <w:vAlign w:val="center"/>
          </w:tcPr>
          <w:p w14:paraId="6F24D84A">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088" w:type="dxa"/>
            <w:vAlign w:val="center"/>
          </w:tcPr>
          <w:p w14:paraId="01CDE0E1">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vAlign w:val="center"/>
          </w:tcPr>
          <w:p w14:paraId="6D7D178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vAlign w:val="center"/>
          </w:tcPr>
          <w:p w14:paraId="29FED622">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14:paraId="2746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2FDA45D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vAlign w:val="center"/>
          </w:tcPr>
          <w:p w14:paraId="0357EDB5">
            <w:pPr>
              <w:jc w:val="center"/>
              <w:rPr>
                <w:color w:val="000000" w:themeColor="text1"/>
                <w:highlight w:val="none"/>
                <w14:textFill>
                  <w14:solidFill>
                    <w14:schemeClr w14:val="tx1"/>
                  </w14:solidFill>
                </w14:textFill>
              </w:rPr>
            </w:pPr>
          </w:p>
        </w:tc>
        <w:tc>
          <w:tcPr>
            <w:tcW w:w="2221" w:type="dxa"/>
            <w:gridSpan w:val="4"/>
            <w:vAlign w:val="center"/>
          </w:tcPr>
          <w:p w14:paraId="3B24FE9D">
            <w:pPr>
              <w:jc w:val="center"/>
              <w:rPr>
                <w:color w:val="000000" w:themeColor="text1"/>
                <w:highlight w:val="none"/>
                <w14:textFill>
                  <w14:solidFill>
                    <w14:schemeClr w14:val="tx1"/>
                  </w14:solidFill>
                </w14:textFill>
              </w:rPr>
            </w:pPr>
          </w:p>
        </w:tc>
        <w:tc>
          <w:tcPr>
            <w:tcW w:w="1088" w:type="dxa"/>
            <w:vAlign w:val="center"/>
          </w:tcPr>
          <w:p w14:paraId="4CBF2660">
            <w:pPr>
              <w:jc w:val="center"/>
              <w:rPr>
                <w:color w:val="000000" w:themeColor="text1"/>
                <w:highlight w:val="none"/>
                <w14:textFill>
                  <w14:solidFill>
                    <w14:schemeClr w14:val="tx1"/>
                  </w14:solidFill>
                </w14:textFill>
              </w:rPr>
            </w:pPr>
          </w:p>
        </w:tc>
        <w:tc>
          <w:tcPr>
            <w:tcW w:w="1641" w:type="dxa"/>
            <w:gridSpan w:val="4"/>
            <w:vAlign w:val="center"/>
          </w:tcPr>
          <w:p w14:paraId="35FB2219">
            <w:pPr>
              <w:jc w:val="center"/>
              <w:rPr>
                <w:color w:val="000000" w:themeColor="text1"/>
                <w:highlight w:val="none"/>
                <w14:textFill>
                  <w14:solidFill>
                    <w14:schemeClr w14:val="tx1"/>
                  </w14:solidFill>
                </w14:textFill>
              </w:rPr>
            </w:pPr>
          </w:p>
        </w:tc>
        <w:tc>
          <w:tcPr>
            <w:tcW w:w="1484" w:type="dxa"/>
            <w:gridSpan w:val="2"/>
            <w:vAlign w:val="center"/>
          </w:tcPr>
          <w:p w14:paraId="12597BDD">
            <w:pPr>
              <w:jc w:val="center"/>
              <w:rPr>
                <w:color w:val="000000" w:themeColor="text1"/>
                <w:highlight w:val="none"/>
                <w14:textFill>
                  <w14:solidFill>
                    <w14:schemeClr w14:val="tx1"/>
                  </w14:solidFill>
                </w14:textFill>
              </w:rPr>
            </w:pPr>
          </w:p>
        </w:tc>
      </w:tr>
      <w:tr w14:paraId="04FF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21BB6779">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vAlign w:val="center"/>
          </w:tcPr>
          <w:p w14:paraId="685DE712">
            <w:pPr>
              <w:jc w:val="center"/>
              <w:rPr>
                <w:color w:val="000000" w:themeColor="text1"/>
                <w:highlight w:val="none"/>
                <w14:textFill>
                  <w14:solidFill>
                    <w14:schemeClr w14:val="tx1"/>
                  </w14:solidFill>
                </w14:textFill>
              </w:rPr>
            </w:pPr>
          </w:p>
        </w:tc>
        <w:tc>
          <w:tcPr>
            <w:tcW w:w="2221" w:type="dxa"/>
            <w:gridSpan w:val="4"/>
            <w:vAlign w:val="center"/>
          </w:tcPr>
          <w:p w14:paraId="6D49301F">
            <w:pPr>
              <w:jc w:val="center"/>
              <w:rPr>
                <w:color w:val="000000" w:themeColor="text1"/>
                <w:highlight w:val="none"/>
                <w14:textFill>
                  <w14:solidFill>
                    <w14:schemeClr w14:val="tx1"/>
                  </w14:solidFill>
                </w14:textFill>
              </w:rPr>
            </w:pPr>
          </w:p>
        </w:tc>
        <w:tc>
          <w:tcPr>
            <w:tcW w:w="1088" w:type="dxa"/>
            <w:vAlign w:val="center"/>
          </w:tcPr>
          <w:p w14:paraId="692F0D7E">
            <w:pPr>
              <w:jc w:val="center"/>
              <w:rPr>
                <w:color w:val="000000" w:themeColor="text1"/>
                <w:highlight w:val="none"/>
                <w14:textFill>
                  <w14:solidFill>
                    <w14:schemeClr w14:val="tx1"/>
                  </w14:solidFill>
                </w14:textFill>
              </w:rPr>
            </w:pPr>
          </w:p>
        </w:tc>
        <w:tc>
          <w:tcPr>
            <w:tcW w:w="1641" w:type="dxa"/>
            <w:gridSpan w:val="4"/>
            <w:vAlign w:val="center"/>
          </w:tcPr>
          <w:p w14:paraId="1DF0F8DD">
            <w:pPr>
              <w:jc w:val="center"/>
              <w:rPr>
                <w:color w:val="000000" w:themeColor="text1"/>
                <w:highlight w:val="none"/>
                <w14:textFill>
                  <w14:solidFill>
                    <w14:schemeClr w14:val="tx1"/>
                  </w14:solidFill>
                </w14:textFill>
              </w:rPr>
            </w:pPr>
          </w:p>
        </w:tc>
        <w:tc>
          <w:tcPr>
            <w:tcW w:w="1484" w:type="dxa"/>
            <w:gridSpan w:val="2"/>
            <w:vAlign w:val="center"/>
          </w:tcPr>
          <w:p w14:paraId="4EB6C198">
            <w:pPr>
              <w:jc w:val="center"/>
              <w:rPr>
                <w:color w:val="000000" w:themeColor="text1"/>
                <w:highlight w:val="none"/>
                <w14:textFill>
                  <w14:solidFill>
                    <w14:schemeClr w14:val="tx1"/>
                  </w14:solidFill>
                </w14:textFill>
              </w:rPr>
            </w:pPr>
          </w:p>
        </w:tc>
      </w:tr>
      <w:tr w14:paraId="0A24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40FF024C">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vAlign w:val="center"/>
          </w:tcPr>
          <w:p w14:paraId="3C6B8A89">
            <w:pPr>
              <w:jc w:val="center"/>
              <w:rPr>
                <w:color w:val="000000" w:themeColor="text1"/>
                <w:highlight w:val="none"/>
                <w14:textFill>
                  <w14:solidFill>
                    <w14:schemeClr w14:val="tx1"/>
                  </w14:solidFill>
                </w14:textFill>
              </w:rPr>
            </w:pPr>
          </w:p>
        </w:tc>
        <w:tc>
          <w:tcPr>
            <w:tcW w:w="2221" w:type="dxa"/>
            <w:gridSpan w:val="4"/>
            <w:vAlign w:val="center"/>
          </w:tcPr>
          <w:p w14:paraId="0D950F10">
            <w:pPr>
              <w:jc w:val="center"/>
              <w:rPr>
                <w:color w:val="000000" w:themeColor="text1"/>
                <w:highlight w:val="none"/>
                <w14:textFill>
                  <w14:solidFill>
                    <w14:schemeClr w14:val="tx1"/>
                  </w14:solidFill>
                </w14:textFill>
              </w:rPr>
            </w:pPr>
          </w:p>
        </w:tc>
        <w:tc>
          <w:tcPr>
            <w:tcW w:w="1088" w:type="dxa"/>
            <w:vAlign w:val="center"/>
          </w:tcPr>
          <w:p w14:paraId="17773240">
            <w:pPr>
              <w:jc w:val="center"/>
              <w:rPr>
                <w:color w:val="000000" w:themeColor="text1"/>
                <w:highlight w:val="none"/>
                <w14:textFill>
                  <w14:solidFill>
                    <w14:schemeClr w14:val="tx1"/>
                  </w14:solidFill>
                </w14:textFill>
              </w:rPr>
            </w:pPr>
          </w:p>
        </w:tc>
        <w:tc>
          <w:tcPr>
            <w:tcW w:w="1641" w:type="dxa"/>
            <w:gridSpan w:val="4"/>
            <w:vAlign w:val="center"/>
          </w:tcPr>
          <w:p w14:paraId="46619FB2">
            <w:pPr>
              <w:jc w:val="center"/>
              <w:rPr>
                <w:color w:val="000000" w:themeColor="text1"/>
                <w:highlight w:val="none"/>
                <w14:textFill>
                  <w14:solidFill>
                    <w14:schemeClr w14:val="tx1"/>
                  </w14:solidFill>
                </w14:textFill>
              </w:rPr>
            </w:pPr>
          </w:p>
        </w:tc>
        <w:tc>
          <w:tcPr>
            <w:tcW w:w="1484" w:type="dxa"/>
            <w:gridSpan w:val="2"/>
            <w:vAlign w:val="center"/>
          </w:tcPr>
          <w:p w14:paraId="21F1D0D7">
            <w:pPr>
              <w:jc w:val="center"/>
              <w:rPr>
                <w:color w:val="000000" w:themeColor="text1"/>
                <w:highlight w:val="none"/>
                <w14:textFill>
                  <w14:solidFill>
                    <w14:schemeClr w14:val="tx1"/>
                  </w14:solidFill>
                </w14:textFill>
              </w:rPr>
            </w:pPr>
          </w:p>
        </w:tc>
      </w:tr>
      <w:tr w14:paraId="39B7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2EF0DB91">
            <w:pPr>
              <w:jc w:val="center"/>
              <w:rPr>
                <w:rFonts w:hint="eastAsia" w:ascii="宋体" w:hAnsi="宋体" w:cs="宋体"/>
                <w:color w:val="000000" w:themeColor="text1"/>
                <w:sz w:val="27"/>
                <w:szCs w:val="27"/>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vAlign w:val="center"/>
          </w:tcPr>
          <w:p w14:paraId="44290D04">
            <w:pPr>
              <w:jc w:val="center"/>
              <w:rPr>
                <w:color w:val="000000" w:themeColor="text1"/>
                <w:highlight w:val="none"/>
                <w14:textFill>
                  <w14:solidFill>
                    <w14:schemeClr w14:val="tx1"/>
                  </w14:solidFill>
                </w14:textFill>
              </w:rPr>
            </w:pPr>
          </w:p>
        </w:tc>
        <w:tc>
          <w:tcPr>
            <w:tcW w:w="2221" w:type="dxa"/>
            <w:gridSpan w:val="4"/>
            <w:vAlign w:val="center"/>
          </w:tcPr>
          <w:p w14:paraId="16BE5B04">
            <w:pPr>
              <w:jc w:val="center"/>
              <w:rPr>
                <w:color w:val="000000" w:themeColor="text1"/>
                <w:highlight w:val="none"/>
                <w14:textFill>
                  <w14:solidFill>
                    <w14:schemeClr w14:val="tx1"/>
                  </w14:solidFill>
                </w14:textFill>
              </w:rPr>
            </w:pPr>
          </w:p>
        </w:tc>
        <w:tc>
          <w:tcPr>
            <w:tcW w:w="1088" w:type="dxa"/>
            <w:vAlign w:val="center"/>
          </w:tcPr>
          <w:p w14:paraId="77FEBE6F">
            <w:pPr>
              <w:jc w:val="center"/>
              <w:rPr>
                <w:color w:val="000000" w:themeColor="text1"/>
                <w:highlight w:val="none"/>
                <w14:textFill>
                  <w14:solidFill>
                    <w14:schemeClr w14:val="tx1"/>
                  </w14:solidFill>
                </w14:textFill>
              </w:rPr>
            </w:pPr>
          </w:p>
        </w:tc>
        <w:tc>
          <w:tcPr>
            <w:tcW w:w="1641" w:type="dxa"/>
            <w:gridSpan w:val="4"/>
            <w:vAlign w:val="center"/>
          </w:tcPr>
          <w:p w14:paraId="7A561413">
            <w:pPr>
              <w:jc w:val="center"/>
              <w:rPr>
                <w:color w:val="000000" w:themeColor="text1"/>
                <w:highlight w:val="none"/>
                <w14:textFill>
                  <w14:solidFill>
                    <w14:schemeClr w14:val="tx1"/>
                  </w14:solidFill>
                </w14:textFill>
              </w:rPr>
            </w:pPr>
          </w:p>
        </w:tc>
        <w:tc>
          <w:tcPr>
            <w:tcW w:w="1484" w:type="dxa"/>
            <w:gridSpan w:val="2"/>
            <w:vAlign w:val="center"/>
          </w:tcPr>
          <w:p w14:paraId="48501E2A">
            <w:pPr>
              <w:jc w:val="center"/>
              <w:rPr>
                <w:color w:val="000000" w:themeColor="text1"/>
                <w:highlight w:val="none"/>
                <w14:textFill>
                  <w14:solidFill>
                    <w14:schemeClr w14:val="tx1"/>
                  </w14:solidFill>
                </w14:textFill>
              </w:rPr>
            </w:pPr>
          </w:p>
        </w:tc>
      </w:tr>
      <w:tr w14:paraId="2362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B130D44">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vAlign w:val="center"/>
          </w:tcPr>
          <w:p w14:paraId="2C383894">
            <w:pPr>
              <w:jc w:val="center"/>
              <w:rPr>
                <w:color w:val="000000" w:themeColor="text1"/>
                <w:highlight w:val="none"/>
                <w14:textFill>
                  <w14:solidFill>
                    <w14:schemeClr w14:val="tx1"/>
                  </w14:solidFill>
                </w14:textFill>
              </w:rPr>
            </w:pPr>
          </w:p>
        </w:tc>
        <w:tc>
          <w:tcPr>
            <w:tcW w:w="2221" w:type="dxa"/>
            <w:gridSpan w:val="4"/>
            <w:vAlign w:val="center"/>
          </w:tcPr>
          <w:p w14:paraId="3D5C05A0">
            <w:pPr>
              <w:jc w:val="center"/>
              <w:rPr>
                <w:color w:val="000000" w:themeColor="text1"/>
                <w:highlight w:val="none"/>
                <w14:textFill>
                  <w14:solidFill>
                    <w14:schemeClr w14:val="tx1"/>
                  </w14:solidFill>
                </w14:textFill>
              </w:rPr>
            </w:pPr>
          </w:p>
        </w:tc>
        <w:tc>
          <w:tcPr>
            <w:tcW w:w="1088" w:type="dxa"/>
            <w:vAlign w:val="center"/>
          </w:tcPr>
          <w:p w14:paraId="4B5DF0F3">
            <w:pPr>
              <w:jc w:val="center"/>
              <w:rPr>
                <w:color w:val="000000" w:themeColor="text1"/>
                <w:highlight w:val="none"/>
                <w14:textFill>
                  <w14:solidFill>
                    <w14:schemeClr w14:val="tx1"/>
                  </w14:solidFill>
                </w14:textFill>
              </w:rPr>
            </w:pPr>
          </w:p>
        </w:tc>
        <w:tc>
          <w:tcPr>
            <w:tcW w:w="1641" w:type="dxa"/>
            <w:gridSpan w:val="4"/>
            <w:vAlign w:val="center"/>
          </w:tcPr>
          <w:p w14:paraId="4A3AEE7A">
            <w:pPr>
              <w:jc w:val="center"/>
              <w:rPr>
                <w:color w:val="000000" w:themeColor="text1"/>
                <w:highlight w:val="none"/>
                <w14:textFill>
                  <w14:solidFill>
                    <w14:schemeClr w14:val="tx1"/>
                  </w14:solidFill>
                </w14:textFill>
              </w:rPr>
            </w:pPr>
          </w:p>
        </w:tc>
        <w:tc>
          <w:tcPr>
            <w:tcW w:w="1484" w:type="dxa"/>
            <w:gridSpan w:val="2"/>
            <w:vAlign w:val="center"/>
          </w:tcPr>
          <w:p w14:paraId="5FE49CAB">
            <w:pPr>
              <w:jc w:val="center"/>
              <w:rPr>
                <w:color w:val="000000" w:themeColor="text1"/>
                <w:highlight w:val="none"/>
                <w14:textFill>
                  <w14:solidFill>
                    <w14:schemeClr w14:val="tx1"/>
                  </w14:solidFill>
                </w14:textFill>
              </w:rPr>
            </w:pPr>
          </w:p>
        </w:tc>
      </w:tr>
      <w:tr w14:paraId="3173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A7C369F">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vAlign w:val="center"/>
          </w:tcPr>
          <w:p w14:paraId="26682DF4">
            <w:pPr>
              <w:jc w:val="center"/>
              <w:rPr>
                <w:color w:val="000000" w:themeColor="text1"/>
                <w:highlight w:val="none"/>
                <w14:textFill>
                  <w14:solidFill>
                    <w14:schemeClr w14:val="tx1"/>
                  </w14:solidFill>
                </w14:textFill>
              </w:rPr>
            </w:pPr>
          </w:p>
        </w:tc>
        <w:tc>
          <w:tcPr>
            <w:tcW w:w="2221" w:type="dxa"/>
            <w:gridSpan w:val="4"/>
            <w:vAlign w:val="center"/>
          </w:tcPr>
          <w:p w14:paraId="0BCDDDCB">
            <w:pPr>
              <w:jc w:val="center"/>
              <w:rPr>
                <w:color w:val="000000" w:themeColor="text1"/>
                <w:highlight w:val="none"/>
                <w14:textFill>
                  <w14:solidFill>
                    <w14:schemeClr w14:val="tx1"/>
                  </w14:solidFill>
                </w14:textFill>
              </w:rPr>
            </w:pPr>
          </w:p>
        </w:tc>
        <w:tc>
          <w:tcPr>
            <w:tcW w:w="1088" w:type="dxa"/>
            <w:vAlign w:val="center"/>
          </w:tcPr>
          <w:p w14:paraId="06AE7C81">
            <w:pPr>
              <w:jc w:val="center"/>
              <w:rPr>
                <w:color w:val="000000" w:themeColor="text1"/>
                <w:highlight w:val="none"/>
                <w14:textFill>
                  <w14:solidFill>
                    <w14:schemeClr w14:val="tx1"/>
                  </w14:solidFill>
                </w14:textFill>
              </w:rPr>
            </w:pPr>
          </w:p>
        </w:tc>
        <w:tc>
          <w:tcPr>
            <w:tcW w:w="1641" w:type="dxa"/>
            <w:gridSpan w:val="4"/>
            <w:vAlign w:val="center"/>
          </w:tcPr>
          <w:p w14:paraId="77D6E14C">
            <w:pPr>
              <w:jc w:val="center"/>
              <w:rPr>
                <w:color w:val="000000" w:themeColor="text1"/>
                <w:highlight w:val="none"/>
                <w14:textFill>
                  <w14:solidFill>
                    <w14:schemeClr w14:val="tx1"/>
                  </w14:solidFill>
                </w14:textFill>
              </w:rPr>
            </w:pPr>
          </w:p>
        </w:tc>
        <w:tc>
          <w:tcPr>
            <w:tcW w:w="1484" w:type="dxa"/>
            <w:gridSpan w:val="2"/>
            <w:vAlign w:val="center"/>
          </w:tcPr>
          <w:p w14:paraId="76D0B331">
            <w:pPr>
              <w:jc w:val="center"/>
              <w:rPr>
                <w:color w:val="000000" w:themeColor="text1"/>
                <w:highlight w:val="none"/>
                <w14:textFill>
                  <w14:solidFill>
                    <w14:schemeClr w14:val="tx1"/>
                  </w14:solidFill>
                </w14:textFill>
              </w:rPr>
            </w:pPr>
          </w:p>
        </w:tc>
      </w:tr>
      <w:tr w14:paraId="6254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9EA1EA0">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vAlign w:val="center"/>
          </w:tcPr>
          <w:p w14:paraId="00B20122">
            <w:pPr>
              <w:jc w:val="center"/>
              <w:rPr>
                <w:color w:val="000000" w:themeColor="text1"/>
                <w:highlight w:val="none"/>
                <w14:textFill>
                  <w14:solidFill>
                    <w14:schemeClr w14:val="tx1"/>
                  </w14:solidFill>
                </w14:textFill>
              </w:rPr>
            </w:pPr>
          </w:p>
        </w:tc>
        <w:tc>
          <w:tcPr>
            <w:tcW w:w="2221" w:type="dxa"/>
            <w:gridSpan w:val="4"/>
            <w:vAlign w:val="center"/>
          </w:tcPr>
          <w:p w14:paraId="7378CC83">
            <w:pPr>
              <w:jc w:val="center"/>
              <w:rPr>
                <w:color w:val="000000" w:themeColor="text1"/>
                <w:highlight w:val="none"/>
                <w14:textFill>
                  <w14:solidFill>
                    <w14:schemeClr w14:val="tx1"/>
                  </w14:solidFill>
                </w14:textFill>
              </w:rPr>
            </w:pPr>
          </w:p>
        </w:tc>
        <w:tc>
          <w:tcPr>
            <w:tcW w:w="1088" w:type="dxa"/>
            <w:vAlign w:val="center"/>
          </w:tcPr>
          <w:p w14:paraId="5924E4BE">
            <w:pPr>
              <w:jc w:val="center"/>
              <w:rPr>
                <w:color w:val="000000" w:themeColor="text1"/>
                <w:highlight w:val="none"/>
                <w14:textFill>
                  <w14:solidFill>
                    <w14:schemeClr w14:val="tx1"/>
                  </w14:solidFill>
                </w14:textFill>
              </w:rPr>
            </w:pPr>
          </w:p>
        </w:tc>
        <w:tc>
          <w:tcPr>
            <w:tcW w:w="1641" w:type="dxa"/>
            <w:gridSpan w:val="4"/>
            <w:vAlign w:val="center"/>
          </w:tcPr>
          <w:p w14:paraId="45F58745">
            <w:pPr>
              <w:jc w:val="center"/>
              <w:rPr>
                <w:color w:val="000000" w:themeColor="text1"/>
                <w:highlight w:val="none"/>
                <w14:textFill>
                  <w14:solidFill>
                    <w14:schemeClr w14:val="tx1"/>
                  </w14:solidFill>
                </w14:textFill>
              </w:rPr>
            </w:pPr>
          </w:p>
        </w:tc>
        <w:tc>
          <w:tcPr>
            <w:tcW w:w="1484" w:type="dxa"/>
            <w:gridSpan w:val="2"/>
            <w:vAlign w:val="center"/>
          </w:tcPr>
          <w:p w14:paraId="29EBA3B0">
            <w:pPr>
              <w:jc w:val="center"/>
              <w:rPr>
                <w:color w:val="000000" w:themeColor="text1"/>
                <w:highlight w:val="none"/>
                <w14:textFill>
                  <w14:solidFill>
                    <w14:schemeClr w14:val="tx1"/>
                  </w14:solidFill>
                </w14:textFill>
              </w:rPr>
            </w:pPr>
          </w:p>
        </w:tc>
      </w:tr>
      <w:tr w14:paraId="7DAD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7813E68">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vAlign w:val="center"/>
          </w:tcPr>
          <w:p w14:paraId="46E1B9AB">
            <w:pPr>
              <w:jc w:val="center"/>
              <w:rPr>
                <w:color w:val="000000" w:themeColor="text1"/>
                <w:highlight w:val="none"/>
                <w14:textFill>
                  <w14:solidFill>
                    <w14:schemeClr w14:val="tx1"/>
                  </w14:solidFill>
                </w14:textFill>
              </w:rPr>
            </w:pPr>
          </w:p>
        </w:tc>
        <w:tc>
          <w:tcPr>
            <w:tcW w:w="2221" w:type="dxa"/>
            <w:gridSpan w:val="4"/>
            <w:vAlign w:val="center"/>
          </w:tcPr>
          <w:p w14:paraId="114081BE">
            <w:pPr>
              <w:jc w:val="center"/>
              <w:rPr>
                <w:color w:val="000000" w:themeColor="text1"/>
                <w:highlight w:val="none"/>
                <w14:textFill>
                  <w14:solidFill>
                    <w14:schemeClr w14:val="tx1"/>
                  </w14:solidFill>
                </w14:textFill>
              </w:rPr>
            </w:pPr>
          </w:p>
        </w:tc>
        <w:tc>
          <w:tcPr>
            <w:tcW w:w="1088" w:type="dxa"/>
            <w:vAlign w:val="center"/>
          </w:tcPr>
          <w:p w14:paraId="78AE4670">
            <w:pPr>
              <w:jc w:val="center"/>
              <w:rPr>
                <w:color w:val="000000" w:themeColor="text1"/>
                <w:highlight w:val="none"/>
                <w14:textFill>
                  <w14:solidFill>
                    <w14:schemeClr w14:val="tx1"/>
                  </w14:solidFill>
                </w14:textFill>
              </w:rPr>
            </w:pPr>
          </w:p>
        </w:tc>
        <w:tc>
          <w:tcPr>
            <w:tcW w:w="1641" w:type="dxa"/>
            <w:gridSpan w:val="4"/>
            <w:vAlign w:val="center"/>
          </w:tcPr>
          <w:p w14:paraId="3D742434">
            <w:pPr>
              <w:jc w:val="center"/>
              <w:rPr>
                <w:color w:val="000000" w:themeColor="text1"/>
                <w:highlight w:val="none"/>
                <w14:textFill>
                  <w14:solidFill>
                    <w14:schemeClr w14:val="tx1"/>
                  </w14:solidFill>
                </w14:textFill>
              </w:rPr>
            </w:pPr>
          </w:p>
        </w:tc>
        <w:tc>
          <w:tcPr>
            <w:tcW w:w="1484" w:type="dxa"/>
            <w:gridSpan w:val="2"/>
            <w:vAlign w:val="center"/>
          </w:tcPr>
          <w:p w14:paraId="267515CB">
            <w:pPr>
              <w:jc w:val="center"/>
              <w:rPr>
                <w:color w:val="000000" w:themeColor="text1"/>
                <w:highlight w:val="none"/>
                <w14:textFill>
                  <w14:solidFill>
                    <w14:schemeClr w14:val="tx1"/>
                  </w14:solidFill>
                </w14:textFill>
              </w:rPr>
            </w:pPr>
          </w:p>
        </w:tc>
      </w:tr>
      <w:tr w14:paraId="3126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6F1FDFE9">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vAlign w:val="center"/>
          </w:tcPr>
          <w:p w14:paraId="29F5CE30">
            <w:pPr>
              <w:jc w:val="center"/>
              <w:rPr>
                <w:color w:val="000000" w:themeColor="text1"/>
                <w:highlight w:val="none"/>
                <w14:textFill>
                  <w14:solidFill>
                    <w14:schemeClr w14:val="tx1"/>
                  </w14:solidFill>
                </w14:textFill>
              </w:rPr>
            </w:pPr>
          </w:p>
        </w:tc>
        <w:tc>
          <w:tcPr>
            <w:tcW w:w="2221" w:type="dxa"/>
            <w:gridSpan w:val="4"/>
            <w:vAlign w:val="center"/>
          </w:tcPr>
          <w:p w14:paraId="13A502D3">
            <w:pPr>
              <w:jc w:val="center"/>
              <w:rPr>
                <w:color w:val="000000" w:themeColor="text1"/>
                <w:highlight w:val="none"/>
                <w14:textFill>
                  <w14:solidFill>
                    <w14:schemeClr w14:val="tx1"/>
                  </w14:solidFill>
                </w14:textFill>
              </w:rPr>
            </w:pPr>
          </w:p>
        </w:tc>
        <w:tc>
          <w:tcPr>
            <w:tcW w:w="1088" w:type="dxa"/>
            <w:vAlign w:val="center"/>
          </w:tcPr>
          <w:p w14:paraId="2AEF698C">
            <w:pPr>
              <w:jc w:val="center"/>
              <w:rPr>
                <w:color w:val="000000" w:themeColor="text1"/>
                <w:highlight w:val="none"/>
                <w14:textFill>
                  <w14:solidFill>
                    <w14:schemeClr w14:val="tx1"/>
                  </w14:solidFill>
                </w14:textFill>
              </w:rPr>
            </w:pPr>
          </w:p>
        </w:tc>
        <w:tc>
          <w:tcPr>
            <w:tcW w:w="1641" w:type="dxa"/>
            <w:gridSpan w:val="4"/>
            <w:vAlign w:val="center"/>
          </w:tcPr>
          <w:p w14:paraId="26119E4A">
            <w:pPr>
              <w:jc w:val="center"/>
              <w:rPr>
                <w:color w:val="000000" w:themeColor="text1"/>
                <w:highlight w:val="none"/>
                <w14:textFill>
                  <w14:solidFill>
                    <w14:schemeClr w14:val="tx1"/>
                  </w14:solidFill>
                </w14:textFill>
              </w:rPr>
            </w:pPr>
          </w:p>
        </w:tc>
        <w:tc>
          <w:tcPr>
            <w:tcW w:w="1484" w:type="dxa"/>
            <w:gridSpan w:val="2"/>
            <w:vAlign w:val="center"/>
          </w:tcPr>
          <w:p w14:paraId="08E101C1">
            <w:pPr>
              <w:jc w:val="center"/>
              <w:rPr>
                <w:color w:val="000000" w:themeColor="text1"/>
                <w:highlight w:val="none"/>
                <w14:textFill>
                  <w14:solidFill>
                    <w14:schemeClr w14:val="tx1"/>
                  </w14:solidFill>
                </w14:textFill>
              </w:rPr>
            </w:pPr>
          </w:p>
        </w:tc>
      </w:tr>
    </w:tbl>
    <w:p w14:paraId="0AD3258A">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s="楷体_GB2312"/>
          <w:color w:val="000000" w:themeColor="text1"/>
          <w:highlight w:val="none"/>
          <w14:textFill>
            <w14:solidFill>
              <w14:schemeClr w14:val="tx1"/>
            </w14:solidFill>
          </w14:textFill>
        </w:rPr>
        <w:t>备注：</w:t>
      </w:r>
    </w:p>
    <w:p w14:paraId="057ED45D">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1.供应商可以根据项目情况增减表格内容，项目数可以根据需要增加。</w:t>
      </w:r>
    </w:p>
    <w:p w14:paraId="39BCCA4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本表后附</w:t>
      </w:r>
      <w:r>
        <w:rPr>
          <w:rFonts w:hint="eastAsia" w:ascii="宋体" w:hAnsi="宋体"/>
          <w:color w:val="000000" w:themeColor="text1"/>
          <w:szCs w:val="21"/>
          <w:highlight w:val="none"/>
          <w:lang w:eastAsia="zh-CN"/>
          <w14:textFill>
            <w14:solidFill>
              <w14:schemeClr w14:val="tx1"/>
            </w14:solidFill>
          </w14:textFill>
        </w:rPr>
        <w:t>安全管理员</w:t>
      </w:r>
      <w:r>
        <w:rPr>
          <w:rFonts w:hint="eastAsia" w:ascii="宋体" w:hAnsi="宋体"/>
          <w:color w:val="000000" w:themeColor="text1"/>
          <w:szCs w:val="21"/>
          <w:highlight w:val="none"/>
          <w14:textFill>
            <w14:solidFill>
              <w14:schemeClr w14:val="tx1"/>
            </w14:solidFill>
          </w14:textFill>
        </w:rPr>
        <w:t>的安全生产考核合格证（C类）、本表所列证书</w:t>
      </w:r>
      <w:r>
        <w:rPr>
          <w:rFonts w:hint="eastAsia" w:ascii="宋体" w:hAnsi="宋体"/>
          <w:color w:val="000000" w:themeColor="text1"/>
          <w:szCs w:val="21"/>
          <w:highlight w:val="none"/>
          <w:lang w:eastAsia="zh-CN"/>
          <w14:textFill>
            <w14:solidFill>
              <w14:schemeClr w14:val="tx1"/>
            </w14:solidFill>
          </w14:textFill>
        </w:rPr>
        <w:t>复印件（或扫描件）</w:t>
      </w:r>
      <w:r>
        <w:rPr>
          <w:rFonts w:hint="eastAsia" w:ascii="宋体" w:hAnsi="宋体"/>
          <w:color w:val="000000" w:themeColor="text1"/>
          <w:szCs w:val="21"/>
          <w:highlight w:val="none"/>
          <w14:textFill>
            <w14:solidFill>
              <w14:schemeClr w14:val="tx1"/>
            </w14:solidFill>
          </w14:textFill>
        </w:rPr>
        <w:t>并加盖供应商电子签章。</w:t>
      </w:r>
    </w:p>
    <w:p w14:paraId="7D1CAF0F">
      <w:pPr>
        <w:pStyle w:val="9"/>
        <w:outlineLvl w:val="9"/>
        <w:rPr>
          <w:rFonts w:hint="eastAsia" w:ascii="宋体" w:hAnsi="宋体"/>
          <w:b w:val="0"/>
          <w:bCs w:val="0"/>
          <w:color w:val="000000" w:themeColor="text1"/>
          <w:highlight w:val="none"/>
          <w14:textFill>
            <w14:solidFill>
              <w14:schemeClr w14:val="tx1"/>
            </w14:solidFill>
          </w14:textFill>
        </w:rPr>
      </w:pPr>
      <w:r>
        <w:rPr>
          <w:rFonts w:ascii="方正小标宋简体" w:hAnsi="方正小标宋简体" w:eastAsia="方正小标宋简体" w:cs="方正小标宋简体"/>
          <w:bCs w:val="0"/>
          <w:color w:val="000000" w:themeColor="text1"/>
          <w:sz w:val="44"/>
          <w:szCs w:val="44"/>
          <w:highlight w:val="none"/>
          <w14:textFill>
            <w14:solidFill>
              <w14:schemeClr w14:val="tx1"/>
            </w14:solidFill>
          </w14:textFill>
        </w:rPr>
        <w:br w:type="page"/>
      </w:r>
    </w:p>
    <w:p w14:paraId="5F72EC0A">
      <w:pPr>
        <w:spacing w:line="360" w:lineRule="auto"/>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其他文书、文件格式</w:t>
      </w:r>
    </w:p>
    <w:p w14:paraId="20610B12">
      <w:pPr>
        <w:ind w:firstLine="280" w:firstLineChars="100"/>
        <w:jc w:val="cente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无重大违法记录声明书</w:t>
      </w:r>
    </w:p>
    <w:p w14:paraId="7FF58289">
      <w:pPr>
        <w:ind w:firstLine="280" w:firstLineChars="1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p>
    <w:p w14:paraId="65289CF8">
      <w:pPr>
        <w:spacing w:line="640" w:lineRule="exact"/>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广西浩港工程项目管理有限公司：</w:t>
      </w:r>
    </w:p>
    <w:p w14:paraId="4D35D64A">
      <w:pPr>
        <w:spacing w:line="640" w:lineRule="exact"/>
        <w:ind w:firstLine="560" w:firstLineChars="2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我公司参加贵公司组织</w:t>
      </w:r>
      <w:r>
        <w:rPr>
          <w:rFonts w:hint="eastAsia" w:ascii="宋体" w:hAnsi="宋体" w:eastAsia="宋体" w:cs="宋体"/>
          <w:bCs/>
          <w:color w:val="000000" w:themeColor="text1"/>
          <w:kern w:val="2"/>
          <w:sz w:val="28"/>
          <w:szCs w:val="28"/>
          <w:highlight w:val="none"/>
          <w:u w:val="single"/>
          <w:lang w:val="en-US" w:eastAsia="zh-CN" w:bidi="ar-SA"/>
          <w14:textFill>
            <w14:solidFill>
              <w14:schemeClr w14:val="tx1"/>
            </w14:solidFill>
          </w14:textFill>
        </w:rPr>
        <w:t xml:space="preserve">         </w:t>
      </w: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项目的政府采购活动。我公司在此郑重声明，我公司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33050D3">
      <w:pPr>
        <w:spacing w:line="640" w:lineRule="exact"/>
        <w:ind w:firstLine="560" w:firstLineChars="2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特此承诺。</w:t>
      </w:r>
    </w:p>
    <w:p w14:paraId="507D1FE8">
      <w:pPr>
        <w:spacing w:line="640" w:lineRule="exact"/>
        <w:ind w:firstLine="560" w:firstLineChars="2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p>
    <w:p w14:paraId="366FB251">
      <w:pPr>
        <w:spacing w:line="640" w:lineRule="exact"/>
        <w:ind w:firstLine="560" w:firstLineChars="2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p>
    <w:p w14:paraId="3D7EE79B">
      <w:pPr>
        <w:spacing w:line="640" w:lineRule="exact"/>
        <w:ind w:firstLine="560" w:firstLineChars="2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 xml:space="preserve">磋商人名称（加盖公章）：  </w:t>
      </w:r>
    </w:p>
    <w:p w14:paraId="0EB2B36B">
      <w:pPr>
        <w:spacing w:line="640" w:lineRule="exact"/>
        <w:ind w:firstLine="560" w:firstLineChars="200"/>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法定代表人或委托代理人签字：   </w:t>
      </w:r>
    </w:p>
    <w:p w14:paraId="6F46360C">
      <w:pPr>
        <w:spacing w:line="640" w:lineRule="exact"/>
        <w:ind w:firstLine="560" w:firstLineChars="200"/>
        <w:rPr>
          <w:rFonts w:hint="eastAsia" w:ascii="宋体" w:hAnsi="宋体"/>
          <w:b/>
          <w:bCs/>
          <w:color w:val="000000" w:themeColor="text1"/>
          <w:sz w:val="24"/>
          <w:highlight w:val="none"/>
          <w14:textFill>
            <w14:solidFill>
              <w14:schemeClr w14:val="tx1"/>
            </w14:solidFill>
          </w14:textFill>
        </w:rPr>
        <w:sectPr>
          <w:footerReference r:id="rId24" w:type="default"/>
          <w:pgSz w:w="11907" w:h="16840"/>
          <w:pgMar w:top="1701" w:right="1134" w:bottom="1701" w:left="1134" w:header="964" w:footer="850" w:gutter="0"/>
          <w:pgNumType w:fmt="decimal"/>
          <w:cols w:space="720" w:num="1"/>
          <w:docGrid w:linePitch="271" w:charSpace="0"/>
        </w:sectPr>
      </w:pPr>
      <w:r>
        <w:rPr>
          <w:rFonts w:hint="eastAsia" w:ascii="宋体" w:hAnsi="宋体" w:eastAsia="宋体" w:cs="宋体"/>
          <w:bCs/>
          <w:color w:val="000000" w:themeColor="text1"/>
          <w:kern w:val="2"/>
          <w:sz w:val="28"/>
          <w:szCs w:val="28"/>
          <w:highlight w:val="none"/>
          <w:lang w:val="en-US" w:eastAsia="zh-CN" w:bidi="ar-SA"/>
          <w14:textFill>
            <w14:solidFill>
              <w14:schemeClr w14:val="tx1"/>
            </w14:solidFill>
          </w14:textFill>
        </w:rPr>
        <w:t>日期：   年   月    日</w:t>
      </w:r>
    </w:p>
    <w:p w14:paraId="2911D2EE">
      <w:pPr>
        <w:spacing w:line="360" w:lineRule="auto"/>
        <w:rPr>
          <w:rFonts w:hint="eastAsia" w:ascii="宋体" w:hAnsi="宋体"/>
          <w:b/>
          <w:bCs/>
          <w:color w:val="000000" w:themeColor="text1"/>
          <w:sz w:val="24"/>
          <w:highlight w:val="none"/>
          <w14:textFill>
            <w14:solidFill>
              <w14:schemeClr w14:val="tx1"/>
            </w14:solidFill>
          </w14:textFill>
        </w:rPr>
      </w:pPr>
    </w:p>
    <w:p w14:paraId="6F39D4C3">
      <w:pPr>
        <w:spacing w:line="360" w:lineRule="auto"/>
        <w:rPr>
          <w:rFonts w:hint="eastAsia" w:ascii="宋体" w:hAnsi="宋体"/>
          <w:color w:val="000000" w:themeColor="text1"/>
          <w:szCs w:val="21"/>
          <w:highlight w:val="none"/>
          <w14:textFill>
            <w14:solidFill>
              <w14:schemeClr w14:val="tx1"/>
            </w14:solidFill>
          </w14:textFill>
        </w:rPr>
      </w:pPr>
    </w:p>
    <w:p w14:paraId="7D7BD0DF">
      <w:pPr>
        <w:jc w:val="center"/>
        <w:rPr>
          <w:rFonts w:hint="eastAsia" w:ascii="宋体" w:hAnsi="宋体" w:cs="方正小标宋简体"/>
          <w:b/>
          <w:color w:val="000000" w:themeColor="text1"/>
          <w:sz w:val="32"/>
          <w:szCs w:val="32"/>
          <w:highlight w:val="none"/>
          <w14:textFill>
            <w14:solidFill>
              <w14:schemeClr w14:val="tx1"/>
            </w14:solidFill>
          </w14:textFill>
        </w:rPr>
      </w:pPr>
      <w:bookmarkStart w:id="227" w:name="_Toc71365926"/>
      <w:r>
        <w:rPr>
          <w:rFonts w:hint="eastAsia" w:ascii="宋体" w:hAnsi="宋体" w:cs="方正小标宋简体"/>
          <w:b/>
          <w:color w:val="000000" w:themeColor="text1"/>
          <w:sz w:val="32"/>
          <w:szCs w:val="32"/>
          <w:highlight w:val="none"/>
          <w14:textFill>
            <w14:solidFill>
              <w14:schemeClr w14:val="tx1"/>
            </w14:solidFill>
          </w14:textFill>
        </w:rPr>
        <w:t>中小企业声明函（工程）</w:t>
      </w:r>
      <w:bookmarkEnd w:id="227"/>
    </w:p>
    <w:p w14:paraId="09525158">
      <w:pPr>
        <w:pStyle w:val="18"/>
        <w:spacing w:line="500" w:lineRule="exact"/>
        <w:ind w:right="142" w:firstLine="705" w:firstLineChars="294"/>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ascii="宋体" w:hAnsi="宋体"/>
          <w:color w:val="000000" w:themeColor="text1"/>
          <w:sz w:val="24"/>
          <w:highlight w:val="none"/>
          <w:u w:val="single"/>
          <w14:textFill>
            <w14:solidFill>
              <w14:schemeClr w14:val="tx1"/>
            </w14:solidFill>
          </w14:textFill>
        </w:rPr>
        <w:t>（单位名称）</w:t>
      </w:r>
      <w:r>
        <w:rPr>
          <w:rFonts w:ascii="宋体" w:hAnsi="宋体"/>
          <w:color w:val="000000" w:themeColor="text1"/>
          <w:sz w:val="24"/>
          <w:highlight w:val="none"/>
          <w14:textFill>
            <w14:solidFill>
              <w14:schemeClr w14:val="tx1"/>
            </w14:solidFill>
          </w14:textFill>
        </w:rPr>
        <w:t>的</w:t>
      </w:r>
      <w:r>
        <w:rPr>
          <w:rFonts w:ascii="宋体" w:hAnsi="宋体"/>
          <w:color w:val="000000" w:themeColor="text1"/>
          <w:sz w:val="24"/>
          <w:highlight w:val="none"/>
          <w:u w:val="single"/>
          <w14:textFill>
            <w14:solidFill>
              <w14:schemeClr w14:val="tx1"/>
            </w14:solidFill>
          </w14:textFill>
        </w:rPr>
        <w:t>（项目名称）</w:t>
      </w:r>
      <w:r>
        <w:rPr>
          <w:rFonts w:ascii="宋体" w:hAnsi="宋体"/>
          <w:color w:val="000000" w:themeColor="text1"/>
          <w:sz w:val="24"/>
          <w:highlight w:val="none"/>
          <w14:textFill>
            <w14:solidFill>
              <w14:schemeClr w14:val="tx1"/>
            </w14:solidFill>
          </w14:textFill>
        </w:rPr>
        <w:t>采购活动，</w:t>
      </w:r>
      <w:r>
        <w:rPr>
          <w:rFonts w:hint="eastAsia" w:ascii="宋体" w:hAnsi="宋体"/>
          <w:color w:val="000000" w:themeColor="text1"/>
          <w:sz w:val="24"/>
          <w:highlight w:val="none"/>
          <w14:textFill>
            <w14:solidFill>
              <w14:schemeClr w14:val="tx1"/>
            </w14:solidFill>
          </w14:textFill>
        </w:rPr>
        <w:t>工程的施工单位全部为符合政策要求的中小企业。相关企业（含联合体中的中小企业、签订分包意向协议的中小企业）的具体情况如下：</w:t>
      </w:r>
    </w:p>
    <w:p w14:paraId="0E795EE0">
      <w:pPr>
        <w:tabs>
          <w:tab w:val="left" w:pos="1384"/>
          <w:tab w:val="left" w:pos="4562"/>
          <w:tab w:val="left" w:pos="6803"/>
        </w:tabs>
        <w:spacing w:before="13" w:line="500" w:lineRule="exact"/>
        <w:ind w:right="142" w:firstLine="772" w:firstLineChars="322"/>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w:t>
      </w:r>
      <w:r>
        <w:rPr>
          <w:rFonts w:hint="eastAsia" w:ascii="宋体" w:hAnsi="宋体"/>
          <w:color w:val="000000" w:themeColor="text1"/>
          <w:sz w:val="24"/>
          <w:highlight w:val="none"/>
          <w:u w:val="single"/>
          <w14:textFill>
            <w14:solidFill>
              <w14:schemeClr w14:val="tx1"/>
            </w14:solidFill>
          </w14:textFill>
        </w:rPr>
        <w:t>行</w:t>
      </w:r>
      <w:r>
        <w:rPr>
          <w:rFonts w:ascii="宋体" w:hAnsi="宋体"/>
          <w:color w:val="000000" w:themeColor="text1"/>
          <w:sz w:val="24"/>
          <w:highlight w:val="none"/>
          <w:u w:val="single"/>
          <w14:textFill>
            <w14:solidFill>
              <w14:schemeClr w14:val="tx1"/>
            </w14:solidFill>
          </w14:textFill>
        </w:rPr>
        <w:t>业）</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承建企业为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（中型企业、</w:t>
      </w:r>
      <w:r>
        <w:rPr>
          <w:rFonts w:hint="eastAsia" w:ascii="宋体" w:hAnsi="宋体"/>
          <w:color w:val="000000" w:themeColor="text1"/>
          <w:sz w:val="24"/>
          <w:highlight w:val="none"/>
          <w:u w:val="single"/>
          <w14:textFill>
            <w14:solidFill>
              <w14:schemeClr w14:val="tx1"/>
            </w14:solidFill>
          </w14:textFill>
        </w:rPr>
        <w:t>小型企业、微型企业）</w:t>
      </w:r>
      <w:r>
        <w:rPr>
          <w:rFonts w:hint="eastAsia" w:ascii="宋体" w:hAnsi="宋体"/>
          <w:color w:val="000000" w:themeColor="text1"/>
          <w:sz w:val="24"/>
          <w:highlight w:val="none"/>
          <w14:textFill>
            <w14:solidFill>
              <w14:schemeClr w14:val="tx1"/>
            </w14:solidFill>
          </w14:textFill>
        </w:rPr>
        <w:t>；</w:t>
      </w:r>
    </w:p>
    <w:p w14:paraId="75B5F671">
      <w:pPr>
        <w:tabs>
          <w:tab w:val="left" w:pos="1065"/>
          <w:tab w:val="left" w:pos="4262"/>
          <w:tab w:val="left" w:pos="6477"/>
        </w:tabs>
        <w:spacing w:before="20" w:line="500" w:lineRule="exact"/>
        <w:ind w:right="84" w:firstLine="772" w:firstLineChars="322"/>
        <w:rPr>
          <w:rFonts w:hint="eastAsia"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w:t>
      </w:r>
      <w:r>
        <w:rPr>
          <w:rFonts w:hint="eastAsia" w:ascii="宋体" w:hAnsi="宋体"/>
          <w:color w:val="000000" w:themeColor="text1"/>
          <w:sz w:val="24"/>
          <w:highlight w:val="none"/>
          <w:u w:val="single"/>
          <w14:textFill>
            <w14:solidFill>
              <w14:schemeClr w14:val="tx1"/>
            </w14:solidFill>
          </w14:textFill>
        </w:rPr>
        <w:t>行业</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承建企业为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（中型企业、</w:t>
      </w:r>
      <w:r>
        <w:rPr>
          <w:rFonts w:hint="eastAsia" w:ascii="宋体" w:hAnsi="宋体"/>
          <w:color w:val="000000" w:themeColor="text1"/>
          <w:sz w:val="24"/>
          <w:highlight w:val="none"/>
          <w:u w:val="single"/>
          <w14:textFill>
            <w14:solidFill>
              <w14:schemeClr w14:val="tx1"/>
            </w14:solidFill>
          </w14:textFill>
        </w:rPr>
        <w:t>小型企业、微型企业）</w:t>
      </w:r>
      <w:r>
        <w:rPr>
          <w:rFonts w:hint="eastAsia" w:ascii="宋体" w:hAnsi="宋体"/>
          <w:color w:val="000000" w:themeColor="text1"/>
          <w:sz w:val="24"/>
          <w:highlight w:val="none"/>
          <w14:textFill>
            <w14:solidFill>
              <w14:schemeClr w14:val="tx1"/>
            </w14:solidFill>
          </w14:textFill>
        </w:rPr>
        <w:t>；</w:t>
      </w:r>
    </w:p>
    <w:p w14:paraId="01A93F6B">
      <w:pPr>
        <w:pStyle w:val="18"/>
        <w:spacing w:before="34" w:line="500" w:lineRule="exact"/>
        <w:ind w:right="142" w:firstLine="705" w:firstLineChars="294"/>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p>
    <w:p w14:paraId="6F3101C1">
      <w:pPr>
        <w:pStyle w:val="18"/>
        <w:spacing w:before="34" w:line="500" w:lineRule="exact"/>
        <w:ind w:right="142" w:firstLine="705" w:firstLineChars="294"/>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C961701">
      <w:pPr>
        <w:pStyle w:val="18"/>
        <w:spacing w:before="25" w:line="500" w:lineRule="exact"/>
        <w:ind w:right="142" w:firstLine="705" w:firstLineChars="294"/>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本企业对上述声明内容的真实性负责。如有虚假，将依法承担相应责任。</w:t>
      </w:r>
    </w:p>
    <w:p w14:paraId="521E64D6">
      <w:pPr>
        <w:pStyle w:val="18"/>
        <w:spacing w:before="56" w:line="500" w:lineRule="exact"/>
        <w:ind w:right="650" w:firstLine="5625" w:firstLineChars="2344"/>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企业名称（章）： </w:t>
      </w:r>
    </w:p>
    <w:p w14:paraId="34694C9B">
      <w:pPr>
        <w:pStyle w:val="18"/>
        <w:spacing w:before="56" w:line="500" w:lineRule="exact"/>
        <w:ind w:right="1808" w:firstLine="5625" w:firstLineChars="2344"/>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日 期：</w:t>
      </w:r>
    </w:p>
    <w:p w14:paraId="4BB99FDA">
      <w:pPr>
        <w:spacing w:line="520" w:lineRule="exact"/>
        <w:ind w:firstLine="420" w:firstLineChars="200"/>
        <w:jc w:val="lef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注：1.对于联合体中由中小企业承担的部分，或者分包给中小企业的部分，供应商应当在声明函“项目名称”部分标明联合体中中小企业承担的具体内容或者中小企业的具体分包内容。</w:t>
      </w:r>
    </w:p>
    <w:p w14:paraId="112DBB91">
      <w:pPr>
        <w:spacing w:line="520" w:lineRule="exact"/>
        <w:ind w:firstLine="420" w:firstLineChars="200"/>
        <w:jc w:val="lef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2238AB2">
      <w:pPr>
        <w:spacing w:line="520" w:lineRule="exact"/>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p>
    <w:p w14:paraId="75C904D0">
      <w:pPr>
        <w:spacing w:line="520" w:lineRule="exact"/>
        <w:jc w:val="center"/>
        <w:rPr>
          <w:rFonts w:hint="eastAsia" w:ascii="宋体" w:hAnsi="宋体"/>
          <w:color w:val="000000" w:themeColor="text1"/>
          <w:sz w:val="24"/>
          <w:highlight w:val="none"/>
          <w14:textFill>
            <w14:solidFill>
              <w14:schemeClr w14:val="tx1"/>
            </w14:solidFill>
          </w14:textFill>
        </w:rPr>
      </w:pPr>
    </w:p>
    <w:p w14:paraId="217F202F">
      <w:pPr>
        <w:spacing w:line="520" w:lineRule="exact"/>
        <w:jc w:val="center"/>
        <w:rPr>
          <w:rFonts w:hint="eastAsia" w:ascii="宋体" w:hAnsi="宋体"/>
          <w:color w:val="000000" w:themeColor="text1"/>
          <w:sz w:val="24"/>
          <w:highlight w:val="none"/>
          <w14:textFill>
            <w14:solidFill>
              <w14:schemeClr w14:val="tx1"/>
            </w14:solidFill>
          </w14:textFill>
        </w:rPr>
      </w:pPr>
    </w:p>
    <w:p w14:paraId="736C32CF">
      <w:pPr>
        <w:spacing w:line="520" w:lineRule="exact"/>
        <w:jc w:val="center"/>
        <w:rPr>
          <w:rFonts w:hint="eastAsia" w:ascii="宋体" w:hAnsi="宋体" w:cs="仿宋_GB2312"/>
          <w:b/>
          <w:color w:val="000000" w:themeColor="text1"/>
          <w:sz w:val="32"/>
          <w:szCs w:val="32"/>
          <w:highlight w:val="none"/>
          <w14:textFill>
            <w14:solidFill>
              <w14:schemeClr w14:val="tx1"/>
            </w14:solidFill>
          </w14:textFill>
        </w:rPr>
      </w:pPr>
      <w:r>
        <w:rPr>
          <w:rFonts w:hint="eastAsia" w:ascii="宋体" w:hAnsi="宋体" w:cs="方正小标宋简体"/>
          <w:b/>
          <w:color w:val="000000" w:themeColor="text1"/>
          <w:sz w:val="32"/>
          <w:szCs w:val="32"/>
          <w:highlight w:val="none"/>
          <w14:textFill>
            <w14:solidFill>
              <w14:schemeClr w14:val="tx1"/>
            </w14:solidFill>
          </w14:textFill>
        </w:rPr>
        <w:t>残疾人福利性单位声明函</w:t>
      </w:r>
    </w:p>
    <w:p w14:paraId="4DA1A71E">
      <w:pPr>
        <w:spacing w:line="360" w:lineRule="auto"/>
        <w:contextualSpacing/>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70C2D58B">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单位的</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6A3FE2CA">
      <w:pPr>
        <w:spacing w:line="360" w:lineRule="auto"/>
        <w:ind w:firstLine="480" w:firstLineChars="2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本单位对上述声明的真实性负责。如有虚假，将依法承担相应责任。</w:t>
      </w:r>
    </w:p>
    <w:p w14:paraId="36783431">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2D610053">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424D44F6">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5CAE4925">
      <w:pPr>
        <w:spacing w:line="360" w:lineRule="auto"/>
        <w:ind w:firstLine="2400" w:firstLineChars="10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单位名称（盖章）：</w:t>
      </w:r>
    </w:p>
    <w:p w14:paraId="67CAB5B6">
      <w:pPr>
        <w:spacing w:line="360" w:lineRule="auto"/>
        <w:ind w:firstLine="3600" w:firstLineChars="15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  期：</w:t>
      </w:r>
    </w:p>
    <w:p w14:paraId="28739D4C">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16C5AFDE">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041A80F5">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14:paraId="641C9D04">
      <w:pPr>
        <w:spacing w:line="360" w:lineRule="auto"/>
        <w:ind w:firstLine="420" w:firstLineChars="200"/>
        <w:contextualSpacing/>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4849C568">
      <w:pPr>
        <w:pStyle w:val="44"/>
        <w:ind w:firstLine="480"/>
        <w:jc w:val="center"/>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r>
    </w:p>
    <w:p w14:paraId="74EB9CBB">
      <w:pPr>
        <w:pStyle w:val="44"/>
        <w:ind w:firstLine="480"/>
        <w:jc w:val="center"/>
        <w:rPr>
          <w:rFonts w:hint="eastAsia" w:ascii="宋体" w:hAnsi="宋体" w:cs="仿宋_GB2312"/>
          <w:color w:val="000000" w:themeColor="text1"/>
          <w:sz w:val="24"/>
          <w:highlight w:val="none"/>
          <w14:textFill>
            <w14:solidFill>
              <w14:schemeClr w14:val="tx1"/>
            </w14:solidFill>
          </w14:textFill>
        </w:rPr>
      </w:pPr>
    </w:p>
    <w:p w14:paraId="540804AE">
      <w:pPr>
        <w:pStyle w:val="44"/>
        <w:ind w:firstLine="643"/>
        <w:jc w:val="center"/>
        <w:rPr>
          <w:rFonts w:hint="eastAsia" w:ascii="宋体" w:hAnsi="宋体" w:eastAsia="宋体" w:cs="宋体"/>
          <w:b/>
          <w:color w:val="000000" w:themeColor="text1"/>
          <w:szCs w:val="32"/>
          <w:highlight w:val="none"/>
          <w14:textFill>
            <w14:solidFill>
              <w14:schemeClr w14:val="tx1"/>
            </w14:solidFill>
          </w14:textFill>
        </w:rPr>
      </w:pPr>
      <w:r>
        <w:rPr>
          <w:rFonts w:hint="eastAsia" w:ascii="宋体" w:hAnsi="宋体" w:eastAsia="宋体" w:cs="宋体"/>
          <w:b/>
          <w:color w:val="000000" w:themeColor="text1"/>
          <w:szCs w:val="32"/>
          <w:highlight w:val="none"/>
          <w:lang w:val="en-US" w:eastAsia="zh-CN"/>
          <w14:textFill>
            <w14:solidFill>
              <w14:schemeClr w14:val="tx1"/>
            </w14:solidFill>
          </w14:textFill>
        </w:rPr>
        <w:t>贵港市</w:t>
      </w:r>
      <w:r>
        <w:rPr>
          <w:rFonts w:hint="eastAsia" w:ascii="宋体" w:hAnsi="宋体" w:eastAsia="宋体" w:cs="宋体"/>
          <w:b/>
          <w:color w:val="000000" w:themeColor="text1"/>
          <w:szCs w:val="32"/>
          <w:highlight w:val="none"/>
          <w:lang w:eastAsia="zh-CN"/>
          <w14:textFill>
            <w14:solidFill>
              <w14:schemeClr w14:val="tx1"/>
            </w14:solidFill>
          </w14:textFill>
        </w:rPr>
        <w:t>政府采购项目投标资格承诺</w:t>
      </w:r>
    </w:p>
    <w:p w14:paraId="02717093">
      <w:pPr>
        <w:pStyle w:val="44"/>
        <w:ind w:firstLine="0" w:firstLineChars="0"/>
        <w:rPr>
          <w:rFonts w:hint="eastAsia" w:ascii="宋体" w:hAnsi="宋体" w:eastAsia="宋体" w:cs="宋体"/>
          <w:bCs/>
          <w:color w:val="000000" w:themeColor="text1"/>
          <w:sz w:val="28"/>
          <w:szCs w:val="28"/>
          <w:highlight w:val="none"/>
          <w14:textFill>
            <w14:solidFill>
              <w14:schemeClr w14:val="tx1"/>
            </w14:solidFill>
          </w14:textFill>
        </w:rPr>
      </w:pPr>
    </w:p>
    <w:p w14:paraId="4CCFCF52">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本公司郑重承诺，根据《中华人民共和国政府采购法》第二十二条的规定，本公司为参加政府采购活动的合格供应商。即本公司同时满足以下条件：</w:t>
      </w:r>
    </w:p>
    <w:p w14:paraId="1AB783B7">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1.具有独立承担民事责任的能力。</w:t>
      </w:r>
    </w:p>
    <w:p w14:paraId="1DEE9AB0">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2.具有良好的商业信誉和健全的财务会计制度。</w:t>
      </w:r>
    </w:p>
    <w:p w14:paraId="707DF438">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3.具有履行合同所必需的设备和专业技术能力。</w:t>
      </w:r>
    </w:p>
    <w:p w14:paraId="5B11687C">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4.有依法缴纳税收和社会保障资金的良好记录。</w:t>
      </w:r>
    </w:p>
    <w:p w14:paraId="2791992E">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5. 提交投标文件截止日期前三年内，在经营活动中没有重大违法记录。</w:t>
      </w:r>
    </w:p>
    <w:p w14:paraId="12096FE3">
      <w:pPr>
        <w:pStyle w:val="44"/>
        <w:spacing w:line="480" w:lineRule="auto"/>
        <w:ind w:firstLine="560"/>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本公司对上述承诺的真实性负责，并接受政府采购、税务、社会保障等监督管理部门、采购文件规定的资格审查机构、社会公众的监督和检查。如有虚假，将依法承担相应责任。</w:t>
      </w:r>
    </w:p>
    <w:p w14:paraId="5D1B8CE9">
      <w:pPr>
        <w:pStyle w:val="44"/>
        <w:ind w:firstLine="560"/>
        <w:rPr>
          <w:rFonts w:hint="eastAsia" w:ascii="宋体" w:hAnsi="宋体" w:eastAsia="宋体" w:cs="宋体"/>
          <w:bCs/>
          <w:color w:val="000000" w:themeColor="text1"/>
          <w:sz w:val="28"/>
          <w:szCs w:val="28"/>
          <w:highlight w:val="none"/>
          <w14:textFill>
            <w14:solidFill>
              <w14:schemeClr w14:val="tx1"/>
            </w14:solidFill>
          </w14:textFill>
        </w:rPr>
      </w:pPr>
    </w:p>
    <w:p w14:paraId="3224687B">
      <w:pPr>
        <w:pStyle w:val="44"/>
        <w:ind w:firstLine="560"/>
        <w:jc w:val="center"/>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企业名称（公章或电子签章）：</w:t>
      </w:r>
    </w:p>
    <w:p w14:paraId="50CAB3A6">
      <w:pPr>
        <w:pStyle w:val="44"/>
        <w:ind w:firstLine="560"/>
        <w:jc w:val="center"/>
        <w:rPr>
          <w:rFonts w:hint="eastAsia" w:ascii="宋体" w:hAnsi="宋体" w:eastAsia="宋体" w:cs="宋体"/>
          <w:bCs/>
          <w:color w:val="000000" w:themeColor="text1"/>
          <w:sz w:val="28"/>
          <w:szCs w:val="28"/>
          <w:highlight w:val="none"/>
          <w14:textFill>
            <w14:solidFill>
              <w14:schemeClr w14:val="tx1"/>
            </w14:solidFill>
          </w14:textFill>
        </w:rPr>
      </w:pPr>
    </w:p>
    <w:p w14:paraId="7DE70FB8">
      <w:pPr>
        <w:pStyle w:val="44"/>
        <w:ind w:firstLine="560"/>
        <w:jc w:val="center"/>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法定代表人（签字或盖章或电子签名）：</w:t>
      </w:r>
    </w:p>
    <w:p w14:paraId="38EF238A">
      <w:pPr>
        <w:pStyle w:val="44"/>
        <w:ind w:firstLine="560"/>
        <w:jc w:val="center"/>
        <w:rPr>
          <w:rFonts w:hint="eastAsia" w:ascii="宋体" w:hAnsi="宋体" w:eastAsia="宋体" w:cs="宋体"/>
          <w:bCs/>
          <w:color w:val="000000" w:themeColor="text1"/>
          <w:sz w:val="28"/>
          <w:szCs w:val="28"/>
          <w:highlight w:val="none"/>
          <w14:textFill>
            <w14:solidFill>
              <w14:schemeClr w14:val="tx1"/>
            </w14:solidFill>
          </w14:textFill>
        </w:rPr>
      </w:pPr>
    </w:p>
    <w:p w14:paraId="3CB1270B">
      <w:pPr>
        <w:spacing w:line="360" w:lineRule="auto"/>
        <w:jc w:val="center"/>
        <w:rPr>
          <w:rFonts w:hint="eastAsia" w:ascii="宋体" w:hAnsi="宋体" w:cs="宋体"/>
          <w:bCs/>
          <w:color w:val="000000" w:themeColor="text1"/>
          <w:sz w:val="28"/>
          <w:szCs w:val="28"/>
          <w:highlight w:val="none"/>
          <w14:textFill>
            <w14:solidFill>
              <w14:schemeClr w14:val="tx1"/>
            </w14:solidFill>
          </w14:textFill>
        </w:rPr>
      </w:pPr>
      <w:r>
        <w:rPr>
          <w:rFonts w:hint="eastAsia" w:ascii="宋体" w:hAnsi="宋体" w:cs="宋体"/>
          <w:bCs/>
          <w:color w:val="000000" w:themeColor="text1"/>
          <w:sz w:val="28"/>
          <w:szCs w:val="28"/>
          <w:highlight w:val="none"/>
          <w14:textFill>
            <w14:solidFill>
              <w14:schemeClr w14:val="tx1"/>
            </w14:solidFill>
          </w14:textFill>
        </w:rPr>
        <w:t xml:space="preserve">                            日期： 年 月 日</w:t>
      </w:r>
    </w:p>
    <w:p w14:paraId="04BA9A82">
      <w:pPr>
        <w:spacing w:line="360" w:lineRule="auto"/>
        <w:jc w:val="center"/>
        <w:rPr>
          <w:rFonts w:hint="eastAsia" w:ascii="宋体" w:hAnsi="宋体" w:cs="宋体"/>
          <w:bCs/>
          <w:color w:val="000000" w:themeColor="text1"/>
          <w:sz w:val="28"/>
          <w:szCs w:val="28"/>
          <w:highlight w:val="none"/>
          <w14:textFill>
            <w14:solidFill>
              <w14:schemeClr w14:val="tx1"/>
            </w14:solidFill>
          </w14:textFill>
        </w:rPr>
      </w:pPr>
    </w:p>
    <w:p w14:paraId="29B3C776">
      <w:pPr>
        <w:spacing w:line="360" w:lineRule="auto"/>
        <w:jc w:val="center"/>
        <w:rPr>
          <w:rFonts w:hint="eastAsia" w:ascii="宋体" w:hAnsi="宋体" w:cs="宋体"/>
          <w:bCs/>
          <w:color w:val="000000" w:themeColor="text1"/>
          <w:sz w:val="28"/>
          <w:szCs w:val="28"/>
          <w:highlight w:val="none"/>
          <w14:textFill>
            <w14:solidFill>
              <w14:schemeClr w14:val="tx1"/>
            </w14:solidFill>
          </w14:textFill>
        </w:rPr>
      </w:pPr>
    </w:p>
    <w:p w14:paraId="0E4F900A">
      <w:pPr>
        <w:rPr>
          <w:rFonts w:hint="eastAsia" w:ascii="宋体" w:hAnsi="宋体" w:cs="宋体"/>
          <w:bCs/>
          <w:color w:val="000000" w:themeColor="text1"/>
          <w:sz w:val="28"/>
          <w:szCs w:val="28"/>
          <w:highlight w:val="none"/>
          <w14:textFill>
            <w14:solidFill>
              <w14:schemeClr w14:val="tx1"/>
            </w14:solidFill>
          </w14:textFill>
        </w:rPr>
      </w:pPr>
      <w:r>
        <w:rPr>
          <w:rFonts w:ascii="宋体" w:hAnsi="宋体" w:cs="宋体"/>
          <w:bCs/>
          <w:color w:val="000000" w:themeColor="text1"/>
          <w:sz w:val="28"/>
          <w:szCs w:val="28"/>
          <w:highlight w:val="none"/>
          <w14:textFill>
            <w14:solidFill>
              <w14:schemeClr w14:val="tx1"/>
            </w14:solidFill>
          </w14:textFill>
        </w:rPr>
        <w:br w:type="page"/>
      </w:r>
    </w:p>
    <w:p w14:paraId="55D8860D">
      <w:pPr>
        <w:pStyle w:val="3"/>
        <w:keepNext w:val="0"/>
        <w:keepLines w:val="0"/>
        <w:pageBreakBefore w:val="0"/>
        <w:widowControl/>
        <w:suppressLineNumbers w:val="0"/>
        <w:kinsoku/>
        <w:wordWrap/>
        <w:overflowPunct/>
        <w:topLinePunct w:val="0"/>
        <w:autoSpaceDE/>
        <w:autoSpaceDN/>
        <w:bidi w:val="0"/>
        <w:adjustRightInd/>
        <w:snapToGrid/>
        <w:spacing w:before="0" w:after="0" w:line="400" w:lineRule="exact"/>
        <w:jc w:val="center"/>
        <w:textAlignment w:val="auto"/>
        <w:rPr>
          <w:rFonts w:hint="eastAsia" w:ascii="方正小标宋简体" w:hAnsi="方正小标宋简体" w:eastAsia="方正小标宋简体" w:cs="方正小标宋简体"/>
          <w:b w:val="0"/>
          <w:bCs w:val="0"/>
          <w:color w:val="000000" w:themeColor="text1"/>
          <w:kern w:val="2"/>
          <w:sz w:val="28"/>
          <w:szCs w:val="28"/>
          <w:lang w:val="en-US"/>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2"/>
          <w:sz w:val="28"/>
          <w:szCs w:val="28"/>
          <w:lang w:eastAsia="zh-CN"/>
          <w14:textFill>
            <w14:solidFill>
              <w14:schemeClr w14:val="tx1"/>
            </w14:solidFill>
          </w14:textFill>
        </w:rPr>
        <w:t xml:space="preserve">信用承诺书 </w:t>
      </w:r>
    </w:p>
    <w:p w14:paraId="549321F8">
      <w:pPr>
        <w:pStyle w:val="3"/>
        <w:keepNext w:val="0"/>
        <w:keepLines w:val="0"/>
        <w:pageBreakBefore w:val="0"/>
        <w:widowControl/>
        <w:suppressLineNumbers w:val="0"/>
        <w:kinsoku/>
        <w:wordWrap/>
        <w:overflowPunct/>
        <w:topLinePunct w:val="0"/>
        <w:autoSpaceDE/>
        <w:autoSpaceDN/>
        <w:bidi w:val="0"/>
        <w:adjustRightInd/>
        <w:snapToGrid/>
        <w:spacing w:before="0" w:after="0" w:line="400" w:lineRule="exact"/>
        <w:jc w:val="center"/>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 xml:space="preserve">（投标单位范本） </w:t>
      </w:r>
    </w:p>
    <w:p w14:paraId="09A7AC26">
      <w:pPr>
        <w:pStyle w:val="3"/>
        <w:keepNext w:val="0"/>
        <w:keepLines w:val="0"/>
        <w:pageBreakBefore w:val="0"/>
        <w:widowControl/>
        <w:suppressLineNumbers w:val="0"/>
        <w:kinsoku/>
        <w:wordWrap/>
        <w:overflowPunct/>
        <w:topLinePunct w:val="0"/>
        <w:autoSpaceDE/>
        <w:autoSpaceDN/>
        <w:bidi w:val="0"/>
        <w:adjustRightInd/>
        <w:snapToGrid/>
        <w:spacing w:before="0" w:after="0" w:line="400" w:lineRule="exact"/>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 xml:space="preserve">为营造我市公开、公平、公正、诚实守信的公共资源交易环境，树立诚信守法的投标人形象，本人代表本单位作出以下承诺： </w:t>
      </w:r>
    </w:p>
    <w:p w14:paraId="719EFF3E">
      <w:pPr>
        <w:pStyle w:val="3"/>
        <w:keepNext w:val="0"/>
        <w:keepLines w:val="0"/>
        <w:pageBreakBefore w:val="0"/>
        <w:widowControl/>
        <w:numPr>
          <w:ilvl w:val="0"/>
          <w:numId w:val="3"/>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本单位对所提交的企（事）业单位基本信息、企（事）业单位负责人、项目负责人、技术负责人，从业资质和资格，业绩、财务状况、信誉等所有资料，均合法、真实、准确、有效，无任何伪造、修改、夸张成分，并对所提供资料的真实性负责；</w:t>
      </w:r>
    </w:p>
    <w:p w14:paraId="4A70499B">
      <w:pPr>
        <w:pStyle w:val="3"/>
        <w:keepNext w:val="0"/>
        <w:keepLines w:val="0"/>
        <w:pageBreakBefore w:val="0"/>
        <w:widowControl/>
        <w:numPr>
          <w:ilvl w:val="0"/>
          <w:numId w:val="3"/>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严格依照国家、自治区及我市关于公共资源交易招标投标领域的法律、法规、规章、规范性文件参加公共资源交易招标投标活动：活动中积极履行社会责任，促进廉政建设；</w:t>
      </w:r>
    </w:p>
    <w:p w14:paraId="498FE267">
      <w:pPr>
        <w:pStyle w:val="3"/>
        <w:keepNext w:val="0"/>
        <w:keepLines w:val="0"/>
        <w:pageBreakBefore w:val="0"/>
        <w:widowControl/>
        <w:numPr>
          <w:ilvl w:val="0"/>
          <w:numId w:val="3"/>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 xml:space="preserve">自我约束、自我管理，守合同、重信用，不参与围标串标、弄虚作假、骗取中标、干扰评标、违约毁约等行为，自觉维护公共资源交易市场秩序； </w:t>
      </w:r>
    </w:p>
    <w:p w14:paraId="2F181284">
      <w:pPr>
        <w:pStyle w:val="3"/>
        <w:keepNext w:val="0"/>
        <w:keepLines w:val="0"/>
        <w:pageBreakBefore w:val="0"/>
        <w:widowControl/>
        <w:numPr>
          <w:ilvl w:val="0"/>
          <w:numId w:val="3"/>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自觉接受政府、行业组织、社会公众、新闻舆论的监督；</w:t>
      </w:r>
    </w:p>
    <w:p w14:paraId="4FCBAE80">
      <w:pPr>
        <w:pStyle w:val="3"/>
        <w:keepNext w:val="0"/>
        <w:keepLines w:val="0"/>
        <w:pageBreakBefore w:val="0"/>
        <w:widowControl/>
        <w:numPr>
          <w:ilvl w:val="0"/>
          <w:numId w:val="3"/>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近三年参与的历史公共资源交易中，我单位及关联企业无发生重大违法记录，没有因违法经营受到刑事处罚或责令停产停业、吊销许可证或执照等行政处罚，且未在被禁止参加公共资源交易、政府采购活动的处罚期限内；</w:t>
      </w:r>
    </w:p>
    <w:p w14:paraId="0B3F2578">
      <w:pPr>
        <w:pStyle w:val="3"/>
        <w:keepNext w:val="0"/>
        <w:keepLines w:val="0"/>
        <w:pageBreakBefore w:val="0"/>
        <w:widowControl/>
        <w:numPr>
          <w:ilvl w:val="0"/>
          <w:numId w:val="3"/>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我单位目前不存在以下情形：被人民法院列入失信惩戒对象，单位、法定代表人或拟派项目经理（项目负责人）被人民检察院列入行贿犯罪档案，被市场监督管理部门列入企业经营异常名录，被税务部门列入重大税收违法案件当事人名单，被政府采购监管部门列入政府采购严重违法失信行为记录名单；</w:t>
      </w:r>
    </w:p>
    <w:p w14:paraId="2DAEBBCE">
      <w:pPr>
        <w:pStyle w:val="3"/>
        <w:keepNext w:val="0"/>
        <w:keepLines w:val="0"/>
        <w:pageBreakBefore w:val="0"/>
        <w:widowControl/>
        <w:numPr>
          <w:ilvl w:val="0"/>
          <w:numId w:val="3"/>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本单位自愿接受我市公共资源交易招标投标综合监管部门及行业主管部门的依法检查。如发生违法违规或不良行为，自愿接受行政主管部门依法给予的取消投标、取消中标资格等行政处罚（处理）、记录失信行为并依法承担相应的赔偿责任和刑事责任；</w:t>
      </w:r>
    </w:p>
    <w:p w14:paraId="2303A54B">
      <w:pPr>
        <w:pStyle w:val="3"/>
        <w:keepNext w:val="0"/>
        <w:keepLines w:val="0"/>
        <w:pageBreakBefore w:val="0"/>
        <w:widowControl/>
        <w:numPr>
          <w:ilvl w:val="0"/>
          <w:numId w:val="3"/>
        </w:numPr>
        <w:suppressLineNumbers w:val="0"/>
        <w:kinsoku/>
        <w:wordWrap/>
        <w:overflowPunct/>
        <w:topLinePunct w:val="0"/>
        <w:autoSpaceDE/>
        <w:autoSpaceDN/>
        <w:bidi w:val="0"/>
        <w:adjustRightInd/>
        <w:snapToGrid/>
        <w:spacing w:before="0" w:after="0" w:line="400" w:lineRule="exact"/>
        <w:ind w:left="0" w:firstLine="560" w:firstLineChars="200"/>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本人已认真阅读了上述承诺，并向本单位员工作了宣传教育。</w:t>
      </w:r>
    </w:p>
    <w:p w14:paraId="33D371E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color w:val="000000" w:themeColor="text1"/>
          <w:sz w:val="28"/>
          <w:szCs w:val="28"/>
          <w:lang w:val="en-US"/>
          <w14:textFill>
            <w14:solidFill>
              <w14:schemeClr w14:val="tx1"/>
            </w14:solidFill>
          </w14:textFill>
        </w:rPr>
      </w:pPr>
    </w:p>
    <w:p w14:paraId="6C62B73B">
      <w:pPr>
        <w:pStyle w:val="3"/>
        <w:keepNext w:val="0"/>
        <w:keepLines w:val="0"/>
        <w:pageBreakBefore w:val="0"/>
        <w:widowControl/>
        <w:suppressLineNumbers w:val="0"/>
        <w:kinsoku/>
        <w:wordWrap/>
        <w:overflowPunct/>
        <w:topLinePunct w:val="0"/>
        <w:autoSpaceDE/>
        <w:autoSpaceDN/>
        <w:bidi w:val="0"/>
        <w:adjustRightInd/>
        <w:snapToGrid/>
        <w:spacing w:before="0" w:after="0" w:line="400" w:lineRule="exact"/>
        <w:jc w:val="center"/>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法定代表人签名：</w:t>
      </w:r>
      <w:r>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t xml:space="preserve">   </w:t>
      </w:r>
    </w:p>
    <w:p w14:paraId="3951006E">
      <w:pPr>
        <w:pStyle w:val="3"/>
        <w:keepNext w:val="0"/>
        <w:keepLines w:val="0"/>
        <w:pageBreakBefore w:val="0"/>
        <w:widowControl/>
        <w:suppressLineNumbers w:val="0"/>
        <w:kinsoku/>
        <w:wordWrap/>
        <w:overflowPunct/>
        <w:topLinePunct w:val="0"/>
        <w:autoSpaceDE/>
        <w:autoSpaceDN/>
        <w:bidi w:val="0"/>
        <w:adjustRightInd/>
        <w:snapToGrid/>
        <w:spacing w:before="0" w:after="0" w:line="400" w:lineRule="exact"/>
        <w:jc w:val="center"/>
        <w:textAlignment w:val="auto"/>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 xml:space="preserve">企业名称（盖章）： </w:t>
      </w:r>
    </w:p>
    <w:p w14:paraId="41DF36FD">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sectPr>
          <w:pgSz w:w="11907" w:h="16840"/>
          <w:pgMar w:top="1701" w:right="1134" w:bottom="1701" w:left="1134" w:header="964" w:footer="850" w:gutter="0"/>
          <w:pgNumType w:fmt="decimal"/>
          <w:cols w:space="720" w:num="1"/>
          <w:docGrid w:linePitch="271" w:charSpace="0"/>
        </w:sectPr>
      </w:pPr>
      <w:r>
        <w:rPr>
          <w:rFonts w:hint="eastAsia" w:ascii="仿宋_GB2312" w:hAnsi="仿宋_GB2312" w:eastAsia="仿宋_GB2312" w:cs="仿宋_GB2312"/>
          <w:b w:val="0"/>
          <w:bCs w:val="0"/>
          <w:color w:val="000000" w:themeColor="text1"/>
          <w:kern w:val="2"/>
          <w:sz w:val="28"/>
          <w:szCs w:val="28"/>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kern w:val="2"/>
          <w:sz w:val="28"/>
          <w:szCs w:val="28"/>
          <w:lang w:val="en-US"/>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28"/>
          <w:szCs w:val="28"/>
          <w:lang w:eastAsia="zh-CN"/>
          <w14:textFill>
            <w14:solidFill>
              <w14:schemeClr w14:val="tx1"/>
            </w14:solidFill>
          </w14:textFill>
        </w:rPr>
        <w:t>日</w:t>
      </w:r>
    </w:p>
    <w:p w14:paraId="3A010862">
      <w:pPr>
        <w:spacing w:line="360" w:lineRule="auto"/>
        <w:jc w:val="center"/>
        <w:rPr>
          <w:rFonts w:hint="eastAsia" w:ascii="宋体" w:hAnsi="宋体"/>
          <w:b/>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质疑函（格式）</w:t>
      </w:r>
    </w:p>
    <w:p w14:paraId="2B5CFBEE">
      <w:pPr>
        <w:pStyle w:val="25"/>
        <w:spacing w:line="360" w:lineRule="auto"/>
        <w:ind w:firstLine="482" w:firstLineChars="200"/>
        <w:contextualSpacing/>
        <w:outlineLvl w:val="1"/>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一、质疑供应商基本信息：</w:t>
      </w:r>
    </w:p>
    <w:p w14:paraId="2698DCA5">
      <w:pPr>
        <w:pStyle w:val="25"/>
        <w:spacing w:line="360" w:lineRule="auto"/>
        <w:ind w:firstLine="480" w:firstLineChars="200"/>
        <w:contextualSpacing/>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质疑供应商：</w:t>
      </w:r>
    </w:p>
    <w:p w14:paraId="4FC69AB3">
      <w:pPr>
        <w:pStyle w:val="25"/>
        <w:spacing w:line="360" w:lineRule="auto"/>
        <w:ind w:firstLine="480" w:firstLineChars="200"/>
        <w:contextualSpacing/>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72393B2B">
      <w:pPr>
        <w:pStyle w:val="25"/>
        <w:spacing w:line="360" w:lineRule="auto"/>
        <w:ind w:firstLine="480" w:firstLineChars="200"/>
        <w:contextualSpacing/>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p>
    <w:p w14:paraId="57E43AC6">
      <w:pPr>
        <w:pStyle w:val="25"/>
        <w:spacing w:line="360" w:lineRule="auto"/>
        <w:ind w:firstLine="480" w:firstLineChars="200"/>
        <w:contextualSpacing/>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p>
    <w:p w14:paraId="054948EC">
      <w:pPr>
        <w:pStyle w:val="25"/>
        <w:spacing w:line="360" w:lineRule="auto"/>
        <w:ind w:firstLine="480" w:firstLineChars="200"/>
        <w:contextualSpacing/>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60F638B2">
      <w:pPr>
        <w:pStyle w:val="25"/>
        <w:spacing w:line="360" w:lineRule="auto"/>
        <w:ind w:firstLine="480" w:firstLineChars="200"/>
        <w:contextualSpacing/>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05AD4C76">
      <w:pPr>
        <w:pStyle w:val="25"/>
        <w:spacing w:line="360" w:lineRule="auto"/>
        <w:ind w:firstLine="482" w:firstLineChars="200"/>
        <w:contextualSpacing/>
        <w:outlineLvl w:val="1"/>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二、质疑项目基本情况：</w:t>
      </w:r>
    </w:p>
    <w:p w14:paraId="2C20C8C0">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项目的名称：</w:t>
      </w:r>
    </w:p>
    <w:p w14:paraId="295A0002">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项目的编号：</w:t>
      </w:r>
    </w:p>
    <w:p w14:paraId="216DCF74">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p>
    <w:p w14:paraId="132BF3E3">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w:t>
      </w:r>
    </w:p>
    <w:p w14:paraId="5A7892EE">
      <w:pPr>
        <w:pStyle w:val="25"/>
        <w:spacing w:line="360" w:lineRule="auto"/>
        <w:ind w:left="25" w:leftChars="12" w:firstLine="352" w:firstLineChars="14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□采购文件   采购文件获取日期：</w:t>
      </w:r>
    </w:p>
    <w:p w14:paraId="164156DC">
      <w:pPr>
        <w:pStyle w:val="25"/>
        <w:spacing w:line="360" w:lineRule="auto"/>
        <w:ind w:left="25" w:leftChars="12" w:firstLine="352" w:firstLineChars="14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□采购过程   </w:t>
      </w:r>
    </w:p>
    <w:p w14:paraId="71753B31">
      <w:pPr>
        <w:pStyle w:val="25"/>
        <w:spacing w:line="360" w:lineRule="auto"/>
        <w:ind w:left="25" w:leftChars="12" w:firstLine="352" w:firstLineChars="147"/>
        <w:contextualSpacing/>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□成交结果   </w:t>
      </w:r>
    </w:p>
    <w:p w14:paraId="3010FBF3">
      <w:pPr>
        <w:pStyle w:val="25"/>
        <w:spacing w:line="360" w:lineRule="auto"/>
        <w:ind w:left="25" w:leftChars="12" w:firstLine="472" w:firstLineChars="196"/>
        <w:contextualSpacing/>
        <w:outlineLvl w:val="1"/>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三、质疑事项具体内容</w:t>
      </w:r>
    </w:p>
    <w:p w14:paraId="280DF3C9">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质疑事项1：</w:t>
      </w:r>
    </w:p>
    <w:p w14:paraId="65A8DAC4">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事实依据：</w:t>
      </w:r>
    </w:p>
    <w:p w14:paraId="0DC5C520">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法律依据：</w:t>
      </w:r>
    </w:p>
    <w:p w14:paraId="0B2AD15A">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质疑事项2</w:t>
      </w:r>
    </w:p>
    <w:p w14:paraId="0C6F7B3A">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w:t>
      </w:r>
    </w:p>
    <w:p w14:paraId="3725B088">
      <w:pPr>
        <w:pStyle w:val="25"/>
        <w:spacing w:line="360" w:lineRule="auto"/>
        <w:ind w:left="25" w:leftChars="12" w:firstLine="472" w:firstLineChars="197"/>
        <w:contextualSpacing/>
        <w:outlineLvl w:val="1"/>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四、与质疑事项相关的质疑请求：</w:t>
      </w:r>
    </w:p>
    <w:p w14:paraId="1C23E4AD">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p>
    <w:p w14:paraId="1069F29B">
      <w:pPr>
        <w:pStyle w:val="25"/>
        <w:spacing w:line="360" w:lineRule="auto"/>
        <w:ind w:left="25" w:leftChars="12" w:firstLine="352" w:firstLineChars="147"/>
        <w:contextualSpacing/>
        <w:rPr>
          <w:rFonts w:hint="eastAsia" w:hAnsi="宋体"/>
          <w:color w:val="000000" w:themeColor="text1"/>
          <w:sz w:val="24"/>
          <w:szCs w:val="24"/>
          <w:highlight w:val="none"/>
          <w14:textFill>
            <w14:solidFill>
              <w14:schemeClr w14:val="tx1"/>
            </w14:solidFill>
          </w14:textFill>
        </w:rPr>
      </w:pPr>
    </w:p>
    <w:p w14:paraId="5A5F109B">
      <w:pPr>
        <w:pStyle w:val="25"/>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3E7CC755">
      <w:pPr>
        <w:pStyle w:val="25"/>
        <w:spacing w:line="360" w:lineRule="auto"/>
        <w:ind w:firstLine="480" w:firstLineChars="200"/>
        <w:contextualSpacing/>
        <w:rPr>
          <w:rFonts w:hint="eastAsia" w:hAnsi="宋体"/>
          <w:b/>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20CA4B71">
      <w:pPr>
        <w:pStyle w:val="25"/>
        <w:spacing w:line="360" w:lineRule="auto"/>
        <w:contextualSpacing/>
        <w:rPr>
          <w:rFonts w:hint="eastAsia" w:hAnsi="宋体"/>
          <w:b/>
          <w:color w:val="000000" w:themeColor="text1"/>
          <w:sz w:val="24"/>
          <w:szCs w:val="24"/>
          <w:highlight w:val="none"/>
          <w14:textFill>
            <w14:solidFill>
              <w14:schemeClr w14:val="tx1"/>
            </w14:solidFill>
          </w14:textFill>
        </w:rPr>
      </w:pPr>
    </w:p>
    <w:p w14:paraId="37FF9994">
      <w:pPr>
        <w:pStyle w:val="25"/>
        <w:spacing w:line="360" w:lineRule="auto"/>
        <w:contextualSpacing/>
        <w:rPr>
          <w:rFonts w:hint="eastAsia" w:hAnsi="宋体"/>
          <w:b/>
          <w:color w:val="000000" w:themeColor="text1"/>
          <w:sz w:val="24"/>
          <w:szCs w:val="24"/>
          <w:highlight w:val="none"/>
          <w14:textFill>
            <w14:solidFill>
              <w14:schemeClr w14:val="tx1"/>
            </w14:solidFill>
          </w14:textFill>
        </w:rPr>
      </w:pPr>
    </w:p>
    <w:p w14:paraId="07FF2E1A">
      <w:pPr>
        <w:pStyle w:val="25"/>
        <w:spacing w:line="360" w:lineRule="auto"/>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311EB9C8">
      <w:pPr>
        <w:pStyle w:val="25"/>
        <w:spacing w:line="360" w:lineRule="auto"/>
        <w:ind w:left="25" w:leftChars="12" w:firstLine="354" w:firstLineChars="147"/>
        <w:contextualSpacing/>
        <w:outlineLvl w:val="2"/>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b/>
          <w:bCs/>
          <w:color w:val="000000" w:themeColor="text1"/>
          <w:sz w:val="24"/>
          <w:szCs w:val="24"/>
          <w:highlight w:val="none"/>
          <w14:textFill>
            <w14:solidFill>
              <w14:schemeClr w14:val="tx1"/>
            </w14:solidFill>
          </w14:textFill>
        </w:rPr>
        <w:t>。</w:t>
      </w:r>
    </w:p>
    <w:p w14:paraId="77747194">
      <w:pPr>
        <w:pStyle w:val="25"/>
        <w:spacing w:line="360" w:lineRule="auto"/>
        <w:ind w:left="25" w:leftChars="12" w:firstLine="354" w:firstLineChars="147"/>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D2CF8DF">
      <w:pPr>
        <w:pStyle w:val="25"/>
        <w:spacing w:line="360" w:lineRule="auto"/>
        <w:ind w:left="25" w:leftChars="12" w:firstLine="354" w:firstLineChars="147"/>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3.质疑函的质疑事项应具体、明确，并有必要的事实依据和法律依据。</w:t>
      </w:r>
    </w:p>
    <w:p w14:paraId="60F92447">
      <w:pPr>
        <w:pStyle w:val="25"/>
        <w:spacing w:line="360" w:lineRule="auto"/>
        <w:ind w:left="25" w:leftChars="12" w:firstLine="354" w:firstLineChars="147"/>
        <w:contextualSpacing/>
        <w:outlineLvl w:val="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4.质疑函的质疑请求应与质疑事项相关。</w:t>
      </w:r>
    </w:p>
    <w:p w14:paraId="2F30E63D">
      <w:pPr>
        <w:pStyle w:val="25"/>
        <w:spacing w:line="360" w:lineRule="auto"/>
        <w:ind w:left="25" w:leftChars="12" w:firstLine="354" w:firstLineChars="147"/>
        <w:contextualSpacing/>
        <w:rPr>
          <w:rFonts w:hint="eastAsia"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7BC15C56">
      <w:pPr>
        <w:pStyle w:val="25"/>
        <w:snapToGrid w:val="0"/>
        <w:rPr>
          <w:b/>
          <w:color w:val="000000" w:themeColor="text1"/>
          <w:sz w:val="24"/>
          <w:szCs w:val="24"/>
          <w:highlight w:val="none"/>
          <w14:textFill>
            <w14:solidFill>
              <w14:schemeClr w14:val="tx1"/>
            </w14:solidFill>
          </w14:textFill>
        </w:rPr>
      </w:pPr>
    </w:p>
    <w:p w14:paraId="63CA21FA">
      <w:pPr>
        <w:rPr>
          <w:color w:val="000000" w:themeColor="text1"/>
          <w:sz w:val="32"/>
          <w:szCs w:val="40"/>
          <w:highlight w:val="none"/>
          <w14:textFill>
            <w14:solidFill>
              <w14:schemeClr w14:val="tx1"/>
            </w14:solidFill>
          </w14:textFill>
        </w:rPr>
      </w:pPr>
    </w:p>
    <w:p w14:paraId="677AB63C">
      <w:pPr>
        <w:rPr>
          <w:color w:val="000000" w:themeColor="text1"/>
          <w:sz w:val="32"/>
          <w:szCs w:val="40"/>
          <w:highlight w:val="none"/>
          <w14:textFill>
            <w14:solidFill>
              <w14:schemeClr w14:val="tx1"/>
            </w14:solidFill>
          </w14:textFill>
        </w:rPr>
      </w:pPr>
    </w:p>
    <w:p w14:paraId="5B4B4A03">
      <w:pPr>
        <w:rPr>
          <w:color w:val="000000" w:themeColor="text1"/>
          <w:sz w:val="32"/>
          <w:szCs w:val="40"/>
          <w:highlight w:val="none"/>
          <w14:textFill>
            <w14:solidFill>
              <w14:schemeClr w14:val="tx1"/>
            </w14:solidFill>
          </w14:textFill>
        </w:rPr>
      </w:pPr>
    </w:p>
    <w:p w14:paraId="79D20B18">
      <w:pPr>
        <w:rPr>
          <w:color w:val="000000" w:themeColor="text1"/>
          <w:sz w:val="32"/>
          <w:szCs w:val="40"/>
          <w:highlight w:val="none"/>
          <w14:textFill>
            <w14:solidFill>
              <w14:schemeClr w14:val="tx1"/>
            </w14:solidFill>
          </w14:textFill>
        </w:rPr>
      </w:pPr>
    </w:p>
    <w:p w14:paraId="20B4681D">
      <w:pPr>
        <w:rPr>
          <w:color w:val="000000" w:themeColor="text1"/>
          <w:sz w:val="32"/>
          <w:szCs w:val="40"/>
          <w:highlight w:val="none"/>
          <w14:textFill>
            <w14:solidFill>
              <w14:schemeClr w14:val="tx1"/>
            </w14:solidFill>
          </w14:textFill>
        </w:rPr>
      </w:pPr>
    </w:p>
    <w:p w14:paraId="3F4B39B7">
      <w:pPr>
        <w:rPr>
          <w:color w:val="000000" w:themeColor="text1"/>
          <w:sz w:val="32"/>
          <w:szCs w:val="40"/>
          <w:highlight w:val="none"/>
          <w14:textFill>
            <w14:solidFill>
              <w14:schemeClr w14:val="tx1"/>
            </w14:solidFill>
          </w14:textFill>
        </w:rPr>
      </w:pPr>
    </w:p>
    <w:p w14:paraId="302CBE5E">
      <w:pPr>
        <w:rPr>
          <w:color w:val="000000" w:themeColor="text1"/>
          <w:sz w:val="32"/>
          <w:szCs w:val="40"/>
          <w:highlight w:val="none"/>
          <w14:textFill>
            <w14:solidFill>
              <w14:schemeClr w14:val="tx1"/>
            </w14:solidFill>
          </w14:textFill>
        </w:rPr>
      </w:pPr>
    </w:p>
    <w:p w14:paraId="06280DD6">
      <w:pPr>
        <w:rPr>
          <w:color w:val="000000" w:themeColor="text1"/>
          <w:sz w:val="32"/>
          <w:szCs w:val="40"/>
          <w:highlight w:val="none"/>
          <w14:textFill>
            <w14:solidFill>
              <w14:schemeClr w14:val="tx1"/>
            </w14:solidFill>
          </w14:textFill>
        </w:rPr>
      </w:pPr>
    </w:p>
    <w:p w14:paraId="0B817DED">
      <w:pPr>
        <w:rPr>
          <w:color w:val="000000" w:themeColor="text1"/>
          <w:sz w:val="32"/>
          <w:szCs w:val="40"/>
          <w:highlight w:val="none"/>
          <w14:textFill>
            <w14:solidFill>
              <w14:schemeClr w14:val="tx1"/>
            </w14:solidFill>
          </w14:textFill>
        </w:rPr>
      </w:pPr>
    </w:p>
    <w:p w14:paraId="73CF2E16">
      <w:pPr>
        <w:rPr>
          <w:color w:val="000000" w:themeColor="text1"/>
          <w:sz w:val="32"/>
          <w:szCs w:val="40"/>
          <w:highlight w:val="none"/>
          <w14:textFill>
            <w14:solidFill>
              <w14:schemeClr w14:val="tx1"/>
            </w14:solidFill>
          </w14:textFill>
        </w:rPr>
      </w:pPr>
    </w:p>
    <w:p w14:paraId="16B01091">
      <w:pPr>
        <w:rPr>
          <w:color w:val="000000" w:themeColor="text1"/>
          <w:sz w:val="32"/>
          <w:szCs w:val="40"/>
          <w:highlight w:val="none"/>
          <w14:textFill>
            <w14:solidFill>
              <w14:schemeClr w14:val="tx1"/>
            </w14:solidFill>
          </w14:textFill>
        </w:rPr>
      </w:pPr>
    </w:p>
    <w:p w14:paraId="4B144FD4">
      <w:pPr>
        <w:rPr>
          <w:color w:val="000000" w:themeColor="text1"/>
          <w:sz w:val="32"/>
          <w:szCs w:val="40"/>
          <w:highlight w:val="none"/>
          <w14:textFill>
            <w14:solidFill>
              <w14:schemeClr w14:val="tx1"/>
            </w14:solidFill>
          </w14:textFill>
        </w:rPr>
      </w:pPr>
    </w:p>
    <w:p w14:paraId="7149A46E">
      <w:pPr>
        <w:rPr>
          <w:color w:val="000000" w:themeColor="text1"/>
          <w:sz w:val="32"/>
          <w:szCs w:val="40"/>
          <w:highlight w:val="none"/>
          <w14:textFill>
            <w14:solidFill>
              <w14:schemeClr w14:val="tx1"/>
            </w14:solidFill>
          </w14:textFill>
        </w:rPr>
      </w:pPr>
    </w:p>
    <w:p w14:paraId="53AE1FF2">
      <w:pPr>
        <w:rPr>
          <w:color w:val="000000" w:themeColor="text1"/>
          <w:sz w:val="32"/>
          <w:szCs w:val="40"/>
          <w:highlight w:val="none"/>
          <w14:textFill>
            <w14:solidFill>
              <w14:schemeClr w14:val="tx1"/>
            </w14:solidFill>
          </w14:textFill>
        </w:rPr>
      </w:pPr>
    </w:p>
    <w:p w14:paraId="46BD7E5C">
      <w:pPr>
        <w:rPr>
          <w:color w:val="000000" w:themeColor="text1"/>
          <w:sz w:val="32"/>
          <w:szCs w:val="40"/>
          <w:highlight w:val="none"/>
          <w14:textFill>
            <w14:solidFill>
              <w14:schemeClr w14:val="tx1"/>
            </w14:solidFill>
          </w14:textFill>
        </w:rPr>
      </w:pPr>
    </w:p>
    <w:p w14:paraId="7AB0006E">
      <w:pPr>
        <w:rPr>
          <w:color w:val="000000" w:themeColor="text1"/>
          <w:sz w:val="32"/>
          <w:szCs w:val="40"/>
          <w:highlight w:val="none"/>
          <w14:textFill>
            <w14:solidFill>
              <w14:schemeClr w14:val="tx1"/>
            </w14:solidFill>
          </w14:textFill>
        </w:rPr>
      </w:pPr>
    </w:p>
    <w:p w14:paraId="354F88FC">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65220BC9">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4D25BD5D">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投诉书（格式）</w:t>
      </w:r>
    </w:p>
    <w:p w14:paraId="0B908061">
      <w:pPr>
        <w:pStyle w:val="25"/>
        <w:snapToGrid w:val="0"/>
        <w:spacing w:line="360" w:lineRule="auto"/>
        <w:ind w:firstLine="482" w:firstLineChars="200"/>
        <w:outlineLvl w:val="1"/>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一、投诉相关主体基本情况：</w:t>
      </w:r>
    </w:p>
    <w:p w14:paraId="625B80CC">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供应商：</w:t>
      </w:r>
    </w:p>
    <w:p w14:paraId="547DD758">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4BA24121">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法定代表人/主要负责人：</w:t>
      </w:r>
    </w:p>
    <w:p w14:paraId="3EE595C0">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p>
    <w:p w14:paraId="28D71926">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036295B6">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p>
    <w:p w14:paraId="574F94BB">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167A3A5F">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被投诉人1：</w:t>
      </w:r>
    </w:p>
    <w:p w14:paraId="7D0C5D83">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p>
    <w:p w14:paraId="2981D52F">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06196FE8">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2CD500A7">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被投诉人2：</w:t>
      </w:r>
    </w:p>
    <w:p w14:paraId="4C434E60">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4BC50AEC">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相关供应商：</w:t>
      </w:r>
    </w:p>
    <w:p w14:paraId="7A94343B">
      <w:pPr>
        <w:pStyle w:val="25"/>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4298FCD0">
      <w:pPr>
        <w:pStyle w:val="25"/>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1FA2D757">
      <w:pPr>
        <w:pStyle w:val="25"/>
        <w:snapToGrid w:val="0"/>
        <w:spacing w:line="360" w:lineRule="auto"/>
        <w:ind w:firstLine="482" w:firstLineChars="200"/>
        <w:outlineLvl w:val="1"/>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二、投诉项目基本情况：</w:t>
      </w:r>
    </w:p>
    <w:p w14:paraId="7A0AE504">
      <w:pPr>
        <w:pStyle w:val="25"/>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项目的名称：</w:t>
      </w:r>
    </w:p>
    <w:p w14:paraId="29B290C5">
      <w:pPr>
        <w:pStyle w:val="25"/>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项目的编号：</w:t>
      </w:r>
    </w:p>
    <w:p w14:paraId="47E8A531">
      <w:pPr>
        <w:pStyle w:val="25"/>
        <w:spacing w:line="360" w:lineRule="auto"/>
        <w:ind w:left="25" w:leftChars="12" w:firstLine="472" w:firstLineChars="197"/>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p>
    <w:p w14:paraId="1439227F">
      <w:pPr>
        <w:pStyle w:val="25"/>
        <w:spacing w:line="360" w:lineRule="auto"/>
        <w:ind w:left="25" w:leftChars="12" w:firstLine="472" w:firstLineChars="197"/>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代理机构名称：</w:t>
      </w:r>
    </w:p>
    <w:p w14:paraId="51A73955">
      <w:pPr>
        <w:pStyle w:val="25"/>
        <w:spacing w:line="360" w:lineRule="auto"/>
        <w:ind w:left="25" w:leftChars="12" w:firstLine="472" w:firstLineChars="197"/>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采购文件公告：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p>
    <w:p w14:paraId="72793E7C">
      <w:pPr>
        <w:pStyle w:val="25"/>
        <w:spacing w:line="360" w:lineRule="auto"/>
        <w:ind w:left="25" w:leftChars="12" w:firstLine="472" w:firstLineChars="197"/>
        <w:rPr>
          <w:rFonts w:hint="eastAsia" w:hAnsi="宋体"/>
          <w:b/>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采购结果公告：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p>
    <w:p w14:paraId="345E4CF1">
      <w:pPr>
        <w:pStyle w:val="25"/>
        <w:spacing w:line="360" w:lineRule="auto"/>
        <w:ind w:left="25" w:leftChars="12" w:firstLine="472" w:firstLineChars="196"/>
        <w:outlineLvl w:val="1"/>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三、质疑基本情况</w:t>
      </w:r>
    </w:p>
    <w:p w14:paraId="4735081E">
      <w:pPr>
        <w:pStyle w:val="25"/>
        <w:spacing w:line="360" w:lineRule="auto"/>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投诉人于年月日，向提出质疑，质疑事项为：</w:t>
      </w:r>
    </w:p>
    <w:p w14:paraId="090EB5EA">
      <w:pPr>
        <w:pStyle w:val="25"/>
        <w:spacing w:line="360" w:lineRule="auto"/>
        <w:ind w:firstLine="241"/>
        <w:rPr>
          <w:rFonts w:hint="eastAsia" w:hAnsi="宋体"/>
          <w:bCs/>
          <w:color w:val="000000" w:themeColor="text1"/>
          <w:sz w:val="24"/>
          <w:szCs w:val="24"/>
          <w:highlight w:val="none"/>
          <w:u w:val="single"/>
          <w14:textFill>
            <w14:solidFill>
              <w14:schemeClr w14:val="tx1"/>
            </w14:solidFill>
          </w14:textFill>
        </w:rPr>
      </w:pPr>
    </w:p>
    <w:p w14:paraId="79C61EEE">
      <w:pPr>
        <w:pStyle w:val="25"/>
        <w:spacing w:line="360" w:lineRule="auto"/>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采购人/代理机构</w:t>
      </w:r>
      <w:r>
        <w:rPr>
          <w:rFonts w:hint="eastAsia" w:hAnsi="宋体"/>
          <w:bCs/>
          <w:color w:val="000000" w:themeColor="text1"/>
          <w:sz w:val="24"/>
          <w:szCs w:val="24"/>
          <w:highlight w:val="none"/>
          <w14:textFill>
            <w14:solidFill>
              <w14:schemeClr w14:val="tx1"/>
            </w14:solidFill>
          </w14:textFill>
        </w:rPr>
        <w:t>于</w:t>
      </w:r>
      <w:r>
        <w:rPr>
          <w:rFonts w:hint="eastAsia" w:hAnsi="宋体"/>
          <w:color w:val="000000" w:themeColor="text1"/>
          <w:sz w:val="24"/>
          <w:szCs w:val="24"/>
          <w:highlight w:val="none"/>
          <w14:textFill>
            <w14:solidFill>
              <w14:schemeClr w14:val="tx1"/>
            </w14:solidFill>
          </w14:textFill>
        </w:rPr>
        <w:t>年月日，</w:t>
      </w:r>
      <w:r>
        <w:rPr>
          <w:rFonts w:hint="eastAsia" w:hAnsi="宋体"/>
          <w:bCs/>
          <w:color w:val="000000" w:themeColor="text1"/>
          <w:sz w:val="24"/>
          <w:szCs w:val="24"/>
          <w:highlight w:val="none"/>
          <w14:textFill>
            <w14:solidFill>
              <w14:schemeClr w14:val="tx1"/>
            </w14:solidFill>
          </w14:textFill>
        </w:rPr>
        <w:t xml:space="preserve">就质疑事项作出了答复/没有在法定期限内作出答复。                                                                                             </w:t>
      </w:r>
    </w:p>
    <w:p w14:paraId="37CEC07F">
      <w:pPr>
        <w:pStyle w:val="25"/>
        <w:spacing w:line="360" w:lineRule="auto"/>
        <w:ind w:left="25" w:leftChars="12" w:firstLine="472" w:firstLineChars="196"/>
        <w:outlineLvl w:val="1"/>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四、投诉事项具体内容</w:t>
      </w:r>
    </w:p>
    <w:p w14:paraId="05B3DD24">
      <w:pPr>
        <w:pStyle w:val="25"/>
        <w:spacing w:line="360" w:lineRule="auto"/>
        <w:ind w:left="25" w:leftChars="12" w:firstLine="472" w:firstLineChars="197"/>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投诉事项1：</w:t>
      </w:r>
    </w:p>
    <w:p w14:paraId="5F5A3040">
      <w:pPr>
        <w:pStyle w:val="25"/>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事实依据：</w:t>
      </w:r>
    </w:p>
    <w:p w14:paraId="5F737751">
      <w:pPr>
        <w:pStyle w:val="25"/>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p>
    <w:p w14:paraId="0975EA17">
      <w:pPr>
        <w:pStyle w:val="25"/>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法律依据：</w:t>
      </w:r>
    </w:p>
    <w:p w14:paraId="6E7F0094">
      <w:pPr>
        <w:pStyle w:val="25"/>
        <w:spacing w:line="360" w:lineRule="auto"/>
        <w:ind w:left="25" w:leftChars="12" w:firstLine="352" w:firstLineChars="147"/>
        <w:rPr>
          <w:rFonts w:hint="eastAsia" w:hAnsi="宋体"/>
          <w:bCs/>
          <w:color w:val="000000" w:themeColor="text1"/>
          <w:sz w:val="24"/>
          <w:szCs w:val="24"/>
          <w:highlight w:val="none"/>
          <w:u w:val="single"/>
          <w14:textFill>
            <w14:solidFill>
              <w14:schemeClr w14:val="tx1"/>
            </w14:solidFill>
          </w14:textFill>
        </w:rPr>
      </w:pPr>
    </w:p>
    <w:p w14:paraId="0726F623">
      <w:pPr>
        <w:pStyle w:val="25"/>
        <w:spacing w:line="360" w:lineRule="auto"/>
        <w:ind w:left="25" w:leftChars="12" w:firstLine="472" w:firstLineChars="197"/>
        <w:rPr>
          <w:rFonts w:hint="eastAsia" w:hAnsi="宋体"/>
          <w:bCs/>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投诉事项2  </w:t>
      </w:r>
    </w:p>
    <w:p w14:paraId="4374F024">
      <w:pPr>
        <w:pStyle w:val="25"/>
        <w:spacing w:line="360" w:lineRule="auto"/>
        <w:ind w:left="25" w:leftChars="12" w:firstLine="472" w:firstLineChars="197"/>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1CABD607">
      <w:pPr>
        <w:pStyle w:val="25"/>
        <w:spacing w:line="360" w:lineRule="auto"/>
        <w:ind w:left="25" w:leftChars="12" w:firstLine="472" w:firstLineChars="196"/>
        <w:outlineLvl w:val="1"/>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五、与投诉事项相关的投诉请求：</w:t>
      </w:r>
    </w:p>
    <w:p w14:paraId="11A9A20B">
      <w:pPr>
        <w:pStyle w:val="25"/>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p>
    <w:p w14:paraId="46A41145">
      <w:pPr>
        <w:pStyle w:val="25"/>
        <w:spacing w:line="360" w:lineRule="auto"/>
        <w:ind w:left="25" w:leftChars="12" w:firstLine="352" w:firstLineChars="147"/>
        <w:rPr>
          <w:rFonts w:hint="eastAsia" w:hAnsi="宋体"/>
          <w:color w:val="000000" w:themeColor="text1"/>
          <w:sz w:val="24"/>
          <w:szCs w:val="24"/>
          <w:highlight w:val="none"/>
          <w14:textFill>
            <w14:solidFill>
              <w14:schemeClr w14:val="tx1"/>
            </w14:solidFill>
          </w14:textFill>
        </w:rPr>
      </w:pPr>
    </w:p>
    <w:p w14:paraId="1FF31734">
      <w:pPr>
        <w:pStyle w:val="25"/>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68F0066F">
      <w:pPr>
        <w:pStyle w:val="25"/>
        <w:spacing w:line="360" w:lineRule="auto"/>
        <w:ind w:left="25" w:leftChars="12" w:firstLine="352" w:firstLineChars="147"/>
        <w:rPr>
          <w:rFonts w:hint="eastAsia" w:hAnsi="宋体"/>
          <w:color w:val="000000" w:themeColor="text1"/>
          <w:sz w:val="24"/>
          <w:szCs w:val="24"/>
          <w:highlight w:val="none"/>
          <w14:textFill>
            <w14:solidFill>
              <w14:schemeClr w14:val="tx1"/>
            </w14:solidFill>
          </w14:textFill>
        </w:rPr>
      </w:pPr>
    </w:p>
    <w:p w14:paraId="3C3EEA75">
      <w:pPr>
        <w:pStyle w:val="25"/>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274EE47A">
      <w:pPr>
        <w:pStyle w:val="25"/>
        <w:spacing w:line="360" w:lineRule="auto"/>
        <w:ind w:left="25" w:leftChars="12" w:firstLine="475" w:firstLineChars="197"/>
        <w:rPr>
          <w:rFonts w:hint="eastAsia" w:hAnsi="宋体"/>
          <w:b/>
          <w:color w:val="000000" w:themeColor="text1"/>
          <w:sz w:val="24"/>
          <w:szCs w:val="24"/>
          <w:highlight w:val="none"/>
          <w14:textFill>
            <w14:solidFill>
              <w14:schemeClr w14:val="tx1"/>
            </w14:solidFill>
          </w14:textFill>
        </w:rPr>
      </w:pPr>
    </w:p>
    <w:p w14:paraId="170C4974">
      <w:pPr>
        <w:pStyle w:val="25"/>
        <w:snapToGrid w:val="0"/>
        <w:spacing w:line="360" w:lineRule="auto"/>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6D99B83A">
      <w:pPr>
        <w:pStyle w:val="25"/>
        <w:spacing w:line="360" w:lineRule="auto"/>
        <w:ind w:left="25" w:leftChars="12" w:firstLine="354" w:firstLineChars="147"/>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highlight w:val="none"/>
          <w14:textFill>
            <w14:solidFill>
              <w14:schemeClr w14:val="tx1"/>
            </w14:solidFill>
          </w14:textFill>
        </w:rPr>
        <w:t>。</w:t>
      </w:r>
    </w:p>
    <w:p w14:paraId="18F5B8D5">
      <w:pPr>
        <w:pStyle w:val="25"/>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BAD3C4D">
      <w:pPr>
        <w:pStyle w:val="25"/>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3.投诉书应简要列明质疑事项，质疑函、质疑答复等作为附件材料提供。</w:t>
      </w:r>
    </w:p>
    <w:p w14:paraId="6C1BCDEE">
      <w:pPr>
        <w:pStyle w:val="25"/>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4.投诉书的投诉事项应具体、明确，并有必要的事实依据和法律依据。</w:t>
      </w:r>
    </w:p>
    <w:p w14:paraId="66C35B98">
      <w:pPr>
        <w:pStyle w:val="25"/>
        <w:spacing w:line="360" w:lineRule="auto"/>
        <w:ind w:left="25" w:leftChars="12" w:firstLine="354" w:firstLineChars="147"/>
        <w:outlineLvl w:val="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5.投诉书的投诉请求应与投诉事项相关。</w:t>
      </w:r>
    </w:p>
    <w:p w14:paraId="5942B52C">
      <w:pPr>
        <w:pStyle w:val="25"/>
        <w:spacing w:line="360" w:lineRule="auto"/>
        <w:ind w:left="25" w:leftChars="12" w:firstLine="354" w:firstLineChars="147"/>
        <w:rPr>
          <w:rFonts w:hint="eastAsia"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p w14:paraId="7838B20C">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5D1CC239">
      <w:pPr>
        <w:rPr>
          <w:color w:val="000000" w:themeColor="text1"/>
          <w:highlight w:val="none"/>
          <w14:textFill>
            <w14:solidFill>
              <w14:schemeClr w14:val="tx1"/>
            </w14:solidFill>
          </w14:textFill>
        </w:rPr>
      </w:pPr>
    </w:p>
    <w:p w14:paraId="047F076D">
      <w:pPr>
        <w:keepNext/>
        <w:keepLines/>
        <w:widowControl w:val="0"/>
        <w:spacing w:before="340" w:after="330" w:line="578" w:lineRule="auto"/>
        <w:jc w:val="center"/>
        <w:outlineLvl w:val="9"/>
        <w:rPr>
          <w:rFonts w:ascii="Times New Roman" w:hAnsi="Times New Roman" w:eastAsia="宋体" w:cs="Times New Roman"/>
          <w:b/>
          <w:bCs/>
          <w:color w:val="000000" w:themeColor="text1"/>
          <w:kern w:val="44"/>
          <w:sz w:val="44"/>
          <w:szCs w:val="44"/>
          <w:highlight w:val="none"/>
          <w:lang w:val="en-US" w:eastAsia="zh-CN" w:bidi="ar-SA"/>
          <w14:textFill>
            <w14:solidFill>
              <w14:schemeClr w14:val="tx1"/>
            </w14:solidFill>
          </w14:textFill>
        </w:rPr>
      </w:pPr>
      <w:bookmarkStart w:id="228" w:name="_Toc2177"/>
    </w:p>
    <w:p w14:paraId="61B61EF0">
      <w:pPr>
        <w:keepNext/>
        <w:keepLines/>
        <w:widowControl w:val="0"/>
        <w:spacing w:before="340" w:after="330" w:line="578" w:lineRule="auto"/>
        <w:jc w:val="center"/>
        <w:outlineLvl w:val="9"/>
        <w:rPr>
          <w:rFonts w:ascii="Times New Roman" w:hAnsi="Times New Roman" w:eastAsia="宋体" w:cs="Times New Roman"/>
          <w:b/>
          <w:bCs/>
          <w:color w:val="000000" w:themeColor="text1"/>
          <w:kern w:val="44"/>
          <w:sz w:val="44"/>
          <w:szCs w:val="44"/>
          <w:highlight w:val="none"/>
          <w:lang w:val="en-US" w:eastAsia="zh-CN" w:bidi="ar-SA"/>
          <w14:textFill>
            <w14:solidFill>
              <w14:schemeClr w14:val="tx1"/>
            </w14:solidFill>
          </w14:textFill>
        </w:rPr>
      </w:pPr>
    </w:p>
    <w:p w14:paraId="5E5DE8C2">
      <w:pPr>
        <w:keepNext/>
        <w:keepLines/>
        <w:widowControl w:val="0"/>
        <w:spacing w:before="340" w:after="330" w:line="578" w:lineRule="auto"/>
        <w:jc w:val="center"/>
        <w:outlineLvl w:val="9"/>
        <w:rPr>
          <w:rFonts w:ascii="Times New Roman" w:hAnsi="Times New Roman" w:eastAsia="宋体" w:cs="Times New Roman"/>
          <w:b/>
          <w:bCs/>
          <w:color w:val="000000" w:themeColor="text1"/>
          <w:kern w:val="44"/>
          <w:sz w:val="44"/>
          <w:szCs w:val="44"/>
          <w:highlight w:val="none"/>
          <w:lang w:val="en-US" w:eastAsia="zh-CN" w:bidi="ar-SA"/>
          <w14:textFill>
            <w14:solidFill>
              <w14:schemeClr w14:val="tx1"/>
            </w14:solidFill>
          </w14:textFill>
        </w:rPr>
      </w:pPr>
    </w:p>
    <w:p w14:paraId="5E99F4F1">
      <w:pPr>
        <w:keepNext/>
        <w:keepLines/>
        <w:widowControl w:val="0"/>
        <w:spacing w:before="340" w:after="330" w:line="578" w:lineRule="auto"/>
        <w:jc w:val="center"/>
        <w:outlineLvl w:val="9"/>
        <w:rPr>
          <w:rFonts w:ascii="Times New Roman" w:hAnsi="Times New Roman" w:eastAsia="宋体" w:cs="Times New Roman"/>
          <w:b/>
          <w:bCs/>
          <w:color w:val="000000" w:themeColor="text1"/>
          <w:kern w:val="44"/>
          <w:sz w:val="44"/>
          <w:szCs w:val="44"/>
          <w:highlight w:val="none"/>
          <w:lang w:val="en-US" w:eastAsia="zh-CN" w:bidi="ar-SA"/>
          <w14:textFill>
            <w14:solidFill>
              <w14:schemeClr w14:val="tx1"/>
            </w14:solidFill>
          </w14:textFill>
        </w:rPr>
      </w:pPr>
    </w:p>
    <w:p w14:paraId="20EAAB46">
      <w:pPr>
        <w:pStyle w:val="2"/>
        <w:jc w:val="center"/>
        <w:rPr>
          <w:color w:val="000000" w:themeColor="text1"/>
          <w:highlight w:val="none"/>
          <w14:textFill>
            <w14:solidFill>
              <w14:schemeClr w14:val="tx1"/>
            </w14:solidFill>
          </w14:textFill>
        </w:rPr>
      </w:pPr>
      <w:bookmarkStart w:id="229" w:name="_Toc26300"/>
      <w:bookmarkStart w:id="230" w:name="_Toc17849"/>
      <w:r>
        <w:rPr>
          <w:rFonts w:hint="eastAsia"/>
          <w:color w:val="000000" w:themeColor="text1"/>
          <w:highlight w:val="none"/>
          <w14:textFill>
            <w14:solidFill>
              <w14:schemeClr w14:val="tx1"/>
            </w14:solidFill>
          </w14:textFill>
        </w:rPr>
        <w:t>第七章 合同文本</w:t>
      </w:r>
      <w:bookmarkEnd w:id="228"/>
      <w:bookmarkEnd w:id="229"/>
      <w:bookmarkEnd w:id="230"/>
    </w:p>
    <w:p w14:paraId="12BFC5DB">
      <w:pPr>
        <w:spacing w:line="520" w:lineRule="exact"/>
        <w:rPr>
          <w:rFonts w:hint="eastAsia" w:ascii="宋体" w:hAnsi="宋体" w:cs="Courier New"/>
          <w:b/>
          <w:color w:val="000000" w:themeColor="text1"/>
          <w:sz w:val="32"/>
          <w:szCs w:val="32"/>
          <w:highlight w:val="none"/>
          <w14:textFill>
            <w14:solidFill>
              <w14:schemeClr w14:val="tx1"/>
            </w14:solidFill>
          </w14:textFill>
        </w:rPr>
      </w:pPr>
    </w:p>
    <w:p w14:paraId="4159C254">
      <w:pPr>
        <w:pStyle w:val="30"/>
        <w:rPr>
          <w:rFonts w:hint="eastAsia" w:ascii="仿宋" w:hAnsi="仿宋" w:eastAsia="仿宋" w:cs="仿宋"/>
          <w:b/>
          <w:color w:val="000000" w:themeColor="text1"/>
          <w:sz w:val="32"/>
          <w:szCs w:val="32"/>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br w:type="page"/>
      </w:r>
    </w:p>
    <w:p w14:paraId="15380587">
      <w:pPr>
        <w:keepNext/>
        <w:keepLines/>
        <w:spacing w:line="360" w:lineRule="auto"/>
        <w:jc w:val="center"/>
        <w:outlineLvl w:val="9"/>
        <w:rPr>
          <w:rFonts w:ascii="黑体" w:hAnsi="Calibri" w:eastAsia="黑体"/>
          <w:b/>
          <w:bCs/>
          <w:color w:val="000000" w:themeColor="text1"/>
          <w:spacing w:val="50"/>
          <w:sz w:val="44"/>
          <w:highlight w:val="none"/>
          <w:lang w:val="zh-CN"/>
          <w14:textFill>
            <w14:solidFill>
              <w14:schemeClr w14:val="tx1"/>
            </w14:solidFill>
          </w14:textFill>
        </w:rPr>
      </w:pPr>
      <w:bookmarkStart w:id="231" w:name="_Toc118133890"/>
      <w:bookmarkStart w:id="232" w:name="_Toc10672806"/>
    </w:p>
    <w:bookmarkEnd w:id="231"/>
    <w:bookmarkEnd w:id="232"/>
    <w:p w14:paraId="0A06295B">
      <w:pPr>
        <w:pStyle w:val="2"/>
        <w:jc w:val="center"/>
        <w:rPr>
          <w:rFonts w:hint="eastAsia" w:ascii="宋体" w:hAnsi="宋体" w:cs="黑体"/>
          <w:color w:val="000000" w:themeColor="text1"/>
          <w:highlight w:val="none"/>
          <w14:textFill>
            <w14:solidFill>
              <w14:schemeClr w14:val="tx1"/>
            </w14:solidFill>
          </w14:textFill>
        </w:rPr>
      </w:pPr>
      <w:bookmarkStart w:id="233" w:name="_Toc32007"/>
      <w:bookmarkStart w:id="234" w:name="_Toc45638687"/>
      <w:bookmarkStart w:id="235" w:name="_Toc5002"/>
      <w:r>
        <w:rPr>
          <w:rFonts w:hint="eastAsia" w:ascii="宋体" w:hAnsi="宋体" w:cs="黑体"/>
          <w:color w:val="000000" w:themeColor="text1"/>
          <w:highlight w:val="none"/>
          <w14:textFill>
            <w14:solidFill>
              <w14:schemeClr w14:val="tx1"/>
            </w14:solidFill>
          </w14:textFill>
        </w:rPr>
        <w:t>合同条款及格式</w:t>
      </w:r>
      <w:bookmarkEnd w:id="233"/>
      <w:bookmarkEnd w:id="234"/>
      <w:bookmarkEnd w:id="235"/>
    </w:p>
    <w:p w14:paraId="2529B870">
      <w:pPr>
        <w:spacing w:line="360" w:lineRule="auto"/>
        <w:ind w:firstLine="420" w:firstLineChars="200"/>
        <w:rPr>
          <w:rFonts w:ascii="宋体" w:hAnsi="宋体"/>
          <w:color w:val="000000" w:themeColor="text1"/>
          <w:kern w:val="0"/>
          <w:highlight w:val="none"/>
          <w14:textFill>
            <w14:solidFill>
              <w14:schemeClr w14:val="tx1"/>
            </w14:solidFill>
          </w14:textFill>
        </w:rPr>
      </w:pPr>
      <w:bookmarkStart w:id="236" w:name="_Toc373478338"/>
      <w:bookmarkStart w:id="237" w:name="_Toc373227691"/>
      <w:bookmarkStart w:id="238" w:name="_Toc351203632"/>
    </w:p>
    <w:bookmarkEnd w:id="236"/>
    <w:bookmarkEnd w:id="237"/>
    <w:bookmarkEnd w:id="238"/>
    <w:p w14:paraId="0EAB4BC9">
      <w:pPr>
        <w:pStyle w:val="43"/>
        <w:rPr>
          <w:color w:val="000000" w:themeColor="text1"/>
          <w:highlight w:val="none"/>
          <w14:textFill>
            <w14:solidFill>
              <w14:schemeClr w14:val="tx1"/>
            </w14:solidFill>
          </w14:textFill>
        </w:rPr>
      </w:pPr>
    </w:p>
    <w:p w14:paraId="48356DD4">
      <w:pPr>
        <w:spacing w:before="270" w:line="270" w:lineRule="auto"/>
        <w:ind w:left="3781" w:right="3748" w:hanging="10"/>
        <w:jc w:val="both"/>
        <w:rPr>
          <w:rFonts w:ascii="黑体" w:hAnsi="黑体" w:eastAsia="黑体" w:cs="黑体"/>
          <w:color w:val="000000" w:themeColor="text1"/>
          <w:sz w:val="83"/>
          <w:szCs w:val="83"/>
          <w14:textFill>
            <w14:solidFill>
              <w14:schemeClr w14:val="tx1"/>
            </w14:solidFill>
          </w14:textFill>
        </w:rPr>
      </w:pPr>
      <w:r>
        <w:rPr>
          <w:rFonts w:ascii="黑体" w:hAnsi="黑体" w:eastAsia="黑体" w:cs="黑体"/>
          <w:b/>
          <w:bCs/>
          <w:color w:val="000000" w:themeColor="text1"/>
          <w:spacing w:val="-25"/>
          <w:sz w:val="83"/>
          <w:szCs w:val="83"/>
          <w14:textFill>
            <w14:solidFill>
              <w14:schemeClr w14:val="tx1"/>
            </w14:solidFill>
          </w14:textFill>
        </w:rPr>
        <w:t>施</w:t>
      </w:r>
      <w:r>
        <w:rPr>
          <w:rFonts w:ascii="黑体" w:hAnsi="黑体" w:eastAsia="黑体" w:cs="黑体"/>
          <w:b/>
          <w:bCs/>
          <w:color w:val="000000" w:themeColor="text1"/>
          <w:spacing w:val="-35"/>
          <w:sz w:val="83"/>
          <w:szCs w:val="83"/>
          <w14:textFill>
            <w14:solidFill>
              <w14:schemeClr w14:val="tx1"/>
            </w14:solidFill>
          </w14:textFill>
        </w:rPr>
        <w:t>工合同</w:t>
      </w:r>
    </w:p>
    <w:p w14:paraId="6361E2BA">
      <w:pPr>
        <w:spacing w:line="285" w:lineRule="auto"/>
        <w:rPr>
          <w:rFonts w:ascii="Arial"/>
          <w:color w:val="000000" w:themeColor="text1"/>
          <w:sz w:val="21"/>
          <w14:textFill>
            <w14:solidFill>
              <w14:schemeClr w14:val="tx1"/>
            </w14:solidFill>
          </w14:textFill>
        </w:rPr>
      </w:pPr>
    </w:p>
    <w:p w14:paraId="1905BE1E">
      <w:pPr>
        <w:spacing w:line="285" w:lineRule="auto"/>
        <w:rPr>
          <w:rFonts w:ascii="Arial"/>
          <w:color w:val="000000" w:themeColor="text1"/>
          <w:sz w:val="21"/>
          <w14:textFill>
            <w14:solidFill>
              <w14:schemeClr w14:val="tx1"/>
            </w14:solidFill>
          </w14:textFill>
        </w:rPr>
      </w:pPr>
    </w:p>
    <w:p w14:paraId="71A383DF">
      <w:pPr>
        <w:spacing w:line="286" w:lineRule="auto"/>
        <w:rPr>
          <w:rFonts w:ascii="Arial"/>
          <w:color w:val="000000" w:themeColor="text1"/>
          <w:sz w:val="21"/>
          <w14:textFill>
            <w14:solidFill>
              <w14:schemeClr w14:val="tx1"/>
            </w14:solidFill>
          </w14:textFill>
        </w:rPr>
      </w:pPr>
    </w:p>
    <w:p w14:paraId="03C94747">
      <w:pPr>
        <w:pStyle w:val="18"/>
        <w:spacing w:before="98" w:line="220" w:lineRule="auto"/>
        <w:ind w:left="270"/>
        <w:rPr>
          <w:color w:val="000000" w:themeColor="text1"/>
          <w:sz w:val="30"/>
          <w:szCs w:val="30"/>
          <w14:textFill>
            <w14:solidFill>
              <w14:schemeClr w14:val="tx1"/>
            </w14:solidFill>
          </w14:textFill>
        </w:rPr>
      </w:pPr>
      <w:r>
        <w:rPr>
          <w:b/>
          <w:bCs/>
          <w:color w:val="000000" w:themeColor="text1"/>
          <w:spacing w:val="-6"/>
          <w:sz w:val="30"/>
          <w:szCs w:val="30"/>
          <w14:textFill>
            <w14:solidFill>
              <w14:schemeClr w14:val="tx1"/>
            </w14:solidFill>
          </w14:textFill>
        </w:rPr>
        <w:t>项目名称：</w:t>
      </w:r>
    </w:p>
    <w:p w14:paraId="094B8E9E">
      <w:pPr>
        <w:spacing w:line="323" w:lineRule="auto"/>
        <w:rPr>
          <w:rFonts w:ascii="Arial"/>
          <w:color w:val="000000" w:themeColor="text1"/>
          <w:sz w:val="21"/>
          <w14:textFill>
            <w14:solidFill>
              <w14:schemeClr w14:val="tx1"/>
            </w14:solidFill>
          </w14:textFill>
        </w:rPr>
      </w:pPr>
    </w:p>
    <w:p w14:paraId="03273D25">
      <w:pPr>
        <w:pStyle w:val="18"/>
        <w:spacing w:before="97" w:line="219" w:lineRule="auto"/>
        <w:ind w:left="270"/>
        <w:rPr>
          <w:color w:val="000000" w:themeColor="text1"/>
          <w:sz w:val="30"/>
          <w:szCs w:val="30"/>
          <w14:textFill>
            <w14:solidFill>
              <w14:schemeClr w14:val="tx1"/>
            </w14:solidFill>
          </w14:textFill>
        </w:rPr>
      </w:pPr>
      <w:r>
        <w:rPr>
          <w:b/>
          <w:bCs/>
          <w:color w:val="000000" w:themeColor="text1"/>
          <w:spacing w:val="-6"/>
          <w:sz w:val="30"/>
          <w:szCs w:val="30"/>
          <w14:textFill>
            <w14:solidFill>
              <w14:schemeClr w14:val="tx1"/>
            </w14:solidFill>
          </w14:textFill>
        </w:rPr>
        <w:t>项目编号：</w:t>
      </w:r>
    </w:p>
    <w:p w14:paraId="0A5E35C3">
      <w:pPr>
        <w:spacing w:line="321" w:lineRule="auto"/>
        <w:rPr>
          <w:rFonts w:ascii="Arial"/>
          <w:color w:val="000000" w:themeColor="text1"/>
          <w:sz w:val="21"/>
          <w14:textFill>
            <w14:solidFill>
              <w14:schemeClr w14:val="tx1"/>
            </w14:solidFill>
          </w14:textFill>
        </w:rPr>
      </w:pPr>
    </w:p>
    <w:p w14:paraId="4FEAC562">
      <w:pPr>
        <w:pStyle w:val="18"/>
        <w:spacing w:before="98" w:line="220" w:lineRule="auto"/>
        <w:ind w:left="270"/>
        <w:rPr>
          <w:color w:val="000000" w:themeColor="text1"/>
          <w:sz w:val="30"/>
          <w:szCs w:val="30"/>
          <w14:textFill>
            <w14:solidFill>
              <w14:schemeClr w14:val="tx1"/>
            </w14:solidFill>
          </w14:textFill>
        </w:rPr>
      </w:pPr>
      <w:r>
        <w:rPr>
          <w:b/>
          <w:bCs/>
          <w:color w:val="000000" w:themeColor="text1"/>
          <w:spacing w:val="-6"/>
          <w:sz w:val="30"/>
          <w:szCs w:val="30"/>
          <w14:textFill>
            <w14:solidFill>
              <w14:schemeClr w14:val="tx1"/>
            </w14:solidFill>
          </w14:textFill>
        </w:rPr>
        <w:t>发包人（全称</w:t>
      </w:r>
      <w:r>
        <w:rPr>
          <w:b/>
          <w:bCs/>
          <w:color w:val="000000" w:themeColor="text1"/>
          <w:spacing w:val="-1"/>
          <w:sz w:val="30"/>
          <w:szCs w:val="30"/>
          <w14:textFill>
            <w14:solidFill>
              <w14:schemeClr w14:val="tx1"/>
            </w14:solidFill>
          </w14:textFill>
        </w:rPr>
        <w:t>）：</w:t>
      </w:r>
    </w:p>
    <w:p w14:paraId="067071F4">
      <w:pPr>
        <w:spacing w:line="321" w:lineRule="auto"/>
        <w:rPr>
          <w:rFonts w:ascii="Arial"/>
          <w:color w:val="000000" w:themeColor="text1"/>
          <w:sz w:val="21"/>
          <w14:textFill>
            <w14:solidFill>
              <w14:schemeClr w14:val="tx1"/>
            </w14:solidFill>
          </w14:textFill>
        </w:rPr>
      </w:pPr>
    </w:p>
    <w:p w14:paraId="4AE578AE">
      <w:pPr>
        <w:pStyle w:val="18"/>
        <w:spacing w:before="97" w:line="219" w:lineRule="auto"/>
        <w:ind w:left="265"/>
        <w:rPr>
          <w:color w:val="000000" w:themeColor="text1"/>
          <w:sz w:val="30"/>
          <w:szCs w:val="30"/>
          <w14:textFill>
            <w14:solidFill>
              <w14:schemeClr w14:val="tx1"/>
            </w14:solidFill>
          </w14:textFill>
        </w:rPr>
      </w:pPr>
      <w:r>
        <w:rPr>
          <w:b/>
          <w:bCs/>
          <w:color w:val="000000" w:themeColor="text1"/>
          <w:spacing w:val="-5"/>
          <w:sz w:val="30"/>
          <w:szCs w:val="30"/>
          <w14:textFill>
            <w14:solidFill>
              <w14:schemeClr w14:val="tx1"/>
            </w14:solidFill>
          </w14:textFill>
        </w:rPr>
        <w:t>承包人（全称</w:t>
      </w:r>
      <w:r>
        <w:rPr>
          <w:b/>
          <w:bCs/>
          <w:color w:val="000000" w:themeColor="text1"/>
          <w:spacing w:val="-2"/>
          <w:sz w:val="30"/>
          <w:szCs w:val="30"/>
          <w14:textFill>
            <w14:solidFill>
              <w14:schemeClr w14:val="tx1"/>
            </w14:solidFill>
          </w14:textFill>
        </w:rPr>
        <w:t>）：</w:t>
      </w:r>
    </w:p>
    <w:p w14:paraId="2B3B488E">
      <w:pPr>
        <w:spacing w:line="349" w:lineRule="auto"/>
        <w:rPr>
          <w:rFonts w:ascii="Arial"/>
          <w:color w:val="000000" w:themeColor="text1"/>
          <w:sz w:val="21"/>
          <w14:textFill>
            <w14:solidFill>
              <w14:schemeClr w14:val="tx1"/>
            </w14:solidFill>
          </w14:textFill>
        </w:rPr>
      </w:pPr>
    </w:p>
    <w:p w14:paraId="76843882">
      <w:pPr>
        <w:pStyle w:val="18"/>
        <w:spacing w:before="101" w:line="225" w:lineRule="auto"/>
        <w:ind w:left="307"/>
        <w:rPr>
          <w:color w:val="000000" w:themeColor="text1"/>
          <w:sz w:val="31"/>
          <w:szCs w:val="31"/>
          <w14:textFill>
            <w14:solidFill>
              <w14:schemeClr w14:val="tx1"/>
            </w14:solidFill>
          </w14:textFill>
        </w:rPr>
      </w:pPr>
      <w:r>
        <w:rPr>
          <w:b/>
          <w:bCs/>
          <w:color w:val="000000" w:themeColor="text1"/>
          <w:spacing w:val="3"/>
          <w:sz w:val="31"/>
          <w:szCs w:val="31"/>
          <w14:textFill>
            <w14:solidFill>
              <w14:schemeClr w14:val="tx1"/>
            </w14:solidFill>
          </w14:textFill>
        </w:rPr>
        <w:t>签订合同日期：</w:t>
      </w:r>
      <w:r>
        <w:rPr>
          <w:color w:val="000000" w:themeColor="text1"/>
          <w:spacing w:val="19"/>
          <w:sz w:val="31"/>
          <w:szCs w:val="31"/>
          <w14:textFill>
            <w14:solidFill>
              <w14:schemeClr w14:val="tx1"/>
            </w14:solidFill>
          </w14:textFill>
        </w:rPr>
        <w:t xml:space="preserve">  </w:t>
      </w:r>
      <w:r>
        <w:rPr>
          <w:b/>
          <w:bCs/>
          <w:color w:val="000000" w:themeColor="text1"/>
          <w:spacing w:val="3"/>
          <w:sz w:val="31"/>
          <w:szCs w:val="31"/>
          <w14:textFill>
            <w14:solidFill>
              <w14:schemeClr w14:val="tx1"/>
            </w14:solidFill>
          </w14:textFill>
        </w:rPr>
        <w:t>年</w:t>
      </w:r>
      <w:r>
        <w:rPr>
          <w:color w:val="000000" w:themeColor="text1"/>
          <w:spacing w:val="3"/>
          <w:sz w:val="31"/>
          <w:szCs w:val="31"/>
          <w14:textFill>
            <w14:solidFill>
              <w14:schemeClr w14:val="tx1"/>
            </w14:solidFill>
          </w14:textFill>
        </w:rPr>
        <w:t xml:space="preserve">  </w:t>
      </w:r>
      <w:r>
        <w:rPr>
          <w:b/>
          <w:bCs/>
          <w:color w:val="000000" w:themeColor="text1"/>
          <w:spacing w:val="3"/>
          <w:sz w:val="31"/>
          <w:szCs w:val="31"/>
          <w14:textFill>
            <w14:solidFill>
              <w14:schemeClr w14:val="tx1"/>
            </w14:solidFill>
          </w14:textFill>
        </w:rPr>
        <w:t>月</w:t>
      </w:r>
      <w:r>
        <w:rPr>
          <w:color w:val="000000" w:themeColor="text1"/>
          <w:spacing w:val="40"/>
          <w:sz w:val="31"/>
          <w:szCs w:val="31"/>
          <w14:textFill>
            <w14:solidFill>
              <w14:schemeClr w14:val="tx1"/>
            </w14:solidFill>
          </w14:textFill>
        </w:rPr>
        <w:t xml:space="preserve">  </w:t>
      </w:r>
      <w:r>
        <w:rPr>
          <w:b/>
          <w:bCs/>
          <w:color w:val="000000" w:themeColor="text1"/>
          <w:spacing w:val="3"/>
          <w:sz w:val="31"/>
          <w:szCs w:val="31"/>
          <w14:textFill>
            <w14:solidFill>
              <w14:schemeClr w14:val="tx1"/>
            </w14:solidFill>
          </w14:textFill>
        </w:rPr>
        <w:t>日</w:t>
      </w:r>
    </w:p>
    <w:p w14:paraId="62E13E29">
      <w:pPr>
        <w:spacing w:line="225" w:lineRule="auto"/>
        <w:rPr>
          <w:color w:val="000000" w:themeColor="text1"/>
          <w:sz w:val="31"/>
          <w:szCs w:val="31"/>
          <w14:textFill>
            <w14:solidFill>
              <w14:schemeClr w14:val="tx1"/>
            </w14:solidFill>
          </w14:textFill>
        </w:rPr>
        <w:sectPr>
          <w:footerReference r:id="rId25" w:type="default"/>
          <w:pgSz w:w="11907" w:h="16840"/>
          <w:pgMar w:top="1431" w:right="1786" w:bottom="1045" w:left="1786" w:header="0" w:footer="885" w:gutter="0"/>
          <w:cols w:space="720" w:num="1"/>
        </w:sectPr>
      </w:pPr>
    </w:p>
    <w:p w14:paraId="2766BDC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604"/>
        <w:textAlignment w:val="baseline"/>
        <w:outlineLvl w:val="0"/>
        <w:rPr>
          <w:color w:val="000000" w:themeColor="text1"/>
          <w:sz w:val="28"/>
          <w:szCs w:val="28"/>
          <w14:textFill>
            <w14:solidFill>
              <w14:schemeClr w14:val="tx1"/>
            </w14:solidFill>
          </w14:textFill>
        </w:rPr>
      </w:pPr>
      <w:r>
        <w:rPr>
          <w:rFonts w:ascii="黑体" w:hAnsi="黑体" w:eastAsia="黑体" w:cs="黑体"/>
          <w:color w:val="000000" w:themeColor="text1"/>
          <w:spacing w:val="-4"/>
          <w:sz w:val="22"/>
          <w:szCs w:val="22"/>
          <w14:textFill>
            <w14:solidFill>
              <w14:schemeClr w14:val="tx1"/>
            </w14:solidFill>
          </w14:textFill>
        </w:rPr>
        <w:t>一、</w:t>
      </w:r>
      <w:r>
        <w:rPr>
          <w:b/>
          <w:bCs/>
          <w:color w:val="000000" w:themeColor="text1"/>
          <w:spacing w:val="-4"/>
          <w:sz w:val="28"/>
          <w:szCs w:val="28"/>
          <w14:textFill>
            <w14:solidFill>
              <w14:schemeClr w14:val="tx1"/>
            </w14:solidFill>
          </w14:textFill>
        </w:rPr>
        <w:t>合同协议书</w:t>
      </w:r>
    </w:p>
    <w:p w14:paraId="1961D77E">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14:textFill>
            <w14:solidFill>
              <w14:schemeClr w14:val="tx1"/>
            </w14:solidFill>
          </w14:textFill>
        </w:rPr>
      </w:pPr>
    </w:p>
    <w:p w14:paraId="183F9429">
      <w:pPr>
        <w:pStyle w:val="18"/>
        <w:keepNext w:val="0"/>
        <w:keepLines w:val="0"/>
        <w:pageBreakBefore w:val="0"/>
        <w:widowControl/>
        <w:tabs>
          <w:tab w:val="left" w:pos="1685"/>
        </w:tabs>
        <w:kinsoku w:val="0"/>
        <w:wordWrap/>
        <w:overflowPunct/>
        <w:topLinePunct w:val="0"/>
        <w:autoSpaceDE w:val="0"/>
        <w:autoSpaceDN w:val="0"/>
        <w:bidi w:val="0"/>
        <w:adjustRightInd w:val="0"/>
        <w:snapToGrid w:val="0"/>
        <w:spacing w:line="400" w:lineRule="exact"/>
        <w:ind w:left="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u w:val="single" w:color="auto"/>
          <w14:textFill>
            <w14:solidFill>
              <w14:schemeClr w14:val="tx1"/>
            </w14:solidFill>
          </w14:textFill>
        </w:rPr>
        <w:tab/>
      </w:r>
      <w:r>
        <w:rPr>
          <w:rFonts w:hint="eastAsia" w:ascii="宋体" w:hAnsi="宋体" w:eastAsia="宋体" w:cs="宋体"/>
          <w:color w:val="000000" w:themeColor="text1"/>
          <w:spacing w:val="9"/>
          <w:sz w:val="21"/>
          <w:szCs w:val="21"/>
          <w14:textFill>
            <w14:solidFill>
              <w14:schemeClr w14:val="tx1"/>
            </w14:solidFill>
          </w14:textFill>
        </w:rPr>
        <w:t>（发包人名称，以下简称“发包人</w:t>
      </w:r>
      <w:r>
        <w:rPr>
          <w:rFonts w:hint="eastAsia" w:ascii="宋体" w:hAnsi="宋体" w:eastAsia="宋体" w:cs="宋体"/>
          <w:color w:val="000000" w:themeColor="text1"/>
          <w:spacing w:val="-62"/>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w:t>
      </w:r>
    </w:p>
    <w:p w14:paraId="2EF930A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3" w:firstLine="43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为实施</w:t>
      </w:r>
      <w:r>
        <w:rPr>
          <w:rFonts w:hint="eastAsia" w:ascii="宋体" w:hAnsi="宋体" w:eastAsia="宋体" w:cs="宋体"/>
          <w:color w:val="000000" w:themeColor="text1"/>
          <w:spacing w:val="6"/>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（项目名称</w:t>
      </w:r>
      <w:r>
        <w:rPr>
          <w:rFonts w:hint="eastAsia" w:ascii="宋体" w:hAnsi="宋体" w:eastAsia="宋体" w:cs="宋体"/>
          <w:color w:val="000000" w:themeColor="text1"/>
          <w:spacing w:val="27"/>
          <w:sz w:val="21"/>
          <w:szCs w:val="21"/>
          <w14:textFill>
            <w14:solidFill>
              <w14:schemeClr w14:val="tx1"/>
            </w14:solidFill>
          </w14:textFill>
        </w:rPr>
        <w:t>），</w:t>
      </w:r>
      <w:r>
        <w:rPr>
          <w:rFonts w:hint="eastAsia" w:ascii="宋体" w:hAnsi="宋体" w:eastAsia="宋体" w:cs="宋体"/>
          <w:color w:val="000000" w:themeColor="text1"/>
          <w:spacing w:val="6"/>
          <w:sz w:val="21"/>
          <w:szCs w:val="21"/>
          <w14:textFill>
            <w14:solidFill>
              <w14:schemeClr w14:val="tx1"/>
            </w14:solidFill>
          </w14:textFill>
        </w:rPr>
        <w:t>已接受</w:t>
      </w:r>
      <w:r>
        <w:rPr>
          <w:rFonts w:hint="eastAsia" w:ascii="宋体" w:hAnsi="宋体" w:eastAsia="宋体" w:cs="宋体"/>
          <w:color w:val="000000" w:themeColor="text1"/>
          <w:spacing w:val="-98"/>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（承包人名称，以下简称</w:t>
      </w:r>
      <w:r>
        <w:rPr>
          <w:rFonts w:hint="eastAsia" w:ascii="宋体" w:hAnsi="宋体" w:eastAsia="宋体" w:cs="宋体"/>
          <w:color w:val="000000" w:themeColor="text1"/>
          <w:spacing w:val="9"/>
          <w:sz w:val="21"/>
          <w:szCs w:val="21"/>
          <w14:textFill>
            <w14:solidFill>
              <w14:schemeClr w14:val="tx1"/>
            </w14:solidFill>
          </w14:textFill>
        </w:rPr>
        <w:t>“承包人</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”）对该项目施工的竞标。发包人和</w:t>
      </w:r>
      <w:r>
        <w:rPr>
          <w:rFonts w:hint="eastAsia" w:ascii="宋体" w:hAnsi="宋体" w:eastAsia="宋体" w:cs="宋体"/>
          <w:color w:val="000000" w:themeColor="text1"/>
          <w:spacing w:val="8"/>
          <w:sz w:val="21"/>
          <w:szCs w:val="21"/>
          <w14:textFill>
            <w14:solidFill>
              <w14:schemeClr w14:val="tx1"/>
            </w14:solidFill>
          </w14:textFill>
        </w:rPr>
        <w:t>承包人共同达成如下协议。</w:t>
      </w:r>
    </w:p>
    <w:p w14:paraId="70E3D3E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1．项目概况：</w:t>
      </w:r>
      <w:r>
        <w:rPr>
          <w:rFonts w:hint="eastAsia" w:ascii="宋体" w:hAnsi="宋体" w:eastAsia="宋体" w:cs="宋体"/>
          <w:color w:val="000000" w:themeColor="text1"/>
          <w:spacing w:val="6"/>
          <w:sz w:val="21"/>
          <w:szCs w:val="21"/>
          <w:u w:val="single" w:color="auto"/>
          <w14:textFill>
            <w14:solidFill>
              <w14:schemeClr w14:val="tx1"/>
            </w14:solidFill>
          </w14:textFill>
        </w:rPr>
        <w:t xml:space="preserve">      主要工程内容              </w:t>
      </w:r>
      <w:r>
        <w:rPr>
          <w:rFonts w:hint="eastAsia" w:ascii="宋体" w:hAnsi="宋体" w:eastAsia="宋体" w:cs="宋体"/>
          <w:color w:val="000000" w:themeColor="text1"/>
          <w:spacing w:val="-53"/>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。详见施工图纸及工程量清单。</w:t>
      </w:r>
    </w:p>
    <w:p w14:paraId="0823D95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2. 下列文件应视为构成合同文件的组成部分：</w:t>
      </w:r>
    </w:p>
    <w:p w14:paraId="6156987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（1）本协议书及各种合同附件（含评标期间和合同谈判过程中的澄清文件和补充资料</w:t>
      </w:r>
      <w:r>
        <w:rPr>
          <w:rFonts w:hint="eastAsia" w:ascii="宋体" w:hAnsi="宋体" w:eastAsia="宋体" w:cs="宋体"/>
          <w:color w:val="000000" w:themeColor="text1"/>
          <w:spacing w:val="5"/>
          <w:sz w:val="21"/>
          <w:szCs w:val="21"/>
          <w14:textFill>
            <w14:solidFill>
              <w14:schemeClr w14:val="tx1"/>
            </w14:solidFill>
          </w14:textFill>
        </w:rPr>
        <w:t>）；</w:t>
      </w:r>
    </w:p>
    <w:p w14:paraId="31AF054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（2）成交通知书；</w:t>
      </w:r>
    </w:p>
    <w:p w14:paraId="6C13696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（3）项目专用合同条款；</w:t>
      </w:r>
    </w:p>
    <w:p w14:paraId="288D9A6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（4）公路工程专用合同条款；</w:t>
      </w:r>
    </w:p>
    <w:p w14:paraId="6B8B78C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（5）通用合同条款；</w:t>
      </w:r>
    </w:p>
    <w:p w14:paraId="72E722A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（6）技术规范；</w:t>
      </w:r>
    </w:p>
    <w:p w14:paraId="3456907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（7）图纸；</w:t>
      </w:r>
    </w:p>
    <w:p w14:paraId="783294C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（8）</w:t>
      </w:r>
      <w:r>
        <w:rPr>
          <w:rFonts w:hint="eastAsia" w:ascii="宋体" w:hAnsi="宋体" w:eastAsia="宋体" w:cs="宋体"/>
          <w:color w:val="000000" w:themeColor="text1"/>
          <w:spacing w:val="-52"/>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已标价工程量清单；</w:t>
      </w:r>
    </w:p>
    <w:p w14:paraId="118EDC6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（9）政府采购计划书；</w:t>
      </w:r>
    </w:p>
    <w:p w14:paraId="227E970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（10）招投标、磋商文件；</w:t>
      </w:r>
    </w:p>
    <w:p w14:paraId="43F64A4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（11）承包人有关人员、设备投入的承诺及投标文件中的施工组织设计</w:t>
      </w:r>
      <w:r>
        <w:rPr>
          <w:rFonts w:hint="eastAsia" w:ascii="宋体" w:hAnsi="宋体" w:eastAsia="宋体" w:cs="宋体"/>
          <w:color w:val="000000" w:themeColor="text1"/>
          <w:sz w:val="21"/>
          <w:szCs w:val="21"/>
          <w14:textFill>
            <w14:solidFill>
              <w14:schemeClr w14:val="tx1"/>
            </w14:solidFill>
          </w14:textFill>
        </w:rPr>
        <w:t>；；</w:t>
      </w:r>
    </w:p>
    <w:p w14:paraId="49472D6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（12）其他合同文件。</w:t>
      </w:r>
    </w:p>
    <w:p w14:paraId="2E52AD0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3.上述文件互相补充和解释，如有不明确或不一致之处，</w:t>
      </w:r>
      <w:r>
        <w:rPr>
          <w:rFonts w:hint="eastAsia" w:ascii="宋体" w:hAnsi="宋体" w:eastAsia="宋体" w:cs="宋体"/>
          <w:color w:val="000000" w:themeColor="text1"/>
          <w:spacing w:val="-60"/>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以合同约定次序在先者为</w:t>
      </w:r>
      <w:r>
        <w:rPr>
          <w:rFonts w:hint="eastAsia" w:ascii="宋体" w:hAnsi="宋体" w:eastAsia="宋体" w:cs="宋体"/>
          <w:color w:val="000000" w:themeColor="text1"/>
          <w:spacing w:val="7"/>
          <w:sz w:val="21"/>
          <w:szCs w:val="21"/>
          <w14:textFill>
            <w14:solidFill>
              <w14:schemeClr w14:val="tx1"/>
            </w14:solidFill>
          </w14:textFill>
        </w:rPr>
        <w:t>准。</w:t>
      </w:r>
    </w:p>
    <w:p w14:paraId="789DE69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4.项目签约合同价：人民币（大写）</w:t>
      </w:r>
      <w:r>
        <w:rPr>
          <w:rFonts w:hint="eastAsia" w:ascii="宋体" w:hAnsi="宋体" w:eastAsia="宋体" w:cs="宋体"/>
          <w:color w:val="000000" w:themeColor="text1"/>
          <w:spacing w:val="6"/>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8"/>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6"/>
          <w:sz w:val="21"/>
          <w:szCs w:val="21"/>
          <w:u w:val="single" w:color="auto"/>
          <w14:textFill>
            <w14:solidFill>
              <w14:schemeClr w14:val="tx1"/>
            </w14:solidFill>
          </w14:textFill>
        </w:rPr>
        <w:t>元）</w:t>
      </w:r>
    </w:p>
    <w:p w14:paraId="6B256C9B">
      <w:pPr>
        <w:pStyle w:val="18"/>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cs="宋体"/>
          <w:color w:val="000000" w:themeColor="text1"/>
          <w:spacing w:val="8"/>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5.承包方式为：</w:t>
      </w:r>
      <w:r>
        <w:rPr>
          <w:rFonts w:hint="eastAsia" w:ascii="宋体" w:hAnsi="宋体" w:eastAsia="宋体" w:cs="宋体"/>
          <w:color w:val="000000" w:themeColor="text1"/>
          <w:spacing w:val="8"/>
          <w:sz w:val="21"/>
          <w:szCs w:val="21"/>
          <w:u w:val="single" w:color="auto"/>
          <w14:textFill>
            <w14:solidFill>
              <w14:schemeClr w14:val="tx1"/>
            </w14:solidFill>
          </w14:textFill>
        </w:rPr>
        <w:t>本工程采用固定综合单价包干合同，最终结算总价以实际发生的工程量结算</w:t>
      </w:r>
      <w:r>
        <w:rPr>
          <w:rFonts w:hint="eastAsia" w:ascii="宋体" w:hAnsi="宋体" w:eastAsia="宋体" w:cs="宋体"/>
          <w:color w:val="000000" w:themeColor="text1"/>
          <w:spacing w:val="8"/>
          <w:sz w:val="21"/>
          <w:szCs w:val="21"/>
          <w14:textFill>
            <w14:solidFill>
              <w14:schemeClr w14:val="tx1"/>
            </w14:solidFill>
          </w14:textFill>
        </w:rPr>
        <w:t>。</w:t>
      </w:r>
    </w:p>
    <w:p w14:paraId="173E33C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6.  合同工期：</w:t>
      </w:r>
    </w:p>
    <w:p w14:paraId="759ED78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85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开工日期：</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 xml:space="preserve"> 年</w:t>
      </w:r>
      <w:r>
        <w:rPr>
          <w:rFonts w:hint="eastAsia" w:ascii="宋体" w:hAnsi="宋体" w:eastAsia="宋体" w:cs="宋体"/>
          <w:color w:val="000000" w:themeColor="text1"/>
          <w:spacing w:val="-95"/>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83"/>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月</w:t>
      </w:r>
      <w:r>
        <w:rPr>
          <w:rFonts w:hint="eastAsia" w:ascii="宋体" w:hAnsi="宋体" w:eastAsia="宋体" w:cs="宋体"/>
          <w:color w:val="000000" w:themeColor="text1"/>
          <w:spacing w:val="8"/>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56"/>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日</w:t>
      </w:r>
    </w:p>
    <w:p w14:paraId="7B86510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8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竣工日期：</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 xml:space="preserve"> 年</w:t>
      </w:r>
      <w:r>
        <w:rPr>
          <w:rFonts w:hint="eastAsia" w:ascii="宋体" w:hAnsi="宋体" w:eastAsia="宋体" w:cs="宋体"/>
          <w:color w:val="000000" w:themeColor="text1"/>
          <w:spacing w:val="-95"/>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83"/>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月</w:t>
      </w:r>
      <w:r>
        <w:rPr>
          <w:rFonts w:hint="eastAsia" w:ascii="宋体" w:hAnsi="宋体" w:eastAsia="宋体" w:cs="宋体"/>
          <w:color w:val="000000" w:themeColor="text1"/>
          <w:spacing w:val="8"/>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56"/>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日</w:t>
      </w:r>
    </w:p>
    <w:p w14:paraId="6CDD497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8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合同工期总日历天数：</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48"/>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日历天</w:t>
      </w:r>
    </w:p>
    <w:p w14:paraId="0595291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7．项目款支付方式：</w:t>
      </w:r>
    </w:p>
    <w:p w14:paraId="32A6219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1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7.</w:t>
      </w:r>
      <w:r>
        <w:rPr>
          <w:rFonts w:hint="eastAsia" w:ascii="宋体" w:hAnsi="宋体" w:eastAsia="宋体" w:cs="宋体"/>
          <w:color w:val="000000" w:themeColor="text1"/>
          <w:spacing w:val="-21"/>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1 进度款：</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0FCD4DC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628" w:right="3430" w:hanging="22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8.（1）工程款支付账户：</w:t>
      </w:r>
      <w:r>
        <w:rPr>
          <w:rFonts w:hint="eastAsia" w:ascii="宋体" w:hAnsi="宋体" w:eastAsia="宋体" w:cs="宋体"/>
          <w:color w:val="000000" w:themeColor="text1"/>
          <w:spacing w:val="6"/>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开户银行：</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7B3CBBA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61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账号</w:t>
      </w:r>
      <w:r>
        <w:rPr>
          <w:rFonts w:hint="eastAsia" w:ascii="宋体" w:hAnsi="宋体" w:eastAsia="宋体" w:cs="宋体"/>
          <w:color w:val="000000" w:themeColor="text1"/>
          <w:spacing w:val="2"/>
          <w:sz w:val="21"/>
          <w:szCs w:val="21"/>
          <w:u w:val="single" w:color="auto"/>
          <w14:textFill>
            <w14:solidFill>
              <w14:schemeClr w14:val="tx1"/>
            </w14:solidFill>
          </w14:textFill>
        </w:rPr>
        <w:t>：</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5C0CF2F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5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（2）安全生产费用专户：</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68249D9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61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开户银行：</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09ED1EE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63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账号：</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57887C7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5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（3）农民工工资支付专用账户：</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5FF71CE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82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开户银行：</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4BCB34F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84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账号：</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3926496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9. 承包人项目经理：</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43A20C9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10. 工程质量符合</w:t>
      </w:r>
      <w:r>
        <w:rPr>
          <w:rFonts w:hint="eastAsia" w:ascii="宋体" w:hAnsi="宋体" w:eastAsia="宋体" w:cs="宋体"/>
          <w:color w:val="000000" w:themeColor="text1"/>
          <w:spacing w:val="-88"/>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91"/>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标准。</w:t>
      </w:r>
    </w:p>
    <w:p w14:paraId="236E1C5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11. 承包人承诺按合同约定承担工程的实施、完成及缺陷修复。</w:t>
      </w:r>
    </w:p>
    <w:p w14:paraId="66BED91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12. 发包人承诺按合同约定的条件、时间和方式向承包人支付合同价款。</w:t>
      </w:r>
    </w:p>
    <w:p w14:paraId="06E8C97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13.工程项目审计：工程项目必需经审计单位审计，以审</w:t>
      </w:r>
      <w:r>
        <w:rPr>
          <w:rFonts w:hint="eastAsia" w:ascii="宋体" w:hAnsi="宋体" w:eastAsia="宋体" w:cs="宋体"/>
          <w:color w:val="000000" w:themeColor="text1"/>
          <w:spacing w:val="8"/>
          <w:sz w:val="21"/>
          <w:szCs w:val="21"/>
          <w14:textFill>
            <w14:solidFill>
              <w14:schemeClr w14:val="tx1"/>
            </w14:solidFill>
          </w14:textFill>
        </w:rPr>
        <w:t>计结果作为竣工结算的依据。</w:t>
      </w:r>
    </w:p>
    <w:p w14:paraId="17B0808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3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14. 本协议书由双方法定代表人或其委托代理人签署并加盖单位公章后生效。全</w:t>
      </w:r>
      <w:r>
        <w:rPr>
          <w:rFonts w:hint="eastAsia" w:ascii="宋体" w:hAnsi="宋体" w:eastAsia="宋体" w:cs="宋体"/>
          <w:color w:val="000000" w:themeColor="text1"/>
          <w:spacing w:val="8"/>
          <w:sz w:val="21"/>
          <w:szCs w:val="21"/>
          <w14:textFill>
            <w14:solidFill>
              <w14:schemeClr w14:val="tx1"/>
            </w14:solidFill>
          </w14:textFill>
        </w:rPr>
        <w:t>部工程完工后</w:t>
      </w:r>
      <w:r>
        <w:rPr>
          <w:rFonts w:hint="eastAsia" w:ascii="宋体" w:hAnsi="宋体" w:eastAsia="宋体" w:cs="宋体"/>
          <w:color w:val="000000" w:themeColor="text1"/>
          <w:spacing w:val="9"/>
          <w:sz w:val="21"/>
          <w:szCs w:val="21"/>
          <w14:textFill>
            <w14:solidFill>
              <w14:schemeClr w14:val="tx1"/>
            </w14:solidFill>
          </w14:textFill>
        </w:rPr>
        <w:t>经竣交工验收合格、缺陷责任期满签发缺陷责任终止证书后生效。</w:t>
      </w:r>
    </w:p>
    <w:p w14:paraId="1A64075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15．本协议书正本</w:t>
      </w:r>
      <w:r>
        <w:rPr>
          <w:rFonts w:hint="eastAsia" w:ascii="宋体" w:hAnsi="宋体" w:eastAsia="宋体" w:cs="宋体"/>
          <w:color w:val="000000" w:themeColor="text1"/>
          <w:spacing w:val="-98"/>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92"/>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份、副本</w:t>
      </w:r>
      <w:r>
        <w:rPr>
          <w:rFonts w:hint="eastAsia" w:ascii="宋体" w:hAnsi="宋体" w:eastAsia="宋体" w:cs="宋体"/>
          <w:color w:val="000000" w:themeColor="text1"/>
          <w:spacing w:val="-98"/>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91"/>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份，合同双方各执正</w:t>
      </w:r>
      <w:r>
        <w:rPr>
          <w:rFonts w:hint="eastAsia" w:ascii="宋体" w:hAnsi="宋体" w:eastAsia="宋体" w:cs="宋体"/>
          <w:color w:val="000000" w:themeColor="text1"/>
          <w:spacing w:val="7"/>
          <w:sz w:val="21"/>
          <w:szCs w:val="21"/>
          <w14:textFill>
            <w14:solidFill>
              <w14:schemeClr w14:val="tx1"/>
            </w14:solidFill>
          </w14:textFill>
        </w:rPr>
        <w:t>本</w:t>
      </w:r>
      <w:r>
        <w:rPr>
          <w:rFonts w:hint="eastAsia" w:ascii="宋体" w:hAnsi="宋体" w:eastAsia="宋体" w:cs="宋体"/>
          <w:color w:val="000000" w:themeColor="text1"/>
          <w:spacing w:val="-99"/>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91"/>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份，副本</w:t>
      </w:r>
      <w:r>
        <w:rPr>
          <w:rFonts w:hint="eastAsia" w:ascii="宋体" w:hAnsi="宋体" w:eastAsia="宋体" w:cs="宋体"/>
          <w:color w:val="000000" w:themeColor="text1"/>
          <w:spacing w:val="-98"/>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92"/>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份，当正本与副</w:t>
      </w:r>
      <w:r>
        <w:rPr>
          <w:rFonts w:hint="eastAsia" w:ascii="宋体" w:hAnsi="宋体" w:eastAsia="宋体" w:cs="宋体"/>
          <w:color w:val="000000" w:themeColor="text1"/>
          <w:spacing w:val="8"/>
          <w:sz w:val="21"/>
          <w:szCs w:val="21"/>
          <w14:textFill>
            <w14:solidFill>
              <w14:schemeClr w14:val="tx1"/>
            </w14:solidFill>
          </w14:textFill>
        </w:rPr>
        <w:t>本的内容不一致时，以正本为准。</w:t>
      </w:r>
    </w:p>
    <w:p w14:paraId="14412F2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16.合同未尽事宜，双方另行签订补充协议，补充协议是合同的组成部分。</w:t>
      </w:r>
    </w:p>
    <w:p w14:paraId="325B23BE">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65FA197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11"/>
        <w:textAlignment w:val="baseline"/>
        <w:rPr>
          <w:rFonts w:hint="eastAsia" w:ascii="宋体" w:hAnsi="宋体" w:eastAsia="宋体" w:cs="宋体"/>
          <w:color w:val="000000" w:themeColor="text1"/>
          <w:sz w:val="21"/>
          <w:szCs w:val="21"/>
          <w:u w:val="single"/>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发包人</w:t>
      </w:r>
      <w:r>
        <w:rPr>
          <w:rFonts w:hint="eastAsia" w:ascii="宋体" w:hAnsi="宋体" w:eastAsia="宋体" w:cs="宋体"/>
          <w:b/>
          <w:bCs/>
          <w:color w:val="000000" w:themeColor="text1"/>
          <w:spacing w:val="4"/>
          <w:sz w:val="21"/>
          <w:szCs w:val="21"/>
          <w14:textFill>
            <w14:solidFill>
              <w14:schemeClr w14:val="tx1"/>
            </w14:solidFill>
          </w14:textFill>
        </w:rPr>
        <w:t>：</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10"/>
          <w:sz w:val="21"/>
          <w:szCs w:val="21"/>
          <w:u w:val="single"/>
          <w14:textFill>
            <w14:solidFill>
              <w14:schemeClr w14:val="tx1"/>
            </w14:solidFill>
          </w14:textFill>
        </w:rPr>
        <w:t>（公章</w:t>
      </w:r>
      <w:r>
        <w:rPr>
          <w:rFonts w:hint="eastAsia" w:ascii="宋体" w:hAnsi="宋体" w:eastAsia="宋体" w:cs="宋体"/>
          <w:color w:val="000000" w:themeColor="text1"/>
          <w:spacing w:val="-14"/>
          <w:sz w:val="21"/>
          <w:szCs w:val="21"/>
          <w:u w:val="single"/>
          <w14:textFill>
            <w14:solidFill>
              <w14:schemeClr w14:val="tx1"/>
            </w14:solidFill>
          </w14:textFill>
        </w:rPr>
        <w:t>）</w:t>
      </w:r>
      <w:r>
        <w:rPr>
          <w:rFonts w:hint="eastAsia" w:ascii="宋体" w:hAnsi="宋体" w:eastAsia="宋体" w:cs="宋体"/>
          <w:color w:val="000000" w:themeColor="text1"/>
          <w:spacing w:val="2"/>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承包人：</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1"/>
          <w:sz w:val="21"/>
          <w:szCs w:val="21"/>
          <w:u w:val="single"/>
          <w14:textFill>
            <w14:solidFill>
              <w14:schemeClr w14:val="tx1"/>
            </w14:solidFill>
          </w14:textFill>
        </w:rPr>
        <w:t xml:space="preserve"> </w:t>
      </w:r>
      <w:r>
        <w:rPr>
          <w:rFonts w:hint="eastAsia" w:ascii="宋体" w:hAnsi="宋体" w:eastAsia="宋体" w:cs="宋体"/>
          <w:color w:val="000000" w:themeColor="text1"/>
          <w:spacing w:val="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14"/>
          <w:sz w:val="21"/>
          <w:szCs w:val="21"/>
          <w:u w:val="single"/>
          <w14:textFill>
            <w14:solidFill>
              <w14:schemeClr w14:val="tx1"/>
            </w14:solidFill>
          </w14:textFill>
        </w:rPr>
        <w:t>（</w:t>
      </w:r>
      <w:r>
        <w:rPr>
          <w:rFonts w:hint="eastAsia" w:ascii="宋体" w:hAnsi="宋体" w:eastAsia="宋体" w:cs="宋体"/>
          <w:color w:val="000000" w:themeColor="text1"/>
          <w:spacing w:val="10"/>
          <w:sz w:val="21"/>
          <w:szCs w:val="21"/>
          <w:u w:val="single"/>
          <w14:textFill>
            <w14:solidFill>
              <w14:schemeClr w14:val="tx1"/>
            </w14:solidFill>
          </w14:textFill>
        </w:rPr>
        <w:t>公章）</w:t>
      </w:r>
    </w:p>
    <w:p w14:paraId="005ED32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07"/>
        <w:textAlignment w:val="baseline"/>
        <w:rPr>
          <w:rFonts w:hint="eastAsia" w:ascii="宋体" w:hAnsi="宋体" w:eastAsia="宋体" w:cs="宋体"/>
          <w:color w:val="000000" w:themeColor="text1"/>
          <w:sz w:val="21"/>
          <w:szCs w:val="21"/>
          <w:u w:val="single"/>
          <w:lang w:val="en-US" w:eastAsia="zh-CN"/>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地</w:t>
      </w:r>
      <w:r>
        <w:rPr>
          <w:rFonts w:hint="eastAsia" w:ascii="宋体" w:hAnsi="宋体" w:eastAsia="宋体" w:cs="宋体"/>
          <w:color w:val="000000" w:themeColor="text1"/>
          <w:spacing w:val="9"/>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址：</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 xml:space="preserve">          地址：</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p>
    <w:p w14:paraId="4030AB8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07"/>
        <w:textAlignment w:val="baseline"/>
        <w:rPr>
          <w:rFonts w:hint="eastAsia" w:ascii="宋体" w:hAnsi="宋体" w:eastAsia="宋体" w:cs="宋体"/>
          <w:color w:val="000000" w:themeColor="text1"/>
          <w:spacing w:val="2"/>
          <w:sz w:val="21"/>
          <w:szCs w:val="21"/>
          <w:u w:val="single"/>
          <w:lang w:val="en-US" w:eastAsia="zh-CN"/>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法定代表人：</w:t>
      </w:r>
      <w:r>
        <w:rPr>
          <w:rFonts w:hint="eastAsia" w:ascii="宋体" w:hAnsi="宋体" w:eastAsia="宋体" w:cs="宋体"/>
          <w:color w:val="000000" w:themeColor="text1"/>
          <w:spacing w:val="2"/>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法定代表人：</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p>
    <w:p w14:paraId="2A57402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07"/>
        <w:textAlignment w:val="baseline"/>
        <w:rPr>
          <w:rFonts w:hint="eastAsia" w:ascii="宋体" w:hAnsi="宋体" w:eastAsia="宋体" w:cs="宋体"/>
          <w:color w:val="000000" w:themeColor="text1"/>
          <w:spacing w:val="2"/>
          <w:sz w:val="21"/>
          <w:szCs w:val="21"/>
          <w:u w:val="single"/>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或其委托代理人：</w:t>
      </w:r>
      <w:r>
        <w:rPr>
          <w:rFonts w:hint="eastAsia" w:ascii="宋体" w:hAnsi="宋体" w:eastAsia="宋体" w:cs="宋体"/>
          <w:color w:val="000000" w:themeColor="text1"/>
          <w:spacing w:val="2"/>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或其委托代理人：</w:t>
      </w:r>
      <w:r>
        <w:rPr>
          <w:rFonts w:hint="eastAsia" w:ascii="宋体" w:hAnsi="宋体" w:eastAsia="宋体" w:cs="宋体"/>
          <w:color w:val="000000" w:themeColor="text1"/>
          <w:spacing w:val="2"/>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p>
    <w:p w14:paraId="4852340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07"/>
        <w:textAlignment w:val="baseline"/>
        <w:rPr>
          <w:rFonts w:hint="eastAsia" w:ascii="宋体" w:hAnsi="宋体" w:eastAsia="宋体" w:cs="宋体"/>
          <w:color w:val="000000" w:themeColor="text1"/>
          <w:spacing w:val="2"/>
          <w:sz w:val="21"/>
          <w:szCs w:val="21"/>
          <w:u w:val="single"/>
          <w:lang w:val="en-US" w:eastAsia="zh-CN"/>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邮政编码：</w:t>
      </w:r>
      <w:r>
        <w:rPr>
          <w:rFonts w:hint="eastAsia" w:ascii="宋体" w:hAnsi="宋体" w:eastAsia="宋体" w:cs="宋体"/>
          <w:color w:val="000000" w:themeColor="text1"/>
          <w:spacing w:val="2"/>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 xml:space="preserve">     邮政编码：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p>
    <w:p w14:paraId="7C7FA32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0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电</w:t>
      </w:r>
      <w:r>
        <w:rPr>
          <w:rFonts w:hint="eastAsia" w:ascii="宋体" w:hAnsi="宋体" w:eastAsia="宋体" w:cs="宋体"/>
          <w:color w:val="000000" w:themeColor="text1"/>
          <w:spacing w:val="16"/>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话</w:t>
      </w:r>
      <w:r>
        <w:rPr>
          <w:rFonts w:hint="eastAsia" w:ascii="宋体" w:hAnsi="宋体" w:eastAsia="宋体" w:cs="宋体"/>
          <w:color w:val="000000" w:themeColor="text1"/>
          <w:spacing w:val="-73"/>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 xml:space="preserve">         电  话：</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p>
    <w:p w14:paraId="5D41AEC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0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传</w:t>
      </w:r>
      <w:r>
        <w:rPr>
          <w:rFonts w:hint="eastAsia" w:ascii="宋体" w:hAnsi="宋体" w:eastAsia="宋体" w:cs="宋体"/>
          <w:color w:val="000000" w:themeColor="text1"/>
          <w:spacing w:val="10"/>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真</w:t>
      </w:r>
      <w:r>
        <w:rPr>
          <w:rFonts w:hint="eastAsia" w:ascii="宋体" w:hAnsi="宋体" w:eastAsia="宋体" w:cs="宋体"/>
          <w:color w:val="000000" w:themeColor="text1"/>
          <w:spacing w:val="-73"/>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 xml:space="preserve">    传</w:t>
      </w:r>
      <w:r>
        <w:rPr>
          <w:rFonts w:hint="eastAsia" w:ascii="宋体" w:hAnsi="宋体" w:eastAsia="宋体" w:cs="宋体"/>
          <w:color w:val="000000" w:themeColor="text1"/>
          <w:spacing w:val="11"/>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真：</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p>
    <w:p w14:paraId="6B05401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0" w:firstLineChars="100"/>
        <w:textAlignment w:val="baseline"/>
        <w:rPr>
          <w:rFonts w:hint="eastAsia" w:ascii="宋体" w:hAnsi="宋体" w:eastAsia="宋体" w:cs="宋体"/>
          <w:color w:val="000000" w:themeColor="text1"/>
          <w:spacing w:val="2"/>
          <w:sz w:val="21"/>
          <w:szCs w:val="21"/>
          <w:u w:val="single"/>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开户银行：</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开户银行：</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p>
    <w:p w14:paraId="07520D1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196"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账</w:t>
      </w:r>
      <w:r>
        <w:rPr>
          <w:rFonts w:hint="eastAsia" w:ascii="宋体" w:hAnsi="宋体" w:eastAsia="宋体" w:cs="宋体"/>
          <w:color w:val="000000" w:themeColor="text1"/>
          <w:spacing w:val="14"/>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号</w:t>
      </w:r>
      <w:r>
        <w:rPr>
          <w:rFonts w:hint="eastAsia" w:ascii="宋体" w:hAnsi="宋体" w:eastAsia="宋体" w:cs="宋体"/>
          <w:color w:val="000000" w:themeColor="text1"/>
          <w:spacing w:val="-74"/>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账</w:t>
      </w:r>
      <w:r>
        <w:rPr>
          <w:rFonts w:hint="eastAsia" w:ascii="宋体" w:hAnsi="宋体" w:eastAsia="宋体" w:cs="宋体"/>
          <w:color w:val="000000" w:themeColor="text1"/>
          <w:spacing w:val="19"/>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号：</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p>
    <w:p w14:paraId="46DA6C6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1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统一社会信用代码：</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统一社会信用代码：</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lang w:val="en-US" w:eastAsia="zh-CN"/>
          <w14:textFill>
            <w14:solidFill>
              <w14:schemeClr w14:val="tx1"/>
            </w14:solidFill>
          </w14:textFill>
        </w:rPr>
        <w:t xml:space="preserve"> </w:t>
      </w:r>
    </w:p>
    <w:p w14:paraId="392DDFD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776" w:firstLineChars="4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年</w:t>
      </w:r>
      <w:r>
        <w:rPr>
          <w:rFonts w:hint="eastAsia" w:ascii="宋体" w:hAnsi="宋体" w:eastAsia="宋体" w:cs="宋体"/>
          <w:color w:val="000000" w:themeColor="text1"/>
          <w:spacing w:val="11"/>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月</w:t>
      </w:r>
      <w:r>
        <w:rPr>
          <w:rFonts w:hint="eastAsia" w:ascii="宋体" w:hAnsi="宋体" w:eastAsia="宋体" w:cs="宋体"/>
          <w:color w:val="000000" w:themeColor="text1"/>
          <w:spacing w:val="16"/>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日</w:t>
      </w:r>
      <w:r>
        <w:rPr>
          <w:rFonts w:hint="eastAsia" w:ascii="宋体" w:hAnsi="宋体" w:eastAsia="宋体" w:cs="宋体"/>
          <w:color w:val="000000" w:themeColor="text1"/>
          <w:spacing w:val="1"/>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年</w:t>
      </w:r>
      <w:r>
        <w:rPr>
          <w:rFonts w:hint="eastAsia" w:ascii="宋体" w:hAnsi="宋体" w:eastAsia="宋体" w:cs="宋体"/>
          <w:color w:val="000000" w:themeColor="text1"/>
          <w:spacing w:val="13"/>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月</w:t>
      </w:r>
      <w:r>
        <w:rPr>
          <w:rFonts w:hint="eastAsia" w:ascii="宋体" w:hAnsi="宋体" w:eastAsia="宋体" w:cs="宋体"/>
          <w:color w:val="000000" w:themeColor="text1"/>
          <w:spacing w:val="14"/>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日</w:t>
      </w:r>
    </w:p>
    <w:p w14:paraId="7D7EA235">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000000" w:themeColor="text1"/>
          <w14:textFill>
            <w14:solidFill>
              <w14:schemeClr w14:val="tx1"/>
            </w14:solidFill>
          </w14:textFill>
        </w:rPr>
        <w:sectPr>
          <w:footerReference r:id="rId26" w:type="default"/>
          <w:pgSz w:w="11907" w:h="16840"/>
          <w:pgMar w:top="1431" w:right="1502" w:bottom="1048" w:left="1446" w:header="0" w:footer="885" w:gutter="0"/>
          <w:cols w:space="720" w:num="1"/>
        </w:sectPr>
      </w:pPr>
    </w:p>
    <w:p w14:paraId="3139031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677"/>
        <w:textAlignment w:val="baseline"/>
        <w:outlineLvl w:val="0"/>
        <w:rPr>
          <w:color w:val="000000" w:themeColor="text1"/>
          <w:sz w:val="28"/>
          <w:szCs w:val="28"/>
          <w14:textFill>
            <w14:solidFill>
              <w14:schemeClr w14:val="tx1"/>
            </w14:solidFill>
          </w14:textFill>
        </w:rPr>
      </w:pPr>
      <w:r>
        <w:rPr>
          <w:b/>
          <w:bCs/>
          <w:color w:val="000000" w:themeColor="text1"/>
          <w:spacing w:val="-5"/>
          <w:sz w:val="28"/>
          <w:szCs w:val="28"/>
          <w14:textFill>
            <w14:solidFill>
              <w14:schemeClr w14:val="tx1"/>
            </w14:solidFill>
          </w14:textFill>
        </w:rPr>
        <w:t>二、廉政合同</w:t>
      </w:r>
    </w:p>
    <w:p w14:paraId="017E6B8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0"/>
        <w:jc w:val="both"/>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根据《关于在交通基础设施建设中加强廉政建设的若干意见</w:t>
      </w:r>
      <w:r>
        <w:rPr>
          <w:color w:val="000000" w:themeColor="text1"/>
          <w:spacing w:val="8"/>
          <w:sz w:val="21"/>
          <w:szCs w:val="21"/>
          <w14:textFill>
            <w14:solidFill>
              <w14:schemeClr w14:val="tx1"/>
            </w14:solidFill>
          </w14:textFill>
        </w:rPr>
        <w:t>》</w:t>
      </w:r>
      <w:r>
        <w:rPr>
          <w:color w:val="000000" w:themeColor="text1"/>
          <w:spacing w:val="-57"/>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以及有关工程建设、廉政建设的</w:t>
      </w:r>
      <w:r>
        <w:rPr>
          <w:color w:val="000000" w:themeColor="text1"/>
          <w:spacing w:val="10"/>
          <w:sz w:val="21"/>
          <w:szCs w:val="21"/>
          <w14:textFill>
            <w14:solidFill>
              <w14:schemeClr w14:val="tx1"/>
            </w14:solidFill>
          </w14:textFill>
        </w:rPr>
        <w:t>规定，为做好工程建设中的党风廉政建设，保证工程建设高效优质，保</w:t>
      </w:r>
      <w:r>
        <w:rPr>
          <w:color w:val="000000" w:themeColor="text1"/>
          <w:spacing w:val="9"/>
          <w:sz w:val="21"/>
          <w:szCs w:val="21"/>
          <w14:textFill>
            <w14:solidFill>
              <w14:schemeClr w14:val="tx1"/>
            </w14:solidFill>
          </w14:textFill>
        </w:rPr>
        <w:t>证建设资金的安全和有效使</w:t>
      </w:r>
      <w:r>
        <w:rPr>
          <w:color w:val="000000" w:themeColor="text1"/>
          <w:spacing w:val="10"/>
          <w:sz w:val="21"/>
          <w:szCs w:val="21"/>
          <w14:textFill>
            <w14:solidFill>
              <w14:schemeClr w14:val="tx1"/>
            </w14:solidFill>
          </w14:textFill>
        </w:rPr>
        <w:t>用以及投资效益</w:t>
      </w:r>
      <w:r>
        <w:rPr>
          <w:color w:val="000000" w:themeColor="text1"/>
          <w:spacing w:val="-17"/>
          <w:sz w:val="21"/>
          <w:szCs w:val="21"/>
          <w14:textFill>
            <w14:solidFill>
              <w14:schemeClr w14:val="tx1"/>
            </w14:solidFill>
          </w14:textFill>
        </w:rPr>
        <w:t>，</w:t>
      </w:r>
      <w:r>
        <w:rPr>
          <w:color w:val="000000" w:themeColor="text1"/>
          <w:spacing w:val="4"/>
          <w:sz w:val="21"/>
          <w:szCs w:val="21"/>
          <w:u w:val="single" w:color="auto"/>
          <w14:textFill>
            <w14:solidFill>
              <w14:schemeClr w14:val="tx1"/>
            </w14:solidFill>
          </w14:textFill>
        </w:rPr>
        <w:t xml:space="preserve">               </w:t>
      </w:r>
      <w:r>
        <w:rPr>
          <w:color w:val="000000" w:themeColor="text1"/>
          <w:spacing w:val="-17"/>
          <w:sz w:val="21"/>
          <w:szCs w:val="21"/>
          <w14:textFill>
            <w14:solidFill>
              <w14:schemeClr w14:val="tx1"/>
            </w14:solidFill>
          </w14:textFill>
        </w:rPr>
        <w:t>（</w:t>
      </w:r>
      <w:r>
        <w:rPr>
          <w:color w:val="000000" w:themeColor="text1"/>
          <w:spacing w:val="10"/>
          <w:sz w:val="21"/>
          <w:szCs w:val="21"/>
          <w14:textFill>
            <w14:solidFill>
              <w14:schemeClr w14:val="tx1"/>
            </w14:solidFill>
          </w14:textFill>
        </w:rPr>
        <w:t>项目名称）项目法人</w:t>
      </w:r>
      <w:r>
        <w:rPr>
          <w:color w:val="000000" w:themeColor="text1"/>
          <w:spacing w:val="-84"/>
          <w:sz w:val="21"/>
          <w:szCs w:val="21"/>
          <w14:textFill>
            <w14:solidFill>
              <w14:schemeClr w14:val="tx1"/>
            </w14:solidFill>
          </w14:textFill>
        </w:rPr>
        <w:t xml:space="preserve"> </w:t>
      </w:r>
      <w:r>
        <w:rPr>
          <w:color w:val="000000" w:themeColor="text1"/>
          <w:spacing w:val="5"/>
          <w:sz w:val="21"/>
          <w:szCs w:val="21"/>
          <w:u w:val="single" w:color="auto"/>
          <w14:textFill>
            <w14:solidFill>
              <w14:schemeClr w14:val="tx1"/>
            </w14:solidFill>
          </w14:textFill>
        </w:rPr>
        <w:t xml:space="preserve">             </w:t>
      </w:r>
      <w:r>
        <w:rPr>
          <w:color w:val="000000" w:themeColor="text1"/>
          <w:spacing w:val="10"/>
          <w:sz w:val="21"/>
          <w:szCs w:val="21"/>
          <w14:textFill>
            <w14:solidFill>
              <w14:schemeClr w14:val="tx1"/>
            </w14:solidFill>
          </w14:textFill>
        </w:rPr>
        <w:t>（项目法人名称，</w:t>
      </w:r>
      <w:r>
        <w:rPr>
          <w:color w:val="000000" w:themeColor="text1"/>
          <w:spacing w:val="-59"/>
          <w:sz w:val="21"/>
          <w:szCs w:val="21"/>
          <w14:textFill>
            <w14:solidFill>
              <w14:schemeClr w14:val="tx1"/>
            </w14:solidFill>
          </w14:textFill>
        </w:rPr>
        <w:t xml:space="preserve"> </w:t>
      </w:r>
      <w:r>
        <w:rPr>
          <w:color w:val="000000" w:themeColor="text1"/>
          <w:spacing w:val="10"/>
          <w:sz w:val="21"/>
          <w:szCs w:val="21"/>
          <w14:textFill>
            <w14:solidFill>
              <w14:schemeClr w14:val="tx1"/>
            </w14:solidFill>
          </w14:textFill>
        </w:rPr>
        <w:t>以下简</w:t>
      </w:r>
      <w:r>
        <w:rPr>
          <w:color w:val="000000" w:themeColor="text1"/>
          <w:spacing w:val="9"/>
          <w:sz w:val="21"/>
          <w:szCs w:val="21"/>
          <w14:textFill>
            <w14:solidFill>
              <w14:schemeClr w14:val="tx1"/>
            </w14:solidFill>
          </w14:textFill>
        </w:rPr>
        <w:t>称“发包人</w:t>
      </w:r>
      <w:r>
        <w:rPr>
          <w:color w:val="000000" w:themeColor="text1"/>
          <w:spacing w:val="-69"/>
          <w:sz w:val="21"/>
          <w:szCs w:val="21"/>
          <w14:textFill>
            <w14:solidFill>
              <w14:schemeClr w14:val="tx1"/>
            </w14:solidFill>
          </w14:textFill>
        </w:rPr>
        <w:t xml:space="preserve"> </w:t>
      </w:r>
      <w:r>
        <w:rPr>
          <w:color w:val="000000" w:themeColor="text1"/>
          <w:spacing w:val="9"/>
          <w:sz w:val="21"/>
          <w:szCs w:val="21"/>
          <w14:textFill>
            <w14:solidFill>
              <w14:schemeClr w14:val="tx1"/>
            </w14:solidFill>
          </w14:textFill>
        </w:rPr>
        <w:t>”）与该项目的施工单位</w:t>
      </w:r>
      <w:r>
        <w:rPr>
          <w:color w:val="000000" w:themeColor="text1"/>
          <w:spacing w:val="-96"/>
          <w:sz w:val="21"/>
          <w:szCs w:val="21"/>
          <w14:textFill>
            <w14:solidFill>
              <w14:schemeClr w14:val="tx1"/>
            </w14:solidFill>
          </w14:textFill>
        </w:rPr>
        <w:t xml:space="preserve"> </w:t>
      </w:r>
      <w:r>
        <w:rPr>
          <w:color w:val="000000" w:themeColor="text1"/>
          <w:spacing w:val="9"/>
          <w:sz w:val="21"/>
          <w:szCs w:val="21"/>
          <w:u w:val="single" w:color="auto"/>
          <w14:textFill>
            <w14:solidFill>
              <w14:schemeClr w14:val="tx1"/>
            </w14:solidFill>
          </w14:textFill>
        </w:rPr>
        <w:t xml:space="preserve">             </w:t>
      </w:r>
      <w:r>
        <w:rPr>
          <w:color w:val="000000" w:themeColor="text1"/>
          <w:spacing w:val="9"/>
          <w:sz w:val="21"/>
          <w:szCs w:val="21"/>
          <w14:textFill>
            <w14:solidFill>
              <w14:schemeClr w14:val="tx1"/>
            </w14:solidFill>
          </w14:textFill>
        </w:rPr>
        <w:t>（施工单位</w:t>
      </w:r>
      <w:r>
        <w:rPr>
          <w:color w:val="000000" w:themeColor="text1"/>
          <w:spacing w:val="8"/>
          <w:sz w:val="21"/>
          <w:szCs w:val="21"/>
          <w14:textFill>
            <w14:solidFill>
              <w14:schemeClr w14:val="tx1"/>
            </w14:solidFill>
          </w14:textFill>
        </w:rPr>
        <w:t>名称，</w:t>
      </w:r>
      <w:r>
        <w:rPr>
          <w:color w:val="000000" w:themeColor="text1"/>
          <w:spacing w:val="-59"/>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以下简称“承包人</w:t>
      </w:r>
      <w:r>
        <w:rPr>
          <w:color w:val="000000" w:themeColor="text1"/>
          <w:spacing w:val="-70"/>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w:t>
      </w:r>
      <w:r>
        <w:rPr>
          <w:color w:val="000000" w:themeColor="text1"/>
          <w:spacing w:val="1"/>
          <w:sz w:val="21"/>
          <w:szCs w:val="21"/>
          <w14:textFill>
            <w14:solidFill>
              <w14:schemeClr w14:val="tx1"/>
            </w14:solidFill>
          </w14:textFill>
        </w:rPr>
        <w:t>），</w:t>
      </w:r>
      <w:r>
        <w:rPr>
          <w:color w:val="000000" w:themeColor="text1"/>
          <w:spacing w:val="8"/>
          <w:sz w:val="21"/>
          <w:szCs w:val="21"/>
          <w14:textFill>
            <w14:solidFill>
              <w14:schemeClr w14:val="tx1"/>
            </w14:solidFill>
          </w14:textFill>
        </w:rPr>
        <w:t>特</w:t>
      </w:r>
      <w:r>
        <w:rPr>
          <w:color w:val="000000" w:themeColor="text1"/>
          <w:spacing w:val="7"/>
          <w:sz w:val="21"/>
          <w:szCs w:val="21"/>
          <w14:textFill>
            <w14:solidFill>
              <w14:schemeClr w14:val="tx1"/>
            </w14:solidFill>
          </w14:textFill>
        </w:rPr>
        <w:t>订立如下合同。</w:t>
      </w:r>
    </w:p>
    <w:p w14:paraId="3405E17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color w:val="000000" w:themeColor="text1"/>
          <w:sz w:val="21"/>
          <w:szCs w:val="21"/>
          <w14:textFill>
            <w14:solidFill>
              <w14:schemeClr w14:val="tx1"/>
            </w14:solidFill>
          </w14:textFill>
        </w:rPr>
      </w:pPr>
      <w:r>
        <w:rPr>
          <w:color w:val="000000" w:themeColor="text1"/>
          <w:spacing w:val="8"/>
          <w:sz w:val="21"/>
          <w:szCs w:val="21"/>
          <w14:textFill>
            <w14:solidFill>
              <w14:schemeClr w14:val="tx1"/>
            </w14:solidFill>
          </w14:textFill>
        </w:rPr>
        <w:t>1．发包人和承包人双方的权利和义务</w:t>
      </w:r>
    </w:p>
    <w:p w14:paraId="0B4AAC2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8" w:firstLineChars="100"/>
        <w:textAlignment w:val="baseline"/>
        <w:rPr>
          <w:rFonts w:ascii="Arial"/>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（1）严格遵守党的政策规定和国家有关法律法规及交通运输部的有关</w:t>
      </w:r>
      <w:r>
        <w:rPr>
          <w:color w:val="000000" w:themeColor="text1"/>
          <w:spacing w:val="8"/>
          <w:sz w:val="21"/>
          <w:szCs w:val="21"/>
          <w14:textFill>
            <w14:solidFill>
              <w14:schemeClr w14:val="tx1"/>
            </w14:solidFill>
          </w14:textFill>
        </w:rPr>
        <w:t>规定。</w:t>
      </w:r>
    </w:p>
    <w:p w14:paraId="48FA1EC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2" w:firstLineChars="100"/>
        <w:textAlignment w:val="baseline"/>
        <w:rPr>
          <w:rFonts w:ascii="Arial"/>
          <w:color w:val="000000" w:themeColor="text1"/>
          <w:sz w:val="21"/>
          <w:szCs w:val="21"/>
          <w14:textFill>
            <w14:solidFill>
              <w14:schemeClr w14:val="tx1"/>
            </w14:solidFill>
          </w14:textFill>
        </w:rPr>
      </w:pPr>
      <w:r>
        <w:rPr>
          <w:color w:val="000000" w:themeColor="text1"/>
          <w:spacing w:val="6"/>
          <w:sz w:val="21"/>
          <w:szCs w:val="21"/>
          <w14:textFill>
            <w14:solidFill>
              <w14:schemeClr w14:val="tx1"/>
            </w14:solidFill>
          </w14:textFill>
        </w:rPr>
        <w:t>（2）严格执行</w:t>
      </w:r>
      <w:r>
        <w:rPr>
          <w:color w:val="000000" w:themeColor="text1"/>
          <w:spacing w:val="-85"/>
          <w:sz w:val="21"/>
          <w:szCs w:val="21"/>
          <w14:textFill>
            <w14:solidFill>
              <w14:schemeClr w14:val="tx1"/>
            </w14:solidFill>
          </w14:textFill>
        </w:rPr>
        <w:t xml:space="preserve"> </w:t>
      </w:r>
      <w:r>
        <w:rPr>
          <w:color w:val="000000" w:themeColor="text1"/>
          <w:spacing w:val="6"/>
          <w:sz w:val="21"/>
          <w:szCs w:val="21"/>
          <w:u w:val="single" w:color="auto"/>
          <w14:textFill>
            <w14:solidFill>
              <w14:schemeClr w14:val="tx1"/>
            </w14:solidFill>
          </w14:textFill>
        </w:rPr>
        <w:t xml:space="preserve">            </w:t>
      </w:r>
      <w:r>
        <w:rPr>
          <w:color w:val="000000" w:themeColor="text1"/>
          <w:spacing w:val="6"/>
          <w:sz w:val="21"/>
          <w:szCs w:val="21"/>
          <w14:textFill>
            <w14:solidFill>
              <w14:schemeClr w14:val="tx1"/>
            </w14:solidFill>
          </w14:textFill>
        </w:rPr>
        <w:t>（项目名称）施工合同文件，</w:t>
      </w:r>
      <w:r>
        <w:rPr>
          <w:color w:val="000000" w:themeColor="text1"/>
          <w:spacing w:val="-52"/>
          <w:sz w:val="21"/>
          <w:szCs w:val="21"/>
          <w14:textFill>
            <w14:solidFill>
              <w14:schemeClr w14:val="tx1"/>
            </w14:solidFill>
          </w14:textFill>
        </w:rPr>
        <w:t xml:space="preserve"> </w:t>
      </w:r>
      <w:r>
        <w:rPr>
          <w:color w:val="000000" w:themeColor="text1"/>
          <w:spacing w:val="6"/>
          <w:sz w:val="21"/>
          <w:szCs w:val="21"/>
          <w14:textFill>
            <w14:solidFill>
              <w14:schemeClr w14:val="tx1"/>
            </w14:solidFill>
          </w14:textFill>
        </w:rPr>
        <w:t>自觉按合同办事。</w:t>
      </w:r>
    </w:p>
    <w:p w14:paraId="3B30584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03" w:firstLine="228" w:firstLineChars="100"/>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（3）双方的业务活动坚持公开、公正、诚信、透明的原则（法律认定的商业秘密和合同文件另有规定除外</w:t>
      </w:r>
      <w:r>
        <w:rPr>
          <w:color w:val="000000" w:themeColor="text1"/>
          <w:spacing w:val="17"/>
          <w:sz w:val="21"/>
          <w:szCs w:val="21"/>
          <w14:textFill>
            <w14:solidFill>
              <w14:schemeClr w14:val="tx1"/>
            </w14:solidFill>
          </w14:textFill>
        </w:rPr>
        <w:t>），</w:t>
      </w:r>
      <w:r>
        <w:rPr>
          <w:color w:val="000000" w:themeColor="text1"/>
          <w:spacing w:val="9"/>
          <w:sz w:val="21"/>
          <w:szCs w:val="21"/>
          <w14:textFill>
            <w14:solidFill>
              <w14:schemeClr w14:val="tx1"/>
            </w14:solidFill>
          </w14:textFill>
        </w:rPr>
        <w:t>不得损害国家和集体利益，不得违反工程建</w:t>
      </w:r>
      <w:r>
        <w:rPr>
          <w:color w:val="000000" w:themeColor="text1"/>
          <w:spacing w:val="8"/>
          <w:sz w:val="21"/>
          <w:szCs w:val="21"/>
          <w14:textFill>
            <w14:solidFill>
              <w14:schemeClr w14:val="tx1"/>
            </w14:solidFill>
          </w14:textFill>
        </w:rPr>
        <w:t>设管理规章制度。</w:t>
      </w:r>
    </w:p>
    <w:p w14:paraId="38C6526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03" w:firstLine="228" w:firstLineChars="100"/>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（4）建立健全廉政制度，开展廉政教育，设立廉政告示牌，公布举报电话，监督并认真查处</w:t>
      </w:r>
      <w:r>
        <w:rPr>
          <w:color w:val="000000" w:themeColor="text1"/>
          <w:spacing w:val="7"/>
          <w:sz w:val="21"/>
          <w:szCs w:val="21"/>
          <w14:textFill>
            <w14:solidFill>
              <w14:schemeClr w14:val="tx1"/>
            </w14:solidFill>
          </w14:textFill>
        </w:rPr>
        <w:t>违法违纪行为。</w:t>
      </w:r>
    </w:p>
    <w:p w14:paraId="3AA96ED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8" w:firstLineChars="100"/>
        <w:textAlignment w:val="baseline"/>
        <w:rPr>
          <w:rFonts w:ascii="Arial"/>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（5）发现对方在业务活动中有违反廉政规定的行为，有及时提醒对方纠正的权利和义务。</w:t>
      </w:r>
    </w:p>
    <w:p w14:paraId="08FCD62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03" w:firstLine="228" w:firstLineChars="100"/>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（6）发现对方严重违反本合同义务条款的行为，有向其上级有关部门举报、建议给予处理并</w:t>
      </w:r>
      <w:r>
        <w:rPr>
          <w:color w:val="000000" w:themeColor="text1"/>
          <w:spacing w:val="8"/>
          <w:sz w:val="21"/>
          <w:szCs w:val="21"/>
          <w14:textFill>
            <w14:solidFill>
              <w14:schemeClr w14:val="tx1"/>
            </w14:solidFill>
          </w14:textFill>
        </w:rPr>
        <w:t>要求告知处理结果的权利。</w:t>
      </w:r>
    </w:p>
    <w:p w14:paraId="3905172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rFonts w:ascii="Arial"/>
          <w:color w:val="000000" w:themeColor="text1"/>
          <w:sz w:val="21"/>
          <w:szCs w:val="21"/>
          <w14:textFill>
            <w14:solidFill>
              <w14:schemeClr w14:val="tx1"/>
            </w14:solidFill>
          </w14:textFill>
        </w:rPr>
      </w:pPr>
      <w:r>
        <w:rPr>
          <w:color w:val="000000" w:themeColor="text1"/>
          <w:spacing w:val="7"/>
          <w:sz w:val="21"/>
          <w:szCs w:val="21"/>
          <w14:textFill>
            <w14:solidFill>
              <w14:schemeClr w14:val="tx1"/>
            </w14:solidFill>
          </w14:textFill>
        </w:rPr>
        <w:t>2．发包人的义务</w:t>
      </w:r>
    </w:p>
    <w:p w14:paraId="4152DD7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03" w:firstLine="228" w:firstLineChars="100"/>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（1）发包人及其工作人员不得索要或接受承包人的礼金、有价证券和贵重物品，不得让承包人报销任何应由发包人或发包人工作人员个人支付的费用等。</w:t>
      </w:r>
    </w:p>
    <w:p w14:paraId="44AA503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03" w:firstLine="228" w:firstLineChars="100"/>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（2）发包人工作人员不得参加承包人安排的超标准宴请和娱乐活动；不得接受承包人提供的</w:t>
      </w:r>
      <w:r>
        <w:rPr>
          <w:color w:val="000000" w:themeColor="text1"/>
          <w:spacing w:val="8"/>
          <w:sz w:val="21"/>
          <w:szCs w:val="21"/>
          <w14:textFill>
            <w14:solidFill>
              <w14:schemeClr w14:val="tx1"/>
            </w14:solidFill>
          </w14:textFill>
        </w:rPr>
        <w:t>通讯工具、交通工具和高档办公用品等。</w:t>
      </w:r>
    </w:p>
    <w:p w14:paraId="670A769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7" w:right="103" w:firstLine="413"/>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（3）发包人及其工作人员不利要求或者接受承包人为其住房装修、婚丧嫁娶活动、配偶子女</w:t>
      </w:r>
      <w:r>
        <w:rPr>
          <w:color w:val="000000" w:themeColor="text1"/>
          <w:spacing w:val="8"/>
          <w:sz w:val="21"/>
          <w:szCs w:val="21"/>
          <w14:textFill>
            <w14:solidFill>
              <w14:schemeClr w14:val="tx1"/>
            </w14:solidFill>
          </w14:textFill>
        </w:rPr>
        <w:t>的工作安排以及出国出境、旅游等提供方便等。</w:t>
      </w:r>
    </w:p>
    <w:p w14:paraId="7CE9B31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8" w:firstLineChars="100"/>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（4）发包人工作人员及其配偶、子女不得</w:t>
      </w:r>
      <w:r>
        <w:rPr>
          <w:color w:val="000000" w:themeColor="text1"/>
          <w:spacing w:val="8"/>
          <w:sz w:val="21"/>
          <w:szCs w:val="21"/>
          <w14:textFill>
            <w14:solidFill>
              <w14:schemeClr w14:val="tx1"/>
            </w14:solidFill>
          </w14:textFill>
        </w:rPr>
        <w:t>从事与发包人工作有关的材料设备供应、工程分包、</w:t>
      </w:r>
      <w:r>
        <w:rPr>
          <w:color w:val="000000" w:themeColor="text1"/>
          <w:spacing w:val="7"/>
          <w:sz w:val="21"/>
          <w:szCs w:val="21"/>
          <w14:textFill>
            <w14:solidFill>
              <w14:schemeClr w14:val="tx1"/>
            </w14:solidFill>
          </w14:textFill>
        </w:rPr>
        <w:t>劳务等经济活动等。</w:t>
      </w:r>
    </w:p>
    <w:p w14:paraId="2BBE0DA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71" w:firstLine="228" w:firstLineChars="100"/>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（5）发包人及其工作人员不得以任何理由向承包人推荐分包单位或推销材料，不得要求承包</w:t>
      </w:r>
      <w:r>
        <w:rPr>
          <w:color w:val="000000" w:themeColor="text1"/>
          <w:spacing w:val="8"/>
          <w:sz w:val="21"/>
          <w:szCs w:val="21"/>
          <w14:textFill>
            <w14:solidFill>
              <w14:schemeClr w14:val="tx1"/>
            </w14:solidFill>
          </w14:textFill>
        </w:rPr>
        <w:t>人购买合同规定外的材料和设备。</w:t>
      </w:r>
    </w:p>
    <w:p w14:paraId="1D2ADC7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71" w:firstLine="228" w:firstLineChars="100"/>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（6）发包人工作人员要秉公办事，不准营私舞弊，不准利用职权从事各种个人有偿中介活动</w:t>
      </w:r>
      <w:r>
        <w:rPr>
          <w:color w:val="000000" w:themeColor="text1"/>
          <w:spacing w:val="7"/>
          <w:sz w:val="21"/>
          <w:szCs w:val="21"/>
          <w14:textFill>
            <w14:solidFill>
              <w14:schemeClr w14:val="tx1"/>
            </w14:solidFill>
          </w14:textFill>
        </w:rPr>
        <w:t>和安排个人施工队伍。</w:t>
      </w:r>
    </w:p>
    <w:p w14:paraId="65B403C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color w:val="000000" w:themeColor="text1"/>
          <w:sz w:val="21"/>
          <w:szCs w:val="21"/>
          <w14:textFill>
            <w14:solidFill>
              <w14:schemeClr w14:val="tx1"/>
            </w14:solidFill>
          </w14:textFill>
        </w:rPr>
      </w:pPr>
      <w:r>
        <w:rPr>
          <w:color w:val="000000" w:themeColor="text1"/>
          <w:spacing w:val="7"/>
          <w:sz w:val="21"/>
          <w:szCs w:val="21"/>
          <w14:textFill>
            <w14:solidFill>
              <w14:schemeClr w14:val="tx1"/>
            </w14:solidFill>
          </w14:textFill>
        </w:rPr>
        <w:t>3．承包人的义务</w:t>
      </w:r>
    </w:p>
    <w:p w14:paraId="11C6372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8" w:firstLineChars="100"/>
        <w:textAlignment w:val="baseline"/>
        <w:rPr>
          <w:rFonts w:ascii="Arial"/>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（1）承包人不得以任何理由向发包人及其工作人员行贿或馈赠礼金、有价证券、贵重礼品。</w:t>
      </w:r>
    </w:p>
    <w:p w14:paraId="13AE10E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71" w:firstLine="228" w:firstLineChars="100"/>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（2）承包人不得以任何名义为发包人及其工作人员报销应由发包人单位或个人支付的任何费</w:t>
      </w:r>
      <w:r>
        <w:rPr>
          <w:color w:val="000000" w:themeColor="text1"/>
          <w:spacing w:val="-1"/>
          <w:sz w:val="21"/>
          <w:szCs w:val="21"/>
          <w14:textFill>
            <w14:solidFill>
              <w14:schemeClr w14:val="tx1"/>
            </w14:solidFill>
          </w14:textFill>
        </w:rPr>
        <w:t>用。</w:t>
      </w:r>
    </w:p>
    <w:p w14:paraId="259CCD6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8" w:firstLineChars="100"/>
        <w:textAlignment w:val="baseline"/>
        <w:rPr>
          <w:rFonts w:ascii="Arial"/>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（3）承包人不得以任何理由安排发包人工作人员参加超标准宴请及娱乐</w:t>
      </w:r>
      <w:r>
        <w:rPr>
          <w:color w:val="000000" w:themeColor="text1"/>
          <w:spacing w:val="8"/>
          <w:sz w:val="21"/>
          <w:szCs w:val="21"/>
          <w14:textFill>
            <w14:solidFill>
              <w14:schemeClr w14:val="tx1"/>
            </w14:solidFill>
          </w14:textFill>
        </w:rPr>
        <w:t>活动。</w:t>
      </w:r>
    </w:p>
    <w:p w14:paraId="4EAC4C6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8" w:firstLineChars="100"/>
        <w:textAlignment w:val="baseline"/>
        <w:rPr>
          <w:rFonts w:ascii="Arial"/>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（4）承包人不得为发包人单位和个人购置或提供通讯工具、交通工具和高档办公用品等。</w:t>
      </w:r>
    </w:p>
    <w:p w14:paraId="33A34D0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19"/>
        <w:textAlignment w:val="baseline"/>
        <w:rPr>
          <w:rFonts w:ascii="Arial"/>
          <w:color w:val="000000" w:themeColor="text1"/>
          <w:sz w:val="21"/>
          <w:szCs w:val="21"/>
          <w14:textFill>
            <w14:solidFill>
              <w14:schemeClr w14:val="tx1"/>
            </w14:solidFill>
          </w14:textFill>
        </w:rPr>
      </w:pPr>
      <w:r>
        <w:rPr>
          <w:color w:val="000000" w:themeColor="text1"/>
          <w:spacing w:val="7"/>
          <w:sz w:val="21"/>
          <w:szCs w:val="21"/>
          <w14:textFill>
            <w14:solidFill>
              <w14:schemeClr w14:val="tx1"/>
            </w14:solidFill>
          </w14:textFill>
        </w:rPr>
        <w:t>4．违约责任</w:t>
      </w:r>
    </w:p>
    <w:p w14:paraId="3658FA8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68" w:firstLine="226" w:firstLineChars="100"/>
        <w:textAlignment w:val="baseline"/>
        <w:rPr>
          <w:color w:val="000000" w:themeColor="text1"/>
          <w:sz w:val="21"/>
          <w:szCs w:val="21"/>
          <w14:textFill>
            <w14:solidFill>
              <w14:schemeClr w14:val="tx1"/>
            </w14:solidFill>
          </w14:textFill>
        </w:rPr>
      </w:pPr>
      <w:r>
        <w:rPr>
          <w:color w:val="000000" w:themeColor="text1"/>
          <w:spacing w:val="8"/>
          <w:sz w:val="21"/>
          <w:szCs w:val="21"/>
          <w14:textFill>
            <w14:solidFill>
              <w14:schemeClr w14:val="tx1"/>
            </w14:solidFill>
          </w14:textFill>
        </w:rPr>
        <w:t>（1）发包人及其工作人员违反本合同第</w:t>
      </w:r>
      <w:r>
        <w:rPr>
          <w:color w:val="000000" w:themeColor="text1"/>
          <w:spacing w:val="47"/>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1、2 条，按管理权限，依据有关规定给予党纪、政</w:t>
      </w:r>
      <w:r>
        <w:rPr>
          <w:color w:val="000000" w:themeColor="text1"/>
          <w:spacing w:val="10"/>
          <w:sz w:val="21"/>
          <w:szCs w:val="21"/>
          <w14:textFill>
            <w14:solidFill>
              <w14:schemeClr w14:val="tx1"/>
            </w14:solidFill>
          </w14:textFill>
        </w:rPr>
        <w:t>纪或组织处理；涉嫌犯罪的，移交司法机关追究刑事责任；给承包人</w:t>
      </w:r>
      <w:r>
        <w:rPr>
          <w:color w:val="000000" w:themeColor="text1"/>
          <w:spacing w:val="9"/>
          <w:sz w:val="21"/>
          <w:szCs w:val="21"/>
          <w14:textFill>
            <w14:solidFill>
              <w14:schemeClr w14:val="tx1"/>
            </w14:solidFill>
          </w14:textFill>
        </w:rPr>
        <w:t>单位造成经济损失的，应予以</w:t>
      </w:r>
      <w:r>
        <w:rPr>
          <w:color w:val="000000" w:themeColor="text1"/>
          <w:spacing w:val="3"/>
          <w:sz w:val="21"/>
          <w:szCs w:val="21"/>
          <w14:textFill>
            <w14:solidFill>
              <w14:schemeClr w14:val="tx1"/>
            </w14:solidFill>
          </w14:textFill>
        </w:rPr>
        <w:t>赔偿。</w:t>
      </w:r>
    </w:p>
    <w:p w14:paraId="3F75BDC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68" w:firstLine="226" w:firstLineChars="100"/>
        <w:textAlignment w:val="baseline"/>
        <w:rPr>
          <w:color w:val="000000" w:themeColor="text1"/>
          <w:sz w:val="21"/>
          <w:szCs w:val="21"/>
          <w14:textFill>
            <w14:solidFill>
              <w14:schemeClr w14:val="tx1"/>
            </w14:solidFill>
          </w14:textFill>
        </w:rPr>
      </w:pPr>
      <w:r>
        <w:rPr>
          <w:color w:val="000000" w:themeColor="text1"/>
          <w:spacing w:val="8"/>
          <w:sz w:val="21"/>
          <w:szCs w:val="21"/>
          <w14:textFill>
            <w14:solidFill>
              <w14:schemeClr w14:val="tx1"/>
            </w14:solidFill>
          </w14:textFill>
        </w:rPr>
        <w:t>（2）承包人及其工作人员违反本合同第</w:t>
      </w:r>
      <w:r>
        <w:rPr>
          <w:color w:val="000000" w:themeColor="text1"/>
          <w:spacing w:val="-13"/>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1、3</w:t>
      </w:r>
      <w:r>
        <w:rPr>
          <w:color w:val="000000" w:themeColor="text1"/>
          <w:spacing w:val="-39"/>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条，按管理权限，依据有关规定给予党纪、政纪</w:t>
      </w:r>
      <w:r>
        <w:rPr>
          <w:color w:val="000000" w:themeColor="text1"/>
          <w:spacing w:val="10"/>
          <w:sz w:val="21"/>
          <w:szCs w:val="21"/>
          <w14:textFill>
            <w14:solidFill>
              <w14:schemeClr w14:val="tx1"/>
            </w14:solidFill>
          </w14:textFill>
        </w:rPr>
        <w:t>或组织处理；给发包人单位造成经济损失的，应予以赔偿；情节严</w:t>
      </w:r>
      <w:r>
        <w:rPr>
          <w:color w:val="000000" w:themeColor="text1"/>
          <w:spacing w:val="9"/>
          <w:sz w:val="21"/>
          <w:szCs w:val="21"/>
          <w14:textFill>
            <w14:solidFill>
              <w14:schemeClr w14:val="tx1"/>
            </w14:solidFill>
          </w14:textFill>
        </w:rPr>
        <w:t>重的，发包人建议交通主管部门给予承包人一至三年内不得进入其主管的公路建设市场的处罚。</w:t>
      </w:r>
    </w:p>
    <w:p w14:paraId="2A484C3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70" w:firstLine="423"/>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5.双方约定：本合同由双方或双方上级单位的纪检监察部门负责监督执行。由发包人或发包人</w:t>
      </w:r>
      <w:r>
        <w:rPr>
          <w:color w:val="000000" w:themeColor="text1"/>
          <w:spacing w:val="10"/>
          <w:sz w:val="21"/>
          <w:szCs w:val="21"/>
          <w14:textFill>
            <w14:solidFill>
              <w14:schemeClr w14:val="tx1"/>
            </w14:solidFill>
          </w14:textFill>
        </w:rPr>
        <w:t>上级单位的纪检监察部门约请承包人或承包人上级单位纪检监</w:t>
      </w:r>
      <w:r>
        <w:rPr>
          <w:color w:val="000000" w:themeColor="text1"/>
          <w:spacing w:val="9"/>
          <w:sz w:val="21"/>
          <w:szCs w:val="21"/>
          <w14:textFill>
            <w14:solidFill>
              <w14:schemeClr w14:val="tx1"/>
            </w14:solidFill>
          </w14:textFill>
        </w:rPr>
        <w:t>察部门对本合同执行情况进行检查，</w:t>
      </w:r>
      <w:r>
        <w:rPr>
          <w:color w:val="000000" w:themeColor="text1"/>
          <w:spacing w:val="8"/>
          <w:sz w:val="21"/>
          <w:szCs w:val="21"/>
          <w14:textFill>
            <w14:solidFill>
              <w14:schemeClr w14:val="tx1"/>
            </w14:solidFill>
          </w14:textFill>
        </w:rPr>
        <w:t>提出在本合同规定范围内的裁定意见。</w:t>
      </w:r>
    </w:p>
    <w:p w14:paraId="234D57B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6.本合同有效期为发包人和承包人签署之日起至该工程项目竣工验收后止。</w:t>
      </w:r>
    </w:p>
    <w:p w14:paraId="0D2FBCB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5"/>
        <w:textAlignment w:val="baseline"/>
        <w:rPr>
          <w:color w:val="000000" w:themeColor="text1"/>
          <w:sz w:val="21"/>
          <w:szCs w:val="21"/>
          <w14:textFill>
            <w14:solidFill>
              <w14:schemeClr w14:val="tx1"/>
            </w14:solidFill>
          </w14:textFill>
        </w:rPr>
      </w:pPr>
      <w:r>
        <w:rPr>
          <w:color w:val="000000" w:themeColor="text1"/>
          <w:spacing w:val="8"/>
          <w:sz w:val="21"/>
          <w:szCs w:val="21"/>
          <w14:textFill>
            <w14:solidFill>
              <w14:schemeClr w14:val="tx1"/>
            </w14:solidFill>
          </w14:textFill>
        </w:rPr>
        <w:t>7.本合同作为</w:t>
      </w:r>
      <w:r>
        <w:rPr>
          <w:color w:val="000000" w:themeColor="text1"/>
          <w:spacing w:val="-97"/>
          <w:sz w:val="21"/>
          <w:szCs w:val="21"/>
          <w14:textFill>
            <w14:solidFill>
              <w14:schemeClr w14:val="tx1"/>
            </w14:solidFill>
          </w14:textFill>
        </w:rPr>
        <w:t xml:space="preserve"> </w:t>
      </w:r>
      <w:r>
        <w:rPr>
          <w:color w:val="000000" w:themeColor="text1"/>
          <w:spacing w:val="8"/>
          <w:sz w:val="21"/>
          <w:szCs w:val="21"/>
          <w:u w:val="single" w:color="auto"/>
          <w14:textFill>
            <w14:solidFill>
              <w14:schemeClr w14:val="tx1"/>
            </w14:solidFill>
          </w14:textFill>
        </w:rPr>
        <w:t xml:space="preserve">               </w:t>
      </w:r>
      <w:r>
        <w:rPr>
          <w:color w:val="000000" w:themeColor="text1"/>
          <w:spacing w:val="8"/>
          <w:sz w:val="21"/>
          <w:szCs w:val="21"/>
          <w14:textFill>
            <w14:solidFill>
              <w14:schemeClr w14:val="tx1"/>
            </w14:solidFill>
          </w14:textFill>
        </w:rPr>
        <w:t>（项目名称）施工合同的附件，与工程施工合同</w:t>
      </w:r>
      <w:r>
        <w:rPr>
          <w:color w:val="000000" w:themeColor="text1"/>
          <w:spacing w:val="7"/>
          <w:sz w:val="21"/>
          <w:szCs w:val="21"/>
          <w14:textFill>
            <w14:solidFill>
              <w14:schemeClr w14:val="tx1"/>
            </w14:solidFill>
          </w14:textFill>
        </w:rPr>
        <w:t>具有同等的法</w:t>
      </w:r>
      <w:r>
        <w:rPr>
          <w:color w:val="000000" w:themeColor="text1"/>
          <w:spacing w:val="8"/>
          <w:sz w:val="21"/>
          <w:szCs w:val="21"/>
          <w14:textFill>
            <w14:solidFill>
              <w14:schemeClr w14:val="tx1"/>
            </w14:solidFill>
          </w14:textFill>
        </w:rPr>
        <w:t>律效力，经合同双方签署后立即生效。</w:t>
      </w:r>
    </w:p>
    <w:p w14:paraId="6A7B3B2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0"/>
        <w:textAlignment w:val="baseline"/>
        <w:rPr>
          <w:rFonts w:hint="eastAsia" w:eastAsia="宋体"/>
          <w:color w:val="000000" w:themeColor="text1"/>
          <w:sz w:val="21"/>
          <w:szCs w:val="21"/>
          <w:lang w:eastAsia="zh-CN"/>
          <w14:textFill>
            <w14:solidFill>
              <w14:schemeClr w14:val="tx1"/>
            </w14:solidFill>
          </w14:textFill>
        </w:rPr>
      </w:pPr>
      <w:r>
        <w:rPr>
          <w:color w:val="000000" w:themeColor="text1"/>
          <w:spacing w:val="8"/>
          <w:sz w:val="21"/>
          <w:szCs w:val="21"/>
          <w14:textFill>
            <w14:solidFill>
              <w14:schemeClr w14:val="tx1"/>
            </w14:solidFill>
          </w14:textFill>
        </w:rPr>
        <w:t>8．本合同一式</w:t>
      </w:r>
      <w:r>
        <w:rPr>
          <w:color w:val="000000" w:themeColor="text1"/>
          <w:spacing w:val="-99"/>
          <w:sz w:val="21"/>
          <w:szCs w:val="21"/>
          <w14:textFill>
            <w14:solidFill>
              <w14:schemeClr w14:val="tx1"/>
            </w14:solidFill>
          </w14:textFill>
        </w:rPr>
        <w:t xml:space="preserve"> </w:t>
      </w:r>
      <w:r>
        <w:rPr>
          <w:color w:val="000000" w:themeColor="text1"/>
          <w:spacing w:val="5"/>
          <w:sz w:val="21"/>
          <w:szCs w:val="21"/>
          <w:u w:val="single" w:color="auto"/>
          <w14:textFill>
            <w14:solidFill>
              <w14:schemeClr w14:val="tx1"/>
            </w14:solidFill>
          </w14:textFill>
        </w:rPr>
        <w:t xml:space="preserve">    </w:t>
      </w:r>
      <w:r>
        <w:rPr>
          <w:color w:val="000000" w:themeColor="text1"/>
          <w:spacing w:val="-91"/>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份，</w:t>
      </w:r>
      <w:r>
        <w:rPr>
          <w:color w:val="000000" w:themeColor="text1"/>
          <w:spacing w:val="-58"/>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由发包人和承包人各执</w:t>
      </w:r>
      <w:r>
        <w:rPr>
          <w:color w:val="000000" w:themeColor="text1"/>
          <w:spacing w:val="-98"/>
          <w:sz w:val="21"/>
          <w:szCs w:val="21"/>
          <w14:textFill>
            <w14:solidFill>
              <w14:schemeClr w14:val="tx1"/>
            </w14:solidFill>
          </w14:textFill>
        </w:rPr>
        <w:t xml:space="preserve"> </w:t>
      </w:r>
      <w:r>
        <w:rPr>
          <w:color w:val="000000" w:themeColor="text1"/>
          <w:spacing w:val="5"/>
          <w:sz w:val="21"/>
          <w:szCs w:val="21"/>
          <w:u w:val="single" w:color="auto"/>
          <w14:textFill>
            <w14:solidFill>
              <w14:schemeClr w14:val="tx1"/>
            </w14:solidFill>
          </w14:textFill>
        </w:rPr>
        <w:t xml:space="preserve">    </w:t>
      </w:r>
      <w:r>
        <w:rPr>
          <w:color w:val="000000" w:themeColor="text1"/>
          <w:spacing w:val="-91"/>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份，送交发包人和承包人的</w:t>
      </w:r>
      <w:r>
        <w:rPr>
          <w:color w:val="000000" w:themeColor="text1"/>
          <w:spacing w:val="7"/>
          <w:sz w:val="21"/>
          <w:szCs w:val="21"/>
          <w14:textFill>
            <w14:solidFill>
              <w14:schemeClr w14:val="tx1"/>
            </w14:solidFill>
          </w14:textFill>
        </w:rPr>
        <w:t>监督单位各一</w:t>
      </w:r>
      <w:r>
        <w:rPr>
          <w:color w:val="000000" w:themeColor="text1"/>
          <w:sz w:val="21"/>
          <w:szCs w:val="21"/>
          <w14:textFill>
            <w14:solidFill>
              <w14:schemeClr w14:val="tx1"/>
            </w14:solidFill>
          </w14:textFill>
        </w:rPr>
        <w:t>份</w:t>
      </w:r>
      <w:r>
        <w:rPr>
          <w:rFonts w:hint="eastAsia"/>
          <w:color w:val="000000" w:themeColor="text1"/>
          <w:sz w:val="21"/>
          <w:szCs w:val="21"/>
          <w:lang w:eastAsia="zh-CN"/>
          <w14:textFill>
            <w14:solidFill>
              <w14:schemeClr w14:val="tx1"/>
            </w14:solidFill>
          </w14:textFill>
        </w:rPr>
        <w:t>。</w:t>
      </w:r>
    </w:p>
    <w:p w14:paraId="0E81FD36">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5B1EB0FD">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79F505D9">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000000" w:themeColor="text1"/>
          <w:sz w:val="21"/>
          <w:szCs w:val="21"/>
          <w14:textFill>
            <w14:solidFill>
              <w14:schemeClr w14:val="tx1"/>
            </w14:solidFill>
          </w14:textFill>
        </w:rPr>
      </w:pPr>
      <w:r>
        <w:rPr>
          <w:color w:val="000000" w:themeColor="text1"/>
          <w:spacing w:val="5"/>
          <w:sz w:val="21"/>
          <w:szCs w:val="21"/>
          <w14:textFill>
            <w14:solidFill>
              <w14:schemeClr w14:val="tx1"/>
            </w14:solidFill>
          </w14:textFill>
        </w:rPr>
        <w:t>发包人：</w:t>
      </w:r>
      <w:r>
        <w:rPr>
          <w:color w:val="000000" w:themeColor="text1"/>
          <w:spacing w:val="5"/>
          <w:sz w:val="21"/>
          <w:szCs w:val="21"/>
          <w:u w:val="single" w:color="auto"/>
          <w14:textFill>
            <w14:solidFill>
              <w14:schemeClr w14:val="tx1"/>
            </w14:solidFill>
          </w14:textFill>
        </w:rPr>
        <w:t xml:space="preserve">                </w:t>
      </w:r>
      <w:r>
        <w:rPr>
          <w:color w:val="000000" w:themeColor="text1"/>
          <w:spacing w:val="1"/>
          <w:sz w:val="21"/>
          <w:szCs w:val="21"/>
          <w14:textFill>
            <w14:solidFill>
              <w14:schemeClr w14:val="tx1"/>
            </w14:solidFill>
          </w14:textFill>
        </w:rPr>
        <w:t xml:space="preserve">  </w:t>
      </w:r>
      <w:r>
        <w:rPr>
          <w:color w:val="000000" w:themeColor="text1"/>
          <w:spacing w:val="10"/>
          <w:sz w:val="21"/>
          <w:szCs w:val="21"/>
          <w14:textFill>
            <w14:solidFill>
              <w14:schemeClr w14:val="tx1"/>
            </w14:solidFill>
          </w14:textFill>
        </w:rPr>
        <w:t>（盖单位章</w:t>
      </w:r>
      <w:r>
        <w:rPr>
          <w:color w:val="000000" w:themeColor="text1"/>
          <w:spacing w:val="-14"/>
          <w:sz w:val="21"/>
          <w:szCs w:val="21"/>
          <w14:textFill>
            <w14:solidFill>
              <w14:schemeClr w14:val="tx1"/>
            </w14:solidFill>
          </w14:textFill>
        </w:rPr>
        <w:t>）</w:t>
      </w:r>
      <w:r>
        <w:rPr>
          <w:color w:val="000000" w:themeColor="text1"/>
          <w:spacing w:val="2"/>
          <w:sz w:val="21"/>
          <w:szCs w:val="21"/>
          <w14:textFill>
            <w14:solidFill>
              <w14:schemeClr w14:val="tx1"/>
            </w14:solidFill>
          </w14:textFill>
        </w:rPr>
        <w:t xml:space="preserve">   </w:t>
      </w:r>
      <w:r>
        <w:rPr>
          <w:color w:val="000000" w:themeColor="text1"/>
          <w:spacing w:val="1"/>
          <w:sz w:val="21"/>
          <w:szCs w:val="21"/>
          <w14:textFill>
            <w14:solidFill>
              <w14:schemeClr w14:val="tx1"/>
            </w14:solidFill>
          </w14:textFill>
        </w:rPr>
        <w:t xml:space="preserve">   </w:t>
      </w:r>
      <w:r>
        <w:rPr>
          <w:color w:val="000000" w:themeColor="text1"/>
          <w:spacing w:val="5"/>
          <w:sz w:val="21"/>
          <w:szCs w:val="21"/>
          <w14:textFill>
            <w14:solidFill>
              <w14:schemeClr w14:val="tx1"/>
            </w14:solidFill>
          </w14:textFill>
        </w:rPr>
        <w:t>承包人：</w:t>
      </w:r>
      <w:r>
        <w:rPr>
          <w:color w:val="000000" w:themeColor="text1"/>
          <w:sz w:val="21"/>
          <w:szCs w:val="21"/>
          <w:u w:val="single" w:color="auto"/>
          <w14:textFill>
            <w14:solidFill>
              <w14:schemeClr w14:val="tx1"/>
            </w14:solidFill>
          </w14:textFill>
        </w:rPr>
        <w:t xml:space="preserve">                 </w:t>
      </w:r>
      <w:r>
        <w:rPr>
          <w:color w:val="000000" w:themeColor="text1"/>
          <w:spacing w:val="-14"/>
          <w:sz w:val="21"/>
          <w:szCs w:val="21"/>
          <w14:textFill>
            <w14:solidFill>
              <w14:schemeClr w14:val="tx1"/>
            </w14:solidFill>
          </w14:textFill>
        </w:rPr>
        <w:t>（</w:t>
      </w:r>
      <w:r>
        <w:rPr>
          <w:color w:val="000000" w:themeColor="text1"/>
          <w:spacing w:val="10"/>
          <w:sz w:val="21"/>
          <w:szCs w:val="21"/>
          <w14:textFill>
            <w14:solidFill>
              <w14:schemeClr w14:val="tx1"/>
            </w14:solidFill>
          </w14:textFill>
        </w:rPr>
        <w:t>盖单位章）</w:t>
      </w:r>
    </w:p>
    <w:p w14:paraId="1D24ED3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43"/>
        <w:textAlignment w:val="baseline"/>
        <w:rPr>
          <w:color w:val="000000" w:themeColor="text1"/>
          <w:sz w:val="21"/>
          <w:szCs w:val="21"/>
          <w14:textFill>
            <w14:solidFill>
              <w14:schemeClr w14:val="tx1"/>
            </w14:solidFill>
          </w14:textFill>
        </w:rPr>
      </w:pPr>
    </w:p>
    <w:p w14:paraId="01B0760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85"/>
        <w:textAlignment w:val="baseline"/>
        <w:rPr>
          <w:color w:val="000000" w:themeColor="text1"/>
          <w:sz w:val="21"/>
          <w:szCs w:val="21"/>
          <w14:textFill>
            <w14:solidFill>
              <w14:schemeClr w14:val="tx1"/>
            </w14:solidFill>
          </w14:textFill>
        </w:rPr>
      </w:pPr>
      <w:r>
        <w:rPr>
          <w:color w:val="000000" w:themeColor="text1"/>
          <w:spacing w:val="2"/>
          <w:sz w:val="21"/>
          <w:szCs w:val="21"/>
          <w14:textFill>
            <w14:solidFill>
              <w14:schemeClr w14:val="tx1"/>
            </w14:solidFill>
          </w14:textFill>
        </w:rPr>
        <w:t xml:space="preserve">                             </w:t>
      </w:r>
    </w:p>
    <w:p w14:paraId="7AB41521">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47F719A4">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r>
        <w:rPr>
          <w:color w:val="000000" w:themeColor="text1"/>
          <w:spacing w:val="4"/>
          <w:sz w:val="21"/>
          <w:szCs w:val="21"/>
          <w14:textFill>
            <w14:solidFill>
              <w14:schemeClr w14:val="tx1"/>
            </w14:solidFill>
          </w14:textFill>
        </w:rPr>
        <w:t>法定代表人</w:t>
      </w:r>
      <w:r>
        <w:rPr>
          <w:color w:val="000000" w:themeColor="text1"/>
          <w:spacing w:val="10"/>
          <w:sz w:val="21"/>
          <w:szCs w:val="21"/>
          <w14:textFill>
            <w14:solidFill>
              <w14:schemeClr w14:val="tx1"/>
            </w14:solidFill>
          </w14:textFill>
        </w:rPr>
        <w:t>或其委托代理人</w:t>
      </w:r>
      <w:r>
        <w:rPr>
          <w:color w:val="000000" w:themeColor="text1"/>
          <w:spacing w:val="-5"/>
          <w:sz w:val="21"/>
          <w:szCs w:val="21"/>
          <w14:textFill>
            <w14:solidFill>
              <w14:schemeClr w14:val="tx1"/>
            </w14:solidFill>
          </w14:textFill>
        </w:rPr>
        <w:t>：</w:t>
      </w:r>
      <w:r>
        <w:rPr>
          <w:color w:val="000000" w:themeColor="text1"/>
          <w:spacing w:val="-59"/>
          <w:sz w:val="21"/>
          <w:szCs w:val="21"/>
          <w14:textFill>
            <w14:solidFill>
              <w14:schemeClr w14:val="tx1"/>
            </w14:solidFill>
          </w14:textFill>
        </w:rPr>
        <w:t xml:space="preserve"> </w:t>
      </w:r>
      <w:r>
        <w:rPr>
          <w:color w:val="000000" w:themeColor="text1"/>
          <w:spacing w:val="4"/>
          <w:sz w:val="21"/>
          <w:szCs w:val="21"/>
          <w14:textFill>
            <w14:solidFill>
              <w14:schemeClr w14:val="tx1"/>
            </w14:solidFill>
          </w14:textFill>
        </w:rPr>
        <w:t xml:space="preserve"> </w:t>
      </w:r>
      <w:r>
        <w:rPr>
          <w:color w:val="000000" w:themeColor="text1"/>
          <w:spacing w:val="5"/>
          <w:sz w:val="21"/>
          <w:szCs w:val="21"/>
          <w:u w:val="single" w:color="auto"/>
          <w14:textFill>
            <w14:solidFill>
              <w14:schemeClr w14:val="tx1"/>
            </w14:solidFill>
          </w14:textFill>
        </w:rPr>
        <w:t xml:space="preserve">   </w:t>
      </w:r>
      <w:r>
        <w:rPr>
          <w:color w:val="000000" w:themeColor="text1"/>
          <w:spacing w:val="-5"/>
          <w:sz w:val="21"/>
          <w:szCs w:val="21"/>
          <w:u w:val="single" w:color="auto"/>
          <w14:textFill>
            <w14:solidFill>
              <w14:schemeClr w14:val="tx1"/>
            </w14:solidFill>
          </w14:textFill>
        </w:rPr>
        <w:t>（</w:t>
      </w:r>
      <w:r>
        <w:rPr>
          <w:color w:val="000000" w:themeColor="text1"/>
          <w:spacing w:val="10"/>
          <w:sz w:val="21"/>
          <w:szCs w:val="21"/>
          <w:u w:val="single" w:color="auto"/>
          <w14:textFill>
            <w14:solidFill>
              <w14:schemeClr w14:val="tx1"/>
            </w14:solidFill>
          </w14:textFill>
        </w:rPr>
        <w:t>签字）</w:t>
      </w:r>
      <w:r>
        <w:rPr>
          <w:color w:val="000000" w:themeColor="text1"/>
          <w:sz w:val="21"/>
          <w:szCs w:val="21"/>
          <w14:textFill>
            <w14:solidFill>
              <w14:schemeClr w14:val="tx1"/>
            </w14:solidFill>
          </w14:textFill>
        </w:rPr>
        <w:t xml:space="preserve">     </w:t>
      </w:r>
      <w:r>
        <w:rPr>
          <w:color w:val="000000" w:themeColor="text1"/>
          <w:spacing w:val="4"/>
          <w:sz w:val="21"/>
          <w:szCs w:val="21"/>
          <w14:textFill>
            <w14:solidFill>
              <w14:schemeClr w14:val="tx1"/>
            </w14:solidFill>
          </w14:textFill>
        </w:rPr>
        <w:t>法定代表人</w:t>
      </w:r>
      <w:r>
        <w:rPr>
          <w:color w:val="000000" w:themeColor="text1"/>
          <w:spacing w:val="10"/>
          <w:sz w:val="21"/>
          <w:szCs w:val="21"/>
          <w14:textFill>
            <w14:solidFill>
              <w14:schemeClr w14:val="tx1"/>
            </w14:solidFill>
          </w14:textFill>
        </w:rPr>
        <w:t>或其委托代理人</w:t>
      </w:r>
      <w:r>
        <w:rPr>
          <w:color w:val="000000" w:themeColor="text1"/>
          <w:spacing w:val="-5"/>
          <w:sz w:val="21"/>
          <w:szCs w:val="21"/>
          <w14:textFill>
            <w14:solidFill>
              <w14:schemeClr w14:val="tx1"/>
            </w14:solidFill>
          </w14:textFill>
        </w:rPr>
        <w:t>：</w:t>
      </w:r>
      <w:r>
        <w:rPr>
          <w:color w:val="000000" w:themeColor="text1"/>
          <w:sz w:val="21"/>
          <w:szCs w:val="21"/>
          <w:u w:val="single" w:color="auto"/>
          <w14:textFill>
            <w14:solidFill>
              <w14:schemeClr w14:val="tx1"/>
            </w14:solidFill>
          </w14:textFill>
        </w:rPr>
        <w:t xml:space="preserve">  </w:t>
      </w:r>
      <w:r>
        <w:rPr>
          <w:color w:val="000000" w:themeColor="text1"/>
          <w:spacing w:val="10"/>
          <w:sz w:val="21"/>
          <w:szCs w:val="21"/>
          <w:u w:val="single"/>
          <w14:textFill>
            <w14:solidFill>
              <w14:schemeClr w14:val="tx1"/>
            </w14:solidFill>
          </w14:textFill>
        </w:rPr>
        <w:t xml:space="preserve">  </w:t>
      </w:r>
      <w:r>
        <w:rPr>
          <w:color w:val="000000" w:themeColor="text1"/>
          <w:spacing w:val="-5"/>
          <w:sz w:val="21"/>
          <w:szCs w:val="21"/>
          <w:u w:val="single"/>
          <w14:textFill>
            <w14:solidFill>
              <w14:schemeClr w14:val="tx1"/>
            </w14:solidFill>
          </w14:textFill>
        </w:rPr>
        <w:t>（</w:t>
      </w:r>
      <w:r>
        <w:rPr>
          <w:color w:val="000000" w:themeColor="text1"/>
          <w:spacing w:val="10"/>
          <w:sz w:val="21"/>
          <w:szCs w:val="21"/>
          <w:u w:val="single"/>
          <w14:textFill>
            <w14:solidFill>
              <w14:schemeClr w14:val="tx1"/>
            </w14:solidFill>
          </w14:textFill>
        </w:rPr>
        <w:t>签字）</w:t>
      </w:r>
      <w:r>
        <w:rPr>
          <w:color w:val="000000" w:themeColor="text1"/>
          <w:sz w:val="21"/>
          <w:szCs w:val="21"/>
          <w:u w:val="single" w:color="auto"/>
          <w14:textFill>
            <w14:solidFill>
              <w14:schemeClr w14:val="tx1"/>
            </w14:solidFill>
          </w14:textFill>
        </w:rPr>
        <w:t xml:space="preserve">   </w:t>
      </w:r>
    </w:p>
    <w:p w14:paraId="25D25B3C">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0A9AAAC7">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15195206">
      <w:pPr>
        <w:pStyle w:val="18"/>
        <w:keepNext w:val="0"/>
        <w:keepLines w:val="0"/>
        <w:pageBreakBefore w:val="0"/>
        <w:widowControl/>
        <w:tabs>
          <w:tab w:val="left" w:pos="1145"/>
        </w:tabs>
        <w:kinsoku w:val="0"/>
        <w:wordWrap/>
        <w:overflowPunct/>
        <w:topLinePunct w:val="0"/>
        <w:autoSpaceDE w:val="0"/>
        <w:autoSpaceDN w:val="0"/>
        <w:bidi w:val="0"/>
        <w:adjustRightInd w:val="0"/>
        <w:snapToGrid w:val="0"/>
        <w:spacing w:line="400" w:lineRule="exact"/>
        <w:ind w:left="411"/>
        <w:textAlignment w:val="baseline"/>
        <w:rPr>
          <w:color w:val="000000" w:themeColor="text1"/>
          <w14:textFill>
            <w14:solidFill>
              <w14:schemeClr w14:val="tx1"/>
            </w14:solidFill>
          </w14:textFill>
        </w:rPr>
      </w:pPr>
      <w:r>
        <w:rPr>
          <w:color w:val="000000" w:themeColor="text1"/>
          <w:sz w:val="21"/>
          <w:szCs w:val="21"/>
          <w:u w:val="single" w:color="auto"/>
          <w14:textFill>
            <w14:solidFill>
              <w14:schemeClr w14:val="tx1"/>
            </w14:solidFill>
          </w14:textFill>
        </w:rPr>
        <w:tab/>
      </w:r>
      <w:r>
        <w:rPr>
          <w:color w:val="000000" w:themeColor="text1"/>
          <w:spacing w:val="-87"/>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年</w:t>
      </w:r>
      <w:r>
        <w:rPr>
          <w:color w:val="000000" w:themeColor="text1"/>
          <w:spacing w:val="-98"/>
          <w:sz w:val="21"/>
          <w:szCs w:val="21"/>
          <w14:textFill>
            <w14:solidFill>
              <w14:schemeClr w14:val="tx1"/>
            </w14:solidFill>
          </w14:textFill>
        </w:rPr>
        <w:t xml:space="preserve"> </w:t>
      </w:r>
      <w:r>
        <w:rPr>
          <w:color w:val="000000" w:themeColor="text1"/>
          <w:spacing w:val="5"/>
          <w:sz w:val="21"/>
          <w:szCs w:val="21"/>
          <w:u w:val="single" w:color="auto"/>
          <w14:textFill>
            <w14:solidFill>
              <w14:schemeClr w14:val="tx1"/>
            </w14:solidFill>
          </w14:textFill>
        </w:rPr>
        <w:t xml:space="preserve">       </w:t>
      </w:r>
      <w:r>
        <w:rPr>
          <w:color w:val="000000" w:themeColor="text1"/>
          <w:spacing w:val="-87"/>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月</w:t>
      </w:r>
      <w:r>
        <w:rPr>
          <w:color w:val="000000" w:themeColor="text1"/>
          <w:spacing w:val="5"/>
          <w:sz w:val="21"/>
          <w:szCs w:val="21"/>
          <w:u w:val="single" w:color="auto"/>
          <w14:textFill>
            <w14:solidFill>
              <w14:schemeClr w14:val="tx1"/>
            </w14:solidFill>
          </w14:textFill>
        </w:rPr>
        <w:t xml:space="preserve">       </w:t>
      </w:r>
      <w:r>
        <w:rPr>
          <w:color w:val="000000" w:themeColor="text1"/>
          <w:spacing w:val="-54"/>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日</w:t>
      </w:r>
      <w:r>
        <w:rPr>
          <w:color w:val="000000" w:themeColor="text1"/>
          <w:spacing w:val="5"/>
          <w:sz w:val="21"/>
          <w:szCs w:val="21"/>
          <w14:textFill>
            <w14:solidFill>
              <w14:schemeClr w14:val="tx1"/>
            </w14:solidFill>
          </w14:textFill>
        </w:rPr>
        <w:t xml:space="preserve">                 </w:t>
      </w:r>
      <w:r>
        <w:rPr>
          <w:color w:val="000000" w:themeColor="text1"/>
          <w:spacing w:val="4"/>
          <w:sz w:val="21"/>
          <w:szCs w:val="21"/>
          <w:u w:val="single" w:color="auto"/>
          <w14:textFill>
            <w14:solidFill>
              <w14:schemeClr w14:val="tx1"/>
            </w14:solidFill>
          </w14:textFill>
        </w:rPr>
        <w:t xml:space="preserve">       </w:t>
      </w:r>
      <w:r>
        <w:rPr>
          <w:color w:val="000000" w:themeColor="text1"/>
          <w:spacing w:val="-84"/>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年</w:t>
      </w:r>
      <w:r>
        <w:rPr>
          <w:color w:val="000000" w:themeColor="text1"/>
          <w:spacing w:val="-99"/>
          <w:sz w:val="21"/>
          <w:szCs w:val="21"/>
          <w14:textFill>
            <w14:solidFill>
              <w14:schemeClr w14:val="tx1"/>
            </w14:solidFill>
          </w14:textFill>
        </w:rPr>
        <w:t xml:space="preserve"> </w:t>
      </w:r>
      <w:r>
        <w:rPr>
          <w:color w:val="000000" w:themeColor="text1"/>
          <w:spacing w:val="5"/>
          <w:sz w:val="21"/>
          <w:szCs w:val="21"/>
          <w:u w:val="single" w:color="auto"/>
          <w14:textFill>
            <w14:solidFill>
              <w14:schemeClr w14:val="tx1"/>
            </w14:solidFill>
          </w14:textFill>
        </w:rPr>
        <w:t xml:space="preserve">       </w:t>
      </w:r>
      <w:r>
        <w:rPr>
          <w:color w:val="000000" w:themeColor="text1"/>
          <w:spacing w:val="-87"/>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月</w:t>
      </w:r>
      <w:r>
        <w:rPr>
          <w:color w:val="000000" w:themeColor="text1"/>
          <w:spacing w:val="5"/>
          <w:sz w:val="21"/>
          <w:szCs w:val="21"/>
          <w:u w:val="single" w:color="auto"/>
          <w14:textFill>
            <w14:solidFill>
              <w14:schemeClr w14:val="tx1"/>
            </w14:solidFill>
          </w14:textFill>
        </w:rPr>
        <w:t xml:space="preserve">      </w:t>
      </w:r>
      <w:r>
        <w:rPr>
          <w:color w:val="000000" w:themeColor="text1"/>
          <w:spacing w:val="-55"/>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日</w:t>
      </w:r>
    </w:p>
    <w:p w14:paraId="4A643FEA">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000000" w:themeColor="text1"/>
          <w14:textFill>
            <w14:solidFill>
              <w14:schemeClr w14:val="tx1"/>
            </w14:solidFill>
          </w14:textFill>
        </w:rPr>
        <w:sectPr>
          <w:footerReference r:id="rId27" w:type="default"/>
          <w:pgSz w:w="11907" w:h="16840"/>
          <w:pgMar w:top="1431" w:right="1543" w:bottom="1048" w:left="1448" w:header="0" w:footer="885" w:gutter="0"/>
          <w:cols w:space="720" w:num="1"/>
        </w:sectPr>
      </w:pPr>
    </w:p>
    <w:p w14:paraId="1868FF5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551"/>
        <w:textAlignment w:val="baseline"/>
        <w:outlineLvl w:val="0"/>
        <w:rPr>
          <w:color w:val="000000" w:themeColor="text1"/>
          <w:sz w:val="24"/>
          <w:szCs w:val="24"/>
          <w14:textFill>
            <w14:solidFill>
              <w14:schemeClr w14:val="tx1"/>
            </w14:solidFill>
          </w14:textFill>
        </w:rPr>
      </w:pPr>
      <w:r>
        <w:rPr>
          <w:b/>
          <w:bCs/>
          <w:color w:val="000000" w:themeColor="text1"/>
          <w:spacing w:val="-3"/>
          <w:sz w:val="24"/>
          <w:szCs w:val="24"/>
          <w14:textFill>
            <w14:solidFill>
              <w14:schemeClr w14:val="tx1"/>
            </w14:solidFill>
          </w14:textFill>
        </w:rPr>
        <w:t>三、安全生产合同</w:t>
      </w:r>
    </w:p>
    <w:p w14:paraId="6078A20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66" w:firstLine="423"/>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为在</w:t>
      </w:r>
      <w:r>
        <w:rPr>
          <w:rFonts w:hint="eastAsia" w:ascii="宋体" w:hAnsi="宋体" w:eastAsia="宋体" w:cs="宋体"/>
          <w:color w:val="000000" w:themeColor="text1"/>
          <w:spacing w:val="-98"/>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（项目名称）施工合同的实施过程中创造安全、高效</w:t>
      </w:r>
      <w:r>
        <w:rPr>
          <w:rFonts w:hint="eastAsia" w:ascii="宋体" w:hAnsi="宋体" w:eastAsia="宋体" w:cs="宋体"/>
          <w:color w:val="000000" w:themeColor="text1"/>
          <w:spacing w:val="7"/>
          <w:sz w:val="21"/>
          <w:szCs w:val="21"/>
          <w14:textFill>
            <w14:solidFill>
              <w14:schemeClr w14:val="tx1"/>
            </w14:solidFill>
          </w14:textFill>
        </w:rPr>
        <w:t>的施工环境，</w:t>
      </w:r>
      <w:r>
        <w:rPr>
          <w:rFonts w:hint="eastAsia" w:ascii="宋体" w:hAnsi="宋体" w:eastAsia="宋体" w:cs="宋体"/>
          <w:color w:val="000000" w:themeColor="text1"/>
          <w:spacing w:val="9"/>
          <w:sz w:val="21"/>
          <w:szCs w:val="21"/>
          <w14:textFill>
            <w14:solidFill>
              <w14:schemeClr w14:val="tx1"/>
            </w14:solidFill>
          </w14:textFill>
        </w:rPr>
        <w:t>切实搞好本项目的安全管理工作，本项目发</w:t>
      </w:r>
      <w:r>
        <w:rPr>
          <w:rFonts w:hint="eastAsia" w:ascii="宋体" w:hAnsi="宋体" w:eastAsia="宋体" w:cs="宋体"/>
          <w:color w:val="000000" w:themeColor="text1"/>
          <w:spacing w:val="8"/>
          <w:sz w:val="21"/>
          <w:szCs w:val="21"/>
          <w14:textFill>
            <w14:solidFill>
              <w14:schemeClr w14:val="tx1"/>
            </w14:solidFill>
          </w14:textFill>
        </w:rPr>
        <w:t>包人</w:t>
      </w:r>
      <w:r>
        <w:rPr>
          <w:rFonts w:hint="eastAsia" w:ascii="宋体" w:hAnsi="宋体" w:eastAsia="宋体" w:cs="宋体"/>
          <w:color w:val="000000" w:themeColor="text1"/>
          <w:spacing w:val="8"/>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（发包人名称，以下简称“发包</w:t>
      </w:r>
      <w:r>
        <w:rPr>
          <w:rFonts w:hint="eastAsia" w:ascii="宋体" w:hAnsi="宋体" w:eastAsia="宋体" w:cs="宋体"/>
          <w:color w:val="000000" w:themeColor="text1"/>
          <w:spacing w:val="7"/>
          <w:sz w:val="21"/>
          <w:szCs w:val="21"/>
          <w14:textFill>
            <w14:solidFill>
              <w14:schemeClr w14:val="tx1"/>
            </w14:solidFill>
          </w14:textFill>
        </w:rPr>
        <w:t>人</w:t>
      </w:r>
      <w:r>
        <w:rPr>
          <w:rFonts w:hint="eastAsia" w:ascii="宋体" w:hAnsi="宋体" w:eastAsia="宋体" w:cs="宋体"/>
          <w:color w:val="000000" w:themeColor="text1"/>
          <w:spacing w:val="-72"/>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”）与承包人</w:t>
      </w:r>
      <w:r>
        <w:rPr>
          <w:rFonts w:hint="eastAsia" w:ascii="宋体" w:hAnsi="宋体" w:eastAsia="宋体" w:cs="宋体"/>
          <w:color w:val="000000" w:themeColor="text1"/>
          <w:spacing w:val="7"/>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（承包人名称，以下简称“承包人</w:t>
      </w:r>
      <w:r>
        <w:rPr>
          <w:rFonts w:hint="eastAsia" w:ascii="宋体" w:hAnsi="宋体" w:eastAsia="宋体" w:cs="宋体"/>
          <w:color w:val="000000" w:themeColor="text1"/>
          <w:spacing w:val="-72"/>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”）特此签订安全生产合同：</w:t>
      </w:r>
    </w:p>
    <w:p w14:paraId="40BF403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1.发包人职责</w:t>
      </w:r>
    </w:p>
    <w:p w14:paraId="2BF34FF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（1）严格遵守国家有关安全生产的法律法规，认真执行工程承包合同中的有关安全要求。</w:t>
      </w:r>
    </w:p>
    <w:p w14:paraId="656E201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222" w:firstLine="224"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（2）按照“安全第一、预防为主</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”和坚持“管生产必须管</w:t>
      </w:r>
      <w:r>
        <w:rPr>
          <w:rFonts w:hint="eastAsia" w:ascii="宋体" w:hAnsi="宋体" w:eastAsia="宋体" w:cs="宋体"/>
          <w:color w:val="000000" w:themeColor="text1"/>
          <w:spacing w:val="6"/>
          <w:sz w:val="21"/>
          <w:szCs w:val="21"/>
          <w14:textFill>
            <w14:solidFill>
              <w14:schemeClr w14:val="tx1"/>
            </w14:solidFill>
          </w14:textFill>
        </w:rPr>
        <w:t>安全</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”的原则进行安全生产管理，</w:t>
      </w:r>
      <w:r>
        <w:rPr>
          <w:rFonts w:hint="eastAsia" w:ascii="宋体" w:hAnsi="宋体" w:eastAsia="宋体" w:cs="宋体"/>
          <w:color w:val="000000" w:themeColor="text1"/>
          <w:spacing w:val="9"/>
          <w:sz w:val="21"/>
          <w:szCs w:val="21"/>
          <w14:textFill>
            <w14:solidFill>
              <w14:schemeClr w14:val="tx1"/>
            </w14:solidFill>
          </w14:textFill>
        </w:rPr>
        <w:t>做到生产与安全工作同时计划、布置、检查、总结和评比。</w:t>
      </w:r>
    </w:p>
    <w:p w14:paraId="161A9FD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71"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（3）重要的安全设施必须坚持与主体工程“三同时</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”的</w:t>
      </w:r>
      <w:r>
        <w:rPr>
          <w:rFonts w:hint="eastAsia" w:ascii="宋体" w:hAnsi="宋体" w:eastAsia="宋体" w:cs="宋体"/>
          <w:color w:val="000000" w:themeColor="text1"/>
          <w:spacing w:val="8"/>
          <w:sz w:val="21"/>
          <w:szCs w:val="21"/>
          <w14:textFill>
            <w14:solidFill>
              <w14:schemeClr w14:val="tx1"/>
            </w14:solidFill>
          </w14:textFill>
        </w:rPr>
        <w:t>原则，即：同时设计、审批，同时施工，同时验收，投入使用。</w:t>
      </w:r>
    </w:p>
    <w:p w14:paraId="21FD448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（4）定期召开安全生产调度会，及时传达中央及地方有关安全生产的</w:t>
      </w:r>
      <w:r>
        <w:rPr>
          <w:rFonts w:hint="eastAsia" w:ascii="宋体" w:hAnsi="宋体" w:eastAsia="宋体" w:cs="宋体"/>
          <w:color w:val="000000" w:themeColor="text1"/>
          <w:spacing w:val="8"/>
          <w:sz w:val="21"/>
          <w:szCs w:val="21"/>
          <w14:textFill>
            <w14:solidFill>
              <w14:schemeClr w14:val="tx1"/>
            </w14:solidFill>
          </w14:textFill>
        </w:rPr>
        <w:t>精神。</w:t>
      </w:r>
    </w:p>
    <w:p w14:paraId="5713BF5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（5）组织对承包人施工现场安全生产检查，监督承包人及时处理发现的各种安全隐患。</w:t>
      </w:r>
    </w:p>
    <w:p w14:paraId="059EF4A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2.承包人职责</w:t>
      </w:r>
    </w:p>
    <w:p w14:paraId="4DAD0B8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（1）严格遵守《中华人民共和国安全生产法》、《建设工程安全生产管理条例》等国家有关</w:t>
      </w:r>
      <w:r>
        <w:rPr>
          <w:rFonts w:hint="eastAsia" w:ascii="宋体" w:hAnsi="宋体" w:eastAsia="宋体" w:cs="宋体"/>
          <w:color w:val="000000" w:themeColor="text1"/>
          <w:spacing w:val="10"/>
          <w:sz w:val="21"/>
          <w:szCs w:val="21"/>
          <w14:textFill>
            <w14:solidFill>
              <w14:schemeClr w14:val="tx1"/>
            </w14:solidFill>
          </w14:textFill>
        </w:rPr>
        <w:t>安全生产的法律法规、《公路水运工程安全</w:t>
      </w:r>
      <w:r>
        <w:rPr>
          <w:rFonts w:hint="eastAsia" w:ascii="宋体" w:hAnsi="宋体" w:eastAsia="宋体" w:cs="宋体"/>
          <w:color w:val="000000" w:themeColor="text1"/>
          <w:spacing w:val="9"/>
          <w:sz w:val="21"/>
          <w:szCs w:val="21"/>
          <w14:textFill>
            <w14:solidFill>
              <w14:schemeClr w14:val="tx1"/>
            </w14:solidFill>
          </w14:textFill>
        </w:rPr>
        <w:t>生产监督管理办法》、《公路工程施工安全技术规程》</w:t>
      </w:r>
      <w:r>
        <w:rPr>
          <w:rFonts w:hint="eastAsia" w:ascii="宋体" w:hAnsi="宋体" w:eastAsia="宋体" w:cs="宋体"/>
          <w:color w:val="000000" w:themeColor="text1"/>
          <w:spacing w:val="7"/>
          <w:sz w:val="21"/>
          <w:szCs w:val="21"/>
          <w14:textFill>
            <w14:solidFill>
              <w14:schemeClr w14:val="tx1"/>
            </w14:solidFill>
          </w14:textFill>
        </w:rPr>
        <w:t>和《公路筑养路机械操作规程》等有关安全生产</w:t>
      </w:r>
      <w:r>
        <w:rPr>
          <w:rFonts w:hint="eastAsia" w:ascii="宋体" w:hAnsi="宋体" w:eastAsia="宋体" w:cs="宋体"/>
          <w:color w:val="000000" w:themeColor="text1"/>
          <w:spacing w:val="6"/>
          <w:sz w:val="21"/>
          <w:szCs w:val="21"/>
          <w14:textFill>
            <w14:solidFill>
              <w14:schemeClr w14:val="tx1"/>
            </w14:solidFill>
          </w14:textFill>
        </w:rPr>
        <w:t>的规定。认真执行工程承包合同中的有关安全要求。</w:t>
      </w:r>
    </w:p>
    <w:p w14:paraId="5509FE5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6" w:firstLine="224"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（2）坚持“安全第一、预防为主</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”和“管生产必须管安全</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w:t>
      </w:r>
      <w:r>
        <w:rPr>
          <w:rFonts w:hint="eastAsia" w:ascii="宋体" w:hAnsi="宋体" w:eastAsia="宋体" w:cs="宋体"/>
          <w:color w:val="000000" w:themeColor="text1"/>
          <w:spacing w:val="6"/>
          <w:sz w:val="21"/>
          <w:szCs w:val="21"/>
          <w14:textFill>
            <w14:solidFill>
              <w14:schemeClr w14:val="tx1"/>
            </w14:solidFill>
          </w14:textFill>
        </w:rPr>
        <w:t>的原则，加强安全生产宣传教育，</w:t>
      </w:r>
      <w:r>
        <w:rPr>
          <w:rFonts w:hint="eastAsia" w:ascii="宋体" w:hAnsi="宋体" w:eastAsia="宋体" w:cs="宋体"/>
          <w:color w:val="000000" w:themeColor="text1"/>
          <w:spacing w:val="10"/>
          <w:sz w:val="21"/>
          <w:szCs w:val="21"/>
          <w14:textFill>
            <w14:solidFill>
              <w14:schemeClr w14:val="tx1"/>
            </w14:solidFill>
          </w14:textFill>
        </w:rPr>
        <w:t>增强全员安全生产意识，建立健全各项安全生产的管理机构和安全生</w:t>
      </w:r>
      <w:r>
        <w:rPr>
          <w:rFonts w:hint="eastAsia" w:ascii="宋体" w:hAnsi="宋体" w:eastAsia="宋体" w:cs="宋体"/>
          <w:color w:val="000000" w:themeColor="text1"/>
          <w:spacing w:val="9"/>
          <w:sz w:val="21"/>
          <w:szCs w:val="21"/>
          <w14:textFill>
            <w14:solidFill>
              <w14:schemeClr w14:val="tx1"/>
            </w14:solidFill>
          </w14:textFill>
        </w:rPr>
        <w:t>产管理制度，配备专职及兼职</w:t>
      </w:r>
      <w:r>
        <w:rPr>
          <w:rFonts w:hint="eastAsia" w:ascii="宋体" w:hAnsi="宋体" w:eastAsia="宋体" w:cs="宋体"/>
          <w:color w:val="000000" w:themeColor="text1"/>
          <w:spacing w:val="10"/>
          <w:sz w:val="21"/>
          <w:szCs w:val="21"/>
          <w14:textFill>
            <w14:solidFill>
              <w14:schemeClr w14:val="tx1"/>
            </w14:solidFill>
          </w14:textFill>
        </w:rPr>
        <w:t>安全检查人员，有组织有领导地开展安全生产活动。各级领导、</w:t>
      </w:r>
      <w:r>
        <w:rPr>
          <w:rFonts w:hint="eastAsia" w:ascii="宋体" w:hAnsi="宋体" w:eastAsia="宋体" w:cs="宋体"/>
          <w:color w:val="000000" w:themeColor="text1"/>
          <w:spacing w:val="9"/>
          <w:sz w:val="21"/>
          <w:szCs w:val="21"/>
          <w14:textFill>
            <w14:solidFill>
              <w14:schemeClr w14:val="tx1"/>
            </w14:solidFill>
          </w14:textFill>
        </w:rPr>
        <w:t>工程技术人员、生产管理人员和具</w:t>
      </w:r>
      <w:r>
        <w:rPr>
          <w:rFonts w:hint="eastAsia" w:ascii="宋体" w:hAnsi="宋体" w:eastAsia="宋体" w:cs="宋体"/>
          <w:color w:val="000000" w:themeColor="text1"/>
          <w:spacing w:val="10"/>
          <w:sz w:val="21"/>
          <w:szCs w:val="21"/>
          <w14:textFill>
            <w14:solidFill>
              <w14:schemeClr w14:val="tx1"/>
            </w14:solidFill>
          </w14:textFill>
        </w:rPr>
        <w:t>体操作人员，必须熟悉和遵守本合同的各项规定，做到生产与安全工</w:t>
      </w:r>
      <w:r>
        <w:rPr>
          <w:rFonts w:hint="eastAsia" w:ascii="宋体" w:hAnsi="宋体" w:eastAsia="宋体" w:cs="宋体"/>
          <w:color w:val="000000" w:themeColor="text1"/>
          <w:spacing w:val="9"/>
          <w:sz w:val="21"/>
          <w:szCs w:val="21"/>
          <w14:textFill>
            <w14:solidFill>
              <w14:schemeClr w14:val="tx1"/>
            </w14:solidFill>
          </w14:textFill>
        </w:rPr>
        <w:t>作同时计划、布置、检查、总</w:t>
      </w:r>
      <w:r>
        <w:rPr>
          <w:rFonts w:hint="eastAsia" w:ascii="宋体" w:hAnsi="宋体" w:eastAsia="宋体" w:cs="宋体"/>
          <w:color w:val="000000" w:themeColor="text1"/>
          <w:spacing w:val="5"/>
          <w:sz w:val="21"/>
          <w:szCs w:val="21"/>
          <w14:textFill>
            <w14:solidFill>
              <w14:schemeClr w14:val="tx1"/>
            </w14:solidFill>
          </w14:textFill>
        </w:rPr>
        <w:t>结和评比。</w:t>
      </w:r>
    </w:p>
    <w:p w14:paraId="01D70C0F">
      <w:pPr>
        <w:keepNext w:val="0"/>
        <w:keepLines w:val="0"/>
        <w:pageBreakBefore w:val="0"/>
        <w:widowControl/>
        <w:kinsoku w:val="0"/>
        <w:wordWrap/>
        <w:overflowPunct/>
        <w:topLinePunct w:val="0"/>
        <w:autoSpaceDE w:val="0"/>
        <w:autoSpaceDN w:val="0"/>
        <w:bidi w:val="0"/>
        <w:adjustRightInd w:val="0"/>
        <w:snapToGrid w:val="0"/>
        <w:spacing w:line="400" w:lineRule="exact"/>
        <w:ind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（3）建立健全安全生产责任制。从派往项目实施的项目经理到生产工人（包括临时雇请的民</w:t>
      </w:r>
      <w:r>
        <w:rPr>
          <w:rFonts w:hint="eastAsia" w:ascii="宋体" w:hAnsi="宋体" w:eastAsia="宋体" w:cs="宋体"/>
          <w:color w:val="000000" w:themeColor="text1"/>
          <w:spacing w:val="10"/>
          <w:sz w:val="21"/>
          <w:szCs w:val="21"/>
          <w14:textFill>
            <w14:solidFill>
              <w14:schemeClr w14:val="tx1"/>
            </w14:solidFill>
          </w14:textFill>
        </w:rPr>
        <w:t>工）的安全生产管理系统必须做到纵向到底，—环不漏；各职能</w:t>
      </w:r>
      <w:r>
        <w:rPr>
          <w:rFonts w:hint="eastAsia" w:ascii="宋体" w:hAnsi="宋体" w:eastAsia="宋体" w:cs="宋体"/>
          <w:color w:val="000000" w:themeColor="text1"/>
          <w:spacing w:val="9"/>
          <w:sz w:val="21"/>
          <w:szCs w:val="21"/>
          <w14:textFill>
            <w14:solidFill>
              <w14:schemeClr w14:val="tx1"/>
            </w14:solidFill>
          </w14:textFill>
        </w:rPr>
        <w:t>部门、人员的安全生产责任制做到</w:t>
      </w:r>
      <w:r>
        <w:rPr>
          <w:rFonts w:hint="eastAsia" w:ascii="宋体" w:hAnsi="宋体" w:eastAsia="宋体" w:cs="宋体"/>
          <w:color w:val="000000" w:themeColor="text1"/>
          <w:spacing w:val="10"/>
          <w:sz w:val="21"/>
          <w:szCs w:val="21"/>
          <w14:textFill>
            <w14:solidFill>
              <w14:schemeClr w14:val="tx1"/>
            </w14:solidFill>
          </w14:textFill>
        </w:rPr>
        <w:t>横向到边，人人有责。项目经理是安全生产的第一责任人。现场</w:t>
      </w:r>
      <w:r>
        <w:rPr>
          <w:rFonts w:hint="eastAsia" w:ascii="宋体" w:hAnsi="宋体" w:eastAsia="宋体" w:cs="宋体"/>
          <w:color w:val="000000" w:themeColor="text1"/>
          <w:spacing w:val="9"/>
          <w:sz w:val="21"/>
          <w:szCs w:val="21"/>
          <w14:textFill>
            <w14:solidFill>
              <w14:schemeClr w14:val="tx1"/>
            </w14:solidFill>
          </w14:textFill>
        </w:rPr>
        <w:t>设置的安全机构，应按《公路水运</w:t>
      </w:r>
      <w:r>
        <w:rPr>
          <w:rFonts w:hint="eastAsia" w:ascii="宋体" w:hAnsi="宋体" w:eastAsia="宋体" w:cs="宋体"/>
          <w:color w:val="000000" w:themeColor="text1"/>
          <w:spacing w:val="10"/>
          <w:sz w:val="21"/>
          <w:szCs w:val="21"/>
          <w14:textFill>
            <w14:solidFill>
              <w14:schemeClr w14:val="tx1"/>
            </w14:solidFill>
          </w14:textFill>
        </w:rPr>
        <w:t>工程安全生产监督管理办法》规定的最低数量和资质条件配备专职安全</w:t>
      </w:r>
      <w:r>
        <w:rPr>
          <w:rFonts w:hint="eastAsia" w:ascii="宋体" w:hAnsi="宋体" w:eastAsia="宋体" w:cs="宋体"/>
          <w:color w:val="000000" w:themeColor="text1"/>
          <w:spacing w:val="9"/>
          <w:sz w:val="21"/>
          <w:szCs w:val="21"/>
          <w14:textFill>
            <w14:solidFill>
              <w14:schemeClr w14:val="tx1"/>
            </w14:solidFill>
          </w14:textFill>
        </w:rPr>
        <w:t>生产管理人员，专职负责所</w:t>
      </w:r>
      <w:r>
        <w:rPr>
          <w:rFonts w:hint="eastAsia" w:ascii="宋体" w:hAnsi="宋体" w:eastAsia="宋体" w:cs="宋体"/>
          <w:color w:val="000000" w:themeColor="text1"/>
          <w:spacing w:val="10"/>
          <w:sz w:val="21"/>
          <w:szCs w:val="21"/>
          <w14:textFill>
            <w14:solidFill>
              <w14:schemeClr w14:val="tx1"/>
            </w14:solidFill>
          </w14:textFill>
        </w:rPr>
        <w:t>有员工的安全和治安保卫工作及预防事故的发生。安全机构人员有</w:t>
      </w:r>
      <w:r>
        <w:rPr>
          <w:rFonts w:hint="eastAsia" w:ascii="宋体" w:hAnsi="宋体" w:eastAsia="宋体" w:cs="宋体"/>
          <w:color w:val="000000" w:themeColor="text1"/>
          <w:spacing w:val="9"/>
          <w:sz w:val="21"/>
          <w:szCs w:val="21"/>
          <w14:textFill>
            <w14:solidFill>
              <w14:schemeClr w14:val="tx1"/>
            </w14:solidFill>
          </w14:textFill>
        </w:rPr>
        <w:t>权按有关规定发布指令，并采取</w:t>
      </w:r>
      <w:r>
        <w:rPr>
          <w:rFonts w:hint="eastAsia" w:ascii="宋体" w:hAnsi="宋体" w:eastAsia="宋体" w:cs="宋体"/>
          <w:color w:val="000000" w:themeColor="text1"/>
          <w:spacing w:val="8"/>
          <w:sz w:val="21"/>
          <w:szCs w:val="21"/>
          <w14:textFill>
            <w14:solidFill>
              <w14:schemeClr w14:val="tx1"/>
            </w14:solidFill>
          </w14:textFill>
        </w:rPr>
        <w:t>保护性措施防止事故发生。</w:t>
      </w:r>
    </w:p>
    <w:p w14:paraId="6E6501A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53"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（4）承包人在任何时候都应采取各种合理的预防措施，防止其员工发生任何违法、违禁、暴</w:t>
      </w:r>
      <w:r>
        <w:rPr>
          <w:rFonts w:hint="eastAsia" w:ascii="宋体" w:hAnsi="宋体" w:eastAsia="宋体" w:cs="宋体"/>
          <w:color w:val="000000" w:themeColor="text1"/>
          <w:spacing w:val="7"/>
          <w:sz w:val="21"/>
          <w:szCs w:val="21"/>
          <w14:textFill>
            <w14:solidFill>
              <w14:schemeClr w14:val="tx1"/>
            </w14:solidFill>
          </w14:textFill>
        </w:rPr>
        <w:t>力或妨碍治安的行为。</w:t>
      </w:r>
    </w:p>
    <w:p w14:paraId="2A2E1A0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49"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（5）承包人必须具有劳动安全管理部门颁发的安全生产考核合格证书，参加施工的人员，必</w:t>
      </w:r>
      <w:r>
        <w:rPr>
          <w:rFonts w:hint="eastAsia" w:ascii="宋体" w:hAnsi="宋体" w:eastAsia="宋体" w:cs="宋体"/>
          <w:color w:val="000000" w:themeColor="text1"/>
          <w:spacing w:val="10"/>
          <w:sz w:val="21"/>
          <w:szCs w:val="21"/>
          <w14:textFill>
            <w14:solidFill>
              <w14:schemeClr w14:val="tx1"/>
            </w14:solidFill>
          </w14:textFill>
        </w:rPr>
        <w:t>须接受安全技术教育，熟知和遵守本工种的各项安全技术操</w:t>
      </w:r>
      <w:r>
        <w:rPr>
          <w:rFonts w:hint="eastAsia" w:ascii="宋体" w:hAnsi="宋体" w:eastAsia="宋体" w:cs="宋体"/>
          <w:color w:val="000000" w:themeColor="text1"/>
          <w:spacing w:val="9"/>
          <w:sz w:val="21"/>
          <w:szCs w:val="21"/>
          <w14:textFill>
            <w14:solidFill>
              <w14:schemeClr w14:val="tx1"/>
            </w14:solidFill>
          </w14:textFill>
        </w:rPr>
        <w:t>作规程，定期进行安全技术考核，合格</w:t>
      </w:r>
      <w:r>
        <w:rPr>
          <w:rFonts w:hint="eastAsia" w:ascii="宋体" w:hAnsi="宋体" w:eastAsia="宋体" w:cs="宋体"/>
          <w:color w:val="000000" w:themeColor="text1"/>
          <w:spacing w:val="10"/>
          <w:sz w:val="21"/>
          <w:szCs w:val="21"/>
          <w14:textFill>
            <w14:solidFill>
              <w14:schemeClr w14:val="tx1"/>
            </w14:solidFill>
          </w14:textFill>
        </w:rPr>
        <w:t>者方准上岗操作。对于从事电气、起重、建筑登高架设作业</w:t>
      </w:r>
      <w:r>
        <w:rPr>
          <w:rFonts w:hint="eastAsia" w:ascii="宋体" w:hAnsi="宋体" w:eastAsia="宋体" w:cs="宋体"/>
          <w:color w:val="000000" w:themeColor="text1"/>
          <w:spacing w:val="9"/>
          <w:sz w:val="21"/>
          <w:szCs w:val="21"/>
          <w14:textFill>
            <w14:solidFill>
              <w14:schemeClr w14:val="tx1"/>
            </w14:solidFill>
          </w14:textFill>
        </w:rPr>
        <w:t>、锅炉、压力容器、焊接、机动车船艇</w:t>
      </w:r>
      <w:r>
        <w:rPr>
          <w:rFonts w:hint="eastAsia" w:ascii="宋体" w:hAnsi="宋体" w:eastAsia="宋体" w:cs="宋体"/>
          <w:color w:val="000000" w:themeColor="text1"/>
          <w:spacing w:val="10"/>
          <w:sz w:val="21"/>
          <w:szCs w:val="21"/>
          <w14:textFill>
            <w14:solidFill>
              <w14:schemeClr w14:val="tx1"/>
            </w14:solidFill>
          </w14:textFill>
        </w:rPr>
        <w:t>驾驶、爆破、潜水、瓦斯检验等特殊工种的人员，经过专业培训</w:t>
      </w:r>
      <w:r>
        <w:rPr>
          <w:rFonts w:hint="eastAsia" w:ascii="宋体" w:hAnsi="宋体" w:eastAsia="宋体" w:cs="宋体"/>
          <w:color w:val="000000" w:themeColor="text1"/>
          <w:spacing w:val="9"/>
          <w:sz w:val="21"/>
          <w:szCs w:val="21"/>
          <w14:textFill>
            <w14:solidFill>
              <w14:schemeClr w14:val="tx1"/>
            </w14:solidFill>
          </w14:textFill>
        </w:rPr>
        <w:t>，获得《安全操作合格证》后，方准持证上岗。施工现场如出现特种作业无证操作现象时，项目经理必须承担管理责任。</w:t>
      </w:r>
    </w:p>
    <w:p w14:paraId="57DCFF5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52"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（6）对于易燃易爆的材料除应专门妥善保管之外，还应配备有足够的消防设施，所有施工人</w:t>
      </w:r>
      <w:r>
        <w:rPr>
          <w:rFonts w:hint="eastAsia" w:ascii="宋体" w:hAnsi="宋体" w:eastAsia="宋体" w:cs="宋体"/>
          <w:color w:val="000000" w:themeColor="text1"/>
          <w:spacing w:val="10"/>
          <w:sz w:val="21"/>
          <w:szCs w:val="21"/>
          <w14:textFill>
            <w14:solidFill>
              <w14:schemeClr w14:val="tx1"/>
            </w14:solidFill>
          </w14:textFill>
        </w:rPr>
        <w:t>员都应熟悉消防设备的性能和使用方法；承包人不得将任何种</w:t>
      </w:r>
      <w:r>
        <w:rPr>
          <w:rFonts w:hint="eastAsia" w:ascii="宋体" w:hAnsi="宋体" w:eastAsia="宋体" w:cs="宋体"/>
          <w:color w:val="000000" w:themeColor="text1"/>
          <w:spacing w:val="9"/>
          <w:sz w:val="21"/>
          <w:szCs w:val="21"/>
          <w14:textFill>
            <w14:solidFill>
              <w14:schemeClr w14:val="tx1"/>
            </w14:solidFill>
          </w14:textFill>
        </w:rPr>
        <w:t>类的爆炸物给予、易货或以其他方式转让给任何其他人，或允许、容忍上述同样行为。</w:t>
      </w:r>
    </w:p>
    <w:p w14:paraId="4755985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53"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（7）操作人员上岗，必须按规定穿戴防护用品。施工负责人和安全检查员应随时检查劳动防护用品的穿戴情况，不按规定穿戴防护用品的人员不得上岗。</w:t>
      </w:r>
    </w:p>
    <w:p w14:paraId="62FDE0D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53"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（8）所有施工机具设备和高空作业的设备均应定期检查，并有安全员的签字记录，保证其经常处于完好状态；不合格的机具、设备和劳动保护用品严禁使用：</w:t>
      </w:r>
    </w:p>
    <w:p w14:paraId="306F19E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53"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（9）施工中采用新技术、新工艺、新设备、新材料时，必须制定相应的安全技术措施，施工</w:t>
      </w:r>
      <w:r>
        <w:rPr>
          <w:rFonts w:hint="eastAsia" w:ascii="宋体" w:hAnsi="宋体" w:eastAsia="宋体" w:cs="宋体"/>
          <w:color w:val="000000" w:themeColor="text1"/>
          <w:spacing w:val="8"/>
          <w:sz w:val="21"/>
          <w:szCs w:val="21"/>
          <w14:textFill>
            <w14:solidFill>
              <w14:schemeClr w14:val="tx1"/>
            </w14:solidFill>
          </w14:textFill>
        </w:rPr>
        <w:t>现场必须具有相关的安全标志牌。</w:t>
      </w:r>
    </w:p>
    <w:p w14:paraId="0866176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2"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（10）承包人必须按照本工程项目特点，组织制</w:t>
      </w:r>
      <w:r>
        <w:rPr>
          <w:rFonts w:hint="eastAsia" w:ascii="宋体" w:hAnsi="宋体" w:eastAsia="宋体" w:cs="宋体"/>
          <w:color w:val="000000" w:themeColor="text1"/>
          <w:spacing w:val="5"/>
          <w:sz w:val="21"/>
          <w:szCs w:val="21"/>
          <w14:textFill>
            <w14:solidFill>
              <w14:schemeClr w14:val="tx1"/>
            </w14:solidFill>
          </w14:textFill>
        </w:rPr>
        <w:t>定本工程实施中的生产安全事故应急救援预案；</w:t>
      </w:r>
      <w:r>
        <w:rPr>
          <w:rFonts w:hint="eastAsia" w:ascii="宋体" w:hAnsi="宋体" w:eastAsia="宋体" w:cs="宋体"/>
          <w:color w:val="000000" w:themeColor="text1"/>
          <w:spacing w:val="9"/>
          <w:sz w:val="21"/>
          <w:szCs w:val="21"/>
          <w14:textFill>
            <w14:solidFill>
              <w14:schemeClr w14:val="tx1"/>
            </w14:solidFill>
          </w14:textFill>
        </w:rPr>
        <w:t>如果发生安全事故，应按照《国务院关于特大安全事故行政责任追究的规定》</w:t>
      </w:r>
      <w:r>
        <w:rPr>
          <w:rFonts w:hint="eastAsia" w:ascii="宋体" w:hAnsi="宋体" w:eastAsia="宋体" w:cs="宋体"/>
          <w:color w:val="000000" w:themeColor="text1"/>
          <w:spacing w:val="-51"/>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以及其他有关规定，</w:t>
      </w:r>
      <w:r>
        <w:rPr>
          <w:rFonts w:hint="eastAsia" w:ascii="宋体" w:hAnsi="宋体" w:eastAsia="宋体" w:cs="宋体"/>
          <w:color w:val="000000" w:themeColor="text1"/>
          <w:spacing w:val="7"/>
          <w:sz w:val="21"/>
          <w:szCs w:val="21"/>
          <w14:textFill>
            <w14:solidFill>
              <w14:schemeClr w14:val="tx1"/>
            </w14:solidFill>
          </w14:textFill>
        </w:rPr>
        <w:t>及时上报有关部门，并坚持“</w:t>
      </w:r>
      <w:r>
        <w:rPr>
          <w:rFonts w:hint="eastAsia" w:ascii="宋体" w:hAnsi="宋体" w:eastAsia="宋体" w:cs="宋体"/>
          <w:color w:val="000000" w:themeColor="text1"/>
          <w:spacing w:val="-54"/>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四不放过</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”的原则．严肃处理相关责任人。</w:t>
      </w:r>
    </w:p>
    <w:p w14:paraId="62DCC20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28" w:firstLineChars="1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（11）安全生产费用按照《公路水运工程安全生产监督管理办法》的相关规定使用和管理。</w:t>
      </w:r>
    </w:p>
    <w:p w14:paraId="46C36A2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3.违约责任</w:t>
      </w:r>
    </w:p>
    <w:p w14:paraId="15EAC7F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如因发包人或承包人违约造成安全事故，将依法追究责任。</w:t>
      </w:r>
    </w:p>
    <w:p w14:paraId="593152F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52" w:firstLine="41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4.本合同由双方法定代表人或其授权的代理人签署并加盖单位公章后生效，全部工程竣工验收</w:t>
      </w:r>
      <w:r>
        <w:rPr>
          <w:rFonts w:hint="eastAsia" w:ascii="宋体" w:hAnsi="宋体" w:eastAsia="宋体" w:cs="宋体"/>
          <w:color w:val="000000" w:themeColor="text1"/>
          <w:spacing w:val="4"/>
          <w:sz w:val="21"/>
          <w:szCs w:val="21"/>
          <w14:textFill>
            <w14:solidFill>
              <w14:schemeClr w14:val="tx1"/>
            </w14:solidFill>
          </w14:textFill>
        </w:rPr>
        <w:t>后失效。</w:t>
      </w:r>
    </w:p>
    <w:p w14:paraId="3F3CFD0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2" w:firstLine="411"/>
        <w:textAlignment w:val="baseline"/>
        <w:rPr>
          <w:color w:val="000000" w:themeColor="text1"/>
          <w:sz w:val="21"/>
          <w:szCs w:val="21"/>
          <w14:textFill>
            <w14:solidFill>
              <w14:schemeClr w14:val="tx1"/>
            </w14:solidFill>
          </w14:textFill>
        </w:rPr>
      </w:pPr>
      <w:r>
        <w:rPr>
          <w:color w:val="000000" w:themeColor="text1"/>
          <w:spacing w:val="6"/>
          <w:sz w:val="21"/>
          <w:szCs w:val="21"/>
          <w14:textFill>
            <w14:solidFill>
              <w14:schemeClr w14:val="tx1"/>
            </w14:solidFill>
          </w14:textFill>
        </w:rPr>
        <w:t>5.本合同正本—式</w:t>
      </w:r>
      <w:r>
        <w:rPr>
          <w:color w:val="000000" w:themeColor="text1"/>
          <w:spacing w:val="-97"/>
          <w:sz w:val="21"/>
          <w:szCs w:val="21"/>
          <w14:textFill>
            <w14:solidFill>
              <w14:schemeClr w14:val="tx1"/>
            </w14:solidFill>
          </w14:textFill>
        </w:rPr>
        <w:t xml:space="preserve"> </w:t>
      </w:r>
      <w:r>
        <w:rPr>
          <w:color w:val="000000" w:themeColor="text1"/>
          <w:spacing w:val="4"/>
          <w:sz w:val="21"/>
          <w:szCs w:val="21"/>
          <w:u w:val="single" w:color="auto"/>
          <w14:textFill>
            <w14:solidFill>
              <w14:schemeClr w14:val="tx1"/>
            </w14:solidFill>
          </w14:textFill>
        </w:rPr>
        <w:t xml:space="preserve">      </w:t>
      </w:r>
      <w:r>
        <w:rPr>
          <w:color w:val="000000" w:themeColor="text1"/>
          <w:spacing w:val="-87"/>
          <w:sz w:val="21"/>
          <w:szCs w:val="21"/>
          <w14:textFill>
            <w14:solidFill>
              <w14:schemeClr w14:val="tx1"/>
            </w14:solidFill>
          </w14:textFill>
        </w:rPr>
        <w:t xml:space="preserve"> </w:t>
      </w:r>
      <w:r>
        <w:rPr>
          <w:color w:val="000000" w:themeColor="text1"/>
          <w:spacing w:val="6"/>
          <w:sz w:val="21"/>
          <w:szCs w:val="21"/>
          <w14:textFill>
            <w14:solidFill>
              <w14:schemeClr w14:val="tx1"/>
            </w14:solidFill>
          </w14:textFill>
        </w:rPr>
        <w:t>份，正本</w:t>
      </w:r>
      <w:r>
        <w:rPr>
          <w:color w:val="000000" w:themeColor="text1"/>
          <w:spacing w:val="-99"/>
          <w:sz w:val="21"/>
          <w:szCs w:val="21"/>
          <w14:textFill>
            <w14:solidFill>
              <w14:schemeClr w14:val="tx1"/>
            </w14:solidFill>
          </w14:textFill>
        </w:rPr>
        <w:t xml:space="preserve"> </w:t>
      </w:r>
      <w:r>
        <w:rPr>
          <w:color w:val="000000" w:themeColor="text1"/>
          <w:spacing w:val="5"/>
          <w:sz w:val="21"/>
          <w:szCs w:val="21"/>
          <w:u w:val="single" w:color="auto"/>
          <w14:textFill>
            <w14:solidFill>
              <w14:schemeClr w14:val="tx1"/>
            </w14:solidFill>
          </w14:textFill>
        </w:rPr>
        <w:t xml:space="preserve">      </w:t>
      </w:r>
      <w:r>
        <w:rPr>
          <w:color w:val="000000" w:themeColor="text1"/>
          <w:spacing w:val="-90"/>
          <w:sz w:val="21"/>
          <w:szCs w:val="21"/>
          <w14:textFill>
            <w14:solidFill>
              <w14:schemeClr w14:val="tx1"/>
            </w14:solidFill>
          </w14:textFill>
        </w:rPr>
        <w:t xml:space="preserve"> </w:t>
      </w:r>
      <w:r>
        <w:rPr>
          <w:color w:val="000000" w:themeColor="text1"/>
          <w:spacing w:val="6"/>
          <w:sz w:val="21"/>
          <w:szCs w:val="21"/>
          <w14:textFill>
            <w14:solidFill>
              <w14:schemeClr w14:val="tx1"/>
            </w14:solidFill>
          </w14:textFill>
        </w:rPr>
        <w:t>份，合同双方各执正本</w:t>
      </w:r>
      <w:r>
        <w:rPr>
          <w:color w:val="000000" w:themeColor="text1"/>
          <w:spacing w:val="-98"/>
          <w:sz w:val="21"/>
          <w:szCs w:val="21"/>
          <w14:textFill>
            <w14:solidFill>
              <w14:schemeClr w14:val="tx1"/>
            </w14:solidFill>
          </w14:textFill>
        </w:rPr>
        <w:t xml:space="preserve"> </w:t>
      </w:r>
      <w:r>
        <w:rPr>
          <w:color w:val="000000" w:themeColor="text1"/>
          <w:spacing w:val="4"/>
          <w:sz w:val="21"/>
          <w:szCs w:val="21"/>
          <w:u w:val="single" w:color="auto"/>
          <w14:textFill>
            <w14:solidFill>
              <w14:schemeClr w14:val="tx1"/>
            </w14:solidFill>
          </w14:textFill>
        </w:rPr>
        <w:t xml:space="preserve">      </w:t>
      </w:r>
      <w:r>
        <w:rPr>
          <w:color w:val="000000" w:themeColor="text1"/>
          <w:spacing w:val="-87"/>
          <w:sz w:val="21"/>
          <w:szCs w:val="21"/>
          <w14:textFill>
            <w14:solidFill>
              <w14:schemeClr w14:val="tx1"/>
            </w14:solidFill>
          </w14:textFill>
        </w:rPr>
        <w:t xml:space="preserve"> </w:t>
      </w:r>
      <w:r>
        <w:rPr>
          <w:color w:val="000000" w:themeColor="text1"/>
          <w:spacing w:val="6"/>
          <w:sz w:val="21"/>
          <w:szCs w:val="21"/>
          <w14:textFill>
            <w14:solidFill>
              <w14:schemeClr w14:val="tx1"/>
            </w14:solidFill>
          </w14:textFill>
        </w:rPr>
        <w:t>份，副</w:t>
      </w:r>
      <w:r>
        <w:rPr>
          <w:color w:val="000000" w:themeColor="text1"/>
          <w:spacing w:val="5"/>
          <w:sz w:val="21"/>
          <w:szCs w:val="21"/>
          <w14:textFill>
            <w14:solidFill>
              <w14:schemeClr w14:val="tx1"/>
            </w14:solidFill>
          </w14:textFill>
        </w:rPr>
        <w:t>本</w:t>
      </w:r>
      <w:r>
        <w:rPr>
          <w:color w:val="000000" w:themeColor="text1"/>
          <w:spacing w:val="-98"/>
          <w:sz w:val="21"/>
          <w:szCs w:val="21"/>
          <w14:textFill>
            <w14:solidFill>
              <w14:schemeClr w14:val="tx1"/>
            </w14:solidFill>
          </w14:textFill>
        </w:rPr>
        <w:t xml:space="preserve"> </w:t>
      </w:r>
      <w:r>
        <w:rPr>
          <w:color w:val="000000" w:themeColor="text1"/>
          <w:spacing w:val="5"/>
          <w:sz w:val="21"/>
          <w:szCs w:val="21"/>
          <w:u w:val="single" w:color="auto"/>
          <w14:textFill>
            <w14:solidFill>
              <w14:schemeClr w14:val="tx1"/>
            </w14:solidFill>
          </w14:textFill>
        </w:rPr>
        <w:t xml:space="preserve">       </w:t>
      </w:r>
      <w:r>
        <w:rPr>
          <w:color w:val="000000" w:themeColor="text1"/>
          <w:spacing w:val="-90"/>
          <w:sz w:val="21"/>
          <w:szCs w:val="21"/>
          <w14:textFill>
            <w14:solidFill>
              <w14:schemeClr w14:val="tx1"/>
            </w14:solidFill>
          </w14:textFill>
        </w:rPr>
        <w:t xml:space="preserve"> </w:t>
      </w:r>
      <w:r>
        <w:rPr>
          <w:color w:val="000000" w:themeColor="text1"/>
          <w:spacing w:val="5"/>
          <w:sz w:val="21"/>
          <w:szCs w:val="21"/>
          <w14:textFill>
            <w14:solidFill>
              <w14:schemeClr w14:val="tx1"/>
            </w14:solidFill>
          </w14:textFill>
        </w:rPr>
        <w:t>份，</w:t>
      </w:r>
      <w:r>
        <w:rPr>
          <w:color w:val="000000" w:themeColor="text1"/>
          <w:spacing w:val="6"/>
          <w:sz w:val="21"/>
          <w:szCs w:val="21"/>
          <w14:textFill>
            <w14:solidFill>
              <w14:schemeClr w14:val="tx1"/>
            </w14:solidFill>
          </w14:textFill>
        </w:rPr>
        <w:t>当正本与副本的内容不一致时，</w:t>
      </w:r>
      <w:r>
        <w:rPr>
          <w:color w:val="000000" w:themeColor="text1"/>
          <w:spacing w:val="-54"/>
          <w:sz w:val="21"/>
          <w:szCs w:val="21"/>
          <w14:textFill>
            <w14:solidFill>
              <w14:schemeClr w14:val="tx1"/>
            </w14:solidFill>
          </w14:textFill>
        </w:rPr>
        <w:t xml:space="preserve"> </w:t>
      </w:r>
      <w:r>
        <w:rPr>
          <w:color w:val="000000" w:themeColor="text1"/>
          <w:spacing w:val="6"/>
          <w:sz w:val="21"/>
          <w:szCs w:val="21"/>
          <w14:textFill>
            <w14:solidFill>
              <w14:schemeClr w14:val="tx1"/>
            </w14:solidFill>
          </w14:textFill>
        </w:rPr>
        <w:t>以正本为准。</w:t>
      </w:r>
    </w:p>
    <w:p w14:paraId="4984311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42"/>
        <w:textAlignment w:val="baseline"/>
        <w:rPr>
          <w:color w:val="000000" w:themeColor="text1"/>
          <w:sz w:val="21"/>
          <w:szCs w:val="21"/>
          <w14:textFill>
            <w14:solidFill>
              <w14:schemeClr w14:val="tx1"/>
            </w14:solidFill>
          </w14:textFill>
        </w:rPr>
      </w:pPr>
      <w:r>
        <w:rPr>
          <w:color w:val="000000" w:themeColor="text1"/>
          <w:spacing w:val="5"/>
          <w:sz w:val="21"/>
          <w:szCs w:val="21"/>
          <w14:textFill>
            <w14:solidFill>
              <w14:schemeClr w14:val="tx1"/>
            </w14:solidFill>
          </w14:textFill>
        </w:rPr>
        <w:t>发包人：</w:t>
      </w:r>
      <w:r>
        <w:rPr>
          <w:color w:val="000000" w:themeColor="text1"/>
          <w:spacing w:val="5"/>
          <w:sz w:val="21"/>
          <w:szCs w:val="21"/>
          <w:u w:val="single" w:color="auto"/>
          <w14:textFill>
            <w14:solidFill>
              <w14:schemeClr w14:val="tx1"/>
            </w14:solidFill>
          </w14:textFill>
        </w:rPr>
        <w:t xml:space="preserve">                </w:t>
      </w:r>
      <w:r>
        <w:rPr>
          <w:color w:val="000000" w:themeColor="text1"/>
          <w:spacing w:val="6"/>
          <w:sz w:val="21"/>
          <w:szCs w:val="21"/>
          <w14:textFill>
            <w14:solidFill>
              <w14:schemeClr w14:val="tx1"/>
            </w14:solidFill>
          </w14:textFill>
        </w:rPr>
        <w:t xml:space="preserve"> </w:t>
      </w:r>
      <w:r>
        <w:rPr>
          <w:color w:val="000000" w:themeColor="text1"/>
          <w:spacing w:val="10"/>
          <w:sz w:val="21"/>
          <w:szCs w:val="21"/>
          <w14:textFill>
            <w14:solidFill>
              <w14:schemeClr w14:val="tx1"/>
            </w14:solidFill>
          </w14:textFill>
        </w:rPr>
        <w:t>（盖单位章</w:t>
      </w:r>
      <w:r>
        <w:rPr>
          <w:color w:val="000000" w:themeColor="text1"/>
          <w:spacing w:val="-14"/>
          <w:sz w:val="21"/>
          <w:szCs w:val="21"/>
          <w14:textFill>
            <w14:solidFill>
              <w14:schemeClr w14:val="tx1"/>
            </w14:solidFill>
          </w14:textFill>
        </w:rPr>
        <w:t>）</w:t>
      </w:r>
      <w:r>
        <w:rPr>
          <w:color w:val="000000" w:themeColor="text1"/>
          <w:spacing w:val="2"/>
          <w:sz w:val="21"/>
          <w:szCs w:val="21"/>
          <w14:textFill>
            <w14:solidFill>
              <w14:schemeClr w14:val="tx1"/>
            </w14:solidFill>
          </w14:textFill>
        </w:rPr>
        <w:t xml:space="preserve"> </w:t>
      </w:r>
      <w:r>
        <w:rPr>
          <w:color w:val="000000" w:themeColor="text1"/>
          <w:spacing w:val="6"/>
          <w:sz w:val="21"/>
          <w:szCs w:val="21"/>
          <w14:textFill>
            <w14:solidFill>
              <w14:schemeClr w14:val="tx1"/>
            </w14:solidFill>
          </w14:textFill>
        </w:rPr>
        <w:t xml:space="preserve"> </w:t>
      </w:r>
      <w:r>
        <w:rPr>
          <w:color w:val="000000" w:themeColor="text1"/>
          <w:spacing w:val="5"/>
          <w:sz w:val="21"/>
          <w:szCs w:val="21"/>
          <w14:textFill>
            <w14:solidFill>
              <w14:schemeClr w14:val="tx1"/>
            </w14:solidFill>
          </w14:textFill>
        </w:rPr>
        <w:t>承包人：</w:t>
      </w:r>
      <w:r>
        <w:rPr>
          <w:color w:val="000000" w:themeColor="text1"/>
          <w:sz w:val="21"/>
          <w:szCs w:val="21"/>
          <w:u w:val="single" w:color="auto"/>
          <w14:textFill>
            <w14:solidFill>
              <w14:schemeClr w14:val="tx1"/>
            </w14:solidFill>
          </w14:textFill>
        </w:rPr>
        <w:t xml:space="preserve">                 </w:t>
      </w:r>
      <w:r>
        <w:rPr>
          <w:color w:val="000000" w:themeColor="text1"/>
          <w:spacing w:val="1"/>
          <w:sz w:val="21"/>
          <w:szCs w:val="21"/>
          <w14:textFill>
            <w14:solidFill>
              <w14:schemeClr w14:val="tx1"/>
            </w14:solidFill>
          </w14:textFill>
        </w:rPr>
        <w:t xml:space="preserve"> </w:t>
      </w:r>
      <w:r>
        <w:rPr>
          <w:color w:val="000000" w:themeColor="text1"/>
          <w:spacing w:val="-14"/>
          <w:sz w:val="21"/>
          <w:szCs w:val="21"/>
          <w14:textFill>
            <w14:solidFill>
              <w14:schemeClr w14:val="tx1"/>
            </w14:solidFill>
          </w14:textFill>
        </w:rPr>
        <w:t>（</w:t>
      </w:r>
      <w:r>
        <w:rPr>
          <w:color w:val="000000" w:themeColor="text1"/>
          <w:spacing w:val="10"/>
          <w:sz w:val="21"/>
          <w:szCs w:val="21"/>
          <w14:textFill>
            <w14:solidFill>
              <w14:schemeClr w14:val="tx1"/>
            </w14:solidFill>
          </w14:textFill>
        </w:rPr>
        <w:t>盖单位章）</w:t>
      </w:r>
      <w:r>
        <w:rPr>
          <w:color w:val="000000" w:themeColor="text1"/>
          <w:spacing w:val="2"/>
          <w:sz w:val="21"/>
          <w:szCs w:val="21"/>
          <w14:textFill>
            <w14:solidFill>
              <w14:schemeClr w14:val="tx1"/>
            </w14:solidFill>
          </w14:textFill>
        </w:rPr>
        <w:t xml:space="preserve">              </w:t>
      </w:r>
      <w:r>
        <w:rPr>
          <w:color w:val="000000" w:themeColor="text1"/>
          <w:spacing w:val="1"/>
          <w:sz w:val="21"/>
          <w:szCs w:val="21"/>
          <w14:textFill>
            <w14:solidFill>
              <w14:schemeClr w14:val="tx1"/>
            </w14:solidFill>
          </w14:textFill>
        </w:rPr>
        <w:t xml:space="preserve">      </w:t>
      </w:r>
    </w:p>
    <w:p w14:paraId="2BFE25A1">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4039742F">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000000" w:themeColor="text1"/>
          <w:sz w:val="21"/>
          <w:szCs w:val="21"/>
          <w14:textFill>
            <w14:solidFill>
              <w14:schemeClr w14:val="tx1"/>
            </w14:solidFill>
          </w14:textFill>
        </w:rPr>
      </w:pPr>
      <w:r>
        <w:rPr>
          <w:color w:val="000000" w:themeColor="text1"/>
          <w:spacing w:val="4"/>
          <w:sz w:val="21"/>
          <w:szCs w:val="21"/>
          <w14:textFill>
            <w14:solidFill>
              <w14:schemeClr w14:val="tx1"/>
            </w14:solidFill>
          </w14:textFill>
        </w:rPr>
        <w:t>法定代表人</w:t>
      </w:r>
      <w:r>
        <w:rPr>
          <w:color w:val="000000" w:themeColor="text1"/>
          <w:spacing w:val="10"/>
          <w:sz w:val="21"/>
          <w:szCs w:val="21"/>
          <w14:textFill>
            <w14:solidFill>
              <w14:schemeClr w14:val="tx1"/>
            </w14:solidFill>
          </w14:textFill>
        </w:rPr>
        <w:t>或其委托代理人</w:t>
      </w:r>
      <w:r>
        <w:rPr>
          <w:color w:val="000000" w:themeColor="text1"/>
          <w:spacing w:val="4"/>
          <w:sz w:val="21"/>
          <w:szCs w:val="21"/>
          <w14:textFill>
            <w14:solidFill>
              <w14:schemeClr w14:val="tx1"/>
            </w14:solidFill>
          </w14:textFill>
        </w:rPr>
        <w:t xml:space="preserve">: </w:t>
      </w:r>
      <w:r>
        <w:rPr>
          <w:color w:val="000000" w:themeColor="text1"/>
          <w:spacing w:val="4"/>
          <w:sz w:val="21"/>
          <w:szCs w:val="21"/>
          <w:u w:val="single" w:color="auto"/>
          <w14:textFill>
            <w14:solidFill>
              <w14:schemeClr w14:val="tx1"/>
            </w14:solidFill>
          </w14:textFill>
        </w:rPr>
        <w:t xml:space="preserve">     </w:t>
      </w:r>
      <w:r>
        <w:rPr>
          <w:color w:val="000000" w:themeColor="text1"/>
          <w:spacing w:val="-5"/>
          <w:sz w:val="21"/>
          <w:szCs w:val="21"/>
          <w:u w:val="single"/>
          <w14:textFill>
            <w14:solidFill>
              <w14:schemeClr w14:val="tx1"/>
            </w14:solidFill>
          </w14:textFill>
        </w:rPr>
        <w:t>（</w:t>
      </w:r>
      <w:r>
        <w:rPr>
          <w:color w:val="000000" w:themeColor="text1"/>
          <w:spacing w:val="10"/>
          <w:sz w:val="21"/>
          <w:szCs w:val="21"/>
          <w:u w:val="single"/>
          <w14:textFill>
            <w14:solidFill>
              <w14:schemeClr w14:val="tx1"/>
            </w14:solidFill>
          </w14:textFill>
        </w:rPr>
        <w:t>签字）</w:t>
      </w:r>
      <w:r>
        <w:rPr>
          <w:color w:val="000000" w:themeColor="text1"/>
          <w:spacing w:val="4"/>
          <w:sz w:val="21"/>
          <w:szCs w:val="21"/>
          <w14:textFill>
            <w14:solidFill>
              <w14:schemeClr w14:val="tx1"/>
            </w14:solidFill>
          </w14:textFill>
        </w:rPr>
        <w:t xml:space="preserve">  法定代表人</w:t>
      </w:r>
      <w:r>
        <w:rPr>
          <w:color w:val="000000" w:themeColor="text1"/>
          <w:spacing w:val="10"/>
          <w:sz w:val="21"/>
          <w:szCs w:val="21"/>
          <w14:textFill>
            <w14:solidFill>
              <w14:schemeClr w14:val="tx1"/>
            </w14:solidFill>
          </w14:textFill>
        </w:rPr>
        <w:t>或其委托代理人</w:t>
      </w:r>
      <w:r>
        <w:rPr>
          <w:color w:val="000000" w:themeColor="text1"/>
          <w:spacing w:val="4"/>
          <w:sz w:val="21"/>
          <w:szCs w:val="21"/>
          <w14:textFill>
            <w14:solidFill>
              <w14:schemeClr w14:val="tx1"/>
            </w14:solidFill>
          </w14:textFill>
        </w:rPr>
        <w:t>:</w:t>
      </w:r>
      <w:r>
        <w:rPr>
          <w:color w:val="000000" w:themeColor="text1"/>
          <w:spacing w:val="4"/>
          <w:sz w:val="21"/>
          <w:szCs w:val="21"/>
          <w:u w:val="single" w:color="auto"/>
          <w14:textFill>
            <w14:solidFill>
              <w14:schemeClr w14:val="tx1"/>
            </w14:solidFill>
          </w14:textFill>
        </w:rPr>
        <w:t xml:space="preserve">     </w:t>
      </w:r>
      <w:r>
        <w:rPr>
          <w:color w:val="000000" w:themeColor="text1"/>
          <w:spacing w:val="-5"/>
          <w:sz w:val="21"/>
          <w:szCs w:val="21"/>
          <w:u w:val="single" w:color="auto"/>
          <w14:textFill>
            <w14:solidFill>
              <w14:schemeClr w14:val="tx1"/>
            </w14:solidFill>
          </w14:textFill>
        </w:rPr>
        <w:t>（</w:t>
      </w:r>
      <w:r>
        <w:rPr>
          <w:color w:val="000000" w:themeColor="text1"/>
          <w:spacing w:val="9"/>
          <w:sz w:val="21"/>
          <w:szCs w:val="21"/>
          <w:u w:val="single" w:color="auto"/>
          <w14:textFill>
            <w14:solidFill>
              <w14:schemeClr w14:val="tx1"/>
            </w14:solidFill>
          </w14:textFill>
        </w:rPr>
        <w:t>签字）</w:t>
      </w:r>
      <w:r>
        <w:rPr>
          <w:color w:val="000000" w:themeColor="text1"/>
          <w:spacing w:val="4"/>
          <w:sz w:val="21"/>
          <w:szCs w:val="21"/>
          <w:u w:val="single" w:color="auto"/>
          <w14:textFill>
            <w14:solidFill>
              <w14:schemeClr w14:val="tx1"/>
            </w14:solidFill>
          </w14:textFill>
        </w:rPr>
        <w:t xml:space="preserve"> </w:t>
      </w:r>
    </w:p>
    <w:p w14:paraId="00F049E9">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6F8AA5C5">
      <w:pPr>
        <w:pStyle w:val="18"/>
        <w:keepNext w:val="0"/>
        <w:keepLines w:val="0"/>
        <w:pageBreakBefore w:val="0"/>
        <w:widowControl/>
        <w:tabs>
          <w:tab w:val="left" w:pos="1145"/>
        </w:tabs>
        <w:kinsoku w:val="0"/>
        <w:wordWrap/>
        <w:overflowPunct/>
        <w:topLinePunct w:val="0"/>
        <w:autoSpaceDE w:val="0"/>
        <w:autoSpaceDN w:val="0"/>
        <w:bidi w:val="0"/>
        <w:adjustRightInd w:val="0"/>
        <w:snapToGrid w:val="0"/>
        <w:spacing w:line="400" w:lineRule="exact"/>
        <w:ind w:left="411"/>
        <w:textAlignment w:val="baseline"/>
        <w:rPr>
          <w:color w:val="000000" w:themeColor="text1"/>
          <w14:textFill>
            <w14:solidFill>
              <w14:schemeClr w14:val="tx1"/>
            </w14:solidFill>
          </w14:textFill>
        </w:rPr>
      </w:pPr>
      <w:r>
        <w:rPr>
          <w:color w:val="000000" w:themeColor="text1"/>
          <w:sz w:val="21"/>
          <w:szCs w:val="21"/>
          <w:u w:val="single" w:color="auto"/>
          <w14:textFill>
            <w14:solidFill>
              <w14:schemeClr w14:val="tx1"/>
            </w14:solidFill>
          </w14:textFill>
        </w:rPr>
        <w:tab/>
      </w:r>
      <w:r>
        <w:rPr>
          <w:color w:val="000000" w:themeColor="text1"/>
          <w:spacing w:val="-88"/>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年</w:t>
      </w:r>
      <w:r>
        <w:rPr>
          <w:color w:val="000000" w:themeColor="text1"/>
          <w:spacing w:val="-98"/>
          <w:sz w:val="21"/>
          <w:szCs w:val="21"/>
          <w14:textFill>
            <w14:solidFill>
              <w14:schemeClr w14:val="tx1"/>
            </w14:solidFill>
          </w14:textFill>
        </w:rPr>
        <w:t xml:space="preserve"> </w:t>
      </w:r>
      <w:r>
        <w:rPr>
          <w:color w:val="000000" w:themeColor="text1"/>
          <w:spacing w:val="5"/>
          <w:sz w:val="21"/>
          <w:szCs w:val="21"/>
          <w:u w:val="single" w:color="auto"/>
          <w14:textFill>
            <w14:solidFill>
              <w14:schemeClr w14:val="tx1"/>
            </w14:solidFill>
          </w14:textFill>
        </w:rPr>
        <w:t xml:space="preserve">       </w:t>
      </w:r>
      <w:r>
        <w:rPr>
          <w:color w:val="000000" w:themeColor="text1"/>
          <w:spacing w:val="-87"/>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月</w:t>
      </w:r>
      <w:r>
        <w:rPr>
          <w:color w:val="000000" w:themeColor="text1"/>
          <w:spacing w:val="5"/>
          <w:sz w:val="21"/>
          <w:szCs w:val="21"/>
          <w:u w:val="single" w:color="auto"/>
          <w14:textFill>
            <w14:solidFill>
              <w14:schemeClr w14:val="tx1"/>
            </w14:solidFill>
          </w14:textFill>
        </w:rPr>
        <w:t xml:space="preserve">       </w:t>
      </w:r>
      <w:r>
        <w:rPr>
          <w:color w:val="000000" w:themeColor="text1"/>
          <w:spacing w:val="-54"/>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日</w:t>
      </w:r>
      <w:r>
        <w:rPr>
          <w:color w:val="000000" w:themeColor="text1"/>
          <w:spacing w:val="5"/>
          <w:sz w:val="21"/>
          <w:szCs w:val="21"/>
          <w14:textFill>
            <w14:solidFill>
              <w14:schemeClr w14:val="tx1"/>
            </w14:solidFill>
          </w14:textFill>
        </w:rPr>
        <w:t xml:space="preserve">                 </w:t>
      </w:r>
      <w:r>
        <w:rPr>
          <w:color w:val="000000" w:themeColor="text1"/>
          <w:spacing w:val="4"/>
          <w:sz w:val="21"/>
          <w:szCs w:val="21"/>
          <w:u w:val="single" w:color="auto"/>
          <w14:textFill>
            <w14:solidFill>
              <w14:schemeClr w14:val="tx1"/>
            </w14:solidFill>
          </w14:textFill>
        </w:rPr>
        <w:t xml:space="preserve">       </w:t>
      </w:r>
      <w:r>
        <w:rPr>
          <w:color w:val="000000" w:themeColor="text1"/>
          <w:spacing w:val="-84"/>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年</w:t>
      </w:r>
      <w:r>
        <w:rPr>
          <w:color w:val="000000" w:themeColor="text1"/>
          <w:spacing w:val="-99"/>
          <w:sz w:val="21"/>
          <w:szCs w:val="21"/>
          <w14:textFill>
            <w14:solidFill>
              <w14:schemeClr w14:val="tx1"/>
            </w14:solidFill>
          </w14:textFill>
        </w:rPr>
        <w:t xml:space="preserve"> </w:t>
      </w:r>
      <w:r>
        <w:rPr>
          <w:color w:val="000000" w:themeColor="text1"/>
          <w:spacing w:val="5"/>
          <w:sz w:val="21"/>
          <w:szCs w:val="21"/>
          <w:u w:val="single" w:color="auto"/>
          <w14:textFill>
            <w14:solidFill>
              <w14:schemeClr w14:val="tx1"/>
            </w14:solidFill>
          </w14:textFill>
        </w:rPr>
        <w:t xml:space="preserve">       </w:t>
      </w:r>
      <w:r>
        <w:rPr>
          <w:color w:val="000000" w:themeColor="text1"/>
          <w:spacing w:val="-86"/>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月</w:t>
      </w:r>
      <w:r>
        <w:rPr>
          <w:color w:val="000000" w:themeColor="text1"/>
          <w:spacing w:val="5"/>
          <w:sz w:val="21"/>
          <w:szCs w:val="21"/>
          <w:u w:val="single" w:color="auto"/>
          <w14:textFill>
            <w14:solidFill>
              <w14:schemeClr w14:val="tx1"/>
            </w14:solidFill>
          </w14:textFill>
        </w:rPr>
        <w:t xml:space="preserve">      </w:t>
      </w:r>
      <w:r>
        <w:rPr>
          <w:color w:val="000000" w:themeColor="text1"/>
          <w:spacing w:val="-55"/>
          <w:sz w:val="21"/>
          <w:szCs w:val="21"/>
          <w14:textFill>
            <w14:solidFill>
              <w14:schemeClr w14:val="tx1"/>
            </w14:solidFill>
          </w14:textFill>
        </w:rPr>
        <w:t xml:space="preserve"> </w:t>
      </w:r>
      <w:r>
        <w:rPr>
          <w:color w:val="000000" w:themeColor="text1"/>
          <w:spacing w:val="-8"/>
          <w:sz w:val="21"/>
          <w:szCs w:val="21"/>
          <w14:textFill>
            <w14:solidFill>
              <w14:schemeClr w14:val="tx1"/>
            </w14:solidFill>
          </w14:textFill>
        </w:rPr>
        <w:t>日</w:t>
      </w:r>
    </w:p>
    <w:p w14:paraId="17E0C5A5">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000000" w:themeColor="text1"/>
          <w14:textFill>
            <w14:solidFill>
              <w14:schemeClr w14:val="tx1"/>
            </w14:solidFill>
          </w14:textFill>
        </w:rPr>
        <w:sectPr>
          <w:footerReference r:id="rId28" w:type="default"/>
          <w:pgSz w:w="11907" w:h="16840"/>
          <w:pgMar w:top="1431" w:right="1594" w:bottom="1048" w:left="1448" w:header="0" w:footer="885" w:gutter="0"/>
          <w:cols w:space="720" w:num="1"/>
        </w:sectPr>
      </w:pPr>
    </w:p>
    <w:p w14:paraId="79EE1A48">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14:textFill>
            <w14:solidFill>
              <w14:schemeClr w14:val="tx1"/>
            </w14:solidFill>
          </w14:textFill>
        </w:rPr>
      </w:pPr>
    </w:p>
    <w:p w14:paraId="493166B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276"/>
        <w:textAlignment w:val="baseline"/>
        <w:rPr>
          <w:color w:val="000000" w:themeColor="text1"/>
          <w:sz w:val="28"/>
          <w:szCs w:val="28"/>
          <w14:textFill>
            <w14:solidFill>
              <w14:schemeClr w14:val="tx1"/>
            </w14:solidFill>
          </w14:textFill>
        </w:rPr>
      </w:pPr>
      <w:r>
        <w:rPr>
          <w:b/>
          <w:bCs/>
          <w:color w:val="000000" w:themeColor="text1"/>
          <w:spacing w:val="-7"/>
          <w:sz w:val="28"/>
          <w:szCs w:val="28"/>
          <w14:textFill>
            <w14:solidFill>
              <w14:schemeClr w14:val="tx1"/>
            </w14:solidFill>
          </w14:textFill>
        </w:rPr>
        <w:t>四、项目经理委托书</w:t>
      </w:r>
    </w:p>
    <w:p w14:paraId="77C4C5AB">
      <w:pPr>
        <w:pStyle w:val="18"/>
        <w:keepNext w:val="0"/>
        <w:keepLines w:val="0"/>
        <w:pageBreakBefore w:val="0"/>
        <w:widowControl/>
        <w:kinsoku w:val="0"/>
        <w:wordWrap/>
        <w:overflowPunct/>
        <w:topLinePunct w:val="0"/>
        <w:autoSpaceDE w:val="0"/>
        <w:autoSpaceDN w:val="0"/>
        <w:bidi w:val="0"/>
        <w:adjustRightInd w:val="0"/>
        <w:snapToGrid w:val="0"/>
        <w:spacing w:before="0" w:beforeLines="150" w:after="0" w:afterLines="100" w:line="480" w:lineRule="auto"/>
        <w:ind w:left="2616"/>
        <w:textAlignment w:val="baseline"/>
        <w:rPr>
          <w:color w:val="000000" w:themeColor="text1"/>
          <w:sz w:val="21"/>
          <w:szCs w:val="21"/>
          <w14:textFill>
            <w14:solidFill>
              <w14:schemeClr w14:val="tx1"/>
            </w14:solidFill>
          </w14:textFill>
        </w:rPr>
      </w:pPr>
      <w:r>
        <w:rPr>
          <w:b/>
          <w:bCs/>
          <w:color w:val="000000" w:themeColor="text1"/>
          <w:spacing w:val="7"/>
          <w:sz w:val="21"/>
          <w:szCs w:val="21"/>
          <w:u w:val="single" w:color="auto"/>
          <w14:textFill>
            <w14:solidFill>
              <w14:schemeClr w14:val="tx1"/>
            </w14:solidFill>
          </w14:textFill>
        </w:rPr>
        <w:t>承包人名称、项目名称</w:t>
      </w:r>
      <w:r>
        <w:rPr>
          <w:b/>
          <w:bCs/>
          <w:color w:val="000000" w:themeColor="text1"/>
          <w:spacing w:val="7"/>
          <w:sz w:val="21"/>
          <w:szCs w:val="21"/>
          <w14:textFill>
            <w14:solidFill>
              <w14:schemeClr w14:val="tx1"/>
            </w14:solidFill>
          </w14:textFill>
        </w:rPr>
        <w:t>项目经理委任书。</w:t>
      </w:r>
    </w:p>
    <w:p w14:paraId="3BF45E84">
      <w:pPr>
        <w:pStyle w:val="18"/>
        <w:keepNext w:val="0"/>
        <w:keepLines w:val="0"/>
        <w:pageBreakBefore w:val="0"/>
        <w:widowControl/>
        <w:kinsoku w:val="0"/>
        <w:wordWrap/>
        <w:overflowPunct/>
        <w:topLinePunct w:val="0"/>
        <w:autoSpaceDE w:val="0"/>
        <w:autoSpaceDN w:val="0"/>
        <w:bidi w:val="0"/>
        <w:adjustRightInd w:val="0"/>
        <w:snapToGrid w:val="0"/>
        <w:spacing w:before="0" w:beforeLines="150" w:after="0" w:afterLines="100" w:line="480" w:lineRule="auto"/>
        <w:textAlignment w:val="baseline"/>
        <w:rPr>
          <w:color w:val="000000" w:themeColor="text1"/>
          <w:sz w:val="21"/>
          <w:szCs w:val="21"/>
          <w14:textFill>
            <w14:solidFill>
              <w14:schemeClr w14:val="tx1"/>
            </w14:solidFill>
          </w14:textFill>
        </w:rPr>
      </w:pPr>
      <w:r>
        <w:rPr>
          <w:color w:val="000000" w:themeColor="text1"/>
          <w:spacing w:val="5"/>
          <w:sz w:val="21"/>
          <w:szCs w:val="21"/>
          <w14:textFill>
            <w14:solidFill>
              <w14:schemeClr w14:val="tx1"/>
            </w14:solidFill>
          </w14:textFill>
        </w:rPr>
        <w:t>致：</w:t>
      </w:r>
      <w:r>
        <w:rPr>
          <w:color w:val="000000" w:themeColor="text1"/>
          <w:spacing w:val="17"/>
          <w:sz w:val="21"/>
          <w:szCs w:val="21"/>
          <w:u w:val="single" w:color="auto"/>
          <w14:textFill>
            <w14:solidFill>
              <w14:schemeClr w14:val="tx1"/>
            </w14:solidFill>
          </w14:textFill>
        </w:rPr>
        <w:t xml:space="preserve"> </w:t>
      </w:r>
      <w:r>
        <w:rPr>
          <w:b/>
          <w:bCs/>
          <w:color w:val="000000" w:themeColor="text1"/>
          <w:spacing w:val="5"/>
          <w:sz w:val="21"/>
          <w:szCs w:val="21"/>
          <w:u w:val="single" w:color="auto"/>
          <w14:textFill>
            <w14:solidFill>
              <w14:schemeClr w14:val="tx1"/>
            </w14:solidFill>
          </w14:textFill>
        </w:rPr>
        <w:t>发包人</w:t>
      </w:r>
      <w:r>
        <w:rPr>
          <w:color w:val="000000" w:themeColor="text1"/>
          <w:sz w:val="21"/>
          <w:szCs w:val="21"/>
          <w:u w:val="single" w:color="auto"/>
          <w14:textFill>
            <w14:solidFill>
              <w14:schemeClr w14:val="tx1"/>
            </w14:solidFill>
          </w14:textFill>
        </w:rPr>
        <w:t xml:space="preserve">   </w:t>
      </w:r>
    </w:p>
    <w:p w14:paraId="4C85D9C6">
      <w:pPr>
        <w:pStyle w:val="18"/>
        <w:keepNext w:val="0"/>
        <w:keepLines w:val="0"/>
        <w:pageBreakBefore w:val="0"/>
        <w:widowControl/>
        <w:tabs>
          <w:tab w:val="left" w:pos="627"/>
        </w:tabs>
        <w:kinsoku w:val="0"/>
        <w:wordWrap/>
        <w:overflowPunct/>
        <w:topLinePunct w:val="0"/>
        <w:autoSpaceDE w:val="0"/>
        <w:autoSpaceDN w:val="0"/>
        <w:bidi w:val="0"/>
        <w:adjustRightInd w:val="0"/>
        <w:snapToGrid w:val="0"/>
        <w:spacing w:before="0" w:beforeLines="150" w:after="0" w:afterLines="100" w:line="480" w:lineRule="auto"/>
        <w:ind w:left="1" w:firstLine="410"/>
        <w:jc w:val="both"/>
        <w:textAlignment w:val="baseline"/>
        <w:rPr>
          <w:color w:val="000000" w:themeColor="text1"/>
          <w:sz w:val="21"/>
          <w:szCs w:val="21"/>
          <w14:textFill>
            <w14:solidFill>
              <w14:schemeClr w14:val="tx1"/>
            </w14:solidFill>
          </w14:textFill>
        </w:rPr>
      </w:pPr>
      <w:r>
        <w:rPr>
          <w:color w:val="000000" w:themeColor="text1"/>
          <w:sz w:val="21"/>
          <w:szCs w:val="21"/>
          <w:u w:val="single" w:color="auto"/>
          <w14:textFill>
            <w14:solidFill>
              <w14:schemeClr w14:val="tx1"/>
            </w14:solidFill>
          </w14:textFill>
        </w:rPr>
        <w:tab/>
      </w:r>
      <w:r>
        <w:rPr>
          <w:b/>
          <w:bCs/>
          <w:color w:val="000000" w:themeColor="text1"/>
          <w:spacing w:val="7"/>
          <w:sz w:val="21"/>
          <w:szCs w:val="21"/>
          <w:u w:val="single" w:color="auto"/>
          <w14:textFill>
            <w14:solidFill>
              <w14:schemeClr w14:val="tx1"/>
            </w14:solidFill>
          </w14:textFill>
        </w:rPr>
        <w:t>承包人</w:t>
      </w:r>
      <w:r>
        <w:rPr>
          <w:color w:val="000000" w:themeColor="text1"/>
          <w:spacing w:val="7"/>
          <w:sz w:val="21"/>
          <w:szCs w:val="21"/>
          <w:u w:val="single" w:color="auto"/>
          <w14:textFill>
            <w14:solidFill>
              <w14:schemeClr w14:val="tx1"/>
            </w14:solidFill>
          </w14:textFill>
        </w:rPr>
        <w:t xml:space="preserve">   </w:t>
      </w:r>
      <w:r>
        <w:rPr>
          <w:color w:val="000000" w:themeColor="text1"/>
          <w:spacing w:val="-91"/>
          <w:sz w:val="21"/>
          <w:szCs w:val="21"/>
          <w14:textFill>
            <w14:solidFill>
              <w14:schemeClr w14:val="tx1"/>
            </w14:solidFill>
          </w14:textFill>
        </w:rPr>
        <w:t xml:space="preserve"> </w:t>
      </w:r>
      <w:r>
        <w:rPr>
          <w:color w:val="000000" w:themeColor="text1"/>
          <w:spacing w:val="7"/>
          <w:sz w:val="21"/>
          <w:szCs w:val="21"/>
          <w14:textFill>
            <w14:solidFill>
              <w14:schemeClr w14:val="tx1"/>
            </w14:solidFill>
          </w14:textFill>
        </w:rPr>
        <w:t>法定代表人</w:t>
      </w:r>
      <w:r>
        <w:rPr>
          <w:color w:val="000000" w:themeColor="text1"/>
          <w:spacing w:val="7"/>
          <w:sz w:val="21"/>
          <w:szCs w:val="21"/>
          <w:u w:val="single" w:color="auto"/>
          <w14:textFill>
            <w14:solidFill>
              <w14:schemeClr w14:val="tx1"/>
            </w14:solidFill>
          </w14:textFill>
        </w:rPr>
        <w:t xml:space="preserve">      </w:t>
      </w:r>
      <w:r>
        <w:rPr>
          <w:color w:val="000000" w:themeColor="text1"/>
          <w:spacing w:val="-92"/>
          <w:sz w:val="21"/>
          <w:szCs w:val="21"/>
          <w14:textFill>
            <w14:solidFill>
              <w14:schemeClr w14:val="tx1"/>
            </w14:solidFill>
          </w14:textFill>
        </w:rPr>
        <w:t xml:space="preserve"> </w:t>
      </w:r>
      <w:r>
        <w:rPr>
          <w:color w:val="000000" w:themeColor="text1"/>
          <w:spacing w:val="7"/>
          <w:sz w:val="21"/>
          <w:szCs w:val="21"/>
          <w14:textFill>
            <w14:solidFill>
              <w14:schemeClr w14:val="tx1"/>
            </w14:solidFill>
          </w14:textFill>
        </w:rPr>
        <w:t>代表本</w:t>
      </w:r>
      <w:r>
        <w:rPr>
          <w:color w:val="000000" w:themeColor="text1"/>
          <w:spacing w:val="6"/>
          <w:sz w:val="21"/>
          <w:szCs w:val="21"/>
          <w14:textFill>
            <w14:solidFill>
              <w14:schemeClr w14:val="tx1"/>
            </w14:solidFill>
          </w14:textFill>
        </w:rPr>
        <w:t>单位委任</w:t>
      </w:r>
      <w:r>
        <w:rPr>
          <w:color w:val="000000" w:themeColor="text1"/>
          <w:spacing w:val="-98"/>
          <w:sz w:val="21"/>
          <w:szCs w:val="21"/>
          <w14:textFill>
            <w14:solidFill>
              <w14:schemeClr w14:val="tx1"/>
            </w14:solidFill>
          </w14:textFill>
        </w:rPr>
        <w:t xml:space="preserve"> </w:t>
      </w:r>
      <w:r>
        <w:rPr>
          <w:color w:val="000000" w:themeColor="text1"/>
          <w:spacing w:val="4"/>
          <w:sz w:val="21"/>
          <w:szCs w:val="21"/>
          <w:u w:val="single" w:color="auto"/>
          <w14:textFill>
            <w14:solidFill>
              <w14:schemeClr w14:val="tx1"/>
            </w14:solidFill>
          </w14:textFill>
        </w:rPr>
        <w:t xml:space="preserve">      </w:t>
      </w:r>
      <w:r>
        <w:rPr>
          <w:color w:val="000000" w:themeColor="text1"/>
          <w:spacing w:val="-84"/>
          <w:sz w:val="21"/>
          <w:szCs w:val="21"/>
          <w14:textFill>
            <w14:solidFill>
              <w14:schemeClr w14:val="tx1"/>
            </w14:solidFill>
          </w14:textFill>
        </w:rPr>
        <w:t xml:space="preserve"> </w:t>
      </w:r>
      <w:r>
        <w:rPr>
          <w:color w:val="000000" w:themeColor="text1"/>
          <w:spacing w:val="6"/>
          <w:sz w:val="21"/>
          <w:szCs w:val="21"/>
          <w14:textFill>
            <w14:solidFill>
              <w14:schemeClr w14:val="tx1"/>
            </w14:solidFill>
          </w14:textFill>
        </w:rPr>
        <w:t>为</w:t>
      </w:r>
      <w:r>
        <w:rPr>
          <w:color w:val="000000" w:themeColor="text1"/>
          <w:spacing w:val="6"/>
          <w:sz w:val="21"/>
          <w:szCs w:val="21"/>
          <w:u w:val="single" w:color="auto"/>
          <w14:textFill>
            <w14:solidFill>
              <w14:schemeClr w14:val="tx1"/>
            </w14:solidFill>
          </w14:textFill>
        </w:rPr>
        <w:t xml:space="preserve">    </w:t>
      </w:r>
      <w:r>
        <w:rPr>
          <w:b/>
          <w:bCs/>
          <w:color w:val="000000" w:themeColor="text1"/>
          <w:spacing w:val="6"/>
          <w:sz w:val="21"/>
          <w:szCs w:val="21"/>
          <w:u w:val="single" w:color="auto"/>
          <w14:textFill>
            <w14:solidFill>
              <w14:schemeClr w14:val="tx1"/>
            </w14:solidFill>
          </w14:textFill>
        </w:rPr>
        <w:t>项目名称</w:t>
      </w:r>
      <w:r>
        <w:rPr>
          <w:color w:val="000000" w:themeColor="text1"/>
          <w:spacing w:val="6"/>
          <w:sz w:val="21"/>
          <w:szCs w:val="21"/>
          <w:u w:val="single" w:color="auto"/>
          <w14:textFill>
            <w14:solidFill>
              <w14:schemeClr w14:val="tx1"/>
            </w14:solidFill>
          </w14:textFill>
        </w:rPr>
        <w:t xml:space="preserve">   </w:t>
      </w:r>
      <w:r>
        <w:rPr>
          <w:color w:val="000000" w:themeColor="text1"/>
          <w:spacing w:val="-75"/>
          <w:sz w:val="21"/>
          <w:szCs w:val="21"/>
          <w14:textFill>
            <w14:solidFill>
              <w14:schemeClr w14:val="tx1"/>
            </w14:solidFill>
          </w14:textFill>
        </w:rPr>
        <w:t xml:space="preserve"> </w:t>
      </w:r>
      <w:r>
        <w:rPr>
          <w:color w:val="000000" w:themeColor="text1"/>
          <w:spacing w:val="6"/>
          <w:sz w:val="21"/>
          <w:szCs w:val="21"/>
          <w14:textFill>
            <w14:solidFill>
              <w14:schemeClr w14:val="tx1"/>
            </w14:solidFill>
          </w14:textFill>
        </w:rPr>
        <w:t>的项目经理。凡本合</w:t>
      </w:r>
      <w:r>
        <w:rPr>
          <w:color w:val="000000" w:themeColor="text1"/>
          <w:spacing w:val="11"/>
          <w:sz w:val="21"/>
          <w:szCs w:val="21"/>
          <w14:textFill>
            <w14:solidFill>
              <w14:schemeClr w14:val="tx1"/>
            </w14:solidFill>
          </w14:textFill>
        </w:rPr>
        <w:t>同执行中的有关技术、工程进度、现场管理、质量检</w:t>
      </w:r>
      <w:r>
        <w:rPr>
          <w:color w:val="000000" w:themeColor="text1"/>
          <w:spacing w:val="10"/>
          <w:sz w:val="21"/>
          <w:szCs w:val="21"/>
          <w14:textFill>
            <w14:solidFill>
              <w14:schemeClr w14:val="tx1"/>
            </w14:solidFill>
          </w14:textFill>
        </w:rPr>
        <w:t>验、结算与支付等方面工作，</w:t>
      </w:r>
      <w:r>
        <w:rPr>
          <w:color w:val="000000" w:themeColor="text1"/>
          <w:spacing w:val="-58"/>
          <w:sz w:val="21"/>
          <w:szCs w:val="21"/>
          <w14:textFill>
            <w14:solidFill>
              <w14:schemeClr w14:val="tx1"/>
            </w14:solidFill>
          </w14:textFill>
        </w:rPr>
        <w:t xml:space="preserve"> </w:t>
      </w:r>
      <w:r>
        <w:rPr>
          <w:color w:val="000000" w:themeColor="text1"/>
          <w:spacing w:val="10"/>
          <w:sz w:val="21"/>
          <w:szCs w:val="21"/>
          <w14:textFill>
            <w14:solidFill>
              <w14:schemeClr w14:val="tx1"/>
            </w14:solidFill>
          </w14:textFill>
        </w:rPr>
        <w:t>由</w:t>
      </w:r>
      <w:r>
        <w:rPr>
          <w:color w:val="000000" w:themeColor="text1"/>
          <w:spacing w:val="-98"/>
          <w:sz w:val="21"/>
          <w:szCs w:val="21"/>
          <w14:textFill>
            <w14:solidFill>
              <w14:schemeClr w14:val="tx1"/>
            </w14:solidFill>
          </w14:textFill>
        </w:rPr>
        <w:t xml:space="preserve"> </w:t>
      </w:r>
      <w:r>
        <w:rPr>
          <w:color w:val="000000" w:themeColor="text1"/>
          <w:spacing w:val="8"/>
          <w:sz w:val="21"/>
          <w:szCs w:val="21"/>
          <w:u w:val="single" w:color="auto"/>
          <w14:textFill>
            <w14:solidFill>
              <w14:schemeClr w14:val="tx1"/>
            </w14:solidFill>
          </w14:textFill>
        </w:rPr>
        <w:t xml:space="preserve">     </w:t>
      </w:r>
      <w:r>
        <w:rPr>
          <w:color w:val="000000" w:themeColor="text1"/>
          <w:spacing w:val="-92"/>
          <w:sz w:val="21"/>
          <w:szCs w:val="21"/>
          <w14:textFill>
            <w14:solidFill>
              <w14:schemeClr w14:val="tx1"/>
            </w14:solidFill>
          </w14:textFill>
        </w:rPr>
        <w:t xml:space="preserve"> </w:t>
      </w:r>
      <w:r>
        <w:rPr>
          <w:color w:val="000000" w:themeColor="text1"/>
          <w:spacing w:val="10"/>
          <w:sz w:val="21"/>
          <w:szCs w:val="21"/>
          <w14:textFill>
            <w14:solidFill>
              <w14:schemeClr w14:val="tx1"/>
            </w14:solidFill>
          </w14:textFill>
        </w:rPr>
        <w:t>代表本</w:t>
      </w:r>
      <w:r>
        <w:rPr>
          <w:color w:val="000000" w:themeColor="text1"/>
          <w:spacing w:val="6"/>
          <w:sz w:val="21"/>
          <w:szCs w:val="21"/>
          <w14:textFill>
            <w14:solidFill>
              <w14:schemeClr w14:val="tx1"/>
            </w14:solidFill>
          </w14:textFill>
        </w:rPr>
        <w:t>单位全面负责。</w:t>
      </w:r>
    </w:p>
    <w:p w14:paraId="3D386253">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3FF87B05">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2D0307A1">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6FAFDA2D">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3204DD83">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2A0E7E9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464" w:firstLineChars="1100"/>
        <w:textAlignment w:val="baseline"/>
        <w:rPr>
          <w:color w:val="000000" w:themeColor="text1"/>
          <w:sz w:val="21"/>
          <w:szCs w:val="21"/>
          <w14:textFill>
            <w14:solidFill>
              <w14:schemeClr w14:val="tx1"/>
            </w14:solidFill>
          </w14:textFill>
        </w:rPr>
      </w:pPr>
      <w:r>
        <w:rPr>
          <w:color w:val="000000" w:themeColor="text1"/>
          <w:spacing w:val="7"/>
          <w:sz w:val="21"/>
          <w:szCs w:val="21"/>
          <w14:textFill>
            <w14:solidFill>
              <w14:schemeClr w14:val="tx1"/>
            </w14:solidFill>
          </w14:textFill>
        </w:rPr>
        <w:t>承包人：</w:t>
      </w:r>
      <w:r>
        <w:rPr>
          <w:color w:val="000000" w:themeColor="text1"/>
          <w:sz w:val="21"/>
          <w:szCs w:val="21"/>
          <w:u w:val="single" w:color="auto"/>
          <w14:textFill>
            <w14:solidFill>
              <w14:schemeClr w14:val="tx1"/>
            </w14:solidFill>
          </w14:textFill>
        </w:rPr>
        <w:t xml:space="preserve">                       </w:t>
      </w:r>
      <w:r>
        <w:rPr>
          <w:color w:val="000000" w:themeColor="text1"/>
          <w:spacing w:val="5"/>
          <w:sz w:val="21"/>
          <w:szCs w:val="21"/>
          <w14:textFill>
            <w14:solidFill>
              <w14:schemeClr w14:val="tx1"/>
            </w14:solidFill>
          </w14:textFill>
        </w:rPr>
        <w:t>（盖单位章）</w:t>
      </w:r>
    </w:p>
    <w:p w14:paraId="4BA26DD2">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1B2B8ED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729"/>
        <w:textAlignment w:val="baseline"/>
        <w:rPr>
          <w:rFonts w:hint="default" w:eastAsia="宋体"/>
          <w:color w:val="000000" w:themeColor="text1"/>
          <w:sz w:val="21"/>
          <w:szCs w:val="21"/>
          <w:lang w:val="en-US" w:eastAsia="zh-CN"/>
          <w14:textFill>
            <w14:solidFill>
              <w14:schemeClr w14:val="tx1"/>
            </w14:solidFill>
          </w14:textFill>
        </w:rPr>
      </w:pPr>
      <w:r>
        <w:rPr>
          <w:color w:val="000000" w:themeColor="text1"/>
          <w:spacing w:val="8"/>
          <w:sz w:val="21"/>
          <w:szCs w:val="21"/>
          <w14:textFill>
            <w14:solidFill>
              <w14:schemeClr w14:val="tx1"/>
            </w14:solidFill>
          </w14:textFill>
        </w:rPr>
        <w:t>法定代表人：</w:t>
      </w:r>
      <w:r>
        <w:rPr>
          <w:color w:val="000000" w:themeColor="text1"/>
          <w:sz w:val="21"/>
          <w:szCs w:val="21"/>
          <w:u w:val="single" w:color="auto"/>
          <w14:textFill>
            <w14:solidFill>
              <w14:schemeClr w14:val="tx1"/>
            </w14:solidFill>
          </w14:textFill>
        </w:rPr>
        <w:t xml:space="preserve">              </w:t>
      </w:r>
      <w:r>
        <w:rPr>
          <w:rFonts w:hint="eastAsia"/>
          <w:color w:val="000000" w:themeColor="text1"/>
          <w:sz w:val="21"/>
          <w:szCs w:val="21"/>
          <w:u w:val="single" w:color="auto"/>
          <w:lang w:eastAsia="zh-CN"/>
          <w14:textFill>
            <w14:solidFill>
              <w14:schemeClr w14:val="tx1"/>
            </w14:solidFill>
          </w14:textFill>
        </w:rPr>
        <w:t>（</w:t>
      </w:r>
      <w:r>
        <w:rPr>
          <w:rFonts w:hint="eastAsia"/>
          <w:color w:val="000000" w:themeColor="text1"/>
          <w:sz w:val="21"/>
          <w:szCs w:val="21"/>
          <w:u w:val="single" w:color="auto"/>
          <w:lang w:val="en-US" w:eastAsia="zh-CN"/>
          <w14:textFill>
            <w14:solidFill>
              <w14:schemeClr w14:val="tx1"/>
            </w14:solidFill>
          </w14:textFill>
        </w:rPr>
        <w:t>签字或盖章）</w:t>
      </w:r>
    </w:p>
    <w:p w14:paraId="10CE846F">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640CEEEB">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080F9112">
      <w:pPr>
        <w:pStyle w:val="18"/>
        <w:keepNext w:val="0"/>
        <w:keepLines w:val="0"/>
        <w:pageBreakBefore w:val="0"/>
        <w:widowControl/>
        <w:tabs>
          <w:tab w:val="left" w:pos="4398"/>
        </w:tabs>
        <w:kinsoku w:val="0"/>
        <w:wordWrap/>
        <w:overflowPunct/>
        <w:topLinePunct w:val="0"/>
        <w:autoSpaceDE w:val="0"/>
        <w:autoSpaceDN w:val="0"/>
        <w:bidi w:val="0"/>
        <w:adjustRightInd w:val="0"/>
        <w:snapToGrid w:val="0"/>
        <w:spacing w:line="400" w:lineRule="exact"/>
        <w:ind w:left="3665"/>
        <w:textAlignment w:val="baseline"/>
        <w:rPr>
          <w:color w:val="000000" w:themeColor="text1"/>
          <w:sz w:val="21"/>
          <w:szCs w:val="21"/>
          <w14:textFill>
            <w14:solidFill>
              <w14:schemeClr w14:val="tx1"/>
            </w14:solidFill>
          </w14:textFill>
        </w:rPr>
      </w:pPr>
      <w:r>
        <w:rPr>
          <w:color w:val="000000" w:themeColor="text1"/>
          <w:sz w:val="21"/>
          <w:szCs w:val="21"/>
          <w:u w:val="single" w:color="auto"/>
          <w14:textFill>
            <w14:solidFill>
              <w14:schemeClr w14:val="tx1"/>
            </w14:solidFill>
          </w14:textFill>
        </w:rPr>
        <w:tab/>
      </w:r>
      <w:r>
        <w:rPr>
          <w:color w:val="000000" w:themeColor="text1"/>
          <w:spacing w:val="-89"/>
          <w:sz w:val="21"/>
          <w:szCs w:val="21"/>
          <w14:textFill>
            <w14:solidFill>
              <w14:schemeClr w14:val="tx1"/>
            </w14:solidFill>
          </w14:textFill>
        </w:rPr>
        <w:t xml:space="preserve"> </w:t>
      </w:r>
      <w:r>
        <w:rPr>
          <w:color w:val="000000" w:themeColor="text1"/>
          <w:spacing w:val="-2"/>
          <w:sz w:val="21"/>
          <w:szCs w:val="21"/>
          <w14:textFill>
            <w14:solidFill>
              <w14:schemeClr w14:val="tx1"/>
            </w14:solidFill>
          </w14:textFill>
        </w:rPr>
        <w:t>年</w:t>
      </w:r>
      <w:r>
        <w:rPr>
          <w:color w:val="000000" w:themeColor="text1"/>
          <w:spacing w:val="-98"/>
          <w:sz w:val="21"/>
          <w:szCs w:val="21"/>
          <w14:textFill>
            <w14:solidFill>
              <w14:schemeClr w14:val="tx1"/>
            </w14:solidFill>
          </w14:textFill>
        </w:rPr>
        <w:t xml:space="preserve"> </w:t>
      </w:r>
      <w:r>
        <w:rPr>
          <w:color w:val="000000" w:themeColor="text1"/>
          <w:spacing w:val="4"/>
          <w:sz w:val="21"/>
          <w:szCs w:val="21"/>
          <w:u w:val="single" w:color="auto"/>
          <w14:textFill>
            <w14:solidFill>
              <w14:schemeClr w14:val="tx1"/>
            </w14:solidFill>
          </w14:textFill>
        </w:rPr>
        <w:t xml:space="preserve">      </w:t>
      </w:r>
      <w:r>
        <w:rPr>
          <w:color w:val="000000" w:themeColor="text1"/>
          <w:spacing w:val="-82"/>
          <w:sz w:val="21"/>
          <w:szCs w:val="21"/>
          <w14:textFill>
            <w14:solidFill>
              <w14:schemeClr w14:val="tx1"/>
            </w14:solidFill>
          </w14:textFill>
        </w:rPr>
        <w:t xml:space="preserve"> </w:t>
      </w:r>
      <w:r>
        <w:rPr>
          <w:color w:val="000000" w:themeColor="text1"/>
          <w:spacing w:val="-2"/>
          <w:sz w:val="21"/>
          <w:szCs w:val="21"/>
          <w14:textFill>
            <w14:solidFill>
              <w14:schemeClr w14:val="tx1"/>
            </w14:solidFill>
          </w14:textFill>
        </w:rPr>
        <w:t>月</w:t>
      </w:r>
      <w:r>
        <w:rPr>
          <w:color w:val="000000" w:themeColor="text1"/>
          <w:spacing w:val="-98"/>
          <w:sz w:val="21"/>
          <w:szCs w:val="21"/>
          <w14:textFill>
            <w14:solidFill>
              <w14:schemeClr w14:val="tx1"/>
            </w14:solidFill>
          </w14:textFill>
        </w:rPr>
        <w:t xml:space="preserve"> </w:t>
      </w:r>
      <w:r>
        <w:rPr>
          <w:color w:val="000000" w:themeColor="text1"/>
          <w:spacing w:val="4"/>
          <w:sz w:val="21"/>
          <w:szCs w:val="21"/>
          <w:u w:val="single" w:color="auto"/>
          <w14:textFill>
            <w14:solidFill>
              <w14:schemeClr w14:val="tx1"/>
            </w14:solidFill>
          </w14:textFill>
        </w:rPr>
        <w:t xml:space="preserve">      </w:t>
      </w:r>
      <w:r>
        <w:rPr>
          <w:color w:val="000000" w:themeColor="text1"/>
          <w:spacing w:val="-51"/>
          <w:sz w:val="21"/>
          <w:szCs w:val="21"/>
          <w14:textFill>
            <w14:solidFill>
              <w14:schemeClr w14:val="tx1"/>
            </w14:solidFill>
          </w14:textFill>
        </w:rPr>
        <w:t xml:space="preserve"> </w:t>
      </w:r>
      <w:r>
        <w:rPr>
          <w:color w:val="000000" w:themeColor="text1"/>
          <w:spacing w:val="-2"/>
          <w:sz w:val="21"/>
          <w:szCs w:val="21"/>
          <w14:textFill>
            <w14:solidFill>
              <w14:schemeClr w14:val="tx1"/>
            </w14:solidFill>
          </w14:textFill>
        </w:rPr>
        <w:t>日</w:t>
      </w:r>
    </w:p>
    <w:p w14:paraId="3972B3B6">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000000" w:themeColor="text1"/>
          <w14:textFill>
            <w14:solidFill>
              <w14:schemeClr w14:val="tx1"/>
            </w14:solidFill>
          </w14:textFill>
        </w:rPr>
        <w:sectPr>
          <w:footerReference r:id="rId29" w:type="default"/>
          <w:pgSz w:w="11907" w:h="16840"/>
          <w:pgMar w:top="1431" w:right="1440" w:bottom="1048" w:left="1448" w:header="0" w:footer="885" w:gutter="0"/>
          <w:cols w:space="720" w:num="1"/>
        </w:sectPr>
      </w:pPr>
    </w:p>
    <w:p w14:paraId="1BCEB129">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14:textFill>
            <w14:solidFill>
              <w14:schemeClr w14:val="tx1"/>
            </w14:solidFill>
          </w14:textFill>
        </w:rPr>
      </w:pPr>
    </w:p>
    <w:p w14:paraId="7ED146A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402"/>
        <w:textAlignment w:val="baseline"/>
        <w:rPr>
          <w:color w:val="000000" w:themeColor="text1"/>
          <w:sz w:val="24"/>
          <w:szCs w:val="24"/>
          <w14:textFill>
            <w14:solidFill>
              <w14:schemeClr w14:val="tx1"/>
            </w14:solidFill>
          </w14:textFill>
        </w:rPr>
      </w:pPr>
      <w:r>
        <w:rPr>
          <w:b/>
          <w:bCs/>
          <w:color w:val="000000" w:themeColor="text1"/>
          <w:spacing w:val="7"/>
          <w:sz w:val="24"/>
          <w:szCs w:val="24"/>
          <w14:textFill>
            <w14:solidFill>
              <w14:schemeClr w14:val="tx1"/>
            </w14:solidFill>
          </w14:textFill>
        </w:rPr>
        <w:t>第二部分</w:t>
      </w:r>
      <w:r>
        <w:rPr>
          <w:color w:val="000000" w:themeColor="text1"/>
          <w:spacing w:val="7"/>
          <w:sz w:val="24"/>
          <w:szCs w:val="24"/>
          <w14:textFill>
            <w14:solidFill>
              <w14:schemeClr w14:val="tx1"/>
            </w14:solidFill>
          </w14:textFill>
        </w:rPr>
        <w:t xml:space="preserve"> </w:t>
      </w:r>
      <w:r>
        <w:rPr>
          <w:b/>
          <w:bCs/>
          <w:color w:val="000000" w:themeColor="text1"/>
          <w:spacing w:val="7"/>
          <w:sz w:val="24"/>
          <w:szCs w:val="24"/>
          <w14:textFill>
            <w14:solidFill>
              <w14:schemeClr w14:val="tx1"/>
            </w14:solidFill>
          </w14:textFill>
        </w:rPr>
        <w:t>合同通用条款</w:t>
      </w:r>
    </w:p>
    <w:p w14:paraId="65426C0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2024" w:firstLineChars="800"/>
        <w:textAlignment w:val="baseline"/>
        <w:rPr>
          <w:color w:val="000000" w:themeColor="text1"/>
          <w:sz w:val="24"/>
          <w:szCs w:val="24"/>
          <w14:textFill>
            <w14:solidFill>
              <w14:schemeClr w14:val="tx1"/>
            </w14:solidFill>
          </w14:textFill>
        </w:rPr>
      </w:pPr>
      <w:r>
        <w:rPr>
          <w:b/>
          <w:bCs/>
          <w:color w:val="000000" w:themeColor="text1"/>
          <w:spacing w:val="6"/>
          <w:sz w:val="24"/>
          <w:szCs w:val="24"/>
          <w14:textFill>
            <w14:solidFill>
              <w14:schemeClr w14:val="tx1"/>
            </w14:solidFill>
          </w14:textFill>
        </w:rPr>
        <w:t>[见《公路工程国内招标文件范本》（2009</w:t>
      </w:r>
      <w:r>
        <w:rPr>
          <w:color w:val="000000" w:themeColor="text1"/>
          <w:spacing w:val="6"/>
          <w:sz w:val="24"/>
          <w:szCs w:val="24"/>
          <w14:textFill>
            <w14:solidFill>
              <w14:schemeClr w14:val="tx1"/>
            </w14:solidFill>
          </w14:textFill>
        </w:rPr>
        <w:t xml:space="preserve"> </w:t>
      </w:r>
      <w:r>
        <w:rPr>
          <w:b/>
          <w:bCs/>
          <w:color w:val="000000" w:themeColor="text1"/>
          <w:spacing w:val="6"/>
          <w:sz w:val="24"/>
          <w:szCs w:val="24"/>
          <w14:textFill>
            <w14:solidFill>
              <w14:schemeClr w14:val="tx1"/>
            </w14:solidFill>
          </w14:textFill>
        </w:rPr>
        <w:t>年版）]</w:t>
      </w:r>
    </w:p>
    <w:p w14:paraId="1BD054DD">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4"/>
          <w:szCs w:val="24"/>
          <w14:textFill>
            <w14:solidFill>
              <w14:schemeClr w14:val="tx1"/>
            </w14:solidFill>
          </w14:textFill>
        </w:rPr>
      </w:pPr>
    </w:p>
    <w:p w14:paraId="790D2D77">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14:textFill>
            <w14:solidFill>
              <w14:schemeClr w14:val="tx1"/>
            </w14:solidFill>
          </w14:textFill>
        </w:rPr>
      </w:pPr>
    </w:p>
    <w:p w14:paraId="4AE7623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402"/>
        <w:textAlignment w:val="baseline"/>
        <w:rPr>
          <w:color w:val="000000" w:themeColor="text1"/>
          <w:sz w:val="24"/>
          <w:szCs w:val="24"/>
          <w14:textFill>
            <w14:solidFill>
              <w14:schemeClr w14:val="tx1"/>
            </w14:solidFill>
          </w14:textFill>
        </w:rPr>
      </w:pPr>
      <w:r>
        <w:rPr>
          <w:b/>
          <w:bCs/>
          <w:color w:val="000000" w:themeColor="text1"/>
          <w:spacing w:val="7"/>
          <w:sz w:val="24"/>
          <w:szCs w:val="24"/>
          <w14:textFill>
            <w14:solidFill>
              <w14:schemeClr w14:val="tx1"/>
            </w14:solidFill>
          </w14:textFill>
        </w:rPr>
        <w:t>第三部分</w:t>
      </w:r>
      <w:r>
        <w:rPr>
          <w:color w:val="000000" w:themeColor="text1"/>
          <w:spacing w:val="7"/>
          <w:sz w:val="24"/>
          <w:szCs w:val="24"/>
          <w14:textFill>
            <w14:solidFill>
              <w14:schemeClr w14:val="tx1"/>
            </w14:solidFill>
          </w14:textFill>
        </w:rPr>
        <w:t xml:space="preserve"> </w:t>
      </w:r>
      <w:r>
        <w:rPr>
          <w:b/>
          <w:bCs/>
          <w:color w:val="000000" w:themeColor="text1"/>
          <w:spacing w:val="7"/>
          <w:sz w:val="24"/>
          <w:szCs w:val="24"/>
          <w14:textFill>
            <w14:solidFill>
              <w14:schemeClr w14:val="tx1"/>
            </w14:solidFill>
          </w14:textFill>
        </w:rPr>
        <w:t>合同专用条款</w:t>
      </w:r>
    </w:p>
    <w:p w14:paraId="060A6FE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458"/>
        <w:textAlignment w:val="baseline"/>
        <w:rPr>
          <w:color w:val="000000" w:themeColor="text1"/>
          <w14:textFill>
            <w14:solidFill>
              <w14:schemeClr w14:val="tx1"/>
            </w14:solidFill>
          </w14:textFill>
        </w:rPr>
      </w:pPr>
      <w:r>
        <w:rPr>
          <w:b/>
          <w:bCs/>
          <w:color w:val="000000" w:themeColor="text1"/>
          <w:spacing w:val="7"/>
          <w:sz w:val="24"/>
          <w:szCs w:val="24"/>
          <w14:textFill>
            <w14:solidFill>
              <w14:schemeClr w14:val="tx1"/>
            </w14:solidFill>
          </w14:textFill>
        </w:rPr>
        <w:t>一、合同专用条款说明</w:t>
      </w:r>
    </w:p>
    <w:p w14:paraId="26F37702">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14:textFill>
            <w14:solidFill>
              <w14:schemeClr w14:val="tx1"/>
            </w14:solidFill>
          </w14:textFill>
        </w:rPr>
      </w:pPr>
    </w:p>
    <w:p w14:paraId="58F34368">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14:textFill>
            <w14:solidFill>
              <w14:schemeClr w14:val="tx1"/>
            </w14:solidFill>
          </w14:textFill>
        </w:rPr>
      </w:pPr>
    </w:p>
    <w:p w14:paraId="0A9A1E5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5" w:firstLine="411"/>
        <w:jc w:val="both"/>
        <w:textAlignment w:val="baseline"/>
        <w:rPr>
          <w:color w:val="000000" w:themeColor="text1"/>
          <w:sz w:val="21"/>
          <w:szCs w:val="21"/>
          <w14:textFill>
            <w14:solidFill>
              <w14:schemeClr w14:val="tx1"/>
            </w14:solidFill>
          </w14:textFill>
        </w:rPr>
      </w:pPr>
      <w:r>
        <w:rPr>
          <w:color w:val="000000" w:themeColor="text1"/>
          <w:spacing w:val="10"/>
          <w:sz w:val="21"/>
          <w:szCs w:val="21"/>
          <w14:textFill>
            <w14:solidFill>
              <w14:schemeClr w14:val="tx1"/>
            </w14:solidFill>
          </w14:textFill>
        </w:rPr>
        <w:t>合同专用条款是在通用条款中明确指出要在合同专用条款或数</w:t>
      </w:r>
      <w:r>
        <w:rPr>
          <w:color w:val="000000" w:themeColor="text1"/>
          <w:spacing w:val="9"/>
          <w:sz w:val="21"/>
          <w:szCs w:val="21"/>
          <w14:textFill>
            <w14:solidFill>
              <w14:schemeClr w14:val="tx1"/>
            </w14:solidFill>
          </w14:textFill>
        </w:rPr>
        <w:t>据表中予以具体规定的数据、信</w:t>
      </w:r>
      <w:r>
        <w:rPr>
          <w:color w:val="000000" w:themeColor="text1"/>
          <w:spacing w:val="10"/>
          <w:sz w:val="21"/>
          <w:szCs w:val="21"/>
          <w14:textFill>
            <w14:solidFill>
              <w14:schemeClr w14:val="tx1"/>
            </w14:solidFill>
          </w14:textFill>
        </w:rPr>
        <w:t>息或与工程所在地具体情况有关规定，或项目建</w:t>
      </w:r>
      <w:r>
        <w:rPr>
          <w:color w:val="000000" w:themeColor="text1"/>
          <w:spacing w:val="9"/>
          <w:sz w:val="21"/>
          <w:szCs w:val="21"/>
          <w14:textFill>
            <w14:solidFill>
              <w14:schemeClr w14:val="tx1"/>
            </w14:solidFill>
          </w14:textFill>
        </w:rPr>
        <w:t>设单位认为需要进一步具体化的条款，或根据本地区特点或惯例需增列或删除的条款，是必备</w:t>
      </w:r>
      <w:r>
        <w:rPr>
          <w:color w:val="000000" w:themeColor="text1"/>
          <w:spacing w:val="8"/>
          <w:sz w:val="21"/>
          <w:szCs w:val="21"/>
          <w14:textFill>
            <w14:solidFill>
              <w14:schemeClr w14:val="tx1"/>
            </w14:solidFill>
          </w14:textFill>
        </w:rPr>
        <w:t>的配套条款。</w:t>
      </w:r>
    </w:p>
    <w:p w14:paraId="7328E12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17"/>
        <w:textAlignment w:val="baseline"/>
        <w:rPr>
          <w:color w:val="000000" w:themeColor="text1"/>
          <w:sz w:val="21"/>
          <w:szCs w:val="21"/>
          <w14:textFill>
            <w14:solidFill>
              <w14:schemeClr w14:val="tx1"/>
            </w14:solidFill>
          </w14:textFill>
        </w:rPr>
      </w:pPr>
      <w:r>
        <w:rPr>
          <w:color w:val="000000" w:themeColor="text1"/>
          <w:spacing w:val="8"/>
          <w:sz w:val="21"/>
          <w:szCs w:val="21"/>
          <w14:textFill>
            <w14:solidFill>
              <w14:schemeClr w14:val="tx1"/>
            </w14:solidFill>
          </w14:textFill>
        </w:rPr>
        <w:t>专用条款数据表是合同条款的组成部分。</w:t>
      </w:r>
    </w:p>
    <w:p w14:paraId="6BB3264C">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5F90B84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2" w:firstLine="417"/>
        <w:textAlignment w:val="baseline"/>
        <w:rPr>
          <w:color w:val="000000" w:themeColor="text1"/>
          <w:sz w:val="21"/>
          <w:szCs w:val="21"/>
          <w14:textFill>
            <w14:solidFill>
              <w14:schemeClr w14:val="tx1"/>
            </w14:solidFill>
          </w14:textFill>
        </w:rPr>
      </w:pPr>
      <w:r>
        <w:rPr>
          <w:color w:val="000000" w:themeColor="text1"/>
          <w:spacing w:val="10"/>
          <w:sz w:val="21"/>
          <w:szCs w:val="21"/>
          <w14:textFill>
            <w14:solidFill>
              <w14:schemeClr w14:val="tx1"/>
            </w14:solidFill>
          </w14:textFill>
        </w:rPr>
        <w:t>合同专用条款是对合同通用条款的补充、删改或具体化。</w:t>
      </w:r>
      <w:r>
        <w:rPr>
          <w:color w:val="000000" w:themeColor="text1"/>
          <w:spacing w:val="9"/>
          <w:sz w:val="21"/>
          <w:szCs w:val="21"/>
          <w14:textFill>
            <w14:solidFill>
              <w14:schemeClr w14:val="tx1"/>
            </w14:solidFill>
          </w14:textFill>
        </w:rPr>
        <w:t>应对照合同通用条款同一编号的条款</w:t>
      </w:r>
      <w:r>
        <w:rPr>
          <w:color w:val="000000" w:themeColor="text1"/>
          <w:spacing w:val="7"/>
          <w:sz w:val="21"/>
          <w:szCs w:val="21"/>
          <w14:textFill>
            <w14:solidFill>
              <w14:schemeClr w14:val="tx1"/>
            </w14:solidFill>
          </w14:textFill>
        </w:rPr>
        <w:t>一起阅读和理解。</w:t>
      </w:r>
    </w:p>
    <w:p w14:paraId="568391B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如果合同专用条款与合同通用条款之间有不符之处，以合同专用条款为准。</w:t>
      </w:r>
    </w:p>
    <w:p w14:paraId="79E9EE5E">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szCs w:val="21"/>
          <w14:textFill>
            <w14:solidFill>
              <w14:schemeClr w14:val="tx1"/>
            </w14:solidFill>
          </w14:textFill>
        </w:rPr>
      </w:pPr>
    </w:p>
    <w:p w14:paraId="6677078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7" w:right="2" w:firstLine="423"/>
        <w:textAlignment w:val="baseline"/>
        <w:rPr>
          <w:color w:val="000000" w:themeColor="text1"/>
          <w:sz w:val="21"/>
          <w:szCs w:val="21"/>
          <w14:textFill>
            <w14:solidFill>
              <w14:schemeClr w14:val="tx1"/>
            </w14:solidFill>
          </w14:textFill>
        </w:rPr>
      </w:pPr>
      <w:r>
        <w:rPr>
          <w:b/>
          <w:bCs/>
          <w:color w:val="000000" w:themeColor="text1"/>
          <w:spacing w:val="8"/>
          <w:sz w:val="21"/>
          <w:szCs w:val="21"/>
          <w:u w:val="single" w:color="auto"/>
          <w14:textFill>
            <w14:solidFill>
              <w14:schemeClr w14:val="tx1"/>
            </w14:solidFill>
          </w14:textFill>
        </w:rPr>
        <w:t>以下条款为本工程必须遵守的条款，如与《公</w:t>
      </w:r>
      <w:r>
        <w:rPr>
          <w:b/>
          <w:bCs/>
          <w:color w:val="000000" w:themeColor="text1"/>
          <w:spacing w:val="7"/>
          <w:sz w:val="21"/>
          <w:szCs w:val="21"/>
          <w:u w:val="single" w:color="auto"/>
          <w14:textFill>
            <w14:solidFill>
              <w14:schemeClr w14:val="tx1"/>
            </w14:solidFill>
          </w14:textFill>
        </w:rPr>
        <w:t>路工程国内招标文件范本》</w:t>
      </w:r>
      <w:r>
        <w:rPr>
          <w:color w:val="000000" w:themeColor="text1"/>
          <w:spacing w:val="-79"/>
          <w:sz w:val="21"/>
          <w:szCs w:val="21"/>
          <w:u w:val="single" w:color="auto"/>
          <w14:textFill>
            <w14:solidFill>
              <w14:schemeClr w14:val="tx1"/>
            </w14:solidFill>
          </w14:textFill>
        </w:rPr>
        <w:t xml:space="preserve"> </w:t>
      </w:r>
      <w:r>
        <w:rPr>
          <w:b/>
          <w:bCs/>
          <w:color w:val="000000" w:themeColor="text1"/>
          <w:spacing w:val="7"/>
          <w:sz w:val="21"/>
          <w:szCs w:val="21"/>
          <w:u w:val="single" w:color="auto"/>
          <w14:textFill>
            <w14:solidFill>
              <w14:schemeClr w14:val="tx1"/>
            </w14:solidFill>
          </w14:textFill>
        </w:rPr>
        <w:t>（2009</w:t>
      </w:r>
      <w:r>
        <w:rPr>
          <w:color w:val="000000" w:themeColor="text1"/>
          <w:spacing w:val="7"/>
          <w:sz w:val="21"/>
          <w:szCs w:val="21"/>
          <w:u w:val="single" w:color="auto"/>
          <w14:textFill>
            <w14:solidFill>
              <w14:schemeClr w14:val="tx1"/>
            </w14:solidFill>
          </w14:textFill>
        </w:rPr>
        <w:t xml:space="preserve"> </w:t>
      </w:r>
      <w:r>
        <w:rPr>
          <w:b/>
          <w:bCs/>
          <w:color w:val="000000" w:themeColor="text1"/>
          <w:spacing w:val="7"/>
          <w:sz w:val="21"/>
          <w:szCs w:val="21"/>
          <w:u w:val="single" w:color="auto"/>
          <w14:textFill>
            <w14:solidFill>
              <w14:schemeClr w14:val="tx1"/>
            </w14:solidFill>
          </w14:textFill>
        </w:rPr>
        <w:t>年版）</w:t>
      </w:r>
      <w:r>
        <w:rPr>
          <w:color w:val="000000" w:themeColor="text1"/>
          <w:spacing w:val="-59"/>
          <w:sz w:val="21"/>
          <w:szCs w:val="21"/>
          <w:u w:val="single" w:color="auto"/>
          <w14:textFill>
            <w14:solidFill>
              <w14:schemeClr w14:val="tx1"/>
            </w14:solidFill>
          </w14:textFill>
        </w:rPr>
        <w:t xml:space="preserve"> </w:t>
      </w:r>
      <w:r>
        <w:rPr>
          <w:b/>
          <w:bCs/>
          <w:color w:val="000000" w:themeColor="text1"/>
          <w:spacing w:val="7"/>
          <w:sz w:val="21"/>
          <w:szCs w:val="21"/>
          <w:u w:val="single" w:color="auto"/>
          <w14:textFill>
            <w14:solidFill>
              <w14:schemeClr w14:val="tx1"/>
            </w14:solidFill>
          </w14:textFill>
        </w:rPr>
        <w:t>的合同专用条款有矛盾的，以以下条款为准：</w:t>
      </w:r>
    </w:p>
    <w:p w14:paraId="017BC6D4">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000000" w:themeColor="text1"/>
          <w14:textFill>
            <w14:solidFill>
              <w14:schemeClr w14:val="tx1"/>
            </w14:solidFill>
          </w14:textFill>
        </w:rPr>
        <w:sectPr>
          <w:footerReference r:id="rId30" w:type="default"/>
          <w:pgSz w:w="11907" w:h="16840"/>
          <w:pgMar w:top="1431" w:right="1440" w:bottom="1048" w:left="1451" w:header="0" w:footer="885" w:gutter="0"/>
          <w:cols w:space="720" w:num="1"/>
        </w:sectPr>
      </w:pPr>
    </w:p>
    <w:p w14:paraId="4B513006">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14:textFill>
            <w14:solidFill>
              <w14:schemeClr w14:val="tx1"/>
            </w14:solidFill>
          </w14:textFill>
        </w:rPr>
      </w:pPr>
    </w:p>
    <w:p w14:paraId="02E4892F">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14:textFill>
            <w14:solidFill>
              <w14:schemeClr w14:val="tx1"/>
            </w14:solidFill>
          </w14:textFill>
        </w:rPr>
      </w:pPr>
    </w:p>
    <w:p w14:paraId="49842F3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258"/>
        <w:textAlignment w:val="baseline"/>
        <w:rPr>
          <w:color w:val="000000" w:themeColor="text1"/>
          <w14:textFill>
            <w14:solidFill>
              <w14:schemeClr w14:val="tx1"/>
            </w14:solidFill>
          </w14:textFill>
        </w:rPr>
      </w:pPr>
      <w:r>
        <w:rPr>
          <w:b/>
          <w:bCs/>
          <w:color w:val="000000" w:themeColor="text1"/>
          <w:spacing w:val="7"/>
          <w:sz w:val="24"/>
          <w:szCs w:val="24"/>
          <w14:textFill>
            <w14:solidFill>
              <w14:schemeClr w14:val="tx1"/>
            </w14:solidFill>
          </w14:textFill>
        </w:rPr>
        <w:t>二、合同专用条款</w:t>
      </w:r>
    </w:p>
    <w:p w14:paraId="62BA89A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1．一般约定</w:t>
      </w:r>
    </w:p>
    <w:p w14:paraId="402D6C7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1"/>
          <w:sz w:val="21"/>
          <w:szCs w:val="21"/>
          <w14:textFill>
            <w14:solidFill>
              <w14:schemeClr w14:val="tx1"/>
            </w14:solidFill>
          </w14:textFill>
        </w:rPr>
        <w:t>1.1</w:t>
      </w:r>
      <w:r>
        <w:rPr>
          <w:rFonts w:hint="eastAsia" w:ascii="宋体" w:hAnsi="宋体" w:eastAsia="宋体" w:cs="宋体"/>
          <w:color w:val="000000" w:themeColor="text1"/>
          <w:spacing w:val="18"/>
          <w:sz w:val="21"/>
          <w:szCs w:val="21"/>
          <w14:textFill>
            <w14:solidFill>
              <w14:schemeClr w14:val="tx1"/>
            </w14:solidFill>
          </w14:textFill>
        </w:rPr>
        <w:t xml:space="preserve"> </w:t>
      </w:r>
      <w:r>
        <w:rPr>
          <w:rFonts w:hint="eastAsia" w:ascii="宋体" w:hAnsi="宋体" w:eastAsia="宋体" w:cs="宋体"/>
          <w:b/>
          <w:bCs/>
          <w:color w:val="000000" w:themeColor="text1"/>
          <w:spacing w:val="1"/>
          <w:sz w:val="21"/>
          <w:szCs w:val="21"/>
          <w14:textFill>
            <w14:solidFill>
              <w14:schemeClr w14:val="tx1"/>
            </w14:solidFill>
          </w14:textFill>
        </w:rPr>
        <w:t>词语定义</w:t>
      </w:r>
    </w:p>
    <w:p w14:paraId="731827C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1.1.1</w:t>
      </w:r>
      <w:r>
        <w:rPr>
          <w:rFonts w:hint="eastAsia" w:ascii="宋体" w:hAnsi="宋体" w:eastAsia="宋体" w:cs="宋体"/>
          <w:color w:val="000000" w:themeColor="text1"/>
          <w:spacing w:val="14"/>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合同</w:t>
      </w:r>
    </w:p>
    <w:p w14:paraId="26CA4A7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第</w:t>
      </w:r>
      <w:r>
        <w:rPr>
          <w:rFonts w:hint="eastAsia" w:ascii="宋体" w:hAnsi="宋体" w:eastAsia="宋体" w:cs="宋体"/>
          <w:color w:val="000000" w:themeColor="text1"/>
          <w:spacing w:val="30"/>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1.1.1.6</w:t>
      </w:r>
      <w:r>
        <w:rPr>
          <w:rFonts w:hint="eastAsia" w:ascii="宋体" w:hAnsi="宋体" w:eastAsia="宋体" w:cs="宋体"/>
          <w:color w:val="000000" w:themeColor="text1"/>
          <w:spacing w:val="53"/>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目细化为：</w:t>
      </w:r>
    </w:p>
    <w:p w14:paraId="750A0FB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firstLine="41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技术规范：为本合同所约定的技术标准和要求，是合同文件的</w:t>
      </w:r>
      <w:r>
        <w:rPr>
          <w:rFonts w:hint="eastAsia" w:ascii="宋体" w:hAnsi="宋体" w:eastAsia="宋体" w:cs="宋体"/>
          <w:color w:val="000000" w:themeColor="text1"/>
          <w:spacing w:val="9"/>
          <w:sz w:val="21"/>
          <w:szCs w:val="21"/>
          <w14:textFill>
            <w14:solidFill>
              <w14:schemeClr w14:val="tx1"/>
            </w14:solidFill>
          </w14:textFill>
        </w:rPr>
        <w:t>组成部分。通用合同条款中“技</w:t>
      </w:r>
      <w:r>
        <w:rPr>
          <w:rFonts w:hint="eastAsia" w:ascii="宋体" w:hAnsi="宋体" w:eastAsia="宋体" w:cs="宋体"/>
          <w:color w:val="000000" w:themeColor="text1"/>
          <w:spacing w:val="6"/>
          <w:sz w:val="21"/>
          <w:szCs w:val="21"/>
          <w14:textFill>
            <w14:solidFill>
              <w14:schemeClr w14:val="tx1"/>
            </w14:solidFill>
          </w14:textFill>
        </w:rPr>
        <w:t>术标准和要求</w:t>
      </w:r>
      <w:r>
        <w:rPr>
          <w:rFonts w:hint="eastAsia" w:ascii="宋体" w:hAnsi="宋体" w:eastAsia="宋体" w:cs="宋体"/>
          <w:color w:val="000000" w:themeColor="text1"/>
          <w:spacing w:val="-61"/>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”一词具有相同含义。</w:t>
      </w:r>
    </w:p>
    <w:p w14:paraId="622A155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第</w:t>
      </w:r>
      <w:r>
        <w:rPr>
          <w:rFonts w:hint="eastAsia" w:ascii="宋体" w:hAnsi="宋体" w:eastAsia="宋体" w:cs="宋体"/>
          <w:color w:val="000000" w:themeColor="text1"/>
          <w:spacing w:val="30"/>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1.1.1.8</w:t>
      </w:r>
      <w:r>
        <w:rPr>
          <w:rFonts w:hint="eastAsia" w:ascii="宋体" w:hAnsi="宋体" w:eastAsia="宋体" w:cs="宋体"/>
          <w:color w:val="000000" w:themeColor="text1"/>
          <w:spacing w:val="53"/>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目细化为：</w:t>
      </w:r>
    </w:p>
    <w:p w14:paraId="7D8A851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5" w:right="2" w:firstLine="438"/>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已标价工程量清单：指构成合同文件组成部分的已标明价格、经算术性错误修正及其他错误修</w:t>
      </w:r>
      <w:r>
        <w:rPr>
          <w:rFonts w:hint="eastAsia" w:ascii="宋体" w:hAnsi="宋体" w:eastAsia="宋体" w:cs="宋体"/>
          <w:color w:val="000000" w:themeColor="text1"/>
          <w:spacing w:val="10"/>
          <w:sz w:val="21"/>
          <w:szCs w:val="21"/>
          <w14:textFill>
            <w14:solidFill>
              <w14:schemeClr w14:val="tx1"/>
            </w14:solidFill>
          </w14:textFill>
        </w:rPr>
        <w:t>正（如有）且承包人已确认的最终的工程量清单，包</w:t>
      </w:r>
      <w:r>
        <w:rPr>
          <w:rFonts w:hint="eastAsia" w:ascii="宋体" w:hAnsi="宋体" w:eastAsia="宋体" w:cs="宋体"/>
          <w:color w:val="000000" w:themeColor="text1"/>
          <w:spacing w:val="9"/>
          <w:sz w:val="21"/>
          <w:szCs w:val="21"/>
          <w14:textFill>
            <w14:solidFill>
              <w14:schemeClr w14:val="tx1"/>
            </w14:solidFill>
          </w14:textFill>
        </w:rPr>
        <w:t>括工程量清单说明、竞标报价说明、计日工说</w:t>
      </w:r>
      <w:r>
        <w:rPr>
          <w:rFonts w:hint="eastAsia" w:ascii="宋体" w:hAnsi="宋体" w:eastAsia="宋体" w:cs="宋体"/>
          <w:color w:val="000000" w:themeColor="text1"/>
          <w:spacing w:val="8"/>
          <w:sz w:val="21"/>
          <w:szCs w:val="21"/>
          <w14:textFill>
            <w14:solidFill>
              <w14:schemeClr w14:val="tx1"/>
            </w14:solidFill>
          </w14:textFill>
        </w:rPr>
        <w:t>明、其他说明及工程量清单各项表格（工程量清单表 5.1～表 5</w:t>
      </w:r>
      <w:r>
        <w:rPr>
          <w:rFonts w:hint="eastAsia" w:ascii="宋体" w:hAnsi="宋体" w:eastAsia="宋体" w:cs="宋体"/>
          <w:color w:val="000000" w:themeColor="text1"/>
          <w:spacing w:val="7"/>
          <w:sz w:val="21"/>
          <w:szCs w:val="21"/>
          <w14:textFill>
            <w14:solidFill>
              <w14:schemeClr w14:val="tx1"/>
            </w14:solidFill>
          </w14:textFill>
        </w:rPr>
        <w:t>.5）。</w:t>
      </w:r>
    </w:p>
    <w:p w14:paraId="36BBE9F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本项补充第</w:t>
      </w:r>
      <w:r>
        <w:rPr>
          <w:rFonts w:hint="eastAsia" w:ascii="宋体" w:hAnsi="宋体" w:eastAsia="宋体" w:cs="宋体"/>
          <w:color w:val="000000" w:themeColor="text1"/>
          <w:spacing w:val="31"/>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1.1.1.10</w:t>
      </w:r>
      <w:r>
        <w:rPr>
          <w:rFonts w:hint="eastAsia" w:ascii="宋体" w:hAnsi="宋体" w:eastAsia="宋体" w:cs="宋体"/>
          <w:color w:val="000000" w:themeColor="text1"/>
          <w:spacing w:val="53"/>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目：</w:t>
      </w:r>
    </w:p>
    <w:p w14:paraId="79626BF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03" w:firstLine="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1.1.1.10 补遗书：指发出采购文件之后由招标人向已取得采购文件的竞标人发出的、编号的对采购文件所作的澄清、修改书。</w:t>
      </w:r>
    </w:p>
    <w:p w14:paraId="32D8EAC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1.1.2 合同当事人和人员</w:t>
      </w:r>
    </w:p>
    <w:p w14:paraId="1DF07E6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本项补充第</w:t>
      </w:r>
      <w:r>
        <w:rPr>
          <w:rFonts w:hint="eastAsia" w:ascii="宋体" w:hAnsi="宋体" w:eastAsia="宋体" w:cs="宋体"/>
          <w:color w:val="000000" w:themeColor="text1"/>
          <w:spacing w:val="41"/>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1.1.2.8</w:t>
      </w:r>
      <w:r>
        <w:rPr>
          <w:rFonts w:hint="eastAsia" w:ascii="宋体" w:hAnsi="宋体" w:eastAsia="宋体" w:cs="宋体"/>
          <w:color w:val="000000" w:themeColor="text1"/>
          <w:spacing w:val="52"/>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目：</w:t>
      </w:r>
    </w:p>
    <w:p w14:paraId="7AEFFA8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firstLine="43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1.1.2.8 承包人项目总工：指由承包人</w:t>
      </w:r>
      <w:r>
        <w:rPr>
          <w:rFonts w:hint="eastAsia" w:ascii="宋体" w:hAnsi="宋体" w:eastAsia="宋体" w:cs="宋体"/>
          <w:color w:val="000000" w:themeColor="text1"/>
          <w:spacing w:val="8"/>
          <w:sz w:val="21"/>
          <w:szCs w:val="21"/>
          <w14:textFill>
            <w14:solidFill>
              <w14:schemeClr w14:val="tx1"/>
            </w14:solidFill>
          </w14:textFill>
        </w:rPr>
        <w:t>书面委派常驻现场负责管理本合同工程的总工程师或技</w:t>
      </w:r>
      <w:r>
        <w:rPr>
          <w:rFonts w:hint="eastAsia" w:ascii="宋体" w:hAnsi="宋体" w:eastAsia="宋体" w:cs="宋体"/>
          <w:color w:val="000000" w:themeColor="text1"/>
          <w:spacing w:val="6"/>
          <w:sz w:val="21"/>
          <w:szCs w:val="21"/>
          <w14:textFill>
            <w14:solidFill>
              <w14:schemeClr w14:val="tx1"/>
            </w14:solidFill>
          </w14:textFill>
        </w:rPr>
        <w:t>术总负责人。</w:t>
      </w:r>
    </w:p>
    <w:p w14:paraId="3038082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1.1.3 工程和设备</w:t>
      </w:r>
    </w:p>
    <w:p w14:paraId="68F254B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第</w:t>
      </w:r>
      <w:r>
        <w:rPr>
          <w:rFonts w:hint="eastAsia" w:ascii="宋体" w:hAnsi="宋体" w:eastAsia="宋体" w:cs="宋体"/>
          <w:color w:val="000000" w:themeColor="text1"/>
          <w:spacing w:val="30"/>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1.1.3.4</w:t>
      </w:r>
      <w:r>
        <w:rPr>
          <w:rFonts w:hint="eastAsia" w:ascii="宋体" w:hAnsi="宋体" w:eastAsia="宋体" w:cs="宋体"/>
          <w:color w:val="000000" w:themeColor="text1"/>
          <w:spacing w:val="53"/>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目细化为：</w:t>
      </w:r>
    </w:p>
    <w:p w14:paraId="49D73E4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单位工程：指在建设项目中，根据签订的合同，具有独立施工条件的工程。</w:t>
      </w:r>
    </w:p>
    <w:p w14:paraId="3F6EC83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1.1.3.10</w:t>
      </w:r>
      <w:r>
        <w:rPr>
          <w:rFonts w:hint="eastAsia" w:ascii="宋体" w:hAnsi="宋体" w:eastAsia="宋体" w:cs="宋体"/>
          <w:color w:val="000000" w:themeColor="text1"/>
          <w:spacing w:val="58"/>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目细化为：</w:t>
      </w:r>
    </w:p>
    <w:p w14:paraId="5084B7C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永久占地：指为实施本合同工程而需要的一切永久占用的土</w:t>
      </w:r>
      <w:r>
        <w:rPr>
          <w:rFonts w:hint="eastAsia" w:ascii="宋体" w:hAnsi="宋体" w:eastAsia="宋体" w:cs="宋体"/>
          <w:color w:val="000000" w:themeColor="text1"/>
          <w:spacing w:val="9"/>
          <w:sz w:val="21"/>
          <w:szCs w:val="21"/>
          <w14:textFill>
            <w14:solidFill>
              <w14:schemeClr w14:val="tx1"/>
            </w14:solidFill>
          </w14:textFill>
        </w:rPr>
        <w:t>地，包括公路两侧路权范围内的用</w:t>
      </w:r>
      <w:r>
        <w:rPr>
          <w:rFonts w:hint="eastAsia" w:ascii="宋体" w:hAnsi="宋体" w:eastAsia="宋体" w:cs="宋体"/>
          <w:color w:val="000000" w:themeColor="text1"/>
          <w:sz w:val="21"/>
          <w:szCs w:val="21"/>
          <w14:textFill>
            <w14:solidFill>
              <w14:schemeClr w14:val="tx1"/>
            </w14:solidFill>
          </w14:textFill>
        </w:rPr>
        <w:t>地。</w:t>
      </w:r>
    </w:p>
    <w:p w14:paraId="796CAEA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第</w:t>
      </w:r>
      <w:r>
        <w:rPr>
          <w:rFonts w:hint="eastAsia" w:ascii="宋体" w:hAnsi="宋体" w:eastAsia="宋体" w:cs="宋体"/>
          <w:color w:val="000000" w:themeColor="text1"/>
          <w:spacing w:val="36"/>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1.1.3.11</w:t>
      </w:r>
      <w:r>
        <w:rPr>
          <w:rFonts w:hint="eastAsia" w:ascii="宋体" w:hAnsi="宋体" w:eastAsia="宋体" w:cs="宋体"/>
          <w:color w:val="000000" w:themeColor="text1"/>
          <w:spacing w:val="52"/>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目细化为：</w:t>
      </w:r>
    </w:p>
    <w:p w14:paraId="722E720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02" w:firstLine="43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临时占地：指为实施本合同工程而需要的一切临时占用的土地，包括施工所用的临时支线、便道、便桥和现场的临时出入通道，以及生产（办公）、生活等临时设施用地等。</w:t>
      </w:r>
    </w:p>
    <w:p w14:paraId="05D8379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本项补充第</w:t>
      </w:r>
      <w:r>
        <w:rPr>
          <w:rFonts w:hint="eastAsia" w:ascii="宋体" w:hAnsi="宋体" w:eastAsia="宋体" w:cs="宋体"/>
          <w:color w:val="000000" w:themeColor="text1"/>
          <w:spacing w:val="45"/>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1.1.3.12</w:t>
      </w:r>
      <w:r>
        <w:rPr>
          <w:rFonts w:hint="eastAsia" w:ascii="宋体" w:hAnsi="宋体" w:eastAsia="宋体" w:cs="宋体"/>
          <w:color w:val="000000" w:themeColor="text1"/>
          <w:spacing w:val="52"/>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目、第</w:t>
      </w:r>
      <w:r>
        <w:rPr>
          <w:rFonts w:hint="eastAsia" w:ascii="宋体" w:hAnsi="宋体" w:eastAsia="宋体" w:cs="宋体"/>
          <w:color w:val="000000" w:themeColor="text1"/>
          <w:spacing w:val="29"/>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1.1.3.13</w:t>
      </w:r>
      <w:r>
        <w:rPr>
          <w:rFonts w:hint="eastAsia" w:ascii="宋体" w:hAnsi="宋体" w:eastAsia="宋体" w:cs="宋体"/>
          <w:color w:val="000000" w:themeColor="text1"/>
          <w:spacing w:val="53"/>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目：</w:t>
      </w:r>
    </w:p>
    <w:p w14:paraId="1304C41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205" w:firstLine="4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1.1.3.12 分部工程：指在单位工程中，按结构部位、路段长度及施工特点或施工任务划分的</w:t>
      </w:r>
      <w:r>
        <w:rPr>
          <w:rFonts w:hint="eastAsia" w:ascii="宋体" w:hAnsi="宋体" w:eastAsia="宋体" w:cs="宋体"/>
          <w:color w:val="000000" w:themeColor="text1"/>
          <w:spacing w:val="6"/>
          <w:sz w:val="21"/>
          <w:szCs w:val="21"/>
          <w14:textFill>
            <w14:solidFill>
              <w14:schemeClr w14:val="tx1"/>
            </w14:solidFill>
          </w14:textFill>
        </w:rPr>
        <w:t>若干个工程。</w:t>
      </w:r>
    </w:p>
    <w:p w14:paraId="49549A8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205" w:firstLine="4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1.1.3.13 分项工程：指在分部工程中，按不同的施工方法、材料、工序及路段长度等划分的</w:t>
      </w:r>
      <w:r>
        <w:rPr>
          <w:rFonts w:hint="eastAsia" w:ascii="宋体" w:hAnsi="宋体" w:eastAsia="宋体" w:cs="宋体"/>
          <w:color w:val="000000" w:themeColor="text1"/>
          <w:spacing w:val="6"/>
          <w:sz w:val="21"/>
          <w:szCs w:val="21"/>
          <w14:textFill>
            <w14:solidFill>
              <w14:schemeClr w14:val="tx1"/>
            </w14:solidFill>
          </w14:textFill>
        </w:rPr>
        <w:t>若干个过程。</w:t>
      </w:r>
    </w:p>
    <w:p w14:paraId="778645F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1.1.6</w:t>
      </w:r>
      <w:r>
        <w:rPr>
          <w:rFonts w:hint="eastAsia" w:ascii="宋体" w:hAnsi="宋体" w:eastAsia="宋体" w:cs="宋体"/>
          <w:color w:val="000000" w:themeColor="text1"/>
          <w:spacing w:val="14"/>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其他</w:t>
      </w:r>
    </w:p>
    <w:p w14:paraId="2D6FC9E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本项补充第</w:t>
      </w:r>
      <w:r>
        <w:rPr>
          <w:rFonts w:hint="eastAsia" w:ascii="宋体" w:hAnsi="宋体" w:eastAsia="宋体" w:cs="宋体"/>
          <w:color w:val="000000" w:themeColor="text1"/>
          <w:spacing w:val="29"/>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1.1.6.2</w:t>
      </w:r>
      <w:r>
        <w:rPr>
          <w:rFonts w:hint="eastAsia" w:ascii="宋体" w:hAnsi="宋体" w:eastAsia="宋体" w:cs="宋体"/>
          <w:color w:val="000000" w:themeColor="text1"/>
          <w:spacing w:val="53"/>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目～1.1.6</w:t>
      </w:r>
      <w:r>
        <w:rPr>
          <w:rFonts w:hint="eastAsia" w:ascii="宋体" w:hAnsi="宋体" w:eastAsia="宋体" w:cs="宋体"/>
          <w:color w:val="000000" w:themeColor="text1"/>
          <w:sz w:val="21"/>
          <w:szCs w:val="21"/>
          <w14:textFill>
            <w14:solidFill>
              <w14:schemeClr w14:val="tx1"/>
            </w14:solidFill>
          </w14:textFill>
        </w:rPr>
        <w:t>.8</w:t>
      </w:r>
      <w:r>
        <w:rPr>
          <w:rFonts w:hint="eastAsia" w:ascii="宋体" w:hAnsi="宋体" w:eastAsia="宋体" w:cs="宋体"/>
          <w:color w:val="000000" w:themeColor="text1"/>
          <w:spacing w:val="52"/>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目：</w:t>
      </w:r>
    </w:p>
    <w:p w14:paraId="2FA6EAF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102" w:firstLine="43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1.1.6.2 竣工验收：指《公路工程竣（交）工验收办法》中的竣工验收。</w:t>
      </w:r>
      <w:r>
        <w:rPr>
          <w:rFonts w:hint="eastAsia" w:ascii="宋体" w:hAnsi="宋体" w:eastAsia="宋体" w:cs="宋体"/>
          <w:color w:val="000000" w:themeColor="text1"/>
          <w:spacing w:val="7"/>
          <w:sz w:val="21"/>
          <w:szCs w:val="21"/>
          <w14:textFill>
            <w14:solidFill>
              <w14:schemeClr w14:val="tx1"/>
            </w14:solidFill>
          </w14:textFill>
        </w:rPr>
        <w:t>通用合同条款中“</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国</w:t>
      </w:r>
      <w:r>
        <w:rPr>
          <w:rFonts w:hint="eastAsia" w:ascii="宋体" w:hAnsi="宋体" w:eastAsia="宋体" w:cs="宋体"/>
          <w:color w:val="000000" w:themeColor="text1"/>
          <w:spacing w:val="6"/>
          <w:sz w:val="21"/>
          <w:szCs w:val="21"/>
          <w14:textFill>
            <w14:solidFill>
              <w14:schemeClr w14:val="tx1"/>
            </w14:solidFill>
          </w14:textFill>
        </w:rPr>
        <w:t>家验收</w:t>
      </w:r>
      <w:r>
        <w:rPr>
          <w:rFonts w:hint="eastAsia" w:ascii="宋体" w:hAnsi="宋体" w:eastAsia="宋体" w:cs="宋体"/>
          <w:color w:val="000000" w:themeColor="text1"/>
          <w:spacing w:val="-72"/>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”一词具有相同含义。</w:t>
      </w:r>
    </w:p>
    <w:p w14:paraId="5413CF5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firstLine="43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1.1.6.3 交工：指《公路工程竣（交）工验收办法》中的交工验收。通用合同条款中“竣工</w:t>
      </w:r>
      <w:r>
        <w:rPr>
          <w:rFonts w:hint="eastAsia" w:ascii="宋体" w:hAnsi="宋体" w:eastAsia="宋体" w:cs="宋体"/>
          <w:color w:val="000000" w:themeColor="text1"/>
          <w:spacing w:val="-66"/>
          <w:sz w:val="21"/>
          <w:szCs w:val="21"/>
          <w14:textFill>
            <w14:solidFill>
              <w14:schemeClr w14:val="tx1"/>
            </w14:solidFill>
          </w14:textFill>
        </w:rPr>
        <w:t xml:space="preserve"> </w:t>
      </w:r>
      <w:r>
        <w:rPr>
          <w:rFonts w:hint="eastAsia" w:ascii="宋体" w:hAnsi="宋体" w:eastAsia="宋体" w:cs="宋体"/>
          <w:color w:val="000000" w:themeColor="text1"/>
          <w:spacing w:val="10"/>
          <w:sz w:val="21"/>
          <w:szCs w:val="21"/>
          <w14:textFill>
            <w14:solidFill>
              <w14:schemeClr w14:val="tx1"/>
            </w14:solidFill>
          </w14:textFill>
        </w:rPr>
        <w:t>”</w:t>
      </w:r>
      <w:r>
        <w:rPr>
          <w:rFonts w:hint="eastAsia" w:ascii="宋体" w:hAnsi="宋体" w:eastAsia="宋体" w:cs="宋体"/>
          <w:color w:val="000000" w:themeColor="text1"/>
          <w:spacing w:val="7"/>
          <w:sz w:val="21"/>
          <w:szCs w:val="21"/>
          <w14:textFill>
            <w14:solidFill>
              <w14:schemeClr w14:val="tx1"/>
            </w14:solidFill>
          </w14:textFill>
        </w:rPr>
        <w:t>一词具有相同含义。</w:t>
      </w:r>
    </w:p>
    <w:p w14:paraId="4879E36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102" w:firstLine="4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1.1.6.4 交工验收证书：指《公路工程</w:t>
      </w:r>
      <w:r>
        <w:rPr>
          <w:rFonts w:hint="eastAsia" w:ascii="宋体" w:hAnsi="宋体" w:eastAsia="宋体" w:cs="宋体"/>
          <w:color w:val="000000" w:themeColor="text1"/>
          <w:spacing w:val="8"/>
          <w:sz w:val="21"/>
          <w:szCs w:val="21"/>
          <w14:textFill>
            <w14:solidFill>
              <w14:schemeClr w14:val="tx1"/>
            </w14:solidFill>
          </w14:textFill>
        </w:rPr>
        <w:t>竣（交）工验收办法》中的交工验收证书。通用合同条</w:t>
      </w:r>
      <w:r>
        <w:rPr>
          <w:rFonts w:hint="eastAsia" w:ascii="宋体" w:hAnsi="宋体" w:eastAsia="宋体" w:cs="宋体"/>
          <w:color w:val="000000" w:themeColor="text1"/>
          <w:spacing w:val="7"/>
          <w:sz w:val="21"/>
          <w:szCs w:val="21"/>
          <w14:textFill>
            <w14:solidFill>
              <w14:schemeClr w14:val="tx1"/>
            </w14:solidFill>
          </w14:textFill>
        </w:rPr>
        <w:t>款中“工程接收证书</w:t>
      </w:r>
      <w:r>
        <w:rPr>
          <w:rFonts w:hint="eastAsia" w:ascii="宋体" w:hAnsi="宋体" w:eastAsia="宋体" w:cs="宋体"/>
          <w:color w:val="000000" w:themeColor="text1"/>
          <w:spacing w:val="-66"/>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”一词具有相同含义。</w:t>
      </w:r>
    </w:p>
    <w:p w14:paraId="0BB04C3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102" w:firstLine="4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1.1.6.5 转包：指承包人违反法律和不</w:t>
      </w:r>
      <w:r>
        <w:rPr>
          <w:rFonts w:hint="eastAsia" w:ascii="宋体" w:hAnsi="宋体" w:eastAsia="宋体" w:cs="宋体"/>
          <w:color w:val="000000" w:themeColor="text1"/>
          <w:spacing w:val="8"/>
          <w:sz w:val="21"/>
          <w:szCs w:val="21"/>
          <w14:textFill>
            <w14:solidFill>
              <w14:schemeClr w14:val="tx1"/>
            </w14:solidFill>
          </w14:textFill>
        </w:rPr>
        <w:t>履行合同规定的责任和义务，将成交工程全部委托或以</w:t>
      </w:r>
      <w:r>
        <w:rPr>
          <w:rFonts w:hint="eastAsia" w:ascii="宋体" w:hAnsi="宋体" w:eastAsia="宋体" w:cs="宋体"/>
          <w:color w:val="000000" w:themeColor="text1"/>
          <w:spacing w:val="9"/>
          <w:sz w:val="21"/>
          <w:szCs w:val="21"/>
          <w14:textFill>
            <w14:solidFill>
              <w14:schemeClr w14:val="tx1"/>
            </w14:solidFill>
          </w14:textFill>
        </w:rPr>
        <w:t>专业分包的名义将成交工程肢解后全部委托给其他施工企业施工的行为。</w:t>
      </w:r>
    </w:p>
    <w:p w14:paraId="4E44BAC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02" w:firstLine="43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1.1.6.6 专业分包：指承包人与具有相</w:t>
      </w:r>
      <w:r>
        <w:rPr>
          <w:rFonts w:hint="eastAsia" w:ascii="宋体" w:hAnsi="宋体" w:eastAsia="宋体" w:cs="宋体"/>
          <w:color w:val="000000" w:themeColor="text1"/>
          <w:spacing w:val="8"/>
          <w:sz w:val="21"/>
          <w:szCs w:val="21"/>
          <w14:textFill>
            <w14:solidFill>
              <w14:schemeClr w14:val="tx1"/>
            </w14:solidFill>
          </w14:textFill>
        </w:rPr>
        <w:t>应资质的施工企业签订专业分包合同，由分包人承担承</w:t>
      </w:r>
      <w:r>
        <w:rPr>
          <w:rFonts w:hint="eastAsia" w:ascii="宋体" w:hAnsi="宋体" w:eastAsia="宋体" w:cs="宋体"/>
          <w:color w:val="000000" w:themeColor="text1"/>
          <w:spacing w:val="10"/>
          <w:sz w:val="21"/>
          <w:szCs w:val="21"/>
          <w14:textFill>
            <w14:solidFill>
              <w14:schemeClr w14:val="tx1"/>
            </w14:solidFill>
          </w14:textFill>
        </w:rPr>
        <w:t>包人委托的分部工程、分项工程或适合专业化队伍施工的其他工</w:t>
      </w:r>
      <w:r>
        <w:rPr>
          <w:rFonts w:hint="eastAsia" w:ascii="宋体" w:hAnsi="宋体" w:eastAsia="宋体" w:cs="宋体"/>
          <w:color w:val="000000" w:themeColor="text1"/>
          <w:spacing w:val="9"/>
          <w:sz w:val="21"/>
          <w:szCs w:val="21"/>
          <w14:textFill>
            <w14:solidFill>
              <w14:schemeClr w14:val="tx1"/>
            </w14:solidFill>
          </w14:textFill>
        </w:rPr>
        <w:t>程，整体结算，并能独立控制工程质量、施工进度、材料采购、生产安全的施工行为。</w:t>
      </w:r>
    </w:p>
    <w:p w14:paraId="7639E88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02" w:firstLine="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1.1.6.7 劳务分包：指承包人与具有劳</w:t>
      </w:r>
      <w:r>
        <w:rPr>
          <w:rFonts w:hint="eastAsia" w:ascii="宋体" w:hAnsi="宋体" w:eastAsia="宋体" w:cs="宋体"/>
          <w:color w:val="000000" w:themeColor="text1"/>
          <w:spacing w:val="8"/>
          <w:sz w:val="21"/>
          <w:szCs w:val="21"/>
          <w14:textFill>
            <w14:solidFill>
              <w14:schemeClr w14:val="tx1"/>
            </w14:solidFill>
          </w14:textFill>
        </w:rPr>
        <w:t>务分包资质的劳务企业签订劳务分包，由劳务企业提供</w:t>
      </w:r>
      <w:r>
        <w:rPr>
          <w:rFonts w:hint="eastAsia" w:ascii="宋体" w:hAnsi="宋体" w:eastAsia="宋体" w:cs="宋体"/>
          <w:color w:val="000000" w:themeColor="text1"/>
          <w:spacing w:val="9"/>
          <w:sz w:val="21"/>
          <w:szCs w:val="21"/>
          <w14:textFill>
            <w14:solidFill>
              <w14:schemeClr w14:val="tx1"/>
            </w14:solidFill>
          </w14:textFill>
        </w:rPr>
        <w:t>劳务人员及机具，</w:t>
      </w:r>
      <w:r>
        <w:rPr>
          <w:rFonts w:hint="eastAsia" w:ascii="宋体" w:hAnsi="宋体" w:eastAsia="宋体" w:cs="宋体"/>
          <w:color w:val="000000" w:themeColor="text1"/>
          <w:spacing w:val="-58"/>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由承包人统一组织施工，统一控制工程质量、施工进度</w:t>
      </w:r>
      <w:r>
        <w:rPr>
          <w:rFonts w:hint="eastAsia" w:ascii="宋体" w:hAnsi="宋体" w:eastAsia="宋体" w:cs="宋体"/>
          <w:color w:val="000000" w:themeColor="text1"/>
          <w:spacing w:val="8"/>
          <w:sz w:val="21"/>
          <w:szCs w:val="21"/>
          <w14:textFill>
            <w14:solidFill>
              <w14:schemeClr w14:val="tx1"/>
            </w14:solidFill>
          </w14:textFill>
        </w:rPr>
        <w:t>、材料采购、生产安全的</w:t>
      </w:r>
      <w:r>
        <w:rPr>
          <w:rFonts w:hint="eastAsia" w:ascii="宋体" w:hAnsi="宋体" w:eastAsia="宋体" w:cs="宋体"/>
          <w:color w:val="000000" w:themeColor="text1"/>
          <w:spacing w:val="6"/>
          <w:sz w:val="21"/>
          <w:szCs w:val="21"/>
          <w14:textFill>
            <w14:solidFill>
              <w14:schemeClr w14:val="tx1"/>
            </w14:solidFill>
          </w14:textFill>
        </w:rPr>
        <w:t>施工行为。</w:t>
      </w:r>
    </w:p>
    <w:p w14:paraId="7452F62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5"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1.1.6.8 雇佣民工：指承包人与具</w:t>
      </w:r>
      <w:r>
        <w:rPr>
          <w:rFonts w:hint="eastAsia" w:ascii="宋体" w:hAnsi="宋体" w:eastAsia="宋体" w:cs="宋体"/>
          <w:color w:val="000000" w:themeColor="text1"/>
          <w:spacing w:val="8"/>
          <w:sz w:val="21"/>
          <w:szCs w:val="21"/>
          <w14:textFill>
            <w14:solidFill>
              <w14:schemeClr w14:val="tx1"/>
            </w14:solidFill>
          </w14:textFill>
        </w:rPr>
        <w:t>有相应劳动能力的自然人签订劳动合同，由承包人统一组织管理，从事分项工程施工或配套工程施工的行为。</w:t>
      </w:r>
    </w:p>
    <w:p w14:paraId="7C75255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1.4</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合同文件的优先顺序</w:t>
      </w:r>
    </w:p>
    <w:p w14:paraId="40BB097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本款约定为：</w:t>
      </w:r>
    </w:p>
    <w:p w14:paraId="0B414A3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7" w:firstLine="40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组成合同的各项文件应互相解释，互为说明。除项目</w:t>
      </w:r>
      <w:r>
        <w:rPr>
          <w:rFonts w:hint="eastAsia" w:ascii="宋体" w:hAnsi="宋体" w:eastAsia="宋体" w:cs="宋体"/>
          <w:color w:val="000000" w:themeColor="text1"/>
          <w:spacing w:val="9"/>
          <w:sz w:val="21"/>
          <w:szCs w:val="21"/>
          <w14:textFill>
            <w14:solidFill>
              <w14:schemeClr w14:val="tx1"/>
            </w14:solidFill>
          </w14:textFill>
        </w:rPr>
        <w:t>专用合同条款另有约定外，解释合同文件</w:t>
      </w:r>
      <w:r>
        <w:rPr>
          <w:rFonts w:hint="eastAsia" w:ascii="宋体" w:hAnsi="宋体" w:eastAsia="宋体" w:cs="宋体"/>
          <w:color w:val="000000" w:themeColor="text1"/>
          <w:spacing w:val="5"/>
          <w:sz w:val="21"/>
          <w:szCs w:val="21"/>
          <w14:textFill>
            <w14:solidFill>
              <w14:schemeClr w14:val="tx1"/>
            </w14:solidFill>
          </w14:textFill>
        </w:rPr>
        <w:t>的优先顺序如下：</w:t>
      </w:r>
    </w:p>
    <w:p w14:paraId="074C323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（1）本协议书及各种合同附件（含评标期间和合同谈判过程中的澄清文件和补充资料</w:t>
      </w:r>
      <w:r>
        <w:rPr>
          <w:rFonts w:hint="eastAsia" w:ascii="宋体" w:hAnsi="宋体" w:eastAsia="宋体" w:cs="宋体"/>
          <w:color w:val="000000" w:themeColor="text1"/>
          <w:spacing w:val="5"/>
          <w:sz w:val="21"/>
          <w:szCs w:val="21"/>
          <w14:textFill>
            <w14:solidFill>
              <w14:schemeClr w14:val="tx1"/>
            </w14:solidFill>
          </w14:textFill>
        </w:rPr>
        <w:t>）；</w:t>
      </w:r>
    </w:p>
    <w:p w14:paraId="786218D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（2）成交通知书（或中选结果</w:t>
      </w:r>
      <w:r>
        <w:rPr>
          <w:rFonts w:hint="eastAsia" w:ascii="宋体" w:hAnsi="宋体" w:eastAsia="宋体" w:cs="宋体"/>
          <w:color w:val="000000" w:themeColor="text1"/>
          <w:sz w:val="21"/>
          <w:szCs w:val="21"/>
          <w14:textFill>
            <w14:solidFill>
              <w14:schemeClr w14:val="tx1"/>
            </w14:solidFill>
          </w14:textFill>
        </w:rPr>
        <w:t>）；</w:t>
      </w:r>
    </w:p>
    <w:p w14:paraId="70CE69C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（3）项目专用合同条款；</w:t>
      </w:r>
    </w:p>
    <w:p w14:paraId="31CEF16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（4）公路工程专用合同条款；</w:t>
      </w:r>
    </w:p>
    <w:p w14:paraId="48D3AFB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（5）通用合同条款；</w:t>
      </w:r>
    </w:p>
    <w:p w14:paraId="522AC71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（6）技术规范；</w:t>
      </w:r>
    </w:p>
    <w:p w14:paraId="56D6513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（7）图纸；</w:t>
      </w:r>
    </w:p>
    <w:p w14:paraId="580D7B6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（8）</w:t>
      </w:r>
      <w:r>
        <w:rPr>
          <w:rFonts w:hint="eastAsia" w:ascii="宋体" w:hAnsi="宋体" w:eastAsia="宋体" w:cs="宋体"/>
          <w:color w:val="000000" w:themeColor="text1"/>
          <w:spacing w:val="-52"/>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已标价工程量清单；</w:t>
      </w:r>
    </w:p>
    <w:p w14:paraId="7856A86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（9）政府采购计划书；</w:t>
      </w:r>
    </w:p>
    <w:p w14:paraId="61E80AE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（10）招投标、竞谈、磋商文件（含定点采购</w:t>
      </w:r>
      <w:r>
        <w:rPr>
          <w:rFonts w:hint="eastAsia" w:ascii="宋体" w:hAnsi="宋体" w:eastAsia="宋体" w:cs="宋体"/>
          <w:color w:val="000000" w:themeColor="text1"/>
          <w:spacing w:val="5"/>
          <w:sz w:val="21"/>
          <w:szCs w:val="21"/>
          <w14:textFill>
            <w14:solidFill>
              <w14:schemeClr w14:val="tx1"/>
            </w14:solidFill>
          </w14:textFill>
        </w:rPr>
        <w:t>）；</w:t>
      </w:r>
    </w:p>
    <w:p w14:paraId="58D10DA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（11）定点采购协议书；</w:t>
      </w:r>
    </w:p>
    <w:p w14:paraId="401F2E7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（12）其他合同文件。</w:t>
      </w:r>
    </w:p>
    <w:p w14:paraId="172622B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1.5</w:t>
      </w:r>
      <w:r>
        <w:rPr>
          <w:rFonts w:hint="eastAsia"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b/>
          <w:bCs/>
          <w:color w:val="000000" w:themeColor="text1"/>
          <w:spacing w:val="3"/>
          <w:sz w:val="21"/>
          <w:szCs w:val="21"/>
          <w14:textFill>
            <w14:solidFill>
              <w14:schemeClr w14:val="tx1"/>
            </w14:solidFill>
          </w14:textFill>
        </w:rPr>
        <w:t>合同协议书</w:t>
      </w:r>
    </w:p>
    <w:p w14:paraId="4F59581B">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0A48CF7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w:t>
      </w:r>
    </w:p>
    <w:p w14:paraId="2520C82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制备本合同文件的费用由发包人承担。在合同协议书签订</w:t>
      </w:r>
      <w:r>
        <w:rPr>
          <w:rFonts w:hint="eastAsia" w:ascii="宋体" w:hAnsi="宋体" w:eastAsia="宋体" w:cs="宋体"/>
          <w:color w:val="000000" w:themeColor="text1"/>
          <w:spacing w:val="9"/>
          <w:sz w:val="21"/>
          <w:szCs w:val="21"/>
          <w14:textFill>
            <w14:solidFill>
              <w14:schemeClr w14:val="tx1"/>
            </w14:solidFill>
          </w14:textFill>
        </w:rPr>
        <w:t>并生效之前，竞标函和成交通知书将</w:t>
      </w:r>
      <w:r>
        <w:rPr>
          <w:rFonts w:hint="eastAsia" w:ascii="宋体" w:hAnsi="宋体" w:eastAsia="宋体" w:cs="宋体"/>
          <w:color w:val="000000" w:themeColor="text1"/>
          <w:spacing w:val="7"/>
          <w:sz w:val="21"/>
          <w:szCs w:val="21"/>
          <w14:textFill>
            <w14:solidFill>
              <w14:schemeClr w14:val="tx1"/>
            </w14:solidFill>
          </w14:textFill>
        </w:rPr>
        <w:t>对双方具有约束力。</w:t>
      </w:r>
    </w:p>
    <w:p w14:paraId="15B9EFD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2"/>
          <w:sz w:val="21"/>
          <w:szCs w:val="21"/>
          <w14:textFill>
            <w14:solidFill>
              <w14:schemeClr w14:val="tx1"/>
            </w14:solidFill>
          </w14:textFill>
        </w:rPr>
        <w:t>1.6</w:t>
      </w:r>
      <w:r>
        <w:rPr>
          <w:rFonts w:hint="eastAsia" w:ascii="宋体" w:hAnsi="宋体" w:eastAsia="宋体" w:cs="宋体"/>
          <w:color w:val="000000" w:themeColor="text1"/>
          <w:spacing w:val="37"/>
          <w:sz w:val="21"/>
          <w:szCs w:val="21"/>
          <w14:textFill>
            <w14:solidFill>
              <w14:schemeClr w14:val="tx1"/>
            </w14:solidFill>
          </w14:textFill>
        </w:rPr>
        <w:t xml:space="preserve"> </w:t>
      </w:r>
      <w:r>
        <w:rPr>
          <w:rFonts w:hint="eastAsia" w:ascii="宋体" w:hAnsi="宋体" w:eastAsia="宋体" w:cs="宋体"/>
          <w:b/>
          <w:bCs/>
          <w:color w:val="000000" w:themeColor="text1"/>
          <w:spacing w:val="2"/>
          <w:sz w:val="21"/>
          <w:szCs w:val="21"/>
          <w14:textFill>
            <w14:solidFill>
              <w14:schemeClr w14:val="tx1"/>
            </w14:solidFill>
          </w14:textFill>
        </w:rPr>
        <w:t>图纸和承包人文件</w:t>
      </w:r>
    </w:p>
    <w:p w14:paraId="1E09FE7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1.6.1</w:t>
      </w:r>
      <w:r>
        <w:rPr>
          <w:rFonts w:hint="eastAsia" w:ascii="宋体" w:hAnsi="宋体" w:eastAsia="宋体" w:cs="宋体"/>
          <w:color w:val="000000" w:themeColor="text1"/>
          <w:spacing w:val="33"/>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图纸的提供</w:t>
      </w:r>
    </w:p>
    <w:p w14:paraId="6D1AF41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本项细化为：</w:t>
      </w:r>
    </w:p>
    <w:p w14:paraId="1C8AB49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6" w:firstLine="423"/>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发包人应在发出成交通知书之后 5</w:t>
      </w:r>
      <w:r>
        <w:rPr>
          <w:rFonts w:hint="eastAsia" w:ascii="宋体" w:hAnsi="宋体" w:eastAsia="宋体" w:cs="宋体"/>
          <w:color w:val="000000" w:themeColor="text1"/>
          <w:spacing w:val="-37"/>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天内，向承包人免费提供由发包人或其委托的</w:t>
      </w:r>
      <w:r>
        <w:rPr>
          <w:rFonts w:hint="eastAsia" w:ascii="宋体" w:hAnsi="宋体" w:eastAsia="宋体" w:cs="宋体"/>
          <w:color w:val="000000" w:themeColor="text1"/>
          <w:spacing w:val="7"/>
          <w:sz w:val="21"/>
          <w:szCs w:val="21"/>
          <w14:textFill>
            <w14:solidFill>
              <w14:schemeClr w14:val="tx1"/>
            </w14:solidFill>
          </w14:textFill>
        </w:rPr>
        <w:t>设计单位设计</w:t>
      </w:r>
      <w:r>
        <w:rPr>
          <w:rFonts w:hint="eastAsia" w:ascii="宋体" w:hAnsi="宋体" w:eastAsia="宋体" w:cs="宋体"/>
          <w:color w:val="000000" w:themeColor="text1"/>
          <w:spacing w:val="8"/>
          <w:sz w:val="21"/>
          <w:szCs w:val="21"/>
          <w14:textFill>
            <w14:solidFill>
              <w14:schemeClr w14:val="tx1"/>
            </w14:solidFill>
          </w14:textFill>
        </w:rPr>
        <w:t>的施工图纸、技术规范和其他技术资料 1 份，并向承包人进行技术交底。承包人需要更多份数时，</w:t>
      </w:r>
      <w:r>
        <w:rPr>
          <w:rFonts w:hint="eastAsia" w:ascii="宋体" w:hAnsi="宋体" w:eastAsia="宋体" w:cs="宋体"/>
          <w:color w:val="000000" w:themeColor="text1"/>
          <w:spacing w:val="7"/>
          <w:sz w:val="21"/>
          <w:szCs w:val="21"/>
          <w14:textFill>
            <w14:solidFill>
              <w14:schemeClr w14:val="tx1"/>
            </w14:solidFill>
          </w14:textFill>
        </w:rPr>
        <w:t>应自费复制。</w:t>
      </w:r>
      <w:r>
        <w:rPr>
          <w:rFonts w:hint="eastAsia" w:ascii="宋体" w:hAnsi="宋体" w:eastAsia="宋体" w:cs="宋体"/>
          <w:color w:val="000000" w:themeColor="text1"/>
          <w:spacing w:val="-55"/>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由于发包人未按时提供图纸造成工期延误的，按第</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11.3 款的约定办理。</w:t>
      </w:r>
    </w:p>
    <w:p w14:paraId="5296047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1.6.2 承包人提供的文件</w:t>
      </w:r>
    </w:p>
    <w:p w14:paraId="0881583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本项细化为：</w:t>
      </w:r>
    </w:p>
    <w:p w14:paraId="1925C33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有下列情形之一的，承包人应免费向监理人提交相关部分工程的施工图纸</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1</w:t>
      </w:r>
      <w:r>
        <w:rPr>
          <w:rFonts w:hint="eastAsia" w:ascii="宋体" w:hAnsi="宋体" w:eastAsia="宋体" w:cs="宋体"/>
          <w:color w:val="000000" w:themeColor="text1"/>
          <w:spacing w:val="8"/>
          <w:sz w:val="21"/>
          <w:szCs w:val="21"/>
          <w14:textFill>
            <w14:solidFill>
              <w14:schemeClr w14:val="tx1"/>
            </w14:solidFill>
          </w14:textFill>
        </w:rPr>
        <w:t xml:space="preserve"> 份，并附必要的</w:t>
      </w:r>
      <w:r>
        <w:rPr>
          <w:rFonts w:hint="eastAsia" w:ascii="宋体" w:hAnsi="宋体" w:eastAsia="宋体" w:cs="宋体"/>
          <w:color w:val="000000" w:themeColor="text1"/>
          <w:spacing w:val="5"/>
          <w:sz w:val="21"/>
          <w:szCs w:val="21"/>
          <w14:textFill>
            <w14:solidFill>
              <w14:schemeClr w14:val="tx1"/>
            </w14:solidFill>
          </w14:textFill>
        </w:rPr>
        <w:t>计算书、技术资料，或施工工艺图、设备安装图及安装设备的使用</w:t>
      </w:r>
      <w:r>
        <w:rPr>
          <w:rFonts w:hint="eastAsia" w:ascii="宋体" w:hAnsi="宋体" w:eastAsia="宋体" w:cs="宋体"/>
          <w:color w:val="000000" w:themeColor="text1"/>
          <w:spacing w:val="4"/>
          <w:sz w:val="21"/>
          <w:szCs w:val="21"/>
          <w14:textFill>
            <w14:solidFill>
              <w14:schemeClr w14:val="tx1"/>
            </w14:solidFill>
          </w14:textFill>
        </w:rPr>
        <w:t>和维护手册各</w:t>
      </w:r>
      <w:r>
        <w:rPr>
          <w:rFonts w:hint="eastAsia" w:ascii="宋体" w:hAnsi="宋体" w:eastAsia="宋体" w:cs="宋体"/>
          <w:color w:val="000000" w:themeColor="text1"/>
          <w:spacing w:val="-24"/>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1 份供监理人批准。</w:t>
      </w:r>
    </w:p>
    <w:p w14:paraId="1BC9A81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（1）为使第</w:t>
      </w:r>
      <w:r>
        <w:rPr>
          <w:rFonts w:hint="eastAsia" w:ascii="宋体" w:hAnsi="宋体" w:eastAsia="宋体" w:cs="宋体"/>
          <w:color w:val="000000" w:themeColor="text1"/>
          <w:spacing w:val="46"/>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1.6.1 项所述的施工图纸适合于经现场测量后的纵、横断面；</w:t>
      </w:r>
    </w:p>
    <w:p w14:paraId="76630D9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（2）为使第</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1.6.1 项所述的施工图纸适合于现场具</w:t>
      </w:r>
      <w:r>
        <w:rPr>
          <w:rFonts w:hint="eastAsia" w:ascii="宋体" w:hAnsi="宋体" w:eastAsia="宋体" w:cs="宋体"/>
          <w:color w:val="000000" w:themeColor="text1"/>
          <w:spacing w:val="6"/>
          <w:sz w:val="21"/>
          <w:szCs w:val="21"/>
          <w14:textFill>
            <w14:solidFill>
              <w14:schemeClr w14:val="tx1"/>
            </w14:solidFill>
          </w14:textFill>
        </w:rPr>
        <w:t>体地形；</w:t>
      </w:r>
    </w:p>
    <w:p w14:paraId="6769AC4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（3）为使第</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1.6.1 项所述的施工图纸适合</w:t>
      </w:r>
      <w:r>
        <w:rPr>
          <w:rFonts w:hint="eastAsia" w:ascii="宋体" w:hAnsi="宋体" w:eastAsia="宋体" w:cs="宋体"/>
          <w:color w:val="000000" w:themeColor="text1"/>
          <w:spacing w:val="7"/>
          <w:sz w:val="21"/>
          <w:szCs w:val="21"/>
          <w14:textFill>
            <w14:solidFill>
              <w14:schemeClr w14:val="tx1"/>
            </w14:solidFill>
          </w14:textFill>
        </w:rPr>
        <w:t>于因尺寸与位置变化而引起局部变更；</w:t>
      </w:r>
    </w:p>
    <w:p w14:paraId="0AB400D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w:t>
      </w:r>
      <w:r>
        <w:rPr>
          <w:rFonts w:hint="eastAsia" w:ascii="宋体" w:hAnsi="宋体" w:eastAsia="宋体" w:cs="宋体"/>
          <w:color w:val="000000" w:themeColor="text1"/>
          <w:spacing w:val="-48"/>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由于合同要求与施工需要。</w:t>
      </w:r>
    </w:p>
    <w:p w14:paraId="50E6F48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68" w:firstLine="419"/>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此类图纸应按监理人规定的格式和图幅绘制。监理人在收到由</w:t>
      </w:r>
      <w:r>
        <w:rPr>
          <w:rFonts w:hint="eastAsia" w:ascii="宋体" w:hAnsi="宋体" w:eastAsia="宋体" w:cs="宋体"/>
          <w:color w:val="000000" w:themeColor="text1"/>
          <w:spacing w:val="9"/>
          <w:sz w:val="21"/>
          <w:szCs w:val="21"/>
          <w14:textFill>
            <w14:solidFill>
              <w14:schemeClr w14:val="tx1"/>
            </w14:solidFill>
          </w14:textFill>
        </w:rPr>
        <w:t>承包人绘制的上述工程、工艺图纸、计算书和有关技术资料后 14 天内应予批准或提出修改要求，承包人应按监理人提出的要求做出修改，重新向监理人提交，监理人应在 7 天内批准或提出进一步的修改意见。</w:t>
      </w:r>
    </w:p>
    <w:p w14:paraId="649DCA4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1.6.4</w:t>
      </w:r>
      <w:r>
        <w:rPr>
          <w:rFonts w:hint="eastAsia" w:ascii="宋体" w:hAnsi="宋体" w:eastAsia="宋体" w:cs="宋体"/>
          <w:color w:val="000000" w:themeColor="text1"/>
          <w:spacing w:val="33"/>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图纸的错误</w:t>
      </w:r>
    </w:p>
    <w:p w14:paraId="1B5C124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本项细化为：</w:t>
      </w:r>
    </w:p>
    <w:p w14:paraId="2879AC9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68" w:firstLine="433"/>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当承包人在查阅合同文件或在本合同工程实施过程中，发现有关的工程设计、技术规范、图纸</w:t>
      </w:r>
      <w:r>
        <w:rPr>
          <w:rFonts w:hint="eastAsia" w:ascii="宋体" w:hAnsi="宋体" w:eastAsia="宋体" w:cs="宋体"/>
          <w:color w:val="000000" w:themeColor="text1"/>
          <w:spacing w:val="10"/>
          <w:sz w:val="21"/>
          <w:szCs w:val="21"/>
          <w14:textFill>
            <w14:solidFill>
              <w14:schemeClr w14:val="tx1"/>
            </w14:solidFill>
          </w14:textFill>
        </w:rPr>
        <w:t>或其他资料中的任何差错、遗漏或缺陷后，应及时通知监理人。监理</w:t>
      </w:r>
      <w:r>
        <w:rPr>
          <w:rFonts w:hint="eastAsia" w:ascii="宋体" w:hAnsi="宋体" w:eastAsia="宋体" w:cs="宋体"/>
          <w:color w:val="000000" w:themeColor="text1"/>
          <w:spacing w:val="9"/>
          <w:sz w:val="21"/>
          <w:szCs w:val="21"/>
          <w14:textFill>
            <w14:solidFill>
              <w14:schemeClr w14:val="tx1"/>
            </w14:solidFill>
          </w14:textFill>
        </w:rPr>
        <w:t>人接到该通知后，应立即就此</w:t>
      </w:r>
      <w:r>
        <w:rPr>
          <w:rFonts w:hint="eastAsia" w:ascii="宋体" w:hAnsi="宋体" w:eastAsia="宋体" w:cs="宋体"/>
          <w:color w:val="000000" w:themeColor="text1"/>
          <w:spacing w:val="8"/>
          <w:sz w:val="21"/>
          <w:szCs w:val="21"/>
          <w14:textFill>
            <w14:solidFill>
              <w14:schemeClr w14:val="tx1"/>
            </w14:solidFill>
          </w14:textFill>
        </w:rPr>
        <w:t>做出决定，并通知承包人和发包人。</w:t>
      </w:r>
    </w:p>
    <w:p w14:paraId="52BB366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1.9</w:t>
      </w:r>
      <w:r>
        <w:rPr>
          <w:rFonts w:hint="eastAsia"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b/>
          <w:bCs/>
          <w:color w:val="000000" w:themeColor="text1"/>
          <w:spacing w:val="3"/>
          <w:sz w:val="21"/>
          <w:szCs w:val="21"/>
          <w14:textFill>
            <w14:solidFill>
              <w14:schemeClr w14:val="tx1"/>
            </w14:solidFill>
          </w14:textFill>
        </w:rPr>
        <w:t>严禁贿赂</w:t>
      </w:r>
    </w:p>
    <w:p w14:paraId="1FAE805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w:t>
      </w:r>
    </w:p>
    <w:p w14:paraId="542AF9F2">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在合同执行过程中，发包人和承包人应严格履行《廉政合同</w:t>
      </w:r>
      <w:r>
        <w:rPr>
          <w:rFonts w:hint="eastAsia" w:ascii="宋体" w:hAnsi="宋体" w:eastAsia="宋体" w:cs="宋体"/>
          <w:color w:val="000000" w:themeColor="text1"/>
          <w:spacing w:val="9"/>
          <w:sz w:val="21"/>
          <w:szCs w:val="21"/>
          <w14:textFill>
            <w14:solidFill>
              <w14:schemeClr w14:val="tx1"/>
            </w14:solidFill>
          </w14:textFill>
        </w:rPr>
        <w:t>》约定的双方在廉政建设方面的权</w:t>
      </w:r>
      <w:r>
        <w:rPr>
          <w:rFonts w:hint="eastAsia" w:ascii="宋体" w:hAnsi="宋体" w:eastAsia="宋体" w:cs="宋体"/>
          <w:color w:val="000000" w:themeColor="text1"/>
          <w:spacing w:val="10"/>
          <w:sz w:val="21"/>
          <w:szCs w:val="21"/>
          <w14:textFill>
            <w14:solidFill>
              <w14:schemeClr w14:val="tx1"/>
            </w14:solidFill>
          </w14:textFill>
        </w:rPr>
        <w:t>利和义务以及应承担的违约责任。承包人如果用行贿、送礼或其他</w:t>
      </w:r>
      <w:r>
        <w:rPr>
          <w:rFonts w:hint="eastAsia" w:ascii="宋体" w:hAnsi="宋体" w:eastAsia="宋体" w:cs="宋体"/>
          <w:color w:val="000000" w:themeColor="text1"/>
          <w:spacing w:val="9"/>
          <w:sz w:val="21"/>
          <w:szCs w:val="21"/>
          <w14:textFill>
            <w14:solidFill>
              <w14:schemeClr w14:val="tx1"/>
            </w14:solidFill>
          </w14:textFill>
        </w:rPr>
        <w:t>不正当手段企图影响或已经影响了发包人或监理人的行为和（或）欲获得或已获得超出合同规定以外的额外费用，则发包人应按有</w:t>
      </w:r>
      <w:r>
        <w:rPr>
          <w:rFonts w:hint="eastAsia" w:ascii="宋体" w:hAnsi="宋体" w:eastAsia="宋体" w:cs="宋体"/>
          <w:color w:val="000000" w:themeColor="text1"/>
          <w:spacing w:val="10"/>
          <w:sz w:val="21"/>
          <w:szCs w:val="21"/>
          <w14:textFill>
            <w14:solidFill>
              <w14:schemeClr w14:val="tx1"/>
            </w14:solidFill>
          </w14:textFill>
        </w:rPr>
        <w:t>关法纪严肃处理当事人，且承包人应对上述行为造成的工程损</w:t>
      </w:r>
      <w:r>
        <w:rPr>
          <w:rFonts w:hint="eastAsia" w:ascii="宋体" w:hAnsi="宋体" w:eastAsia="宋体" w:cs="宋体"/>
          <w:color w:val="000000" w:themeColor="text1"/>
          <w:spacing w:val="9"/>
          <w:sz w:val="21"/>
          <w:szCs w:val="21"/>
          <w14:textFill>
            <w14:solidFill>
              <w14:schemeClr w14:val="tx1"/>
            </w14:solidFill>
          </w14:textFill>
        </w:rPr>
        <w:t>耗害、发包人的经济损失等承担一切责任，并予以赔偿。情节严重者，发包人有权终止承包人在本合同项下的承包。</w:t>
      </w:r>
    </w:p>
    <w:p w14:paraId="7FD7EC5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2．发包人义务</w:t>
      </w:r>
    </w:p>
    <w:p w14:paraId="1AA73BE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2.3</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提供施工场地</w:t>
      </w:r>
    </w:p>
    <w:p w14:paraId="0A3FAAF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w:t>
      </w:r>
    </w:p>
    <w:p w14:paraId="28B00C5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60"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发包人负责办理永久占地的征用及与之有关的拆迁赔偿手</w:t>
      </w:r>
      <w:r>
        <w:rPr>
          <w:rFonts w:hint="eastAsia" w:ascii="宋体" w:hAnsi="宋体" w:eastAsia="宋体" w:cs="宋体"/>
          <w:color w:val="000000" w:themeColor="text1"/>
          <w:spacing w:val="9"/>
          <w:sz w:val="21"/>
          <w:szCs w:val="21"/>
          <w14:textFill>
            <w14:solidFill>
              <w14:schemeClr w14:val="tx1"/>
            </w14:solidFill>
          </w14:textFill>
        </w:rPr>
        <w:t>续并承担相关费用。承包人在按第10 条规定提交施工进度计划的同时，应向监理人提交一份按施工先后次序所</w:t>
      </w:r>
      <w:r>
        <w:rPr>
          <w:rFonts w:hint="eastAsia" w:ascii="宋体" w:hAnsi="宋体" w:eastAsia="宋体" w:cs="宋体"/>
          <w:color w:val="000000" w:themeColor="text1"/>
          <w:spacing w:val="8"/>
          <w:sz w:val="21"/>
          <w:szCs w:val="21"/>
          <w14:textFill>
            <w14:solidFill>
              <w14:schemeClr w14:val="tx1"/>
            </w14:solidFill>
          </w14:textFill>
        </w:rPr>
        <w:t>需的永久占地计划。</w:t>
      </w:r>
      <w:r>
        <w:rPr>
          <w:rFonts w:hint="eastAsia" w:ascii="宋体" w:hAnsi="宋体" w:eastAsia="宋体" w:cs="宋体"/>
          <w:color w:val="000000" w:themeColor="text1"/>
          <w:spacing w:val="9"/>
          <w:sz w:val="21"/>
          <w:szCs w:val="21"/>
          <w14:textFill>
            <w14:solidFill>
              <w14:schemeClr w14:val="tx1"/>
            </w14:solidFill>
          </w14:textFill>
        </w:rPr>
        <w:t>监理人应在收到此计划后的</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14 天内审核并转报发包人核备。发包</w:t>
      </w:r>
      <w:r>
        <w:rPr>
          <w:rFonts w:hint="eastAsia" w:ascii="宋体" w:hAnsi="宋体" w:eastAsia="宋体" w:cs="宋体"/>
          <w:color w:val="000000" w:themeColor="text1"/>
          <w:spacing w:val="8"/>
          <w:sz w:val="21"/>
          <w:szCs w:val="21"/>
          <w14:textFill>
            <w14:solidFill>
              <w14:schemeClr w14:val="tx1"/>
            </w14:solidFill>
          </w14:textFill>
        </w:rPr>
        <w:t>人应在监理人发出本工程或分部</w:t>
      </w:r>
      <w:r>
        <w:rPr>
          <w:rFonts w:hint="eastAsia" w:ascii="宋体" w:hAnsi="宋体" w:eastAsia="宋体" w:cs="宋体"/>
          <w:color w:val="000000" w:themeColor="text1"/>
          <w:spacing w:val="10"/>
          <w:sz w:val="21"/>
          <w:szCs w:val="21"/>
          <w14:textFill>
            <w14:solidFill>
              <w14:schemeClr w14:val="tx1"/>
            </w14:solidFill>
          </w14:textFill>
        </w:rPr>
        <w:t>工程开工通知之前，对承包人开工所需的永久占地办妥征用手续和相</w:t>
      </w:r>
      <w:r>
        <w:rPr>
          <w:rFonts w:hint="eastAsia" w:ascii="宋体" w:hAnsi="宋体" w:eastAsia="宋体" w:cs="宋体"/>
          <w:color w:val="000000" w:themeColor="text1"/>
          <w:spacing w:val="9"/>
          <w:sz w:val="21"/>
          <w:szCs w:val="21"/>
          <w14:textFill>
            <w14:solidFill>
              <w14:schemeClr w14:val="tx1"/>
            </w14:solidFill>
          </w14:textFill>
        </w:rPr>
        <w:t>关拆迁赔偿手续，通知承包人</w:t>
      </w:r>
      <w:r>
        <w:rPr>
          <w:rFonts w:hint="eastAsia" w:ascii="宋体" w:hAnsi="宋体" w:eastAsia="宋体" w:cs="宋体"/>
          <w:color w:val="000000" w:themeColor="text1"/>
          <w:spacing w:val="10"/>
          <w:sz w:val="21"/>
          <w:szCs w:val="21"/>
          <w14:textFill>
            <w14:solidFill>
              <w14:schemeClr w14:val="tx1"/>
            </w14:solidFill>
          </w14:textFill>
        </w:rPr>
        <w:t>使用，以使承包人能够及时开工；此后按承包人提交并经监理人</w:t>
      </w:r>
      <w:r>
        <w:rPr>
          <w:rFonts w:hint="eastAsia" w:ascii="宋体" w:hAnsi="宋体" w:eastAsia="宋体" w:cs="宋体"/>
          <w:color w:val="000000" w:themeColor="text1"/>
          <w:spacing w:val="9"/>
          <w:sz w:val="21"/>
          <w:szCs w:val="21"/>
          <w14:textFill>
            <w14:solidFill>
              <w14:schemeClr w14:val="tx1"/>
            </w14:solidFill>
          </w14:textFill>
        </w:rPr>
        <w:t>同意的合同进度计划的安排，分期</w:t>
      </w:r>
      <w:r>
        <w:rPr>
          <w:rFonts w:hint="eastAsia" w:ascii="宋体" w:hAnsi="宋体" w:eastAsia="宋体" w:cs="宋体"/>
          <w:color w:val="000000" w:themeColor="text1"/>
          <w:spacing w:val="10"/>
          <w:sz w:val="21"/>
          <w:szCs w:val="21"/>
          <w14:textFill>
            <w14:solidFill>
              <w14:schemeClr w14:val="tx1"/>
            </w14:solidFill>
          </w14:textFill>
        </w:rPr>
        <w:t>（也可以一次）将施工所需的其余永久占地办妥征用及拆迁赔偿</w:t>
      </w:r>
      <w:r>
        <w:rPr>
          <w:rFonts w:hint="eastAsia" w:ascii="宋体" w:hAnsi="宋体" w:eastAsia="宋体" w:cs="宋体"/>
          <w:color w:val="000000" w:themeColor="text1"/>
          <w:spacing w:val="9"/>
          <w:sz w:val="21"/>
          <w:szCs w:val="21"/>
          <w14:textFill>
            <w14:solidFill>
              <w14:schemeClr w14:val="tx1"/>
            </w14:solidFill>
          </w14:textFill>
        </w:rPr>
        <w:t>手续，通知承包人使用，以使承包</w:t>
      </w:r>
      <w:r>
        <w:rPr>
          <w:rFonts w:hint="eastAsia" w:ascii="宋体" w:hAnsi="宋体" w:eastAsia="宋体" w:cs="宋体"/>
          <w:color w:val="000000" w:themeColor="text1"/>
          <w:spacing w:val="10"/>
          <w:sz w:val="21"/>
          <w:szCs w:val="21"/>
          <w14:textFill>
            <w14:solidFill>
              <w14:schemeClr w14:val="tx1"/>
            </w14:solidFill>
          </w14:textFill>
        </w:rPr>
        <w:t>人能够连续不间断地施工。由于承包人施工考虑不周或措施不当等原</w:t>
      </w:r>
      <w:r>
        <w:rPr>
          <w:rFonts w:hint="eastAsia" w:ascii="宋体" w:hAnsi="宋体" w:eastAsia="宋体" w:cs="宋体"/>
          <w:color w:val="000000" w:themeColor="text1"/>
          <w:spacing w:val="9"/>
          <w:sz w:val="21"/>
          <w:szCs w:val="21"/>
          <w14:textFill>
            <w14:solidFill>
              <w14:schemeClr w14:val="tx1"/>
            </w14:solidFill>
          </w14:textFill>
        </w:rPr>
        <w:t>因而造成的超计划占地或拆迁</w:t>
      </w:r>
      <w:r>
        <w:rPr>
          <w:rFonts w:hint="eastAsia" w:ascii="宋体" w:hAnsi="宋体" w:eastAsia="宋体" w:cs="宋体"/>
          <w:color w:val="000000" w:themeColor="text1"/>
          <w:spacing w:val="6"/>
          <w:sz w:val="21"/>
          <w:szCs w:val="21"/>
          <w14:textFill>
            <w14:solidFill>
              <w14:schemeClr w14:val="tx1"/>
            </w14:solidFill>
          </w14:textFill>
        </w:rPr>
        <w:t>等发生的征用和赔偿费用，应由承包人承担。由于发包人未能按照本项规定办妥永久占地征用手续，</w:t>
      </w:r>
      <w:r>
        <w:rPr>
          <w:rFonts w:hint="eastAsia" w:ascii="宋体" w:hAnsi="宋体" w:eastAsia="宋体" w:cs="宋体"/>
          <w:color w:val="000000" w:themeColor="text1"/>
          <w:spacing w:val="10"/>
          <w:sz w:val="21"/>
          <w:szCs w:val="21"/>
          <w14:textFill>
            <w14:solidFill>
              <w14:schemeClr w14:val="tx1"/>
            </w14:solidFill>
          </w14:textFill>
        </w:rPr>
        <w:t>影响承包人及时使用永久占地造成的费用增加和（或）工期延误应由</w:t>
      </w:r>
      <w:r>
        <w:rPr>
          <w:rFonts w:hint="eastAsia" w:ascii="宋体" w:hAnsi="宋体" w:eastAsia="宋体" w:cs="宋体"/>
          <w:color w:val="000000" w:themeColor="text1"/>
          <w:spacing w:val="9"/>
          <w:sz w:val="21"/>
          <w:szCs w:val="21"/>
          <w14:textFill>
            <w14:solidFill>
              <w14:schemeClr w14:val="tx1"/>
            </w14:solidFill>
          </w14:textFill>
        </w:rPr>
        <w:t>发包人承担。由于承包人未能</w:t>
      </w:r>
      <w:r>
        <w:rPr>
          <w:rFonts w:hint="eastAsia" w:ascii="宋体" w:hAnsi="宋体" w:eastAsia="宋体" w:cs="宋体"/>
          <w:color w:val="000000" w:themeColor="text1"/>
          <w:spacing w:val="10"/>
          <w:sz w:val="21"/>
          <w:szCs w:val="21"/>
          <w14:textFill>
            <w14:solidFill>
              <w14:schemeClr w14:val="tx1"/>
            </w14:solidFill>
          </w14:textFill>
        </w:rPr>
        <w:t>按照本项规定提交占地计划，影响发包人办理永久占地征用手续</w:t>
      </w:r>
      <w:r>
        <w:rPr>
          <w:rFonts w:hint="eastAsia" w:ascii="宋体" w:hAnsi="宋体" w:eastAsia="宋体" w:cs="宋体"/>
          <w:color w:val="000000" w:themeColor="text1"/>
          <w:spacing w:val="9"/>
          <w:sz w:val="21"/>
          <w:szCs w:val="21"/>
          <w14:textFill>
            <w14:solidFill>
              <w14:schemeClr w14:val="tx1"/>
            </w14:solidFill>
          </w14:textFill>
        </w:rPr>
        <w:t>造成的费用增加和（或）工期延误</w:t>
      </w:r>
      <w:r>
        <w:rPr>
          <w:rFonts w:hint="eastAsia" w:ascii="宋体" w:hAnsi="宋体" w:eastAsia="宋体" w:cs="宋体"/>
          <w:color w:val="000000" w:themeColor="text1"/>
          <w:spacing w:val="7"/>
          <w:sz w:val="21"/>
          <w:szCs w:val="21"/>
          <w14:textFill>
            <w14:solidFill>
              <w14:schemeClr w14:val="tx1"/>
            </w14:solidFill>
          </w14:textFill>
        </w:rPr>
        <w:t>由承包人承担。</w:t>
      </w:r>
    </w:p>
    <w:p w14:paraId="0FD0774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3．监理人</w:t>
      </w:r>
    </w:p>
    <w:p w14:paraId="1713F21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3.1</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b/>
          <w:bCs/>
          <w:color w:val="000000" w:themeColor="text1"/>
          <w:spacing w:val="6"/>
          <w:sz w:val="21"/>
          <w:szCs w:val="21"/>
          <w14:textFill>
            <w14:solidFill>
              <w14:schemeClr w14:val="tx1"/>
            </w14:solidFill>
          </w14:textFill>
        </w:rPr>
        <w:t>监理人的职责和权力</w:t>
      </w:r>
    </w:p>
    <w:p w14:paraId="44517CB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第</w:t>
      </w:r>
      <w:r>
        <w:rPr>
          <w:rFonts w:hint="eastAsia" w:ascii="宋体" w:hAnsi="宋体" w:eastAsia="宋体" w:cs="宋体"/>
          <w:color w:val="000000" w:themeColor="text1"/>
          <w:spacing w:val="17"/>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3.1.1</w:t>
      </w:r>
      <w:r>
        <w:rPr>
          <w:rFonts w:hint="eastAsia" w:ascii="宋体" w:hAnsi="宋体" w:eastAsia="宋体" w:cs="宋体"/>
          <w:color w:val="000000" w:themeColor="text1"/>
          <w:spacing w:val="18"/>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项补充：</w:t>
      </w:r>
    </w:p>
    <w:p w14:paraId="418C3D4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监理人在行使下列权力前需要经发包人事先批准：</w:t>
      </w:r>
    </w:p>
    <w:p w14:paraId="29E59C3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（1）根据第 4.3 款，同意分包本工程的某些非主体和非关键性工作；</w:t>
      </w:r>
    </w:p>
    <w:p w14:paraId="6B5105B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（2）确定第 4.11 款下产生的费用增加额；</w:t>
      </w:r>
    </w:p>
    <w:p w14:paraId="06E4DFD7">
      <w:pPr>
        <w:keepNext w:val="0"/>
        <w:keepLines w:val="0"/>
        <w:pageBreakBefore w:val="0"/>
        <w:widowControl/>
        <w:kinsoku w:val="0"/>
        <w:wordWrap/>
        <w:overflowPunct/>
        <w:topLinePunct w:val="0"/>
        <w:autoSpaceDE w:val="0"/>
        <w:autoSpaceDN w:val="0"/>
        <w:bidi w:val="0"/>
        <w:adjustRightInd w:val="0"/>
        <w:snapToGrid w:val="0"/>
        <w:spacing w:line="400" w:lineRule="exact"/>
        <w:ind w:firstLine="448"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（3）根据第</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11.1 款、第 12.3 款、第</w:t>
      </w:r>
      <w:r>
        <w:rPr>
          <w:rFonts w:hint="eastAsia" w:ascii="宋体" w:hAnsi="宋体" w:eastAsia="宋体" w:cs="宋体"/>
          <w:color w:val="000000" w:themeColor="text1"/>
          <w:spacing w:val="29"/>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12.</w:t>
      </w:r>
      <w:r>
        <w:rPr>
          <w:rFonts w:hint="eastAsia" w:ascii="宋体" w:hAnsi="宋体" w:eastAsia="宋体" w:cs="宋体"/>
          <w:color w:val="000000" w:themeColor="text1"/>
          <w:spacing w:val="6"/>
          <w:sz w:val="21"/>
          <w:szCs w:val="21"/>
          <w14:textFill>
            <w14:solidFill>
              <w14:schemeClr w14:val="tx1"/>
            </w14:solidFill>
          </w14:textFill>
        </w:rPr>
        <w:t>4 款发布开工通知、暂停施工指示或复工通知；</w:t>
      </w:r>
    </w:p>
    <w:p w14:paraId="6E1FE72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（4）决定第</w:t>
      </w:r>
      <w:r>
        <w:rPr>
          <w:rFonts w:hint="eastAsia" w:ascii="宋体" w:hAnsi="宋体" w:eastAsia="宋体" w:cs="宋体"/>
          <w:color w:val="000000" w:themeColor="text1"/>
          <w:spacing w:val="46"/>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11.3 款、第 11.4</w:t>
      </w:r>
      <w:r>
        <w:rPr>
          <w:rFonts w:hint="eastAsia" w:ascii="宋体" w:hAnsi="宋体" w:eastAsia="宋体" w:cs="宋体"/>
          <w:color w:val="000000" w:themeColor="text1"/>
          <w:spacing w:val="14"/>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款下的工期延长；</w:t>
      </w:r>
    </w:p>
    <w:p w14:paraId="5693994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（5）审查批准技术规范或设计的变更；</w:t>
      </w:r>
    </w:p>
    <w:p w14:paraId="53968DD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171" w:firstLine="42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（6）根据第</w:t>
      </w:r>
      <w:r>
        <w:rPr>
          <w:rFonts w:hint="eastAsia" w:ascii="宋体" w:hAnsi="宋体" w:eastAsia="宋体" w:cs="宋体"/>
          <w:color w:val="000000" w:themeColor="text1"/>
          <w:spacing w:val="39"/>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15.3 款发出的变更指令，其单项工程变更或累计变更涉及的金额超过了项目专用 合同条款数据表规定的金额；</w:t>
      </w:r>
    </w:p>
    <w:p w14:paraId="337026F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（7）确定第</w:t>
      </w:r>
      <w:r>
        <w:rPr>
          <w:rFonts w:hint="eastAsia" w:ascii="宋体" w:hAnsi="宋体" w:eastAsia="宋体" w:cs="宋体"/>
          <w:color w:val="000000" w:themeColor="text1"/>
          <w:spacing w:val="50"/>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15.4 款下变更工作的单价；</w:t>
      </w:r>
    </w:p>
    <w:p w14:paraId="2328EB4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（8）按照第</w:t>
      </w:r>
      <w:r>
        <w:rPr>
          <w:rFonts w:hint="eastAsia" w:ascii="宋体" w:hAnsi="宋体" w:eastAsia="宋体" w:cs="宋体"/>
          <w:color w:val="000000" w:themeColor="text1"/>
          <w:spacing w:val="40"/>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15.6 款决定有关暂列金额的使用；</w:t>
      </w:r>
    </w:p>
    <w:p w14:paraId="6EF08BF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（9）确定第</w:t>
      </w:r>
      <w:r>
        <w:rPr>
          <w:rFonts w:hint="eastAsia" w:ascii="宋体" w:hAnsi="宋体" w:eastAsia="宋体" w:cs="宋体"/>
          <w:color w:val="000000" w:themeColor="text1"/>
          <w:spacing w:val="50"/>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15.8 款项下的暂估价金额；</w:t>
      </w:r>
    </w:p>
    <w:p w14:paraId="2757902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（10）确定第 23.1 款项下的索赔额。</w:t>
      </w:r>
    </w:p>
    <w:p w14:paraId="6DCE90B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16" w:firstLine="422"/>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如果发生紧急情况，监理人认为将造成人员伤亡，或危及本工程或邻近的财产需立</w:t>
      </w:r>
      <w:r>
        <w:rPr>
          <w:rFonts w:hint="eastAsia" w:ascii="宋体" w:hAnsi="宋体" w:eastAsia="宋体" w:cs="宋体"/>
          <w:color w:val="000000" w:themeColor="text1"/>
          <w:spacing w:val="5"/>
          <w:sz w:val="21"/>
          <w:szCs w:val="21"/>
          <w14:textFill>
            <w14:solidFill>
              <w14:schemeClr w14:val="tx1"/>
            </w14:solidFill>
          </w14:textFill>
        </w:rPr>
        <w:t>即采取行动，</w:t>
      </w:r>
      <w:r>
        <w:rPr>
          <w:rFonts w:hint="eastAsia" w:ascii="宋体" w:hAnsi="宋体" w:eastAsia="宋体" w:cs="宋体"/>
          <w:color w:val="000000" w:themeColor="text1"/>
          <w:spacing w:val="10"/>
          <w:sz w:val="21"/>
          <w:szCs w:val="21"/>
          <w14:textFill>
            <w14:solidFill>
              <w14:schemeClr w14:val="tx1"/>
            </w14:solidFill>
          </w14:textFill>
        </w:rPr>
        <w:t>监理人有权在未征得发包人的批准的情况下发布处理紧急情况所必</w:t>
      </w:r>
      <w:r>
        <w:rPr>
          <w:rFonts w:hint="eastAsia" w:ascii="宋体" w:hAnsi="宋体" w:eastAsia="宋体" w:cs="宋体"/>
          <w:color w:val="000000" w:themeColor="text1"/>
          <w:spacing w:val="9"/>
          <w:sz w:val="21"/>
          <w:szCs w:val="21"/>
          <w14:textFill>
            <w14:solidFill>
              <w14:schemeClr w14:val="tx1"/>
            </w14:solidFill>
          </w14:textFill>
        </w:rPr>
        <w:t>需的指令，承包人应予执行，由</w:t>
      </w:r>
      <w:r>
        <w:rPr>
          <w:rFonts w:hint="eastAsia" w:ascii="宋体" w:hAnsi="宋体" w:eastAsia="宋体" w:cs="宋体"/>
          <w:color w:val="000000" w:themeColor="text1"/>
          <w:spacing w:val="8"/>
          <w:sz w:val="21"/>
          <w:szCs w:val="21"/>
          <w14:textFill>
            <w14:solidFill>
              <w14:schemeClr w14:val="tx1"/>
            </w14:solidFill>
          </w14:textFill>
        </w:rPr>
        <w:t>此造成的费用增加由监理人按第 3.5 款商定或确定。</w:t>
      </w:r>
    </w:p>
    <w:p w14:paraId="36D13E1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3.5</w:t>
      </w:r>
      <w:r>
        <w:rPr>
          <w:rFonts w:hint="eastAsia" w:ascii="宋体" w:hAnsi="宋体" w:eastAsia="宋体" w:cs="宋体"/>
          <w:color w:val="000000" w:themeColor="text1"/>
          <w:spacing w:val="23"/>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商定或确定</w:t>
      </w:r>
    </w:p>
    <w:p w14:paraId="2CFD426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第</w:t>
      </w:r>
      <w:r>
        <w:rPr>
          <w:rFonts w:hint="eastAsia" w:ascii="宋体" w:hAnsi="宋体" w:eastAsia="宋体" w:cs="宋体"/>
          <w:color w:val="000000" w:themeColor="text1"/>
          <w:spacing w:val="17"/>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3.5.1</w:t>
      </w:r>
      <w:r>
        <w:rPr>
          <w:rFonts w:hint="eastAsia" w:ascii="宋体" w:hAnsi="宋体" w:eastAsia="宋体" w:cs="宋体"/>
          <w:color w:val="000000" w:themeColor="text1"/>
          <w:spacing w:val="18"/>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项补充：</w:t>
      </w:r>
    </w:p>
    <w:p w14:paraId="46D327E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right="68" w:firstLine="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如果这项商定或确定导致费用增加和（或）工期延长，或</w:t>
      </w:r>
      <w:r>
        <w:rPr>
          <w:rFonts w:hint="eastAsia" w:ascii="宋体" w:hAnsi="宋体" w:eastAsia="宋体" w:cs="宋体"/>
          <w:color w:val="000000" w:themeColor="text1"/>
          <w:spacing w:val="9"/>
          <w:sz w:val="21"/>
          <w:szCs w:val="21"/>
          <w14:textFill>
            <w14:solidFill>
              <w14:schemeClr w14:val="tx1"/>
            </w14:solidFill>
          </w14:textFill>
        </w:rPr>
        <w:t>者涉及确定变更工程的价格，则总监</w:t>
      </w:r>
      <w:r>
        <w:rPr>
          <w:rFonts w:hint="eastAsia" w:ascii="宋体" w:hAnsi="宋体" w:eastAsia="宋体" w:cs="宋体"/>
          <w:color w:val="000000" w:themeColor="text1"/>
          <w:spacing w:val="8"/>
          <w:sz w:val="21"/>
          <w:szCs w:val="21"/>
          <w14:textFill>
            <w14:solidFill>
              <w14:schemeClr w14:val="tx1"/>
            </w14:solidFill>
          </w14:textFill>
        </w:rPr>
        <w:t>理工程师在发出通知前，应征得发包人的同意。</w:t>
      </w:r>
    </w:p>
    <w:p w14:paraId="24166BA5">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4.承包人</w:t>
      </w:r>
    </w:p>
    <w:p w14:paraId="2F681464">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4.1</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b/>
          <w:bCs/>
          <w:color w:val="000000" w:themeColor="text1"/>
          <w:spacing w:val="6"/>
          <w:sz w:val="21"/>
          <w:szCs w:val="21"/>
          <w14:textFill>
            <w14:solidFill>
              <w14:schemeClr w14:val="tx1"/>
            </w14:solidFill>
          </w14:textFill>
        </w:rPr>
        <w:t>承包人的一般义务</w:t>
      </w:r>
    </w:p>
    <w:p w14:paraId="3488AF7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4.1.9 工程的维护和照管</w:t>
      </w:r>
    </w:p>
    <w:p w14:paraId="2C8714E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本项细化为：</w:t>
      </w:r>
    </w:p>
    <w:p w14:paraId="4E129BB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firstLine="426"/>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（1）交工验收证书颁发前，承包人应负责</w:t>
      </w:r>
      <w:r>
        <w:rPr>
          <w:rFonts w:hint="eastAsia" w:ascii="宋体" w:hAnsi="宋体" w:eastAsia="宋体" w:cs="宋体"/>
          <w:color w:val="000000" w:themeColor="text1"/>
          <w:spacing w:val="8"/>
          <w:sz w:val="21"/>
          <w:szCs w:val="21"/>
          <w14:textFill>
            <w14:solidFill>
              <w14:schemeClr w14:val="tx1"/>
            </w14:solidFill>
          </w14:textFill>
        </w:rPr>
        <w:t>照管和维护工程及将用于或安装在本工程中的材料、</w:t>
      </w:r>
      <w:r>
        <w:rPr>
          <w:rFonts w:hint="eastAsia" w:ascii="宋体" w:hAnsi="宋体" w:eastAsia="宋体" w:cs="宋体"/>
          <w:color w:val="000000" w:themeColor="text1"/>
          <w:spacing w:val="10"/>
          <w:sz w:val="21"/>
          <w:szCs w:val="21"/>
          <w14:textFill>
            <w14:solidFill>
              <w14:schemeClr w14:val="tx1"/>
            </w14:solidFill>
          </w14:textFill>
        </w:rPr>
        <w:t>设备。交工验收证书颁发时尚有部分未交工工程的，承包人还</w:t>
      </w:r>
      <w:r>
        <w:rPr>
          <w:rFonts w:hint="eastAsia" w:ascii="宋体" w:hAnsi="宋体" w:eastAsia="宋体" w:cs="宋体"/>
          <w:color w:val="000000" w:themeColor="text1"/>
          <w:spacing w:val="9"/>
          <w:sz w:val="21"/>
          <w:szCs w:val="21"/>
          <w14:textFill>
            <w14:solidFill>
              <w14:schemeClr w14:val="tx1"/>
            </w14:solidFill>
          </w14:textFill>
        </w:rPr>
        <w:t>应负责该未交工工程、材料、设备的照管和维护工作，直至交工后移交给发包人为</w:t>
      </w:r>
      <w:r>
        <w:rPr>
          <w:rFonts w:hint="eastAsia" w:ascii="宋体" w:hAnsi="宋体" w:eastAsia="宋体" w:cs="宋体"/>
          <w:color w:val="000000" w:themeColor="text1"/>
          <w:spacing w:val="8"/>
          <w:sz w:val="21"/>
          <w:szCs w:val="21"/>
          <w14:textFill>
            <w14:solidFill>
              <w14:schemeClr w14:val="tx1"/>
            </w14:solidFill>
          </w14:textFill>
        </w:rPr>
        <w:t>止。</w:t>
      </w:r>
    </w:p>
    <w:p w14:paraId="1A3AE33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171" w:firstLine="429"/>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（2）在承包人负责照管与维护期间，如果本工程或材料、设备等发生损失或损害，除不可抗力原因之外，承包人均应自费弥补，并达到合同要求。承包人还应</w:t>
      </w:r>
      <w:r>
        <w:rPr>
          <w:rFonts w:hint="eastAsia" w:ascii="宋体" w:hAnsi="宋体" w:eastAsia="宋体" w:cs="宋体"/>
          <w:color w:val="000000" w:themeColor="text1"/>
          <w:spacing w:val="8"/>
          <w:sz w:val="21"/>
          <w:szCs w:val="21"/>
          <w14:textFill>
            <w14:solidFill>
              <w14:schemeClr w14:val="tx1"/>
            </w14:solidFill>
          </w14:textFill>
        </w:rPr>
        <w:t>对按第</w:t>
      </w:r>
      <w:r>
        <w:rPr>
          <w:rFonts w:hint="eastAsia" w:ascii="宋体" w:hAnsi="宋体" w:eastAsia="宋体" w:cs="宋体"/>
          <w:color w:val="000000" w:themeColor="text1"/>
          <w:spacing w:val="-21"/>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19</w:t>
      </w:r>
      <w:r>
        <w:rPr>
          <w:rFonts w:hint="eastAsia" w:ascii="宋体" w:hAnsi="宋体" w:eastAsia="宋体" w:cs="宋体"/>
          <w:color w:val="000000" w:themeColor="text1"/>
          <w:spacing w:val="-39"/>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条规定而实施作业的</w:t>
      </w:r>
      <w:r>
        <w:rPr>
          <w:rFonts w:hint="eastAsia" w:ascii="宋体" w:hAnsi="宋体" w:eastAsia="宋体" w:cs="宋体"/>
          <w:color w:val="000000" w:themeColor="text1"/>
          <w:spacing w:val="9"/>
          <w:sz w:val="21"/>
          <w:szCs w:val="21"/>
          <w14:textFill>
            <w14:solidFill>
              <w14:schemeClr w14:val="tx1"/>
            </w14:solidFill>
          </w14:textFill>
        </w:rPr>
        <w:t>过程中由承包人造成的对工程的任何损失或损害负责。</w:t>
      </w:r>
    </w:p>
    <w:p w14:paraId="41745D5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4.1.10 其他义务</w:t>
      </w:r>
    </w:p>
    <w:p w14:paraId="4BF7E68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本项细化为：</w:t>
      </w:r>
    </w:p>
    <w:p w14:paraId="17E90A4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68"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（1）临时占地由承包人向当地政府土地管理部门申请，并办理租用手续，承包人按有关规定 直</w:t>
      </w:r>
      <w:r>
        <w:rPr>
          <w:rFonts w:hint="eastAsia" w:ascii="宋体" w:hAnsi="宋体" w:eastAsia="宋体" w:cs="宋体"/>
          <w:color w:val="000000" w:themeColor="text1"/>
          <w:spacing w:val="8"/>
          <w:sz w:val="21"/>
          <w:szCs w:val="21"/>
          <w14:textFill>
            <w14:solidFill>
              <w14:schemeClr w14:val="tx1"/>
            </w14:solidFill>
          </w14:textFill>
        </w:rPr>
        <w:t>接支付其费用，发包人对此将予以协调。</w:t>
      </w:r>
    </w:p>
    <w:p w14:paraId="4D848EC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32"/>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临时占地范围包括承包人驻地的办公室、食堂、宿舍、道路和机械设备停放场、材料堆放场地、</w:t>
      </w:r>
      <w:r>
        <w:rPr>
          <w:rFonts w:hint="eastAsia" w:ascii="宋体" w:hAnsi="宋体" w:eastAsia="宋体" w:cs="宋体"/>
          <w:color w:val="000000" w:themeColor="text1"/>
          <w:spacing w:val="10"/>
          <w:sz w:val="21"/>
          <w:szCs w:val="21"/>
          <w14:textFill>
            <w14:solidFill>
              <w14:schemeClr w14:val="tx1"/>
            </w14:solidFill>
          </w14:textFill>
        </w:rPr>
        <w:t>弃土场、预制场、拌合场、仓库、进场临时道路、临时便道、便</w:t>
      </w:r>
      <w:r>
        <w:rPr>
          <w:rFonts w:hint="eastAsia" w:ascii="宋体" w:hAnsi="宋体" w:eastAsia="宋体" w:cs="宋体"/>
          <w:color w:val="000000" w:themeColor="text1"/>
          <w:spacing w:val="9"/>
          <w:sz w:val="21"/>
          <w:szCs w:val="21"/>
          <w14:textFill>
            <w14:solidFill>
              <w14:schemeClr w14:val="tx1"/>
            </w14:solidFill>
          </w14:textFill>
        </w:rPr>
        <w:t>桥等。承包人应在“临时占地计划表</w:t>
      </w:r>
      <w:r>
        <w:rPr>
          <w:rFonts w:hint="eastAsia" w:ascii="宋体" w:hAnsi="宋体" w:eastAsia="宋体" w:cs="宋体"/>
          <w:color w:val="000000" w:themeColor="text1"/>
          <w:spacing w:val="-72"/>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”范围内按实际需要与先后次序，提出具体计划报监理人同意，并报发包人。临时占地的面积和</w:t>
      </w:r>
      <w:r>
        <w:rPr>
          <w:rFonts w:hint="eastAsia" w:ascii="宋体" w:hAnsi="宋体" w:eastAsia="宋体" w:cs="宋体"/>
          <w:color w:val="000000" w:themeColor="text1"/>
          <w:spacing w:val="10"/>
          <w:sz w:val="21"/>
          <w:szCs w:val="21"/>
          <w14:textFill>
            <w14:solidFill>
              <w14:schemeClr w14:val="tx1"/>
            </w14:solidFill>
          </w14:textFill>
        </w:rPr>
        <w:t>使用期应满足工程需要，费用包括临时占地数量、时间及因此而发生的</w:t>
      </w:r>
      <w:r>
        <w:rPr>
          <w:rFonts w:hint="eastAsia" w:ascii="宋体" w:hAnsi="宋体" w:eastAsia="宋体" w:cs="宋体"/>
          <w:color w:val="000000" w:themeColor="text1"/>
          <w:spacing w:val="9"/>
          <w:sz w:val="21"/>
          <w:szCs w:val="21"/>
          <w14:textFill>
            <w14:solidFill>
              <w14:schemeClr w14:val="tx1"/>
            </w14:solidFill>
          </w14:textFill>
        </w:rPr>
        <w:t>协调、租用、复耕、地面附着物（电力、</w:t>
      </w:r>
      <w:r>
        <w:rPr>
          <w:rFonts w:hint="eastAsia" w:ascii="宋体" w:hAnsi="宋体" w:eastAsia="宋体" w:cs="宋体"/>
          <w:color w:val="000000" w:themeColor="text1"/>
          <w:spacing w:val="-51"/>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电信、房屋、坟墓除外）的拆迁补偿等相关费用。除项目专用合同条款另有约定外，临时占地的租地费用实行总额包干，列入工程量清单 100 章中由承包人按</w:t>
      </w:r>
      <w:r>
        <w:rPr>
          <w:rFonts w:hint="eastAsia" w:ascii="宋体" w:hAnsi="宋体" w:eastAsia="宋体" w:cs="宋体"/>
          <w:color w:val="000000" w:themeColor="text1"/>
          <w:spacing w:val="8"/>
          <w:sz w:val="21"/>
          <w:szCs w:val="21"/>
          <w14:textFill>
            <w14:solidFill>
              <w14:schemeClr w14:val="tx1"/>
            </w14:solidFill>
          </w14:textFill>
        </w:rPr>
        <w:t>总额报价。</w:t>
      </w:r>
    </w:p>
    <w:p w14:paraId="5E3381B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2" w:right="68" w:firstLine="420"/>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临时占地退还前，承包人应自费恢复到临时占地使用前的状态。如因承包人撤离后未按要求对临时占地进行恢复或虽进行了恢复但未达到使用标准的，将由发包人委托第三方对其恢复，所发生</w:t>
      </w:r>
      <w:r>
        <w:rPr>
          <w:rFonts w:hint="eastAsia" w:ascii="宋体" w:hAnsi="宋体" w:eastAsia="宋体" w:cs="宋体"/>
          <w:color w:val="000000" w:themeColor="text1"/>
          <w:spacing w:val="8"/>
          <w:sz w:val="21"/>
          <w:szCs w:val="21"/>
          <w14:textFill>
            <w14:solidFill>
              <w14:schemeClr w14:val="tx1"/>
            </w14:solidFill>
          </w14:textFill>
        </w:rPr>
        <w:t>的费用将从应付给承包人的任何款项内扣除。</w:t>
      </w:r>
    </w:p>
    <w:p w14:paraId="1B19222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56"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（2）除项目专用条款另有约定外，承包人应承担并支付为获得本合同工程所需的石料、砂、</w:t>
      </w:r>
      <w:r>
        <w:rPr>
          <w:rFonts w:hint="eastAsia" w:ascii="宋体" w:hAnsi="宋体" w:eastAsia="宋体" w:cs="宋体"/>
          <w:color w:val="000000" w:themeColor="text1"/>
          <w:spacing w:val="10"/>
          <w:sz w:val="21"/>
          <w:szCs w:val="21"/>
          <w14:textFill>
            <w14:solidFill>
              <w14:schemeClr w14:val="tx1"/>
            </w14:solidFill>
          </w14:textFill>
        </w:rPr>
        <w:t>砾石、黏土或其他当地材料等所发生的料场使用费及其他开支或补偿费</w:t>
      </w:r>
      <w:r>
        <w:rPr>
          <w:rFonts w:hint="eastAsia" w:ascii="宋体" w:hAnsi="宋体" w:eastAsia="宋体" w:cs="宋体"/>
          <w:color w:val="000000" w:themeColor="text1"/>
          <w:spacing w:val="9"/>
          <w:sz w:val="21"/>
          <w:szCs w:val="21"/>
          <w14:textFill>
            <w14:solidFill>
              <w14:schemeClr w14:val="tx1"/>
            </w14:solidFill>
          </w14:textFill>
        </w:rPr>
        <w:t>。发包人应尽可能协助承包人办理料场租用手续及解决使用过程中的有关问题。</w:t>
      </w:r>
    </w:p>
    <w:p w14:paraId="063847F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68" w:firstLine="430"/>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（3）承包人应严格遵守国家有关解决拖欠工程款和民工工资的法律、法规，及时支付工程中</w:t>
      </w:r>
      <w:r>
        <w:rPr>
          <w:rFonts w:hint="eastAsia" w:ascii="宋体" w:hAnsi="宋体" w:eastAsia="宋体" w:cs="宋体"/>
          <w:color w:val="000000" w:themeColor="text1"/>
          <w:spacing w:val="10"/>
          <w:sz w:val="21"/>
          <w:szCs w:val="21"/>
          <w14:textFill>
            <w14:solidFill>
              <w14:schemeClr w14:val="tx1"/>
            </w14:solidFill>
          </w14:textFill>
        </w:rPr>
        <w:t>的材料、设备贷款及民工工资等费用。承包人不得以任何借口拖欠材</w:t>
      </w:r>
      <w:r>
        <w:rPr>
          <w:rFonts w:hint="eastAsia" w:ascii="宋体" w:hAnsi="宋体" w:eastAsia="宋体" w:cs="宋体"/>
          <w:color w:val="000000" w:themeColor="text1"/>
          <w:spacing w:val="9"/>
          <w:sz w:val="21"/>
          <w:szCs w:val="21"/>
          <w14:textFill>
            <w14:solidFill>
              <w14:schemeClr w14:val="tx1"/>
            </w14:solidFill>
          </w14:textFill>
        </w:rPr>
        <w:t>料、设备贷款及民工工资等费</w:t>
      </w:r>
      <w:r>
        <w:rPr>
          <w:rFonts w:hint="eastAsia" w:ascii="宋体" w:hAnsi="宋体" w:eastAsia="宋体" w:cs="宋体"/>
          <w:color w:val="000000" w:themeColor="text1"/>
          <w:spacing w:val="10"/>
          <w:sz w:val="21"/>
          <w:szCs w:val="21"/>
          <w14:textFill>
            <w14:solidFill>
              <w14:schemeClr w14:val="tx1"/>
            </w14:solidFill>
          </w14:textFill>
        </w:rPr>
        <w:t>用，如果出现此种现象，发包人有权代为支付其拖欠的材料、设</w:t>
      </w:r>
      <w:r>
        <w:rPr>
          <w:rFonts w:hint="eastAsia" w:ascii="宋体" w:hAnsi="宋体" w:eastAsia="宋体" w:cs="宋体"/>
          <w:color w:val="000000" w:themeColor="text1"/>
          <w:spacing w:val="9"/>
          <w:sz w:val="21"/>
          <w:szCs w:val="21"/>
          <w14:textFill>
            <w14:solidFill>
              <w14:schemeClr w14:val="tx1"/>
            </w14:solidFill>
          </w14:textFill>
        </w:rPr>
        <w:t>备贷款及民工工资，并从应付给承</w:t>
      </w:r>
      <w:r>
        <w:rPr>
          <w:rFonts w:hint="eastAsia" w:ascii="宋体" w:hAnsi="宋体" w:eastAsia="宋体" w:cs="宋体"/>
          <w:color w:val="000000" w:themeColor="text1"/>
          <w:spacing w:val="10"/>
          <w:sz w:val="21"/>
          <w:szCs w:val="21"/>
          <w14:textFill>
            <w14:solidFill>
              <w14:schemeClr w14:val="tx1"/>
            </w14:solidFill>
          </w14:textFill>
        </w:rPr>
        <w:t>包人的工程款中扣除相应款项。对恶意拖欠和拒不按计划支付</w:t>
      </w:r>
      <w:r>
        <w:rPr>
          <w:rFonts w:hint="eastAsia" w:ascii="宋体" w:hAnsi="宋体" w:eastAsia="宋体" w:cs="宋体"/>
          <w:color w:val="000000" w:themeColor="text1"/>
          <w:spacing w:val="9"/>
          <w:sz w:val="21"/>
          <w:szCs w:val="21"/>
          <w14:textFill>
            <w14:solidFill>
              <w14:schemeClr w14:val="tx1"/>
            </w14:solidFill>
          </w14:textFill>
        </w:rPr>
        <w:t>的，作为不良记录纳入公路建设市场</w:t>
      </w:r>
      <w:r>
        <w:rPr>
          <w:rFonts w:hint="eastAsia" w:ascii="宋体" w:hAnsi="宋体" w:eastAsia="宋体" w:cs="宋体"/>
          <w:color w:val="000000" w:themeColor="text1"/>
          <w:spacing w:val="7"/>
          <w:sz w:val="21"/>
          <w:szCs w:val="21"/>
          <w14:textFill>
            <w14:solidFill>
              <w14:schemeClr w14:val="tx1"/>
            </w14:solidFill>
          </w14:textFill>
        </w:rPr>
        <w:t>信用信息管理系统。</w:t>
      </w:r>
    </w:p>
    <w:p w14:paraId="113F8FC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60"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承包人的项目经理部是民工工资支付行为的主体，承包人的项目</w:t>
      </w:r>
      <w:r>
        <w:rPr>
          <w:rFonts w:hint="eastAsia" w:ascii="宋体" w:hAnsi="宋体" w:eastAsia="宋体" w:cs="宋体"/>
          <w:color w:val="000000" w:themeColor="text1"/>
          <w:spacing w:val="9"/>
          <w:sz w:val="21"/>
          <w:szCs w:val="21"/>
          <w14:textFill>
            <w14:solidFill>
              <w14:schemeClr w14:val="tx1"/>
            </w14:solidFill>
          </w14:textFill>
        </w:rPr>
        <w:t>经理是民工工资支付的责任</w:t>
      </w:r>
      <w:r>
        <w:rPr>
          <w:rFonts w:hint="eastAsia" w:ascii="宋体" w:hAnsi="宋体" w:eastAsia="宋体" w:cs="宋体"/>
          <w:color w:val="000000" w:themeColor="text1"/>
          <w:spacing w:val="10"/>
          <w:sz w:val="21"/>
          <w:szCs w:val="21"/>
          <w14:textFill>
            <w14:solidFill>
              <w14:schemeClr w14:val="tx1"/>
            </w14:solidFill>
          </w14:textFill>
        </w:rPr>
        <w:t>人。项目经理部要建立全体民工花名册和工资支付表，确保</w:t>
      </w:r>
      <w:r>
        <w:rPr>
          <w:rFonts w:hint="eastAsia" w:ascii="宋体" w:hAnsi="宋体" w:eastAsia="宋体" w:cs="宋体"/>
          <w:color w:val="000000" w:themeColor="text1"/>
          <w:spacing w:val="9"/>
          <w:sz w:val="21"/>
          <w:szCs w:val="21"/>
          <w14:textFill>
            <w14:solidFill>
              <w14:schemeClr w14:val="tx1"/>
            </w14:solidFill>
          </w14:textFill>
        </w:rPr>
        <w:t>将工资直接发放给民工本人，或委托银行发放民工工资，严禁发放给“包工头</w:t>
      </w:r>
      <w:r>
        <w:rPr>
          <w:rFonts w:hint="eastAsia" w:ascii="宋体" w:hAnsi="宋体" w:eastAsia="宋体" w:cs="宋体"/>
          <w:color w:val="000000" w:themeColor="text1"/>
          <w:spacing w:val="-72"/>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”或其他</w:t>
      </w:r>
      <w:r>
        <w:rPr>
          <w:rFonts w:hint="eastAsia" w:ascii="宋体" w:hAnsi="宋体" w:eastAsia="宋体" w:cs="宋体"/>
          <w:color w:val="000000" w:themeColor="text1"/>
          <w:spacing w:val="8"/>
          <w:sz w:val="21"/>
          <w:szCs w:val="21"/>
          <w14:textFill>
            <w14:solidFill>
              <w14:schemeClr w14:val="tx1"/>
            </w14:solidFill>
          </w14:textFill>
        </w:rPr>
        <w:t>不具备用工主体资格的组织和个人。</w:t>
      </w:r>
    </w:p>
    <w:p w14:paraId="1F5AFC4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68" w:firstLine="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工资支付表应如实记录支付单位、支付时间、支付对象、</w:t>
      </w:r>
      <w:r>
        <w:rPr>
          <w:rFonts w:hint="eastAsia" w:ascii="宋体" w:hAnsi="宋体" w:eastAsia="宋体" w:cs="宋体"/>
          <w:color w:val="000000" w:themeColor="text1"/>
          <w:spacing w:val="9"/>
          <w:sz w:val="21"/>
          <w:szCs w:val="21"/>
          <w14:textFill>
            <w14:solidFill>
              <w14:schemeClr w14:val="tx1"/>
            </w14:solidFill>
          </w14:textFill>
        </w:rPr>
        <w:t>支付数额、支付对象的身份证号和签字等信息。民工花名册和工资支付表应报监理人备查。</w:t>
      </w:r>
    </w:p>
    <w:p w14:paraId="3DDDC2E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（4）承包人应履行项目专用合同条款约定的其他义务。</w:t>
      </w:r>
    </w:p>
    <w:p w14:paraId="42129D30">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1"/>
          <w:sz w:val="21"/>
          <w:szCs w:val="21"/>
          <w14:textFill>
            <w14:solidFill>
              <w14:schemeClr w14:val="tx1"/>
            </w14:solidFill>
          </w14:textFill>
        </w:rPr>
        <w:t>4.3</w:t>
      </w:r>
      <w:r>
        <w:rPr>
          <w:rFonts w:hint="eastAsia" w:ascii="宋体" w:hAnsi="宋体" w:eastAsia="宋体" w:cs="宋体"/>
          <w:color w:val="000000" w:themeColor="text1"/>
          <w:spacing w:val="18"/>
          <w:sz w:val="21"/>
          <w:szCs w:val="21"/>
          <w14:textFill>
            <w14:solidFill>
              <w14:schemeClr w14:val="tx1"/>
            </w14:solidFill>
          </w14:textFill>
        </w:rPr>
        <w:t xml:space="preserve"> </w:t>
      </w:r>
      <w:r>
        <w:rPr>
          <w:rFonts w:hint="eastAsia" w:ascii="宋体" w:hAnsi="宋体" w:eastAsia="宋体" w:cs="宋体"/>
          <w:b/>
          <w:bCs/>
          <w:color w:val="000000" w:themeColor="text1"/>
          <w:spacing w:val="1"/>
          <w:sz w:val="21"/>
          <w:szCs w:val="21"/>
          <w14:textFill>
            <w14:solidFill>
              <w14:schemeClr w14:val="tx1"/>
            </w14:solidFill>
          </w14:textFill>
        </w:rPr>
        <w:t>分包</w:t>
      </w:r>
    </w:p>
    <w:p w14:paraId="5CDC546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第 4.3.2 项～第</w:t>
      </w:r>
      <w:r>
        <w:rPr>
          <w:rFonts w:hint="eastAsia" w:ascii="宋体" w:hAnsi="宋体" w:eastAsia="宋体" w:cs="宋体"/>
          <w:color w:val="000000" w:themeColor="text1"/>
          <w:spacing w:val="16"/>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4.3.4</w:t>
      </w:r>
      <w:r>
        <w:rPr>
          <w:rFonts w:hint="eastAsia" w:ascii="宋体" w:hAnsi="宋体" w:eastAsia="宋体" w:cs="宋体"/>
          <w:color w:val="000000" w:themeColor="text1"/>
          <w:spacing w:val="16"/>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项细化为：</w:t>
      </w:r>
    </w:p>
    <w:p w14:paraId="647ACC5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70" w:firstLine="41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4.3.2 承包人不得将工程主体、关键性工作分包给第三人。经发包人同意，承包人可将工程的其他部分或工作分包给第三人。分包包括专业分包和劳务分包。</w:t>
      </w:r>
    </w:p>
    <w:p w14:paraId="2A72D0C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4.3.3 专业分包</w:t>
      </w:r>
    </w:p>
    <w:p w14:paraId="5FD4C19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在工程施工过程中，承包人进行专业分包必须遵守以下规定：</w:t>
      </w:r>
    </w:p>
    <w:p w14:paraId="5FC3AFA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71"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（1）允许专业分包的工程范围仅限于分部工程或分项工程、适合专业化队伍施工的工程，专</w:t>
      </w:r>
      <w:r>
        <w:rPr>
          <w:rFonts w:hint="eastAsia" w:ascii="宋体" w:hAnsi="宋体" w:eastAsia="宋体" w:cs="宋体"/>
          <w:color w:val="000000" w:themeColor="text1"/>
          <w:spacing w:val="8"/>
          <w:sz w:val="21"/>
          <w:szCs w:val="21"/>
          <w14:textFill>
            <w14:solidFill>
              <w14:schemeClr w14:val="tx1"/>
            </w14:solidFill>
          </w14:textFill>
        </w:rPr>
        <w:t>业分包的工程量累计不得超过总工程量的</w:t>
      </w:r>
      <w:r>
        <w:rPr>
          <w:rFonts w:hint="eastAsia" w:ascii="宋体" w:hAnsi="宋体" w:eastAsia="宋体" w:cs="宋体"/>
          <w:color w:val="000000" w:themeColor="text1"/>
          <w:spacing w:val="-87"/>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97"/>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w:t>
      </w:r>
    </w:p>
    <w:p w14:paraId="60AC3B1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71"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（2）专业分包人的资格能力（含安全生产能力）应与其分包工程的标准和规模相适应，具备</w:t>
      </w:r>
      <w:r>
        <w:rPr>
          <w:rFonts w:hint="eastAsia" w:ascii="宋体" w:hAnsi="宋体" w:eastAsia="宋体" w:cs="宋体"/>
          <w:color w:val="000000" w:themeColor="text1"/>
          <w:spacing w:val="8"/>
          <w:sz w:val="21"/>
          <w:szCs w:val="21"/>
          <w14:textFill>
            <w14:solidFill>
              <w14:schemeClr w14:val="tx1"/>
            </w14:solidFill>
          </w14:textFill>
        </w:rPr>
        <w:t>相应的专业承包资质。</w:t>
      </w:r>
    </w:p>
    <w:p w14:paraId="5F6DFDF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（3）专业分工程不得再次分包。</w:t>
      </w:r>
    </w:p>
    <w:p w14:paraId="32CA21E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（4）承包人和专业分包人应当依法签订专业分包合同，并按照合同履行约定的义务。专业分</w:t>
      </w:r>
      <w:r>
        <w:rPr>
          <w:rFonts w:hint="eastAsia" w:ascii="宋体" w:hAnsi="宋体" w:eastAsia="宋体" w:cs="宋体"/>
          <w:color w:val="000000" w:themeColor="text1"/>
          <w:spacing w:val="7"/>
          <w:sz w:val="21"/>
          <w:szCs w:val="21"/>
          <w14:textFill>
            <w14:solidFill>
              <w14:schemeClr w14:val="tx1"/>
            </w14:solidFill>
          </w14:textFill>
        </w:rPr>
        <w:t>包合同必须明确约定工程款支付条款、结算方式</w:t>
      </w:r>
      <w:r>
        <w:rPr>
          <w:rFonts w:hint="eastAsia" w:ascii="宋体" w:hAnsi="宋体" w:eastAsia="宋体" w:cs="宋体"/>
          <w:color w:val="000000" w:themeColor="text1"/>
          <w:spacing w:val="6"/>
          <w:sz w:val="21"/>
          <w:szCs w:val="21"/>
          <w14:textFill>
            <w14:solidFill>
              <w14:schemeClr w14:val="tx1"/>
            </w14:solidFill>
          </w14:textFill>
        </w:rPr>
        <w:t>以及保证按期支付的相应措施，确保工程款的支付。</w:t>
      </w:r>
    </w:p>
    <w:p w14:paraId="348F420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70" w:firstLine="42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（5）承包人对施工现场安全负总责，并对专业分包人的安全生产进行培训和管理。专业分包</w:t>
      </w:r>
      <w:r>
        <w:rPr>
          <w:rFonts w:hint="eastAsia" w:ascii="宋体" w:hAnsi="宋体" w:eastAsia="宋体" w:cs="宋体"/>
          <w:color w:val="000000" w:themeColor="text1"/>
          <w:spacing w:val="10"/>
          <w:sz w:val="21"/>
          <w:szCs w:val="21"/>
          <w14:textFill>
            <w14:solidFill>
              <w14:schemeClr w14:val="tx1"/>
            </w14:solidFill>
          </w14:textFill>
        </w:rPr>
        <w:t>人应将其专业分包工程的施工组织设计和施工安全方案报承</w:t>
      </w:r>
      <w:r>
        <w:rPr>
          <w:rFonts w:hint="eastAsia" w:ascii="宋体" w:hAnsi="宋体" w:eastAsia="宋体" w:cs="宋体"/>
          <w:color w:val="000000" w:themeColor="text1"/>
          <w:spacing w:val="9"/>
          <w:sz w:val="21"/>
          <w:szCs w:val="21"/>
          <w14:textFill>
            <w14:solidFill>
              <w14:schemeClr w14:val="tx1"/>
            </w14:solidFill>
          </w14:textFill>
        </w:rPr>
        <w:t>包人备案。专业分包人对分包施工现场</w:t>
      </w:r>
      <w:r>
        <w:rPr>
          <w:rFonts w:hint="eastAsia" w:ascii="宋体" w:hAnsi="宋体" w:eastAsia="宋体" w:cs="宋体"/>
          <w:color w:val="000000" w:themeColor="text1"/>
          <w:spacing w:val="8"/>
          <w:sz w:val="21"/>
          <w:szCs w:val="21"/>
          <w14:textFill>
            <w14:solidFill>
              <w14:schemeClr w14:val="tx1"/>
            </w14:solidFill>
          </w14:textFill>
        </w:rPr>
        <w:t>安全负责，发现事故隐患，应及时处理。</w:t>
      </w:r>
    </w:p>
    <w:p w14:paraId="54536841">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（6）所有专业分包计划和专业分包合同须报监理人审批，并报发包人核备。监理人审批专业分包并不解除合同规定的承包人的任何责任或义</w:t>
      </w:r>
      <w:r>
        <w:rPr>
          <w:rFonts w:hint="eastAsia" w:ascii="宋体" w:hAnsi="宋体" w:eastAsia="宋体" w:cs="宋体"/>
          <w:color w:val="000000" w:themeColor="text1"/>
          <w:spacing w:val="8"/>
          <w:sz w:val="21"/>
          <w:szCs w:val="21"/>
          <w14:textFill>
            <w14:solidFill>
              <w14:schemeClr w14:val="tx1"/>
            </w14:solidFill>
          </w14:textFill>
        </w:rPr>
        <w:t>务。</w:t>
      </w:r>
    </w:p>
    <w:p w14:paraId="6D0B4F8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4.3.4</w:t>
      </w:r>
      <w:r>
        <w:rPr>
          <w:rFonts w:hint="eastAsia" w:ascii="宋体" w:hAnsi="宋体" w:eastAsia="宋体" w:cs="宋体"/>
          <w:color w:val="000000" w:themeColor="text1"/>
          <w:spacing w:val="22"/>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劳务分包</w:t>
      </w:r>
    </w:p>
    <w:p w14:paraId="787DF8E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在工程施工过程中，承包人进行劳务分包必须遵守以下规定：</w:t>
      </w:r>
    </w:p>
    <w:p w14:paraId="52223B3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（1）劳务分包人应具有劳务分包资质。</w:t>
      </w:r>
    </w:p>
    <w:p w14:paraId="6A23721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68"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（2）劳务分包应当依法签订劳务分包合同，劳务分包合同必须由承包人的法定代表人或其委</w:t>
      </w:r>
      <w:r>
        <w:rPr>
          <w:rFonts w:hint="eastAsia" w:ascii="宋体" w:hAnsi="宋体" w:eastAsia="宋体" w:cs="宋体"/>
          <w:color w:val="000000" w:themeColor="text1"/>
          <w:spacing w:val="10"/>
          <w:sz w:val="21"/>
          <w:szCs w:val="21"/>
          <w14:textFill>
            <w14:solidFill>
              <w14:schemeClr w14:val="tx1"/>
            </w14:solidFill>
          </w14:textFill>
        </w:rPr>
        <w:t>托代理人与劳务分包人直接签订，不得由他人代签。承包人的项目经</w:t>
      </w:r>
      <w:r>
        <w:rPr>
          <w:rFonts w:hint="eastAsia" w:ascii="宋体" w:hAnsi="宋体" w:eastAsia="宋体" w:cs="宋体"/>
          <w:color w:val="000000" w:themeColor="text1"/>
          <w:spacing w:val="9"/>
          <w:sz w:val="21"/>
          <w:szCs w:val="21"/>
          <w14:textFill>
            <w14:solidFill>
              <w14:schemeClr w14:val="tx1"/>
            </w14:solidFill>
          </w14:textFill>
        </w:rPr>
        <w:t>理部、项目经理、施工班组等</w:t>
      </w:r>
      <w:r>
        <w:rPr>
          <w:rFonts w:hint="eastAsia" w:ascii="宋体" w:hAnsi="宋体" w:eastAsia="宋体" w:cs="宋体"/>
          <w:color w:val="000000" w:themeColor="text1"/>
          <w:spacing w:val="10"/>
          <w:sz w:val="21"/>
          <w:szCs w:val="21"/>
          <w14:textFill>
            <w14:solidFill>
              <w14:schemeClr w14:val="tx1"/>
            </w14:solidFill>
          </w14:textFill>
        </w:rPr>
        <w:t>不具备用工主体资格，不能与劳务分包人签订劳务分包合同。</w:t>
      </w:r>
      <w:r>
        <w:rPr>
          <w:rFonts w:hint="eastAsia" w:ascii="宋体" w:hAnsi="宋体" w:eastAsia="宋体" w:cs="宋体"/>
          <w:color w:val="000000" w:themeColor="text1"/>
          <w:spacing w:val="9"/>
          <w:sz w:val="21"/>
          <w:szCs w:val="21"/>
          <w14:textFill>
            <w14:solidFill>
              <w14:schemeClr w14:val="tx1"/>
            </w14:solidFill>
          </w14:textFill>
        </w:rPr>
        <w:t>承包人应向发包人和监理人提交劳务分包合同副本并报项目所在地劳动保障部门备案。</w:t>
      </w:r>
    </w:p>
    <w:p w14:paraId="4614E66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（3）承包人雇用的劳务作业应加入到承包</w:t>
      </w:r>
      <w:r>
        <w:rPr>
          <w:rFonts w:hint="eastAsia" w:ascii="宋体" w:hAnsi="宋体" w:eastAsia="宋体" w:cs="宋体"/>
          <w:color w:val="000000" w:themeColor="text1"/>
          <w:spacing w:val="8"/>
          <w:sz w:val="21"/>
          <w:szCs w:val="21"/>
          <w14:textFill>
            <w14:solidFill>
              <w14:schemeClr w14:val="tx1"/>
            </w14:solidFill>
          </w14:textFill>
        </w:rPr>
        <w:t>人的施工班组统一管理。有关施工质量、施工安全、</w:t>
      </w:r>
      <w:r>
        <w:rPr>
          <w:rFonts w:hint="eastAsia" w:ascii="宋体" w:hAnsi="宋体" w:eastAsia="宋体" w:cs="宋体"/>
          <w:color w:val="000000" w:themeColor="text1"/>
          <w:spacing w:val="10"/>
          <w:sz w:val="21"/>
          <w:szCs w:val="21"/>
          <w14:textFill>
            <w14:solidFill>
              <w14:schemeClr w14:val="tx1"/>
            </w14:solidFill>
          </w14:textFill>
        </w:rPr>
        <w:t>施工进度、环境保护、技术方案、试验检测、材料保管与供应、</w:t>
      </w:r>
      <w:r>
        <w:rPr>
          <w:rFonts w:hint="eastAsia" w:ascii="宋体" w:hAnsi="宋体" w:eastAsia="宋体" w:cs="宋体"/>
          <w:color w:val="000000" w:themeColor="text1"/>
          <w:spacing w:val="9"/>
          <w:sz w:val="21"/>
          <w:szCs w:val="21"/>
          <w14:textFill>
            <w14:solidFill>
              <w14:schemeClr w14:val="tx1"/>
            </w14:solidFill>
          </w14:textFill>
        </w:rPr>
        <w:t>机械设备等都必须由承包人管理与</w:t>
      </w:r>
      <w:r>
        <w:rPr>
          <w:rFonts w:hint="eastAsia" w:ascii="宋体" w:hAnsi="宋体" w:eastAsia="宋体" w:cs="宋体"/>
          <w:color w:val="000000" w:themeColor="text1"/>
          <w:spacing w:val="8"/>
          <w:sz w:val="21"/>
          <w:szCs w:val="21"/>
          <w14:textFill>
            <w14:solidFill>
              <w14:schemeClr w14:val="tx1"/>
            </w14:solidFill>
          </w14:textFill>
        </w:rPr>
        <w:t>调配，不得以包代管。</w:t>
      </w:r>
    </w:p>
    <w:p w14:paraId="6E0EDE9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171" w:firstLine="42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（4）承包人应当对劳务分包人员进行安全培训和管理，劳务分包人不得将其分包的劳务作业</w:t>
      </w:r>
      <w:r>
        <w:rPr>
          <w:rFonts w:hint="eastAsia" w:ascii="宋体" w:hAnsi="宋体" w:eastAsia="宋体" w:cs="宋体"/>
          <w:color w:val="000000" w:themeColor="text1"/>
          <w:spacing w:val="5"/>
          <w:sz w:val="21"/>
          <w:szCs w:val="21"/>
          <w14:textFill>
            <w14:solidFill>
              <w14:schemeClr w14:val="tx1"/>
            </w14:solidFill>
          </w14:textFill>
        </w:rPr>
        <w:t>再次分包。</w:t>
      </w:r>
    </w:p>
    <w:p w14:paraId="4EC1CAA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违反上述规定之一者属违规分包。</w:t>
      </w:r>
    </w:p>
    <w:p w14:paraId="569DA01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本款补充第 4.3.6</w:t>
      </w:r>
      <w:r>
        <w:rPr>
          <w:rFonts w:hint="eastAsia" w:ascii="宋体" w:hAnsi="宋体" w:eastAsia="宋体" w:cs="宋体"/>
          <w:color w:val="000000" w:themeColor="text1"/>
          <w:spacing w:val="19"/>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项：</w:t>
      </w:r>
    </w:p>
    <w:p w14:paraId="7F23BA7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4.3.6 发包人对承包人与分包人之间的法律与经济</w:t>
      </w:r>
      <w:r>
        <w:rPr>
          <w:rFonts w:hint="eastAsia" w:ascii="宋体" w:hAnsi="宋体" w:eastAsia="宋体" w:cs="宋体"/>
          <w:color w:val="000000" w:themeColor="text1"/>
          <w:spacing w:val="8"/>
          <w:sz w:val="21"/>
          <w:szCs w:val="21"/>
          <w14:textFill>
            <w14:solidFill>
              <w14:schemeClr w14:val="tx1"/>
            </w14:solidFill>
          </w14:textFill>
        </w:rPr>
        <w:t>纠纷不承担任何责任和义务。</w:t>
      </w:r>
    </w:p>
    <w:p w14:paraId="23065F7D">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4.4</w:t>
      </w:r>
      <w:r>
        <w:rPr>
          <w:rFonts w:hint="eastAsia" w:ascii="宋体" w:hAnsi="宋体" w:eastAsia="宋体" w:cs="宋体"/>
          <w:color w:val="000000" w:themeColor="text1"/>
          <w:spacing w:val="14"/>
          <w:sz w:val="21"/>
          <w:szCs w:val="21"/>
          <w14:textFill>
            <w14:solidFill>
              <w14:schemeClr w14:val="tx1"/>
            </w14:solidFill>
          </w14:textFill>
        </w:rPr>
        <w:t xml:space="preserve"> </w:t>
      </w:r>
      <w:r>
        <w:rPr>
          <w:rFonts w:hint="eastAsia" w:ascii="宋体" w:hAnsi="宋体" w:eastAsia="宋体" w:cs="宋体"/>
          <w:b/>
          <w:bCs/>
          <w:color w:val="000000" w:themeColor="text1"/>
          <w:spacing w:val="3"/>
          <w:sz w:val="21"/>
          <w:szCs w:val="21"/>
          <w14:textFill>
            <w14:solidFill>
              <w14:schemeClr w14:val="tx1"/>
            </w14:solidFill>
          </w14:textFill>
        </w:rPr>
        <w:t>联合体</w:t>
      </w:r>
    </w:p>
    <w:p w14:paraId="7D05A37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本款增加第 4.4.4</w:t>
      </w:r>
      <w:r>
        <w:rPr>
          <w:rFonts w:hint="eastAsia" w:ascii="宋体" w:hAnsi="宋体" w:eastAsia="宋体" w:cs="宋体"/>
          <w:color w:val="000000" w:themeColor="text1"/>
          <w:spacing w:val="19"/>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项：</w:t>
      </w:r>
    </w:p>
    <w:p w14:paraId="0F26078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4.4.4 未经发包人事先同意，联合体的组成与结构不得变动。</w:t>
      </w:r>
    </w:p>
    <w:p w14:paraId="39E21A8E">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4.6</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b/>
          <w:bCs/>
          <w:color w:val="000000" w:themeColor="text1"/>
          <w:spacing w:val="6"/>
          <w:sz w:val="21"/>
          <w:szCs w:val="21"/>
          <w14:textFill>
            <w14:solidFill>
              <w14:schemeClr w14:val="tx1"/>
            </w14:solidFill>
          </w14:textFill>
        </w:rPr>
        <w:t>承包人人员的管理</w:t>
      </w:r>
    </w:p>
    <w:p w14:paraId="32E013B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第 4.6.3</w:t>
      </w:r>
      <w:r>
        <w:rPr>
          <w:rFonts w:hint="eastAsia" w:ascii="宋体" w:hAnsi="宋体" w:eastAsia="宋体" w:cs="宋体"/>
          <w:color w:val="000000" w:themeColor="text1"/>
          <w:spacing w:val="26"/>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项细化为：</w:t>
      </w:r>
    </w:p>
    <w:p w14:paraId="2B2755E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5" w:right="68" w:firstLine="414"/>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承包人安排在施工场地的主要管理人员和技术骨干应与承包</w:t>
      </w:r>
      <w:r>
        <w:rPr>
          <w:rFonts w:hint="eastAsia" w:ascii="宋体" w:hAnsi="宋体" w:eastAsia="宋体" w:cs="宋体"/>
          <w:color w:val="000000" w:themeColor="text1"/>
          <w:spacing w:val="9"/>
          <w:sz w:val="21"/>
          <w:szCs w:val="21"/>
          <w14:textFill>
            <w14:solidFill>
              <w14:schemeClr w14:val="tx1"/>
            </w14:solidFill>
          </w14:textFill>
        </w:rPr>
        <w:t>人承诺的名单一致，并保持相对稳</w:t>
      </w:r>
      <w:r>
        <w:rPr>
          <w:rFonts w:hint="eastAsia" w:ascii="宋体" w:hAnsi="宋体" w:eastAsia="宋体" w:cs="宋体"/>
          <w:color w:val="000000" w:themeColor="text1"/>
          <w:spacing w:val="10"/>
          <w:sz w:val="21"/>
          <w:szCs w:val="21"/>
          <w14:textFill>
            <w14:solidFill>
              <w14:schemeClr w14:val="tx1"/>
            </w14:solidFill>
          </w14:textFill>
        </w:rPr>
        <w:t>定。未经监理人批准，上述人员不应无故不到位或被替换</w:t>
      </w:r>
      <w:r>
        <w:rPr>
          <w:rFonts w:hint="eastAsia" w:ascii="宋体" w:hAnsi="宋体" w:eastAsia="宋体" w:cs="宋体"/>
          <w:color w:val="000000" w:themeColor="text1"/>
          <w:spacing w:val="9"/>
          <w:sz w:val="21"/>
          <w:szCs w:val="21"/>
          <w14:textFill>
            <w14:solidFill>
              <w14:schemeClr w14:val="tx1"/>
            </w14:solidFill>
          </w14:textFill>
        </w:rPr>
        <w:t>；若确实无法到位或需替换，需经监理人审核并报发包人批准后，用同等资质和经历的人员替</w:t>
      </w:r>
      <w:r>
        <w:rPr>
          <w:rFonts w:hint="eastAsia" w:ascii="宋体" w:hAnsi="宋体" w:eastAsia="宋体" w:cs="宋体"/>
          <w:color w:val="000000" w:themeColor="text1"/>
          <w:spacing w:val="8"/>
          <w:sz w:val="21"/>
          <w:szCs w:val="21"/>
          <w14:textFill>
            <w14:solidFill>
              <w14:schemeClr w14:val="tx1"/>
            </w14:solidFill>
          </w14:textFill>
        </w:rPr>
        <w:t>换。</w:t>
      </w:r>
    </w:p>
    <w:p w14:paraId="1CD2E9D8">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本款补充第 4.6.5</w:t>
      </w:r>
      <w:r>
        <w:rPr>
          <w:rFonts w:hint="eastAsia" w:ascii="宋体" w:hAnsi="宋体" w:eastAsia="宋体" w:cs="宋体"/>
          <w:color w:val="000000" w:themeColor="text1"/>
          <w:spacing w:val="19"/>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项：</w:t>
      </w:r>
    </w:p>
    <w:p w14:paraId="7901743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56"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4.6.5 尽管承包人已按承诺派遣了上述各类人员，但若这些人员仍不能满足合同进度计划和（或）质量要求时，监理人有权要求承包人继续增派或雇用这类人员，并书面通知承包人和抄送发</w:t>
      </w:r>
      <w:r>
        <w:rPr>
          <w:rFonts w:hint="eastAsia" w:ascii="宋体" w:hAnsi="宋体" w:eastAsia="宋体" w:cs="宋体"/>
          <w:color w:val="000000" w:themeColor="text1"/>
          <w:spacing w:val="10"/>
          <w:sz w:val="21"/>
          <w:szCs w:val="21"/>
          <w14:textFill>
            <w14:solidFill>
              <w14:schemeClr w14:val="tx1"/>
            </w14:solidFill>
          </w14:textFill>
        </w:rPr>
        <w:t>包人。承包人在接到上述通知后应立即执行监理人的上述指示，</w:t>
      </w:r>
      <w:r>
        <w:rPr>
          <w:rFonts w:hint="eastAsia" w:ascii="宋体" w:hAnsi="宋体" w:eastAsia="宋体" w:cs="宋体"/>
          <w:color w:val="000000" w:themeColor="text1"/>
          <w:spacing w:val="9"/>
          <w:sz w:val="21"/>
          <w:szCs w:val="21"/>
          <w14:textFill>
            <w14:solidFill>
              <w14:schemeClr w14:val="tx1"/>
            </w14:solidFill>
          </w14:textFill>
        </w:rPr>
        <w:t>不得无故拖延，由此增加的费用和</w:t>
      </w:r>
      <w:r>
        <w:rPr>
          <w:rFonts w:hint="eastAsia" w:ascii="宋体" w:hAnsi="宋体" w:eastAsia="宋体" w:cs="宋体"/>
          <w:color w:val="000000" w:themeColor="text1"/>
          <w:spacing w:val="8"/>
          <w:sz w:val="21"/>
          <w:szCs w:val="21"/>
          <w14:textFill>
            <w14:solidFill>
              <w14:schemeClr w14:val="tx1"/>
            </w14:solidFill>
          </w14:textFill>
        </w:rPr>
        <w:t>（或）工期延误由承包人承担。</w:t>
      </w:r>
    </w:p>
    <w:p w14:paraId="60C6D31A">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4.7</w:t>
      </w:r>
      <w:r>
        <w:rPr>
          <w:rFonts w:hint="eastAsia" w:ascii="宋体" w:hAnsi="宋体" w:eastAsia="宋体" w:cs="宋体"/>
          <w:color w:val="000000" w:themeColor="text1"/>
          <w:spacing w:val="7"/>
          <w:sz w:val="21"/>
          <w:szCs w:val="21"/>
          <w14:textFill>
            <w14:solidFill>
              <w14:schemeClr w14:val="tx1"/>
            </w14:solidFill>
          </w14:textFill>
        </w:rPr>
        <w:t xml:space="preserve"> </w:t>
      </w:r>
      <w:r>
        <w:rPr>
          <w:rFonts w:hint="eastAsia" w:ascii="宋体" w:hAnsi="宋体" w:eastAsia="宋体" w:cs="宋体"/>
          <w:b/>
          <w:bCs/>
          <w:color w:val="000000" w:themeColor="text1"/>
          <w:spacing w:val="7"/>
          <w:sz w:val="21"/>
          <w:szCs w:val="21"/>
          <w14:textFill>
            <w14:solidFill>
              <w14:schemeClr w14:val="tx1"/>
            </w14:solidFill>
          </w14:textFill>
        </w:rPr>
        <w:t>撤换承包人项目经理和其他人员</w:t>
      </w:r>
    </w:p>
    <w:p w14:paraId="344C4ED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本款细化为：</w:t>
      </w:r>
    </w:p>
    <w:p w14:paraId="019D645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52" w:firstLine="419"/>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承包人应对其项目经理和其他人员进行有效管理。监理人要求撤</w:t>
      </w:r>
      <w:r>
        <w:rPr>
          <w:rFonts w:hint="eastAsia" w:ascii="宋体" w:hAnsi="宋体" w:eastAsia="宋体" w:cs="宋体"/>
          <w:color w:val="000000" w:themeColor="text1"/>
          <w:spacing w:val="9"/>
          <w:sz w:val="21"/>
          <w:szCs w:val="21"/>
          <w14:textFill>
            <w14:solidFill>
              <w14:schemeClr w14:val="tx1"/>
            </w14:solidFill>
          </w14:textFill>
        </w:rPr>
        <w:t>换不能胜任本职工作、行为不</w:t>
      </w:r>
      <w:r>
        <w:rPr>
          <w:rFonts w:hint="eastAsia" w:ascii="宋体" w:hAnsi="宋体" w:eastAsia="宋体" w:cs="宋体"/>
          <w:color w:val="000000" w:themeColor="text1"/>
          <w:spacing w:val="10"/>
          <w:sz w:val="21"/>
          <w:szCs w:val="21"/>
          <w14:textFill>
            <w14:solidFill>
              <w14:schemeClr w14:val="tx1"/>
            </w14:solidFill>
          </w14:textFill>
        </w:rPr>
        <w:t>端或玩忽职守的承包人项目经理和其他人员的，承包人应予以撤换</w:t>
      </w:r>
      <w:r>
        <w:rPr>
          <w:rFonts w:hint="eastAsia" w:ascii="宋体" w:hAnsi="宋体" w:eastAsia="宋体" w:cs="宋体"/>
          <w:color w:val="000000" w:themeColor="text1"/>
          <w:spacing w:val="9"/>
          <w:sz w:val="21"/>
          <w:szCs w:val="21"/>
          <w14:textFill>
            <w14:solidFill>
              <w14:schemeClr w14:val="tx1"/>
            </w14:solidFill>
          </w14:textFill>
        </w:rPr>
        <w:t>，同时委派经发包人与监理人同</w:t>
      </w:r>
      <w:r>
        <w:rPr>
          <w:rFonts w:hint="eastAsia" w:ascii="宋体" w:hAnsi="宋体" w:eastAsia="宋体" w:cs="宋体"/>
          <w:color w:val="000000" w:themeColor="text1"/>
          <w:spacing w:val="8"/>
          <w:sz w:val="21"/>
          <w:szCs w:val="21"/>
          <w14:textFill>
            <w14:solidFill>
              <w14:schemeClr w14:val="tx1"/>
            </w14:solidFill>
          </w14:textFill>
        </w:rPr>
        <w:t>意的新的项目经理和其他人员。</w:t>
      </w:r>
    </w:p>
    <w:p w14:paraId="539B4911">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4.9</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b/>
          <w:bCs/>
          <w:color w:val="000000" w:themeColor="text1"/>
          <w:spacing w:val="6"/>
          <w:sz w:val="21"/>
          <w:szCs w:val="21"/>
          <w14:textFill>
            <w14:solidFill>
              <w14:schemeClr w14:val="tx1"/>
            </w14:solidFill>
          </w14:textFill>
        </w:rPr>
        <w:t>工程价款应专款专用</w:t>
      </w:r>
    </w:p>
    <w:p w14:paraId="5382D5A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本款细化为：</w:t>
      </w:r>
    </w:p>
    <w:p w14:paraId="43A98E7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4"/>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发包人按合同约定支付给承包人的各项价款应专用于合同</w:t>
      </w:r>
      <w:r>
        <w:rPr>
          <w:rFonts w:hint="eastAsia" w:ascii="宋体" w:hAnsi="宋体" w:eastAsia="宋体" w:cs="宋体"/>
          <w:color w:val="000000" w:themeColor="text1"/>
          <w:spacing w:val="9"/>
          <w:sz w:val="21"/>
          <w:szCs w:val="21"/>
          <w14:textFill>
            <w14:solidFill>
              <w14:schemeClr w14:val="tx1"/>
            </w14:solidFill>
          </w14:textFill>
        </w:rPr>
        <w:t>工程。承包人必须在发包人指定的银</w:t>
      </w:r>
      <w:r>
        <w:rPr>
          <w:rFonts w:hint="eastAsia" w:ascii="宋体" w:hAnsi="宋体" w:eastAsia="宋体" w:cs="宋体"/>
          <w:color w:val="000000" w:themeColor="text1"/>
          <w:spacing w:val="10"/>
          <w:sz w:val="21"/>
          <w:szCs w:val="21"/>
          <w14:textFill>
            <w14:solidFill>
              <w14:schemeClr w14:val="tx1"/>
            </w14:solidFill>
          </w14:textFill>
        </w:rPr>
        <w:t>行开户，并与发包人、银行共同签订《工程资金监管协议》，接受发包</w:t>
      </w:r>
      <w:r>
        <w:rPr>
          <w:rFonts w:hint="eastAsia" w:ascii="宋体" w:hAnsi="宋体" w:eastAsia="宋体" w:cs="宋体"/>
          <w:color w:val="000000" w:themeColor="text1"/>
          <w:spacing w:val="9"/>
          <w:sz w:val="21"/>
          <w:szCs w:val="21"/>
          <w14:textFill>
            <w14:solidFill>
              <w14:schemeClr w14:val="tx1"/>
            </w14:solidFill>
          </w14:textFill>
        </w:rPr>
        <w:t>人和银行对资金的监管。承</w:t>
      </w:r>
      <w:r>
        <w:rPr>
          <w:rFonts w:hint="eastAsia" w:ascii="宋体" w:hAnsi="宋体" w:eastAsia="宋体" w:cs="宋体"/>
          <w:color w:val="000000" w:themeColor="text1"/>
          <w:spacing w:val="10"/>
          <w:sz w:val="21"/>
          <w:szCs w:val="21"/>
          <w14:textFill>
            <w14:solidFill>
              <w14:schemeClr w14:val="tx1"/>
            </w14:solidFill>
          </w14:textFill>
        </w:rPr>
        <w:t>包人应向发包人授权进行本合同工程开户银行工程资金的查询。发包人</w:t>
      </w:r>
      <w:r>
        <w:rPr>
          <w:rFonts w:hint="eastAsia" w:ascii="宋体" w:hAnsi="宋体" w:eastAsia="宋体" w:cs="宋体"/>
          <w:color w:val="000000" w:themeColor="text1"/>
          <w:spacing w:val="9"/>
          <w:sz w:val="21"/>
          <w:szCs w:val="21"/>
          <w14:textFill>
            <w14:solidFill>
              <w14:schemeClr w14:val="tx1"/>
            </w14:solidFill>
          </w14:textFill>
        </w:rPr>
        <w:t>支付的工程进度款应为本工</w:t>
      </w:r>
      <w:r>
        <w:rPr>
          <w:rFonts w:hint="eastAsia" w:ascii="宋体" w:hAnsi="宋体" w:eastAsia="宋体" w:cs="宋体"/>
          <w:color w:val="000000" w:themeColor="text1"/>
          <w:spacing w:val="6"/>
          <w:sz w:val="21"/>
          <w:szCs w:val="21"/>
          <w14:textFill>
            <w14:solidFill>
              <w14:schemeClr w14:val="tx1"/>
            </w14:solidFill>
          </w14:textFill>
        </w:rPr>
        <w:t>程的专款专用资金，不得转移或用于其他工程。发包人的期中支付款将转入该银行所设的专门账户，</w:t>
      </w:r>
      <w:r>
        <w:rPr>
          <w:rFonts w:hint="eastAsia" w:ascii="宋体" w:hAnsi="宋体" w:eastAsia="宋体" w:cs="宋体"/>
          <w:color w:val="000000" w:themeColor="text1"/>
          <w:spacing w:val="10"/>
          <w:sz w:val="21"/>
          <w:szCs w:val="21"/>
          <w14:textFill>
            <w14:solidFill>
              <w14:schemeClr w14:val="tx1"/>
            </w14:solidFill>
          </w14:textFill>
        </w:rPr>
        <w:t>发包人及其派出机构有权不定期对承包人工程资金使用情况进行</w:t>
      </w:r>
      <w:r>
        <w:rPr>
          <w:rFonts w:hint="eastAsia" w:ascii="宋体" w:hAnsi="宋体" w:eastAsia="宋体" w:cs="宋体"/>
          <w:color w:val="000000" w:themeColor="text1"/>
          <w:spacing w:val="9"/>
          <w:sz w:val="21"/>
          <w:szCs w:val="21"/>
          <w14:textFill>
            <w14:solidFill>
              <w14:schemeClr w14:val="tx1"/>
            </w14:solidFill>
          </w14:textFill>
        </w:rPr>
        <w:t>检查，发现问题及时责令承包人限期改正，否则，将终止月支付，直至承包人改正为止。</w:t>
      </w:r>
    </w:p>
    <w:p w14:paraId="45A11F49">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4.10</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承包人现场查勘</w:t>
      </w:r>
    </w:p>
    <w:p w14:paraId="125754D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第 4.10.1</w:t>
      </w:r>
      <w:r>
        <w:rPr>
          <w:rFonts w:hint="eastAsia" w:ascii="宋体" w:hAnsi="宋体" w:eastAsia="宋体" w:cs="宋体"/>
          <w:color w:val="000000" w:themeColor="text1"/>
          <w:spacing w:val="25"/>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项细化为：</w:t>
      </w:r>
    </w:p>
    <w:p w14:paraId="2E12F13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52" w:firstLine="421"/>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发包人提供的本合同工程的水文、地质、气象和料场分布</w:t>
      </w:r>
      <w:r>
        <w:rPr>
          <w:rFonts w:hint="eastAsia" w:ascii="宋体" w:hAnsi="宋体" w:eastAsia="宋体" w:cs="宋体"/>
          <w:color w:val="000000" w:themeColor="text1"/>
          <w:spacing w:val="9"/>
          <w:sz w:val="21"/>
          <w:szCs w:val="21"/>
          <w14:textFill>
            <w14:solidFill>
              <w14:schemeClr w14:val="tx1"/>
            </w14:solidFill>
          </w14:textFill>
        </w:rPr>
        <w:t>、取土场、弃土场位置等资料均属于</w:t>
      </w:r>
      <w:r>
        <w:rPr>
          <w:rFonts w:hint="eastAsia" w:ascii="宋体" w:hAnsi="宋体" w:eastAsia="宋体" w:cs="宋体"/>
          <w:color w:val="000000" w:themeColor="text1"/>
          <w:spacing w:val="10"/>
          <w:sz w:val="21"/>
          <w:szCs w:val="21"/>
          <w14:textFill>
            <w14:solidFill>
              <w14:schemeClr w14:val="tx1"/>
            </w14:solidFill>
          </w14:textFill>
        </w:rPr>
        <w:t>参考资料，并不构成合同文件的组成部分，承包人应对自己就上</w:t>
      </w:r>
      <w:r>
        <w:rPr>
          <w:rFonts w:hint="eastAsia" w:ascii="宋体" w:hAnsi="宋体" w:eastAsia="宋体" w:cs="宋体"/>
          <w:color w:val="000000" w:themeColor="text1"/>
          <w:spacing w:val="9"/>
          <w:sz w:val="21"/>
          <w:szCs w:val="21"/>
          <w14:textFill>
            <w14:solidFill>
              <w14:schemeClr w14:val="tx1"/>
            </w14:solidFill>
          </w14:textFill>
        </w:rPr>
        <w:t>述资料的解释、推论和应用负责，发包人不对承包人据此做出的判断和决策承担任何责任。</w:t>
      </w:r>
    </w:p>
    <w:p w14:paraId="234C7B54">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4.11</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不利物质条件</w:t>
      </w:r>
    </w:p>
    <w:p w14:paraId="3C637B9A">
      <w:pPr>
        <w:keepNext w:val="0"/>
        <w:keepLines w:val="0"/>
        <w:pageBreakBefore w:val="0"/>
        <w:widowControl/>
        <w:kinsoku w:val="0"/>
        <w:wordWrap/>
        <w:overflowPunct/>
        <w:topLinePunct w:val="0"/>
        <w:autoSpaceDE w:val="0"/>
        <w:autoSpaceDN w:val="0"/>
        <w:bidi w:val="0"/>
        <w:adjustRightInd w:val="0"/>
        <w:snapToGrid w:val="0"/>
        <w:spacing w:line="400" w:lineRule="exact"/>
        <w:ind w:firstLine="436" w:firstLineChars="200"/>
        <w:textAlignment w:val="baseline"/>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第 4.11.2</w:t>
      </w:r>
      <w:r>
        <w:rPr>
          <w:rFonts w:hint="eastAsia" w:ascii="宋体" w:hAnsi="宋体" w:eastAsia="宋体" w:cs="宋体"/>
          <w:color w:val="000000" w:themeColor="text1"/>
          <w:spacing w:val="25"/>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项细化为：</w:t>
      </w:r>
    </w:p>
    <w:p w14:paraId="052939FA">
      <w:pPr>
        <w:keepNext w:val="0"/>
        <w:keepLines w:val="0"/>
        <w:pageBreakBefore w:val="0"/>
        <w:widowControl/>
        <w:kinsoku w:val="0"/>
        <w:wordWrap/>
        <w:overflowPunct/>
        <w:topLinePunct w:val="0"/>
        <w:autoSpaceDE w:val="0"/>
        <w:autoSpaceDN w:val="0"/>
        <w:bidi w:val="0"/>
        <w:adjustRightInd w:val="0"/>
        <w:snapToGrid w:val="0"/>
        <w:spacing w:line="400" w:lineRule="exact"/>
        <w:ind w:firstLine="456"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4.11.2 承包人遇到不可预见的不利物质条件时，应采取适应不利物质条件的合理措施继</w:t>
      </w:r>
      <w:r>
        <w:rPr>
          <w:rFonts w:hint="eastAsia" w:ascii="宋体" w:hAnsi="宋体" w:eastAsia="宋体" w:cs="宋体"/>
          <w:color w:val="000000" w:themeColor="text1"/>
          <w:spacing w:val="8"/>
          <w:sz w:val="21"/>
          <w:szCs w:val="21"/>
          <w14:textFill>
            <w14:solidFill>
              <w14:schemeClr w14:val="tx1"/>
            </w14:solidFill>
          </w14:textFill>
        </w:rPr>
        <w:t>续施</w:t>
      </w:r>
      <w:r>
        <w:rPr>
          <w:rFonts w:hint="eastAsia" w:ascii="宋体" w:hAnsi="宋体" w:eastAsia="宋体" w:cs="宋体"/>
          <w:color w:val="000000" w:themeColor="text1"/>
          <w:spacing w:val="9"/>
          <w:sz w:val="21"/>
          <w:szCs w:val="21"/>
          <w14:textFill>
            <w14:solidFill>
              <w14:schemeClr w14:val="tx1"/>
            </w14:solidFill>
          </w14:textFill>
        </w:rPr>
        <w:t>工，并及时通知监理人。监理人应当及时发出指示，指示构成变更</w:t>
      </w:r>
      <w:r>
        <w:rPr>
          <w:rFonts w:hint="eastAsia" w:ascii="宋体" w:hAnsi="宋体" w:eastAsia="宋体" w:cs="宋体"/>
          <w:color w:val="000000" w:themeColor="text1"/>
          <w:spacing w:val="8"/>
          <w:sz w:val="21"/>
          <w:szCs w:val="21"/>
          <w14:textFill>
            <w14:solidFill>
              <w14:schemeClr w14:val="tx1"/>
            </w14:solidFill>
          </w14:textFill>
        </w:rPr>
        <w:t>的，按第</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15 条约定办理。监理人没有发出指示的，承包人因采取合理措施而增加的费用和（或）工期延误，</w:t>
      </w:r>
      <w:r>
        <w:rPr>
          <w:rFonts w:hint="eastAsia" w:ascii="宋体" w:hAnsi="宋体" w:eastAsia="宋体" w:cs="宋体"/>
          <w:color w:val="000000" w:themeColor="text1"/>
          <w:spacing w:val="-42"/>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由发包人承担。</w:t>
      </w:r>
    </w:p>
    <w:p w14:paraId="41EDBE4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本款补充第 4.11.3</w:t>
      </w:r>
      <w:r>
        <w:rPr>
          <w:rFonts w:hint="eastAsia" w:ascii="宋体" w:hAnsi="宋体" w:eastAsia="宋体" w:cs="宋体"/>
          <w:color w:val="000000" w:themeColor="text1"/>
          <w:spacing w:val="17"/>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项：</w:t>
      </w:r>
    </w:p>
    <w:p w14:paraId="6BF02C4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4.11.3 可预见的不利物质条件</w:t>
      </w:r>
    </w:p>
    <w:p w14:paraId="0F44EBE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2" w:firstLine="42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（1）对于项目专用合同条款中已经明确指出的不利物质条件无论承包人是否有其经历和经验</w:t>
      </w:r>
      <w:r>
        <w:rPr>
          <w:rFonts w:hint="eastAsia" w:ascii="宋体" w:hAnsi="宋体" w:eastAsia="宋体" w:cs="宋体"/>
          <w:color w:val="000000" w:themeColor="text1"/>
          <w:spacing w:val="10"/>
          <w:sz w:val="21"/>
          <w:szCs w:val="21"/>
          <w14:textFill>
            <w14:solidFill>
              <w14:schemeClr w14:val="tx1"/>
            </w14:solidFill>
          </w14:textFill>
        </w:rPr>
        <w:t>均视为承包人在接受合同时已预见其影响，并已在签约合同价</w:t>
      </w:r>
      <w:r>
        <w:rPr>
          <w:rFonts w:hint="eastAsia" w:ascii="宋体" w:hAnsi="宋体" w:eastAsia="宋体" w:cs="宋体"/>
          <w:color w:val="000000" w:themeColor="text1"/>
          <w:spacing w:val="9"/>
          <w:sz w:val="21"/>
          <w:szCs w:val="21"/>
          <w14:textFill>
            <w14:solidFill>
              <w14:schemeClr w14:val="tx1"/>
            </w14:solidFill>
          </w14:textFill>
        </w:rPr>
        <w:t>中计入因其影响而可能发生的一切费</w:t>
      </w:r>
      <w:r>
        <w:rPr>
          <w:rFonts w:hint="eastAsia" w:ascii="宋体" w:hAnsi="宋体" w:eastAsia="宋体" w:cs="宋体"/>
          <w:color w:val="000000" w:themeColor="text1"/>
          <w:sz w:val="21"/>
          <w:szCs w:val="21"/>
          <w14:textFill>
            <w14:solidFill>
              <w14:schemeClr w14:val="tx1"/>
            </w14:solidFill>
          </w14:textFill>
        </w:rPr>
        <w:t>用。</w:t>
      </w:r>
    </w:p>
    <w:p w14:paraId="1DA2A8C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03"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（2）对于项目专用合同条款未明确指出，但是在不利物质条件发生之前，监理人已经指示承</w:t>
      </w:r>
      <w:r>
        <w:rPr>
          <w:rFonts w:hint="eastAsia" w:ascii="宋体" w:hAnsi="宋体" w:eastAsia="宋体" w:cs="宋体"/>
          <w:color w:val="000000" w:themeColor="text1"/>
          <w:spacing w:val="10"/>
          <w:sz w:val="21"/>
          <w:szCs w:val="21"/>
          <w14:textFill>
            <w14:solidFill>
              <w14:schemeClr w14:val="tx1"/>
            </w14:solidFill>
          </w14:textFill>
        </w:rPr>
        <w:t>包人有可能发生，但承包人未能及时采取有</w:t>
      </w:r>
      <w:r>
        <w:rPr>
          <w:rFonts w:hint="eastAsia" w:ascii="宋体" w:hAnsi="宋体" w:eastAsia="宋体" w:cs="宋体"/>
          <w:color w:val="000000" w:themeColor="text1"/>
          <w:spacing w:val="9"/>
          <w:sz w:val="21"/>
          <w:szCs w:val="21"/>
          <w14:textFill>
            <w14:solidFill>
              <w14:schemeClr w14:val="tx1"/>
            </w14:solidFill>
          </w14:textFill>
        </w:rPr>
        <w:t>效措施，而导致的损失和后果均由承包人承担。</w:t>
      </w:r>
    </w:p>
    <w:p w14:paraId="0D9AD04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补充第 4.12</w:t>
      </w:r>
      <w:r>
        <w:rPr>
          <w:rFonts w:hint="eastAsia" w:ascii="宋体" w:hAnsi="宋体" w:eastAsia="宋体" w:cs="宋体"/>
          <w:color w:val="000000" w:themeColor="text1"/>
          <w:spacing w:val="19"/>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款：</w:t>
      </w:r>
    </w:p>
    <w:p w14:paraId="2DFB613F">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4.12</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b/>
          <w:bCs/>
          <w:color w:val="000000" w:themeColor="text1"/>
          <w:spacing w:val="6"/>
          <w:sz w:val="21"/>
          <w:szCs w:val="21"/>
          <w14:textFill>
            <w14:solidFill>
              <w14:schemeClr w14:val="tx1"/>
            </w14:solidFill>
          </w14:textFill>
        </w:rPr>
        <w:t>竞标文件的完备性</w:t>
      </w:r>
    </w:p>
    <w:p w14:paraId="6CC7E49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2" w:firstLine="419"/>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合同双方一致认为，承包人在递交竞标文件前，对本合同</w:t>
      </w:r>
      <w:r>
        <w:rPr>
          <w:rFonts w:hint="eastAsia" w:ascii="宋体" w:hAnsi="宋体" w:eastAsia="宋体" w:cs="宋体"/>
          <w:color w:val="000000" w:themeColor="text1"/>
          <w:spacing w:val="9"/>
          <w:sz w:val="21"/>
          <w:szCs w:val="21"/>
          <w14:textFill>
            <w14:solidFill>
              <w14:schemeClr w14:val="tx1"/>
            </w14:solidFill>
          </w14:textFill>
        </w:rPr>
        <w:t>工程的竞标文件和已标价工程量清单</w:t>
      </w:r>
      <w:r>
        <w:rPr>
          <w:rFonts w:hint="eastAsia" w:ascii="宋体" w:hAnsi="宋体" w:eastAsia="宋体" w:cs="宋体"/>
          <w:color w:val="000000" w:themeColor="text1"/>
          <w:spacing w:val="10"/>
          <w:sz w:val="21"/>
          <w:szCs w:val="21"/>
          <w14:textFill>
            <w14:solidFill>
              <w14:schemeClr w14:val="tx1"/>
            </w14:solidFill>
          </w14:textFill>
        </w:rPr>
        <w:t>中开列的单价和总额价已查明正确的和完备的。竞标的单价</w:t>
      </w:r>
      <w:r>
        <w:rPr>
          <w:rFonts w:hint="eastAsia" w:ascii="宋体" w:hAnsi="宋体" w:eastAsia="宋体" w:cs="宋体"/>
          <w:color w:val="000000" w:themeColor="text1"/>
          <w:spacing w:val="9"/>
          <w:sz w:val="21"/>
          <w:szCs w:val="21"/>
          <w14:textFill>
            <w14:solidFill>
              <w14:schemeClr w14:val="tx1"/>
            </w14:solidFill>
          </w14:textFill>
        </w:rPr>
        <w:t>和总额价应已包括了合同中规定的承包</w:t>
      </w:r>
      <w:r>
        <w:rPr>
          <w:rFonts w:hint="eastAsia" w:ascii="宋体" w:hAnsi="宋体" w:eastAsia="宋体" w:cs="宋体"/>
          <w:color w:val="000000" w:themeColor="text1"/>
          <w:spacing w:val="10"/>
          <w:sz w:val="21"/>
          <w:szCs w:val="21"/>
          <w14:textFill>
            <w14:solidFill>
              <w14:schemeClr w14:val="tx1"/>
            </w14:solidFill>
          </w14:textFill>
        </w:rPr>
        <w:t>人的全部义务（包括提供货物、材料、设备、服务的义务，</w:t>
      </w:r>
      <w:r>
        <w:rPr>
          <w:rFonts w:hint="eastAsia" w:ascii="宋体" w:hAnsi="宋体" w:eastAsia="宋体" w:cs="宋体"/>
          <w:color w:val="000000" w:themeColor="text1"/>
          <w:spacing w:val="9"/>
          <w:sz w:val="21"/>
          <w:szCs w:val="21"/>
          <w14:textFill>
            <w14:solidFill>
              <w14:schemeClr w14:val="tx1"/>
            </w14:solidFill>
          </w14:textFill>
        </w:rPr>
        <w:t>并包括了暂列金额和暂估价范围内的额</w:t>
      </w:r>
      <w:r>
        <w:rPr>
          <w:rFonts w:hint="eastAsia" w:ascii="宋体" w:hAnsi="宋体" w:eastAsia="宋体" w:cs="宋体"/>
          <w:color w:val="000000" w:themeColor="text1"/>
          <w:spacing w:val="8"/>
          <w:sz w:val="21"/>
          <w:szCs w:val="21"/>
          <w14:textFill>
            <w14:solidFill>
              <w14:schemeClr w14:val="tx1"/>
            </w14:solidFill>
          </w14:textFill>
        </w:rPr>
        <w:t>外工作的义务）</w:t>
      </w:r>
      <w:r>
        <w:rPr>
          <w:rFonts w:hint="eastAsia" w:ascii="宋体" w:hAnsi="宋体" w:eastAsia="宋体" w:cs="宋体"/>
          <w:color w:val="000000" w:themeColor="text1"/>
          <w:spacing w:val="-47"/>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以及为实施和完成本合同工程和其缺陷修复所必需的一切工作和条件。</w:t>
      </w:r>
    </w:p>
    <w:p w14:paraId="285E707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5"/>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5．材料和工程设备</w:t>
      </w:r>
    </w:p>
    <w:p w14:paraId="70E6CBB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5"/>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5.2</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b/>
          <w:bCs/>
          <w:color w:val="000000" w:themeColor="text1"/>
          <w:spacing w:val="6"/>
          <w:sz w:val="21"/>
          <w:szCs w:val="21"/>
          <w14:textFill>
            <w14:solidFill>
              <w14:schemeClr w14:val="tx1"/>
            </w14:solidFill>
          </w14:textFill>
        </w:rPr>
        <w:t>发包人提供的材料和工程设备</w:t>
      </w:r>
    </w:p>
    <w:p w14:paraId="765322B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第</w:t>
      </w:r>
      <w:r>
        <w:rPr>
          <w:rFonts w:hint="eastAsia" w:ascii="宋体" w:hAnsi="宋体" w:eastAsia="宋体" w:cs="宋体"/>
          <w:color w:val="000000" w:themeColor="text1"/>
          <w:spacing w:val="17"/>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5.2.3</w:t>
      </w:r>
      <w:r>
        <w:rPr>
          <w:rFonts w:hint="eastAsia" w:ascii="宋体" w:hAnsi="宋体" w:eastAsia="宋体" w:cs="宋体"/>
          <w:color w:val="000000" w:themeColor="text1"/>
          <w:spacing w:val="18"/>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项补充：</w:t>
      </w:r>
    </w:p>
    <w:p w14:paraId="5A87320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firstLine="418"/>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承包人负责接收并按规定对材料进行抽样检验和对工程设备</w:t>
      </w:r>
      <w:r>
        <w:rPr>
          <w:rFonts w:hint="eastAsia" w:ascii="宋体" w:hAnsi="宋体" w:eastAsia="宋体" w:cs="宋体"/>
          <w:color w:val="000000" w:themeColor="text1"/>
          <w:spacing w:val="9"/>
          <w:sz w:val="21"/>
          <w:szCs w:val="21"/>
          <w14:textFill>
            <w14:solidFill>
              <w14:schemeClr w14:val="tx1"/>
            </w14:solidFill>
          </w14:textFill>
        </w:rPr>
        <w:t>进行检验测试，若发现材料和工程</w:t>
      </w:r>
      <w:r>
        <w:rPr>
          <w:rFonts w:hint="eastAsia" w:ascii="宋体" w:hAnsi="宋体" w:eastAsia="宋体" w:cs="宋体"/>
          <w:color w:val="000000" w:themeColor="text1"/>
          <w:spacing w:val="10"/>
          <w:sz w:val="21"/>
          <w:szCs w:val="21"/>
          <w14:textFill>
            <w14:solidFill>
              <w14:schemeClr w14:val="tx1"/>
            </w14:solidFill>
          </w14:textFill>
        </w:rPr>
        <w:t>设备存在缺陷，承包人应及时通知监理人，发包人应及时改正通</w:t>
      </w:r>
      <w:r>
        <w:rPr>
          <w:rFonts w:hint="eastAsia" w:ascii="宋体" w:hAnsi="宋体" w:eastAsia="宋体" w:cs="宋体"/>
          <w:color w:val="000000" w:themeColor="text1"/>
          <w:spacing w:val="9"/>
          <w:sz w:val="21"/>
          <w:szCs w:val="21"/>
          <w14:textFill>
            <w14:solidFill>
              <w14:schemeClr w14:val="tx1"/>
            </w14:solidFill>
          </w14:textFill>
        </w:rPr>
        <w:t>知中指出的缺陷。承包人负责接收</w:t>
      </w:r>
      <w:r>
        <w:rPr>
          <w:rFonts w:hint="eastAsia" w:ascii="宋体" w:hAnsi="宋体" w:eastAsia="宋体" w:cs="宋体"/>
          <w:color w:val="000000" w:themeColor="text1"/>
          <w:spacing w:val="8"/>
          <w:sz w:val="21"/>
          <w:szCs w:val="21"/>
          <w14:textFill>
            <w14:solidFill>
              <w14:schemeClr w14:val="tx1"/>
            </w14:solidFill>
          </w14:textFill>
        </w:rPr>
        <w:t>后的运输和保管，因承包人的原因发生丢失、损坏或进度拖延，</w:t>
      </w:r>
      <w:r>
        <w:rPr>
          <w:rFonts w:hint="eastAsia" w:ascii="宋体" w:hAnsi="宋体" w:eastAsia="宋体" w:cs="宋体"/>
          <w:color w:val="000000" w:themeColor="text1"/>
          <w:spacing w:val="-46"/>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由承包人承担相应责任。</w:t>
      </w:r>
    </w:p>
    <w:p w14:paraId="5ED964D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6．施工设备和临时设施</w:t>
      </w:r>
    </w:p>
    <w:p w14:paraId="6CBB2BF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6.2</w:t>
      </w:r>
      <w:r>
        <w:rPr>
          <w:rFonts w:hint="eastAsia" w:ascii="宋体" w:hAnsi="宋体" w:eastAsia="宋体" w:cs="宋体"/>
          <w:color w:val="000000" w:themeColor="text1"/>
          <w:spacing w:val="7"/>
          <w:sz w:val="21"/>
          <w:szCs w:val="21"/>
          <w14:textFill>
            <w14:solidFill>
              <w14:schemeClr w14:val="tx1"/>
            </w14:solidFill>
          </w14:textFill>
        </w:rPr>
        <w:t xml:space="preserve"> </w:t>
      </w:r>
      <w:r>
        <w:rPr>
          <w:rFonts w:hint="eastAsia" w:ascii="宋体" w:hAnsi="宋体" w:eastAsia="宋体" w:cs="宋体"/>
          <w:b/>
          <w:bCs/>
          <w:color w:val="000000" w:themeColor="text1"/>
          <w:spacing w:val="7"/>
          <w:sz w:val="21"/>
          <w:szCs w:val="21"/>
          <w14:textFill>
            <w14:solidFill>
              <w14:schemeClr w14:val="tx1"/>
            </w14:solidFill>
          </w14:textFill>
        </w:rPr>
        <w:t>承包人提供的施工设备和临时设施</w:t>
      </w:r>
    </w:p>
    <w:p w14:paraId="4A0DA3D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第 6.1.2</w:t>
      </w:r>
      <w:r>
        <w:rPr>
          <w:rFonts w:hint="eastAsia" w:ascii="宋体" w:hAnsi="宋体" w:eastAsia="宋体" w:cs="宋体"/>
          <w:color w:val="000000" w:themeColor="text1"/>
          <w:spacing w:val="26"/>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项约定为：</w:t>
      </w:r>
    </w:p>
    <w:p w14:paraId="5FEBC5F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承包人应自行承担修建临时设施的费用，需要临时占地</w:t>
      </w:r>
      <w:r>
        <w:rPr>
          <w:rFonts w:hint="eastAsia" w:ascii="宋体" w:hAnsi="宋体" w:eastAsia="宋体" w:cs="宋体"/>
          <w:color w:val="000000" w:themeColor="text1"/>
          <w:spacing w:val="8"/>
          <w:sz w:val="21"/>
          <w:szCs w:val="21"/>
          <w14:textFill>
            <w14:solidFill>
              <w14:schemeClr w14:val="tx1"/>
            </w14:solidFill>
          </w14:textFill>
        </w:rPr>
        <w:t>的，应由承包人按第 4.1.10 项（1）</w:t>
      </w:r>
    </w:p>
    <w:p w14:paraId="6A33A8C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目的规定办理。</w:t>
      </w:r>
    </w:p>
    <w:p w14:paraId="6FA99D6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6.3</w:t>
      </w:r>
      <w:r>
        <w:rPr>
          <w:rFonts w:hint="eastAsia" w:ascii="宋体" w:hAnsi="宋体" w:eastAsia="宋体" w:cs="宋体"/>
          <w:color w:val="000000" w:themeColor="text1"/>
          <w:spacing w:val="7"/>
          <w:sz w:val="21"/>
          <w:szCs w:val="21"/>
          <w14:textFill>
            <w14:solidFill>
              <w14:schemeClr w14:val="tx1"/>
            </w14:solidFill>
          </w14:textFill>
        </w:rPr>
        <w:t xml:space="preserve"> </w:t>
      </w:r>
      <w:r>
        <w:rPr>
          <w:rFonts w:hint="eastAsia" w:ascii="宋体" w:hAnsi="宋体" w:eastAsia="宋体" w:cs="宋体"/>
          <w:b/>
          <w:bCs/>
          <w:color w:val="000000" w:themeColor="text1"/>
          <w:spacing w:val="7"/>
          <w:sz w:val="21"/>
          <w:szCs w:val="21"/>
          <w14:textFill>
            <w14:solidFill>
              <w14:schemeClr w14:val="tx1"/>
            </w14:solidFill>
          </w14:textFill>
        </w:rPr>
        <w:t>要求承包人增加或更换施工设备</w:t>
      </w:r>
    </w:p>
    <w:p w14:paraId="04E8DC5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本款细化为：</w:t>
      </w:r>
    </w:p>
    <w:p w14:paraId="1A504BB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19"/>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承包人承诺的施工设备必须按时达到现场，不得拖延、缺短或任</w:t>
      </w:r>
      <w:r>
        <w:rPr>
          <w:rFonts w:hint="eastAsia" w:ascii="宋体" w:hAnsi="宋体" w:eastAsia="宋体" w:cs="宋体"/>
          <w:color w:val="000000" w:themeColor="text1"/>
          <w:spacing w:val="9"/>
          <w:sz w:val="21"/>
          <w:szCs w:val="21"/>
          <w14:textFill>
            <w14:solidFill>
              <w14:schemeClr w14:val="tx1"/>
            </w14:solidFill>
          </w14:textFill>
        </w:rPr>
        <w:t>意更换。尽管承包人已按承诺</w:t>
      </w:r>
      <w:r>
        <w:rPr>
          <w:rFonts w:hint="eastAsia" w:ascii="宋体" w:hAnsi="宋体" w:eastAsia="宋体" w:cs="宋体"/>
          <w:color w:val="000000" w:themeColor="text1"/>
          <w:spacing w:val="10"/>
          <w:sz w:val="21"/>
          <w:szCs w:val="21"/>
          <w14:textFill>
            <w14:solidFill>
              <w14:schemeClr w14:val="tx1"/>
            </w14:solidFill>
          </w14:textFill>
        </w:rPr>
        <w:t>提供了上述设备，但若承包人使用的施工设备不能满足合同进度计</w:t>
      </w:r>
      <w:r>
        <w:rPr>
          <w:rFonts w:hint="eastAsia" w:ascii="宋体" w:hAnsi="宋体" w:eastAsia="宋体" w:cs="宋体"/>
          <w:color w:val="000000" w:themeColor="text1"/>
          <w:spacing w:val="9"/>
          <w:sz w:val="21"/>
          <w:szCs w:val="21"/>
          <w14:textFill>
            <w14:solidFill>
              <w14:schemeClr w14:val="tx1"/>
            </w14:solidFill>
          </w14:textFill>
        </w:rPr>
        <w:t>划和（或）质量要求时，监理人</w:t>
      </w:r>
      <w:r>
        <w:rPr>
          <w:rFonts w:hint="eastAsia" w:ascii="宋体" w:hAnsi="宋体" w:eastAsia="宋体" w:cs="宋体"/>
          <w:color w:val="000000" w:themeColor="text1"/>
          <w:spacing w:val="10"/>
          <w:sz w:val="21"/>
          <w:szCs w:val="21"/>
          <w14:textFill>
            <w14:solidFill>
              <w14:schemeClr w14:val="tx1"/>
            </w14:solidFill>
          </w14:textFill>
        </w:rPr>
        <w:t>有权要求承包人增加或更换施工设备，承包人应及时增加或更换，</w:t>
      </w:r>
      <w:r>
        <w:rPr>
          <w:rFonts w:hint="eastAsia" w:ascii="宋体" w:hAnsi="宋体" w:eastAsia="宋体" w:cs="宋体"/>
          <w:color w:val="000000" w:themeColor="text1"/>
          <w:spacing w:val="9"/>
          <w:sz w:val="21"/>
          <w:szCs w:val="21"/>
          <w14:textFill>
            <w14:solidFill>
              <w14:schemeClr w14:val="tx1"/>
            </w14:solidFill>
          </w14:textFill>
        </w:rPr>
        <w:t>由此增加的费用和（或）工期延</w:t>
      </w:r>
      <w:r>
        <w:rPr>
          <w:rFonts w:hint="eastAsia" w:ascii="宋体" w:hAnsi="宋体" w:eastAsia="宋体" w:cs="宋体"/>
          <w:color w:val="000000" w:themeColor="text1"/>
          <w:spacing w:val="7"/>
          <w:sz w:val="21"/>
          <w:szCs w:val="21"/>
          <w14:textFill>
            <w14:solidFill>
              <w14:schemeClr w14:val="tx1"/>
            </w14:solidFill>
          </w14:textFill>
        </w:rPr>
        <w:t>误由承包人承担。</w:t>
      </w:r>
    </w:p>
    <w:p w14:paraId="3C7D7BA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7．交通运输</w:t>
      </w:r>
    </w:p>
    <w:p w14:paraId="628863B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7.1</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b/>
          <w:bCs/>
          <w:color w:val="000000" w:themeColor="text1"/>
          <w:spacing w:val="6"/>
          <w:sz w:val="21"/>
          <w:szCs w:val="21"/>
          <w14:textFill>
            <w14:solidFill>
              <w14:schemeClr w14:val="tx1"/>
            </w14:solidFill>
          </w14:textFill>
        </w:rPr>
        <w:t>道路通行权和场外设施</w:t>
      </w:r>
    </w:p>
    <w:p w14:paraId="779BA0D4">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0441989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本款约定为：</w:t>
      </w:r>
    </w:p>
    <w:p w14:paraId="5E6DF95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0"/>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承包人应根据合同工程的施工需要，负责办理取得出入施工场地</w:t>
      </w:r>
      <w:r>
        <w:rPr>
          <w:rFonts w:hint="eastAsia" w:ascii="宋体" w:hAnsi="宋体" w:eastAsia="宋体" w:cs="宋体"/>
          <w:color w:val="000000" w:themeColor="text1"/>
          <w:spacing w:val="9"/>
          <w:sz w:val="21"/>
          <w:szCs w:val="21"/>
          <w14:textFill>
            <w14:solidFill>
              <w14:schemeClr w14:val="tx1"/>
            </w14:solidFill>
          </w14:textFill>
        </w:rPr>
        <w:t>的专用和临时道路的通行权，</w:t>
      </w:r>
      <w:r>
        <w:rPr>
          <w:rFonts w:hint="eastAsia" w:ascii="宋体" w:hAnsi="宋体" w:eastAsia="宋体" w:cs="宋体"/>
          <w:color w:val="000000" w:themeColor="text1"/>
          <w:spacing w:val="10"/>
          <w:sz w:val="21"/>
          <w:szCs w:val="21"/>
          <w14:textFill>
            <w14:solidFill>
              <w14:schemeClr w14:val="tx1"/>
            </w14:solidFill>
          </w14:textFill>
        </w:rPr>
        <w:t>以及取得为工程建设所需修建场外设施的权利，并承担有权费用。需</w:t>
      </w:r>
      <w:r>
        <w:rPr>
          <w:rFonts w:hint="eastAsia" w:ascii="宋体" w:hAnsi="宋体" w:eastAsia="宋体" w:cs="宋体"/>
          <w:color w:val="000000" w:themeColor="text1"/>
          <w:spacing w:val="9"/>
          <w:sz w:val="21"/>
          <w:szCs w:val="21"/>
          <w14:textFill>
            <w14:solidFill>
              <w14:schemeClr w14:val="tx1"/>
            </w14:solidFill>
          </w14:textFill>
        </w:rPr>
        <w:t>要发包人协调时，发包人应协</w:t>
      </w:r>
      <w:r>
        <w:rPr>
          <w:rFonts w:hint="eastAsia" w:ascii="宋体" w:hAnsi="宋体" w:eastAsia="宋体" w:cs="宋体"/>
          <w:color w:val="000000" w:themeColor="text1"/>
          <w:spacing w:val="8"/>
          <w:sz w:val="21"/>
          <w:szCs w:val="21"/>
          <w14:textFill>
            <w14:solidFill>
              <w14:schemeClr w14:val="tx1"/>
            </w14:solidFill>
          </w14:textFill>
        </w:rPr>
        <w:t>助承包人办理相关手续。</w:t>
      </w:r>
    </w:p>
    <w:p w14:paraId="5BD89F1D">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8．测量放线</w:t>
      </w:r>
    </w:p>
    <w:p w14:paraId="0116E01F">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8.4</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b/>
          <w:bCs/>
          <w:color w:val="000000" w:themeColor="text1"/>
          <w:spacing w:val="6"/>
          <w:sz w:val="21"/>
          <w:szCs w:val="21"/>
          <w14:textFill>
            <w14:solidFill>
              <w14:schemeClr w14:val="tx1"/>
            </w14:solidFill>
          </w14:textFill>
        </w:rPr>
        <w:t>监理人使用施工控制网</w:t>
      </w:r>
    </w:p>
    <w:p w14:paraId="284C194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w:t>
      </w:r>
    </w:p>
    <w:p w14:paraId="497F06C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经监理人批准，其他相关承 包人也可免费使用施工控制网。</w:t>
      </w:r>
    </w:p>
    <w:p w14:paraId="3708E527">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9．施工安全、治安保卫和环境保护</w:t>
      </w:r>
    </w:p>
    <w:p w14:paraId="35ED93FB">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9．2</w:t>
      </w:r>
      <w:r>
        <w:rPr>
          <w:rFonts w:hint="eastAsia" w:ascii="宋体" w:hAnsi="宋体" w:eastAsia="宋体" w:cs="宋体"/>
          <w:color w:val="000000" w:themeColor="text1"/>
          <w:spacing w:val="7"/>
          <w:sz w:val="21"/>
          <w:szCs w:val="21"/>
          <w14:textFill>
            <w14:solidFill>
              <w14:schemeClr w14:val="tx1"/>
            </w14:solidFill>
          </w14:textFill>
        </w:rPr>
        <w:t xml:space="preserve"> </w:t>
      </w:r>
      <w:r>
        <w:rPr>
          <w:rFonts w:hint="eastAsia" w:ascii="宋体" w:hAnsi="宋体" w:eastAsia="宋体" w:cs="宋体"/>
          <w:b/>
          <w:bCs/>
          <w:color w:val="000000" w:themeColor="text1"/>
          <w:spacing w:val="7"/>
          <w:sz w:val="21"/>
          <w:szCs w:val="21"/>
          <w14:textFill>
            <w14:solidFill>
              <w14:schemeClr w14:val="tx1"/>
            </w14:solidFill>
          </w14:textFill>
        </w:rPr>
        <w:t>承包人的施工安全责任</w:t>
      </w:r>
    </w:p>
    <w:p w14:paraId="33C6ED9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2" w:firstLine="420"/>
        <w:textAlignment w:val="baseline"/>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第 9.2.1</w:t>
      </w:r>
      <w:r>
        <w:rPr>
          <w:rFonts w:hint="eastAsia" w:ascii="宋体" w:hAnsi="宋体" w:eastAsia="宋体" w:cs="宋体"/>
          <w:color w:val="000000" w:themeColor="text1"/>
          <w:spacing w:val="26"/>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项细化为：</w:t>
      </w:r>
    </w:p>
    <w:p w14:paraId="10E43B1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2" w:firstLine="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承包人应按合同约定履行安全职责，严格执行国家、地方政</w:t>
      </w:r>
      <w:r>
        <w:rPr>
          <w:rFonts w:hint="eastAsia" w:ascii="宋体" w:hAnsi="宋体" w:eastAsia="宋体" w:cs="宋体"/>
          <w:color w:val="000000" w:themeColor="text1"/>
          <w:spacing w:val="9"/>
          <w:sz w:val="21"/>
          <w:szCs w:val="21"/>
          <w14:textFill>
            <w14:solidFill>
              <w14:schemeClr w14:val="tx1"/>
            </w14:solidFill>
          </w14:textFill>
        </w:rPr>
        <w:t>府有关施工安全管理方面的法律、</w:t>
      </w:r>
      <w:r>
        <w:rPr>
          <w:rFonts w:hint="eastAsia" w:ascii="宋体" w:hAnsi="宋体" w:eastAsia="宋体" w:cs="宋体"/>
          <w:color w:val="000000" w:themeColor="text1"/>
          <w:spacing w:val="10"/>
          <w:sz w:val="21"/>
          <w:szCs w:val="21"/>
          <w14:textFill>
            <w14:solidFill>
              <w14:schemeClr w14:val="tx1"/>
            </w14:solidFill>
          </w14:textFill>
        </w:rPr>
        <w:t>法规及规章制度，同时严格执行发包人制订的本项目安全生产管</w:t>
      </w:r>
      <w:r>
        <w:rPr>
          <w:rFonts w:hint="eastAsia" w:ascii="宋体" w:hAnsi="宋体" w:eastAsia="宋体" w:cs="宋体"/>
          <w:color w:val="000000" w:themeColor="text1"/>
          <w:spacing w:val="9"/>
          <w:sz w:val="21"/>
          <w:szCs w:val="21"/>
          <w14:textFill>
            <w14:solidFill>
              <w14:schemeClr w14:val="tx1"/>
            </w14:solidFill>
          </w14:textFill>
        </w:rPr>
        <w:t>理方面的规章制度、安全检查程序</w:t>
      </w:r>
      <w:r>
        <w:rPr>
          <w:rFonts w:hint="eastAsia" w:ascii="宋体" w:hAnsi="宋体" w:eastAsia="宋体" w:cs="宋体"/>
          <w:color w:val="000000" w:themeColor="text1"/>
          <w:spacing w:val="7"/>
          <w:sz w:val="21"/>
          <w:szCs w:val="21"/>
          <w14:textFill>
            <w14:solidFill>
              <w14:schemeClr w14:val="tx1"/>
            </w14:solidFill>
          </w14:textFill>
        </w:rPr>
        <w:t>及施工安全管理要求，</w:t>
      </w:r>
      <w:r>
        <w:rPr>
          <w:rFonts w:hint="eastAsia" w:ascii="宋体" w:hAnsi="宋体" w:eastAsia="宋体" w:cs="宋体"/>
          <w:color w:val="000000" w:themeColor="text1"/>
          <w:spacing w:val="-46"/>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以及监理人有关安全工作的指示。</w:t>
      </w:r>
    </w:p>
    <w:p w14:paraId="4A534CA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0"/>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承包人应根据本工程的实际安全施工要求，编制施工安全技术措施，并在签订合同协议</w:t>
      </w:r>
      <w:r>
        <w:rPr>
          <w:rFonts w:hint="eastAsia" w:ascii="宋体" w:hAnsi="宋体" w:eastAsia="宋体" w:cs="宋体"/>
          <w:color w:val="000000" w:themeColor="text1"/>
          <w:spacing w:val="6"/>
          <w:sz w:val="21"/>
          <w:szCs w:val="21"/>
          <w14:textFill>
            <w14:solidFill>
              <w14:schemeClr w14:val="tx1"/>
            </w14:solidFill>
          </w14:textFill>
        </w:rPr>
        <w:t>书后 28</w:t>
      </w:r>
      <w:r>
        <w:rPr>
          <w:rFonts w:hint="eastAsia" w:ascii="宋体" w:hAnsi="宋体" w:eastAsia="宋体" w:cs="宋体"/>
          <w:color w:val="000000" w:themeColor="text1"/>
          <w:spacing w:val="10"/>
          <w:sz w:val="21"/>
          <w:szCs w:val="21"/>
          <w14:textFill>
            <w14:solidFill>
              <w14:schemeClr w14:val="tx1"/>
            </w14:solidFill>
          </w14:textFill>
        </w:rPr>
        <w:t>天内，报监理人和发包人批准。该施工安全技术措施包括（但不限于</w:t>
      </w:r>
      <w:r>
        <w:rPr>
          <w:rFonts w:hint="eastAsia" w:ascii="宋体" w:hAnsi="宋体" w:eastAsia="宋体" w:cs="宋体"/>
          <w:color w:val="000000" w:themeColor="text1"/>
          <w:spacing w:val="9"/>
          <w:sz w:val="21"/>
          <w:szCs w:val="21"/>
          <w14:textFill>
            <w14:solidFill>
              <w14:schemeClr w14:val="tx1"/>
            </w14:solidFill>
          </w14:textFill>
        </w:rPr>
        <w:t>）施工安全保障体系，安全生</w:t>
      </w:r>
      <w:r>
        <w:rPr>
          <w:rFonts w:hint="eastAsia" w:ascii="宋体" w:hAnsi="宋体" w:eastAsia="宋体" w:cs="宋体"/>
          <w:color w:val="000000" w:themeColor="text1"/>
          <w:spacing w:val="10"/>
          <w:sz w:val="21"/>
          <w:szCs w:val="21"/>
          <w14:textFill>
            <w14:solidFill>
              <w14:schemeClr w14:val="tx1"/>
            </w14:solidFill>
          </w14:textFill>
        </w:rPr>
        <w:t>产责任制，安全生产管理规章制度，安全防护施工方案，施工现场临</w:t>
      </w:r>
      <w:r>
        <w:rPr>
          <w:rFonts w:hint="eastAsia" w:ascii="宋体" w:hAnsi="宋体" w:eastAsia="宋体" w:cs="宋体"/>
          <w:color w:val="000000" w:themeColor="text1"/>
          <w:spacing w:val="9"/>
          <w:sz w:val="21"/>
          <w:szCs w:val="21"/>
          <w14:textFill>
            <w14:solidFill>
              <w14:schemeClr w14:val="tx1"/>
            </w14:solidFill>
          </w14:textFill>
        </w:rPr>
        <w:t>时用电方案，施工安全评估，</w:t>
      </w:r>
      <w:r>
        <w:rPr>
          <w:rFonts w:hint="eastAsia" w:ascii="宋体" w:hAnsi="宋体" w:eastAsia="宋体" w:cs="宋体"/>
          <w:color w:val="000000" w:themeColor="text1"/>
          <w:spacing w:val="10"/>
          <w:sz w:val="21"/>
          <w:szCs w:val="21"/>
          <w14:textFill>
            <w14:solidFill>
              <w14:schemeClr w14:val="tx1"/>
            </w14:solidFill>
          </w14:textFill>
        </w:rPr>
        <w:t>安全预控及保证措施方案，紧急应变措施，安全标识、警示和</w:t>
      </w:r>
      <w:r>
        <w:rPr>
          <w:rFonts w:hint="eastAsia" w:ascii="宋体" w:hAnsi="宋体" w:eastAsia="宋体" w:cs="宋体"/>
          <w:color w:val="000000" w:themeColor="text1"/>
          <w:spacing w:val="9"/>
          <w:sz w:val="21"/>
          <w:szCs w:val="21"/>
          <w14:textFill>
            <w14:solidFill>
              <w14:schemeClr w14:val="tx1"/>
            </w14:solidFill>
          </w14:textFill>
        </w:rPr>
        <w:t>围护方案等。对影响安全的重要工序</w:t>
      </w:r>
      <w:r>
        <w:rPr>
          <w:rFonts w:hint="eastAsia" w:ascii="宋体" w:hAnsi="宋体" w:eastAsia="宋体" w:cs="宋体"/>
          <w:color w:val="000000" w:themeColor="text1"/>
          <w:spacing w:val="10"/>
          <w:sz w:val="21"/>
          <w:szCs w:val="21"/>
          <w14:textFill>
            <w14:solidFill>
              <w14:schemeClr w14:val="tx1"/>
            </w14:solidFill>
          </w14:textFill>
        </w:rPr>
        <w:t>和下列危险性较大的工程应编制专项施工方案，并附安全验算结果，</w:t>
      </w:r>
      <w:r>
        <w:rPr>
          <w:rFonts w:hint="eastAsia" w:ascii="宋体" w:hAnsi="宋体" w:eastAsia="宋体" w:cs="宋体"/>
          <w:color w:val="000000" w:themeColor="text1"/>
          <w:spacing w:val="9"/>
          <w:sz w:val="21"/>
          <w:szCs w:val="21"/>
          <w14:textFill>
            <w14:solidFill>
              <w14:schemeClr w14:val="tx1"/>
            </w14:solidFill>
          </w14:textFill>
        </w:rPr>
        <w:t>经承包人项目总工签字并报监理人和发包人批准后实施，</w:t>
      </w:r>
      <w:r>
        <w:rPr>
          <w:rFonts w:hint="eastAsia" w:ascii="宋体" w:hAnsi="宋体" w:eastAsia="宋体" w:cs="宋体"/>
          <w:color w:val="000000" w:themeColor="text1"/>
          <w:spacing w:val="-57"/>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由专职安全生产管理人员进行现场</w:t>
      </w:r>
      <w:r>
        <w:rPr>
          <w:rFonts w:hint="eastAsia" w:ascii="宋体" w:hAnsi="宋体" w:eastAsia="宋体" w:cs="宋体"/>
          <w:color w:val="000000" w:themeColor="text1"/>
          <w:spacing w:val="8"/>
          <w:sz w:val="21"/>
          <w:szCs w:val="21"/>
          <w14:textFill>
            <w14:solidFill>
              <w14:schemeClr w14:val="tx1"/>
            </w14:solidFill>
          </w14:textFill>
        </w:rPr>
        <w:t>监督。 本项目需要编制专项施工方案的工程包括但不限于以下内容：</w:t>
      </w:r>
    </w:p>
    <w:p w14:paraId="6F752C5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（1）不良地质条件下有潜在危险性的土方、石方开挖；</w:t>
      </w:r>
    </w:p>
    <w:p w14:paraId="6B8EB8C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（2）滑坡和高边坡处理；</w:t>
      </w:r>
    </w:p>
    <w:p w14:paraId="42EABFB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（3）桩基础、挡墙基础、深水基础及围堰工程；</w:t>
      </w:r>
    </w:p>
    <w:p w14:paraId="1950847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（4）桥梁工程中的梁、拱、柱等构件施工等；</w:t>
      </w:r>
    </w:p>
    <w:p w14:paraId="5EFCDA8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（5）隧道工程中的不良地质隧道、高瓦斯隧道等；</w:t>
      </w:r>
    </w:p>
    <w:p w14:paraId="7F94854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（6）水上工程中的打桩船作业、施工船作业、外海孤岛作业、边通航边施工作业等；</w:t>
      </w:r>
    </w:p>
    <w:p w14:paraId="0E46B54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（7）水下工程中的水下焊接、混凝土浇筑、爆破工程等；</w:t>
      </w:r>
    </w:p>
    <w:p w14:paraId="4B4225A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（8）爆破工程；</w:t>
      </w:r>
    </w:p>
    <w:p w14:paraId="7D2046A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（9）大型临时工程中的大型支架、模板、便桥的架设与拆除；桥梁、码头的加固与拆除；</w:t>
      </w:r>
    </w:p>
    <w:p w14:paraId="14B93B3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（10）其他危险性较大的工程。</w:t>
      </w:r>
    </w:p>
    <w:p w14:paraId="7D4E5CB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2" w:firstLine="41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监理人和发包人在检查中发现有安全问题或有违反安全管</w:t>
      </w:r>
      <w:r>
        <w:rPr>
          <w:rFonts w:hint="eastAsia" w:ascii="宋体" w:hAnsi="宋体" w:eastAsia="宋体" w:cs="宋体"/>
          <w:color w:val="000000" w:themeColor="text1"/>
          <w:spacing w:val="9"/>
          <w:sz w:val="21"/>
          <w:szCs w:val="21"/>
          <w14:textFill>
            <w14:solidFill>
              <w14:schemeClr w14:val="tx1"/>
            </w14:solidFill>
          </w14:textFill>
        </w:rPr>
        <w:t>理规章制度的情况时，可视其为承包</w:t>
      </w:r>
      <w:r>
        <w:rPr>
          <w:rFonts w:hint="eastAsia" w:ascii="宋体" w:hAnsi="宋体" w:eastAsia="宋体" w:cs="宋体"/>
          <w:color w:val="000000" w:themeColor="text1"/>
          <w:spacing w:val="7"/>
          <w:sz w:val="21"/>
          <w:szCs w:val="21"/>
          <w14:textFill>
            <w14:solidFill>
              <w14:schemeClr w14:val="tx1"/>
            </w14:solidFill>
          </w14:textFill>
        </w:rPr>
        <w:t>人违约，应按第 22.1 款的规定处理。</w:t>
      </w:r>
    </w:p>
    <w:p w14:paraId="44F3818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32"/>
        <w:jc w:val="both"/>
        <w:textAlignment w:val="baseline"/>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第 9.2.5</w:t>
      </w:r>
      <w:r>
        <w:rPr>
          <w:rFonts w:hint="eastAsia" w:ascii="宋体" w:hAnsi="宋体" w:eastAsia="宋体" w:cs="宋体"/>
          <w:color w:val="000000" w:themeColor="text1"/>
          <w:spacing w:val="26"/>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项细化为：</w:t>
      </w:r>
    </w:p>
    <w:p w14:paraId="1F7FD73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32"/>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除项目合同条款另有约定外，安全生产费用应为竞标价（不含安全生产费及建筑工程一切险及</w:t>
      </w:r>
      <w:r>
        <w:rPr>
          <w:rFonts w:hint="eastAsia" w:ascii="宋体" w:hAnsi="宋体" w:eastAsia="宋体" w:cs="宋体"/>
          <w:color w:val="000000" w:themeColor="text1"/>
          <w:spacing w:val="4"/>
          <w:sz w:val="21"/>
          <w:szCs w:val="21"/>
          <w14:textFill>
            <w14:solidFill>
              <w14:schemeClr w14:val="tx1"/>
            </w14:solidFill>
          </w14:textFill>
        </w:rPr>
        <w:t>第三者责任险的保险费）的</w:t>
      </w:r>
      <w:r>
        <w:rPr>
          <w:rFonts w:hint="eastAsia" w:ascii="宋体" w:hAnsi="宋体" w:eastAsia="宋体" w:cs="宋体"/>
          <w:color w:val="000000" w:themeColor="text1"/>
          <w:spacing w:val="42"/>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4"/>
          <w:sz w:val="21"/>
          <w:szCs w:val="21"/>
          <w:u w:val="single" w:color="auto"/>
          <w14:textFill>
            <w14:solidFill>
              <w14:schemeClr w14:val="tx1"/>
            </w14:solidFill>
          </w14:textFill>
        </w:rPr>
        <w:t>1.5</w:t>
      </w:r>
      <w:r>
        <w:rPr>
          <w:rFonts w:hint="eastAsia" w:ascii="宋体" w:hAnsi="宋体" w:eastAsia="宋体" w:cs="宋体"/>
          <w:color w:val="000000" w:themeColor="text1"/>
          <w:spacing w:val="-43"/>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%（若发包人公布了竞标控制价上限时，按竞标控制价上限的</w:t>
      </w:r>
      <w:r>
        <w:rPr>
          <w:rFonts w:hint="eastAsia" w:ascii="宋体" w:hAnsi="宋体" w:eastAsia="宋体" w:cs="宋体"/>
          <w:color w:val="000000" w:themeColor="text1"/>
          <w:spacing w:val="29"/>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4"/>
          <w:sz w:val="21"/>
          <w:szCs w:val="21"/>
          <w:u w:val="single" w:color="auto"/>
          <w14:textFill>
            <w14:solidFill>
              <w14:schemeClr w14:val="tx1"/>
            </w14:solidFill>
          </w14:textFill>
        </w:rPr>
        <w:t xml:space="preserve">1.5 </w:t>
      </w:r>
      <w:r>
        <w:rPr>
          <w:rFonts w:hint="eastAsia" w:ascii="宋体" w:hAnsi="宋体" w:eastAsia="宋体" w:cs="宋体"/>
          <w:color w:val="000000" w:themeColor="text1"/>
          <w:spacing w:val="4"/>
          <w:sz w:val="21"/>
          <w:szCs w:val="21"/>
          <w14:textFill>
            <w14:solidFill>
              <w14:schemeClr w14:val="tx1"/>
            </w14:solidFill>
          </w14:textFill>
        </w:rPr>
        <w:t>%</w:t>
      </w:r>
      <w:r>
        <w:rPr>
          <w:rFonts w:hint="eastAsia" w:ascii="宋体" w:hAnsi="宋体" w:eastAsia="宋体" w:cs="宋体"/>
          <w:color w:val="000000" w:themeColor="text1"/>
          <w:spacing w:val="10"/>
          <w:sz w:val="21"/>
          <w:szCs w:val="21"/>
          <w14:textFill>
            <w14:solidFill>
              <w14:schemeClr w14:val="tx1"/>
            </w14:solidFill>
          </w14:textFill>
        </w:rPr>
        <w:t>计）。安全生产费用应用于施工安全防护用具及设施的采购和更新、</w:t>
      </w:r>
      <w:r>
        <w:rPr>
          <w:rFonts w:hint="eastAsia" w:ascii="宋体" w:hAnsi="宋体" w:eastAsia="宋体" w:cs="宋体"/>
          <w:color w:val="000000" w:themeColor="text1"/>
          <w:spacing w:val="9"/>
          <w:sz w:val="21"/>
          <w:szCs w:val="21"/>
          <w14:textFill>
            <w14:solidFill>
              <w14:schemeClr w14:val="tx1"/>
            </w14:solidFill>
          </w14:textFill>
        </w:rPr>
        <w:t>安全施工措施的落实、安全生</w:t>
      </w:r>
      <w:r>
        <w:rPr>
          <w:rFonts w:hint="eastAsia" w:ascii="宋体" w:hAnsi="宋体" w:eastAsia="宋体" w:cs="宋体"/>
          <w:color w:val="000000" w:themeColor="text1"/>
          <w:spacing w:val="10"/>
          <w:sz w:val="21"/>
          <w:szCs w:val="21"/>
          <w14:textFill>
            <w14:solidFill>
              <w14:schemeClr w14:val="tx1"/>
            </w14:solidFill>
          </w14:textFill>
        </w:rPr>
        <w:t>产条件的改善，不得挪作他用。如承包人在此基础上增加安全生</w:t>
      </w:r>
      <w:r>
        <w:rPr>
          <w:rFonts w:hint="eastAsia" w:ascii="宋体" w:hAnsi="宋体" w:eastAsia="宋体" w:cs="宋体"/>
          <w:color w:val="000000" w:themeColor="text1"/>
          <w:spacing w:val="9"/>
          <w:sz w:val="21"/>
          <w:szCs w:val="21"/>
          <w14:textFill>
            <w14:solidFill>
              <w14:schemeClr w14:val="tx1"/>
            </w14:solidFill>
          </w14:textFill>
        </w:rPr>
        <w:t>产费用以满足项目施工需要，则承</w:t>
      </w:r>
      <w:r>
        <w:rPr>
          <w:rFonts w:hint="eastAsia" w:ascii="宋体" w:hAnsi="宋体" w:eastAsia="宋体" w:cs="宋体"/>
          <w:color w:val="000000" w:themeColor="text1"/>
          <w:spacing w:val="10"/>
          <w:sz w:val="21"/>
          <w:szCs w:val="21"/>
          <w14:textFill>
            <w14:solidFill>
              <w14:schemeClr w14:val="tx1"/>
            </w14:solidFill>
          </w14:textFill>
        </w:rPr>
        <w:t>包人应在本项目工程量清单其他相关子目的单价或总额价中予以</w:t>
      </w:r>
      <w:r>
        <w:rPr>
          <w:rFonts w:hint="eastAsia" w:ascii="宋体" w:hAnsi="宋体" w:eastAsia="宋体" w:cs="宋体"/>
          <w:color w:val="000000" w:themeColor="text1"/>
          <w:spacing w:val="9"/>
          <w:sz w:val="21"/>
          <w:szCs w:val="21"/>
          <w14:textFill>
            <w14:solidFill>
              <w14:schemeClr w14:val="tx1"/>
            </w14:solidFill>
          </w14:textFill>
        </w:rPr>
        <w:t>考虑，发包人不再另行支付。因采取合同未约定的特殊防护措施增加的费用，由监理人按第 3</w:t>
      </w:r>
      <w:r>
        <w:rPr>
          <w:rFonts w:hint="eastAsia" w:ascii="宋体" w:hAnsi="宋体" w:eastAsia="宋体" w:cs="宋体"/>
          <w:color w:val="000000" w:themeColor="text1"/>
          <w:spacing w:val="8"/>
          <w:sz w:val="21"/>
          <w:szCs w:val="21"/>
          <w14:textFill>
            <w14:solidFill>
              <w14:schemeClr w14:val="tx1"/>
            </w14:solidFill>
          </w14:textFill>
        </w:rPr>
        <w:t>.5 款商定或确定。</w:t>
      </w:r>
    </w:p>
    <w:p w14:paraId="560581A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本款补充第 9.2.8 项～9.2.11</w:t>
      </w:r>
      <w:r>
        <w:rPr>
          <w:rFonts w:hint="eastAsia" w:ascii="宋体" w:hAnsi="宋体" w:eastAsia="宋体" w:cs="宋体"/>
          <w:color w:val="000000" w:themeColor="text1"/>
          <w:spacing w:val="29"/>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项：</w:t>
      </w:r>
    </w:p>
    <w:p w14:paraId="0B07C8A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2" w:firstLine="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9.2.8 承包人应充分关注和保障所有在现场工作的人员的安全，采取以下有效措施，使现</w:t>
      </w:r>
      <w:r>
        <w:rPr>
          <w:rFonts w:hint="eastAsia" w:ascii="宋体" w:hAnsi="宋体" w:eastAsia="宋体" w:cs="宋体"/>
          <w:color w:val="000000" w:themeColor="text1"/>
          <w:spacing w:val="8"/>
          <w:sz w:val="21"/>
          <w:szCs w:val="21"/>
          <w14:textFill>
            <w14:solidFill>
              <w14:schemeClr w14:val="tx1"/>
            </w14:solidFill>
          </w14:textFill>
        </w:rPr>
        <w:t>场和</w:t>
      </w:r>
      <w:r>
        <w:rPr>
          <w:rFonts w:hint="eastAsia" w:ascii="宋体" w:hAnsi="宋体" w:eastAsia="宋体" w:cs="宋体"/>
          <w:color w:val="000000" w:themeColor="text1"/>
          <w:spacing w:val="9"/>
          <w:sz w:val="21"/>
          <w:szCs w:val="21"/>
          <w14:textFill>
            <w14:solidFill>
              <w14:schemeClr w14:val="tx1"/>
            </w14:solidFill>
          </w14:textFill>
        </w:rPr>
        <w:t>本合同工程的实施保持有条不紊，以免使上述人员的安全受到威胁。</w:t>
      </w:r>
    </w:p>
    <w:p w14:paraId="70FE5D6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03"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（1）按《公路水运工程安全生产监督管理办法》规定的最低数量和资质条件配备专职安全生</w:t>
      </w:r>
      <w:r>
        <w:rPr>
          <w:rFonts w:hint="eastAsia" w:ascii="宋体" w:hAnsi="宋体" w:eastAsia="宋体" w:cs="宋体"/>
          <w:color w:val="000000" w:themeColor="text1"/>
          <w:spacing w:val="6"/>
          <w:sz w:val="21"/>
          <w:szCs w:val="21"/>
          <w14:textFill>
            <w14:solidFill>
              <w14:schemeClr w14:val="tx1"/>
            </w14:solidFill>
          </w14:textFill>
        </w:rPr>
        <w:t>产管理人员；</w:t>
      </w:r>
    </w:p>
    <w:p w14:paraId="61BC1B7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48" w:firstLine="42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（2）承包人的垂直运输机械作业人员、施工船舶作业人员、爆破作业人员、安装拆卸工、起重信号工、电工、焊工等国家规定的特种作业人员，</w:t>
      </w:r>
      <w:r>
        <w:rPr>
          <w:rFonts w:hint="eastAsia" w:ascii="宋体" w:hAnsi="宋体" w:eastAsia="宋体" w:cs="宋体"/>
          <w:color w:val="000000" w:themeColor="text1"/>
          <w:spacing w:val="8"/>
          <w:sz w:val="21"/>
          <w:szCs w:val="21"/>
          <w14:textFill>
            <w14:solidFill>
              <w14:schemeClr w14:val="tx1"/>
            </w14:solidFill>
          </w14:textFill>
        </w:rPr>
        <w:t>必须按照国家规定经过专门的安全作业培训，</w:t>
      </w:r>
      <w:r>
        <w:rPr>
          <w:rFonts w:hint="eastAsia" w:ascii="宋体" w:hAnsi="宋体" w:eastAsia="宋体" w:cs="宋体"/>
          <w:color w:val="000000" w:themeColor="text1"/>
          <w:spacing w:val="9"/>
          <w:sz w:val="21"/>
          <w:szCs w:val="21"/>
          <w14:textFill>
            <w14:solidFill>
              <w14:schemeClr w14:val="tx1"/>
            </w14:solidFill>
          </w14:textFill>
        </w:rPr>
        <w:t>并取得特种作业操作资格证书后，方可上岗作业；</w:t>
      </w:r>
    </w:p>
    <w:p w14:paraId="1E504BF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（3）所有施工机具设备和高空作业设备均应定期检查，并有安全员的签字记录。</w:t>
      </w:r>
    </w:p>
    <w:p w14:paraId="4CFA011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firstLine="42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（4）根据本合同各单位工程的特点，严格执行《公路水运工程安全生产监督管</w:t>
      </w:r>
      <w:r>
        <w:rPr>
          <w:rFonts w:hint="eastAsia" w:ascii="宋体" w:hAnsi="宋体" w:eastAsia="宋体" w:cs="宋体"/>
          <w:color w:val="000000" w:themeColor="text1"/>
          <w:spacing w:val="6"/>
          <w:sz w:val="21"/>
          <w:szCs w:val="21"/>
          <w14:textFill>
            <w14:solidFill>
              <w14:schemeClr w14:val="tx1"/>
            </w14:solidFill>
          </w14:textFill>
        </w:rPr>
        <w:t>理办法》、《公</w:t>
      </w:r>
      <w:r>
        <w:rPr>
          <w:rFonts w:hint="eastAsia" w:ascii="宋体" w:hAnsi="宋体" w:eastAsia="宋体" w:cs="宋体"/>
          <w:color w:val="000000" w:themeColor="text1"/>
          <w:spacing w:val="9"/>
          <w:sz w:val="21"/>
          <w:szCs w:val="21"/>
          <w14:textFill>
            <w14:solidFill>
              <w14:schemeClr w14:val="tx1"/>
            </w14:solidFill>
          </w14:textFill>
        </w:rPr>
        <w:t>路工程施工安全技术规程》与《公路筑养路机械操作规程》的具体规定。</w:t>
      </w:r>
    </w:p>
    <w:p w14:paraId="681A2CA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2" w:firstLine="41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9.2.9 为保护本合同工程免遭损坏，或为了现场附近和过往群众的安全与方便，在确有必</w:t>
      </w:r>
      <w:r>
        <w:rPr>
          <w:rFonts w:hint="eastAsia" w:ascii="宋体" w:hAnsi="宋体" w:eastAsia="宋体" w:cs="宋体"/>
          <w:color w:val="000000" w:themeColor="text1"/>
          <w:spacing w:val="8"/>
          <w:sz w:val="21"/>
          <w:szCs w:val="21"/>
          <w14:textFill>
            <w14:solidFill>
              <w14:schemeClr w14:val="tx1"/>
            </w14:solidFill>
          </w14:textFill>
        </w:rPr>
        <w:t>要的</w:t>
      </w:r>
      <w:r>
        <w:rPr>
          <w:rFonts w:hint="eastAsia" w:ascii="宋体" w:hAnsi="宋体" w:eastAsia="宋体" w:cs="宋体"/>
          <w:color w:val="000000" w:themeColor="text1"/>
          <w:spacing w:val="10"/>
          <w:sz w:val="21"/>
          <w:szCs w:val="21"/>
          <w14:textFill>
            <w14:solidFill>
              <w14:schemeClr w14:val="tx1"/>
            </w14:solidFill>
          </w14:textFill>
        </w:rPr>
        <w:t>时候和地方，或当监理人或有关主管部门要求时，承包人应</w:t>
      </w:r>
      <w:r>
        <w:rPr>
          <w:rFonts w:hint="eastAsia" w:ascii="宋体" w:hAnsi="宋体" w:eastAsia="宋体" w:cs="宋体"/>
          <w:color w:val="000000" w:themeColor="text1"/>
          <w:spacing w:val="9"/>
          <w:sz w:val="21"/>
          <w:szCs w:val="21"/>
          <w14:textFill>
            <w14:solidFill>
              <w14:schemeClr w14:val="tx1"/>
            </w14:solidFill>
          </w14:textFill>
        </w:rPr>
        <w:t>自费提供照明、警卫、护栅、警告标志</w:t>
      </w:r>
      <w:r>
        <w:rPr>
          <w:rFonts w:hint="eastAsia" w:ascii="宋体" w:hAnsi="宋体" w:eastAsia="宋体" w:cs="宋体"/>
          <w:color w:val="000000" w:themeColor="text1"/>
          <w:spacing w:val="7"/>
          <w:sz w:val="21"/>
          <w:szCs w:val="21"/>
          <w14:textFill>
            <w14:solidFill>
              <w14:schemeClr w14:val="tx1"/>
            </w14:solidFill>
          </w14:textFill>
        </w:rPr>
        <w:t>等安全防护设施。</w:t>
      </w:r>
    </w:p>
    <w:p w14:paraId="3A4DC805">
      <w:pPr>
        <w:keepNext w:val="0"/>
        <w:keepLines w:val="0"/>
        <w:pageBreakBefore w:val="0"/>
        <w:widowControl/>
        <w:kinsoku w:val="0"/>
        <w:wordWrap/>
        <w:overflowPunct/>
        <w:topLinePunct w:val="0"/>
        <w:autoSpaceDE w:val="0"/>
        <w:autoSpaceDN w:val="0"/>
        <w:bidi w:val="0"/>
        <w:adjustRightInd w:val="0"/>
        <w:snapToGrid w:val="0"/>
        <w:spacing w:line="400" w:lineRule="exact"/>
        <w:ind w:firstLine="456"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9.2.10 在通航水域施工时，承包人应与当地主管部门取得联系，设置必要的导航标志</w:t>
      </w:r>
      <w:r>
        <w:rPr>
          <w:rFonts w:hint="eastAsia" w:ascii="宋体" w:hAnsi="宋体" w:eastAsia="宋体" w:cs="宋体"/>
          <w:color w:val="000000" w:themeColor="text1"/>
          <w:spacing w:val="8"/>
          <w:sz w:val="21"/>
          <w:szCs w:val="21"/>
          <w14:textFill>
            <w14:solidFill>
              <w14:schemeClr w14:val="tx1"/>
            </w14:solidFill>
          </w14:textFill>
        </w:rPr>
        <w:t>，及时发布航行通告，确保施工水域安全。</w:t>
      </w:r>
    </w:p>
    <w:p w14:paraId="50BFECA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2" w:firstLine="420"/>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9.2.11 在整个施工过程中对承包人采取的施工安全措施，发包人和监理人有权监督，</w:t>
      </w:r>
      <w:r>
        <w:rPr>
          <w:rFonts w:hint="eastAsia" w:ascii="宋体" w:hAnsi="宋体" w:eastAsia="宋体" w:cs="宋体"/>
          <w:color w:val="000000" w:themeColor="text1"/>
          <w:spacing w:val="8"/>
          <w:sz w:val="21"/>
          <w:szCs w:val="21"/>
          <w14:textFill>
            <w14:solidFill>
              <w14:schemeClr w14:val="tx1"/>
            </w14:solidFill>
          </w14:textFill>
        </w:rPr>
        <w:t>并向承</w:t>
      </w:r>
      <w:r>
        <w:rPr>
          <w:rFonts w:hint="eastAsia" w:ascii="宋体" w:hAnsi="宋体" w:eastAsia="宋体" w:cs="宋体"/>
          <w:color w:val="000000" w:themeColor="text1"/>
          <w:spacing w:val="10"/>
          <w:sz w:val="21"/>
          <w:szCs w:val="21"/>
          <w14:textFill>
            <w14:solidFill>
              <w14:schemeClr w14:val="tx1"/>
            </w14:solidFill>
          </w14:textFill>
        </w:rPr>
        <w:t>包人提出整改要求。如果由于承包人未能对其负责的上述事项</w:t>
      </w:r>
      <w:r>
        <w:rPr>
          <w:rFonts w:hint="eastAsia" w:ascii="宋体" w:hAnsi="宋体" w:eastAsia="宋体" w:cs="宋体"/>
          <w:color w:val="000000" w:themeColor="text1"/>
          <w:spacing w:val="9"/>
          <w:sz w:val="21"/>
          <w:szCs w:val="21"/>
          <w14:textFill>
            <w14:solidFill>
              <w14:schemeClr w14:val="tx1"/>
            </w14:solidFill>
          </w14:textFill>
        </w:rPr>
        <w:t>采取各种必要的措施而导致或发生与此有关的人身伤亡、罚款、索赔、损失补偿、诉讼费用及其他一切责任应由承包人负责。</w:t>
      </w:r>
    </w:p>
    <w:p w14:paraId="6037A2C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9．4</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环境保护</w:t>
      </w:r>
    </w:p>
    <w:p w14:paraId="3CFDC21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本款补充第 9.4.7～第 9.4.11</w:t>
      </w:r>
      <w:r>
        <w:rPr>
          <w:rFonts w:hint="eastAsia" w:ascii="宋体" w:hAnsi="宋体" w:eastAsia="宋体" w:cs="宋体"/>
          <w:color w:val="000000" w:themeColor="text1"/>
          <w:spacing w:val="29"/>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项：</w:t>
      </w:r>
    </w:p>
    <w:p w14:paraId="7108DD7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9.4.7 承包人应切实执行技术规范中有关环境保护方面的条款和规定。</w:t>
      </w:r>
    </w:p>
    <w:p w14:paraId="17994ED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（1）对于来自施工机械和运输车辆的施工噪声，为保护施工人员的健康，应遵守《中华人民</w:t>
      </w:r>
      <w:r>
        <w:rPr>
          <w:rFonts w:hint="eastAsia" w:ascii="宋体" w:hAnsi="宋体" w:eastAsia="宋体" w:cs="宋体"/>
          <w:color w:val="000000" w:themeColor="text1"/>
          <w:spacing w:val="10"/>
          <w:sz w:val="21"/>
          <w:szCs w:val="21"/>
          <w14:textFill>
            <w14:solidFill>
              <w14:schemeClr w14:val="tx1"/>
            </w14:solidFill>
          </w14:textFill>
        </w:rPr>
        <w:t>共和国生态环境法典》并依据《工业企业噪声卫生标准》合理安排工作</w:t>
      </w:r>
      <w:r>
        <w:rPr>
          <w:rFonts w:hint="eastAsia" w:ascii="宋体" w:hAnsi="宋体" w:eastAsia="宋体" w:cs="宋体"/>
          <w:color w:val="000000" w:themeColor="text1"/>
          <w:spacing w:val="9"/>
          <w:sz w:val="21"/>
          <w:szCs w:val="21"/>
          <w14:textFill>
            <w14:solidFill>
              <w14:schemeClr w14:val="tx1"/>
            </w14:solidFill>
          </w14:textFill>
        </w:rPr>
        <w:t>人员轮流操作筑路机械，减</w:t>
      </w:r>
      <w:r>
        <w:rPr>
          <w:rFonts w:hint="eastAsia" w:ascii="宋体" w:hAnsi="宋体" w:eastAsia="宋体" w:cs="宋体"/>
          <w:color w:val="000000" w:themeColor="text1"/>
          <w:spacing w:val="10"/>
          <w:sz w:val="21"/>
          <w:szCs w:val="21"/>
          <w14:textFill>
            <w14:solidFill>
              <w14:schemeClr w14:val="tx1"/>
            </w14:solidFill>
          </w14:textFill>
        </w:rPr>
        <w:t>少接触高噪声的时间，或间歇安排高噪声的工作。对距噪声源较</w:t>
      </w:r>
      <w:r>
        <w:rPr>
          <w:rFonts w:hint="eastAsia" w:ascii="宋体" w:hAnsi="宋体" w:eastAsia="宋体" w:cs="宋体"/>
          <w:color w:val="000000" w:themeColor="text1"/>
          <w:spacing w:val="9"/>
          <w:sz w:val="21"/>
          <w:szCs w:val="21"/>
          <w14:textFill>
            <w14:solidFill>
              <w14:schemeClr w14:val="tx1"/>
            </w14:solidFill>
          </w14:textFill>
        </w:rPr>
        <w:t>近的施工人员，除采取使用防护耳</w:t>
      </w:r>
      <w:r>
        <w:rPr>
          <w:rFonts w:hint="eastAsia" w:ascii="宋体" w:hAnsi="宋体" w:eastAsia="宋体" w:cs="宋体"/>
          <w:color w:val="000000" w:themeColor="text1"/>
          <w:spacing w:val="10"/>
          <w:sz w:val="21"/>
          <w:szCs w:val="21"/>
          <w14:textFill>
            <w14:solidFill>
              <w14:schemeClr w14:val="tx1"/>
            </w14:solidFill>
          </w14:textFill>
        </w:rPr>
        <w:t>塞或头盔等有效措施外，还应当缩短其劳动时间。同时，要注意对机械</w:t>
      </w:r>
      <w:r>
        <w:rPr>
          <w:rFonts w:hint="eastAsia" w:ascii="宋体" w:hAnsi="宋体" w:eastAsia="宋体" w:cs="宋体"/>
          <w:color w:val="000000" w:themeColor="text1"/>
          <w:spacing w:val="9"/>
          <w:sz w:val="21"/>
          <w:szCs w:val="21"/>
          <w14:textFill>
            <w14:solidFill>
              <w14:schemeClr w14:val="tx1"/>
            </w14:solidFill>
          </w14:textFill>
        </w:rPr>
        <w:t>的经常性保养，尽量使其噪</w:t>
      </w:r>
      <w:r>
        <w:rPr>
          <w:rFonts w:hint="eastAsia" w:ascii="宋体" w:hAnsi="宋体" w:eastAsia="宋体" w:cs="宋体"/>
          <w:color w:val="000000" w:themeColor="text1"/>
          <w:spacing w:val="8"/>
          <w:sz w:val="21"/>
          <w:szCs w:val="21"/>
          <w14:textFill>
            <w14:solidFill>
              <w14:schemeClr w14:val="tx1"/>
            </w14:solidFill>
          </w14:textFill>
        </w:rPr>
        <w:t>声降低到最低水平。为保护施工现场附近居民的夜间休息，对居民区</w:t>
      </w:r>
      <w:r>
        <w:rPr>
          <w:rFonts w:hint="eastAsia" w:ascii="宋体" w:hAnsi="宋体" w:eastAsia="宋体" w:cs="宋体"/>
          <w:color w:val="000000" w:themeColor="text1"/>
          <w:spacing w:val="31"/>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150m</w:t>
      </w:r>
      <w:r>
        <w:rPr>
          <w:rFonts w:hint="eastAsia" w:ascii="宋体" w:hAnsi="宋体" w:eastAsia="宋体" w:cs="宋体"/>
          <w:color w:val="000000" w:themeColor="text1"/>
          <w:spacing w:val="36"/>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以内的施工现</w:t>
      </w:r>
      <w:r>
        <w:rPr>
          <w:rFonts w:hint="eastAsia" w:ascii="宋体" w:hAnsi="宋体" w:eastAsia="宋体" w:cs="宋体"/>
          <w:color w:val="000000" w:themeColor="text1"/>
          <w:spacing w:val="7"/>
          <w:sz w:val="21"/>
          <w:szCs w:val="21"/>
          <w14:textFill>
            <w14:solidFill>
              <w14:schemeClr w14:val="tx1"/>
            </w14:solidFill>
          </w14:textFill>
        </w:rPr>
        <w:t>场，施工时间应加以控制。</w:t>
      </w:r>
    </w:p>
    <w:p w14:paraId="152BA57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03"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（2）对于公路施工中粉尘污染的主要污染源——灰土拌和、施工车辆和筑路机械运行及运输产生的扬尘，应采取有效措施减轻施工现场的大气污染，保护人民健康，如：</w:t>
      </w:r>
    </w:p>
    <w:p w14:paraId="63A14DC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a.拌和设备应有较好的密封，或有防尘设备。</w:t>
      </w:r>
    </w:p>
    <w:p w14:paraId="5EADBC1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1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b.施工通道、沥青混凝土拌和站及灰土拌和站应经常进行洒水降尘。</w:t>
      </w:r>
    </w:p>
    <w:p w14:paraId="1E75C5C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c.路面施工应注意保持水分，</w:t>
      </w:r>
      <w:r>
        <w:rPr>
          <w:rFonts w:hint="eastAsia" w:ascii="宋体" w:hAnsi="宋体" w:eastAsia="宋体" w:cs="宋体"/>
          <w:color w:val="000000" w:themeColor="text1"/>
          <w:spacing w:val="-42"/>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以免扬尘。</w:t>
      </w:r>
    </w:p>
    <w:p w14:paraId="4E747FB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d.隧道出渣和桥梁钻孔灌注桩施工时排出的泥浆要进行妥善处理，严禁向河流或农田排放。</w:t>
      </w:r>
    </w:p>
    <w:p w14:paraId="490B8C6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right="103" w:firstLine="42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（3）采取可靠措施保证原有交通的正常通行，维持沿线村镇的居民饮水、农田灌溉、生产生</w:t>
      </w:r>
      <w:r>
        <w:rPr>
          <w:rFonts w:hint="eastAsia" w:ascii="宋体" w:hAnsi="宋体" w:eastAsia="宋体" w:cs="宋体"/>
          <w:color w:val="000000" w:themeColor="text1"/>
          <w:spacing w:val="8"/>
          <w:sz w:val="21"/>
          <w:szCs w:val="21"/>
          <w14:textFill>
            <w14:solidFill>
              <w14:schemeClr w14:val="tx1"/>
            </w14:solidFill>
          </w14:textFill>
        </w:rPr>
        <w:t>活用电及通讯等管线的正常使用。</w:t>
      </w:r>
    </w:p>
    <w:p w14:paraId="4C11440A">
      <w:pPr>
        <w:keepNext w:val="0"/>
        <w:keepLines w:val="0"/>
        <w:pageBreakBefore w:val="0"/>
        <w:widowControl/>
        <w:kinsoku w:val="0"/>
        <w:wordWrap/>
        <w:overflowPunct/>
        <w:topLinePunct w:val="0"/>
        <w:autoSpaceDE w:val="0"/>
        <w:autoSpaceDN w:val="0"/>
        <w:bidi w:val="0"/>
        <w:adjustRightInd w:val="0"/>
        <w:snapToGrid w:val="0"/>
        <w:spacing w:line="400" w:lineRule="exact"/>
        <w:ind w:firstLine="456"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9.4.8 在整个施工过程中对承包人采取的环境保护措施，发包人和监理人有权监督，并向</w:t>
      </w:r>
      <w:r>
        <w:rPr>
          <w:rFonts w:hint="eastAsia" w:ascii="宋体" w:hAnsi="宋体" w:eastAsia="宋体" w:cs="宋体"/>
          <w:color w:val="000000" w:themeColor="text1"/>
          <w:spacing w:val="8"/>
          <w:sz w:val="21"/>
          <w:szCs w:val="21"/>
          <w14:textFill>
            <w14:solidFill>
              <w14:schemeClr w14:val="tx1"/>
            </w14:solidFill>
          </w14:textFill>
        </w:rPr>
        <w:t>承包</w:t>
      </w:r>
      <w:r>
        <w:rPr>
          <w:rFonts w:hint="eastAsia" w:ascii="宋体" w:hAnsi="宋体" w:eastAsia="宋体" w:cs="宋体"/>
          <w:color w:val="000000" w:themeColor="text1"/>
          <w:spacing w:val="10"/>
          <w:sz w:val="21"/>
          <w:szCs w:val="21"/>
          <w14:textFill>
            <w14:solidFill>
              <w14:schemeClr w14:val="tx1"/>
            </w14:solidFill>
          </w14:textFill>
        </w:rPr>
        <w:t>人提出整改要求。如果由于承包人未能对其负责的上述事项采取各</w:t>
      </w:r>
      <w:r>
        <w:rPr>
          <w:rFonts w:hint="eastAsia" w:ascii="宋体" w:hAnsi="宋体" w:eastAsia="宋体" w:cs="宋体"/>
          <w:color w:val="000000" w:themeColor="text1"/>
          <w:spacing w:val="9"/>
          <w:sz w:val="21"/>
          <w:szCs w:val="21"/>
          <w14:textFill>
            <w14:solidFill>
              <w14:schemeClr w14:val="tx1"/>
            </w14:solidFill>
          </w14:textFill>
        </w:rPr>
        <w:t>种必要的措施而导致或发生与此有关的人身伤亡、罚款、索赔、损失补偿、诉讼费用及其他一切责任应由承包人负责。</w:t>
      </w:r>
    </w:p>
    <w:p w14:paraId="3CB83FD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68" w:firstLine="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9.4.9 在施工期间，承包人应随时保持现场整洁，施工设备和材料、工程设备应整齐妥善存放和储存，废料与垃圾及不再需要的临时设施应及时从现场清除、拆除并运走。</w:t>
      </w:r>
    </w:p>
    <w:p w14:paraId="7E17715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68" w:firstLine="421"/>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9.4.10 在施工期间，承包人应严格遵守《关于在公路建设中实行最严格的耕地保护制</w:t>
      </w:r>
      <w:r>
        <w:rPr>
          <w:rFonts w:hint="eastAsia" w:ascii="宋体" w:hAnsi="宋体" w:eastAsia="宋体" w:cs="宋体"/>
          <w:color w:val="000000" w:themeColor="text1"/>
          <w:spacing w:val="8"/>
          <w:sz w:val="21"/>
          <w:szCs w:val="21"/>
          <w14:textFill>
            <w14:solidFill>
              <w14:schemeClr w14:val="tx1"/>
            </w14:solidFill>
          </w14:textFill>
        </w:rPr>
        <w:t>度的若</w:t>
      </w:r>
      <w:r>
        <w:rPr>
          <w:rFonts w:hint="eastAsia" w:ascii="宋体" w:hAnsi="宋体" w:eastAsia="宋体" w:cs="宋体"/>
          <w:color w:val="000000" w:themeColor="text1"/>
          <w:spacing w:val="10"/>
          <w:sz w:val="21"/>
          <w:szCs w:val="21"/>
          <w14:textFill>
            <w14:solidFill>
              <w14:schemeClr w14:val="tx1"/>
            </w14:solidFill>
          </w14:textFill>
        </w:rPr>
        <w:t>干意见》的相关规定，规范用地、科学用地、合理用地和节约用</w:t>
      </w:r>
      <w:r>
        <w:rPr>
          <w:rFonts w:hint="eastAsia" w:ascii="宋体" w:hAnsi="宋体" w:eastAsia="宋体" w:cs="宋体"/>
          <w:color w:val="000000" w:themeColor="text1"/>
          <w:spacing w:val="9"/>
          <w:sz w:val="21"/>
          <w:szCs w:val="21"/>
          <w14:textFill>
            <w14:solidFill>
              <w14:schemeClr w14:val="tx1"/>
            </w14:solidFill>
          </w14:textFill>
        </w:rPr>
        <w:t>地。承包人应合理利用所占耕地地</w:t>
      </w:r>
      <w:r>
        <w:rPr>
          <w:rFonts w:hint="eastAsia" w:ascii="宋体" w:hAnsi="宋体" w:eastAsia="宋体" w:cs="宋体"/>
          <w:color w:val="000000" w:themeColor="text1"/>
          <w:spacing w:val="10"/>
          <w:sz w:val="21"/>
          <w:szCs w:val="21"/>
          <w14:textFill>
            <w14:solidFill>
              <w14:schemeClr w14:val="tx1"/>
            </w14:solidFill>
          </w14:textFill>
        </w:rPr>
        <w:t>表的耕作层，用于重新造地；合理设置取土坑和弃土场，取土坑和弃土</w:t>
      </w:r>
      <w:r>
        <w:rPr>
          <w:rFonts w:hint="eastAsia" w:ascii="宋体" w:hAnsi="宋体" w:eastAsia="宋体" w:cs="宋体"/>
          <w:color w:val="000000" w:themeColor="text1"/>
          <w:spacing w:val="9"/>
          <w:sz w:val="21"/>
          <w:szCs w:val="21"/>
          <w14:textFill>
            <w14:solidFill>
              <w14:schemeClr w14:val="tx1"/>
            </w14:solidFill>
          </w14:textFill>
        </w:rPr>
        <w:t>场的施工防护要符合要求，</w:t>
      </w:r>
      <w:r>
        <w:rPr>
          <w:rFonts w:hint="eastAsia" w:ascii="宋体" w:hAnsi="宋体" w:eastAsia="宋体" w:cs="宋体"/>
          <w:color w:val="000000" w:themeColor="text1"/>
          <w:spacing w:val="10"/>
          <w:sz w:val="21"/>
          <w:szCs w:val="21"/>
          <w14:textFill>
            <w14:solidFill>
              <w14:schemeClr w14:val="tx1"/>
            </w14:solidFill>
          </w14:textFill>
        </w:rPr>
        <w:t>防止水土流失。承包人应严格控制临时占地数量，施工便道、各种料场</w:t>
      </w:r>
      <w:r>
        <w:rPr>
          <w:rFonts w:hint="eastAsia" w:ascii="宋体" w:hAnsi="宋体" w:eastAsia="宋体" w:cs="宋体"/>
          <w:color w:val="000000" w:themeColor="text1"/>
          <w:spacing w:val="9"/>
          <w:sz w:val="21"/>
          <w:szCs w:val="21"/>
          <w14:textFill>
            <w14:solidFill>
              <w14:schemeClr w14:val="tx1"/>
            </w14:solidFill>
          </w14:textFill>
        </w:rPr>
        <w:t>、预制场要根据工程进度统</w:t>
      </w:r>
      <w:r>
        <w:rPr>
          <w:rFonts w:hint="eastAsia" w:ascii="宋体" w:hAnsi="宋体" w:eastAsia="宋体" w:cs="宋体"/>
          <w:color w:val="000000" w:themeColor="text1"/>
          <w:spacing w:val="10"/>
          <w:sz w:val="21"/>
          <w:szCs w:val="21"/>
          <w14:textFill>
            <w14:solidFill>
              <w14:schemeClr w14:val="tx1"/>
            </w14:solidFill>
          </w14:textFill>
        </w:rPr>
        <w:t>筹考虑，尽可能设置在公路用地范围内或利用荒坡、废弃地解决，不得</w:t>
      </w:r>
      <w:r>
        <w:rPr>
          <w:rFonts w:hint="eastAsia" w:ascii="宋体" w:hAnsi="宋体" w:eastAsia="宋体" w:cs="宋体"/>
          <w:color w:val="000000" w:themeColor="text1"/>
          <w:spacing w:val="9"/>
          <w:sz w:val="21"/>
          <w:szCs w:val="21"/>
          <w14:textFill>
            <w14:solidFill>
              <w14:schemeClr w14:val="tx1"/>
            </w14:solidFill>
          </w14:textFill>
        </w:rPr>
        <w:t>占用农田。施工过程中要采</w:t>
      </w:r>
      <w:r>
        <w:rPr>
          <w:rFonts w:hint="eastAsia" w:ascii="宋体" w:hAnsi="宋体" w:eastAsia="宋体" w:cs="宋体"/>
          <w:color w:val="000000" w:themeColor="text1"/>
          <w:spacing w:val="10"/>
          <w:sz w:val="21"/>
          <w:szCs w:val="21"/>
          <w14:textFill>
            <w14:solidFill>
              <w14:schemeClr w14:val="tx1"/>
            </w14:solidFill>
          </w14:textFill>
        </w:rPr>
        <w:t>取有效措施防止污染农田，项目完工后承包人应将</w:t>
      </w:r>
      <w:r>
        <w:rPr>
          <w:rFonts w:hint="eastAsia" w:ascii="宋体" w:hAnsi="宋体" w:eastAsia="宋体" w:cs="宋体"/>
          <w:color w:val="000000" w:themeColor="text1"/>
          <w:spacing w:val="9"/>
          <w:sz w:val="21"/>
          <w:szCs w:val="21"/>
          <w14:textFill>
            <w14:solidFill>
              <w14:schemeClr w14:val="tx1"/>
            </w14:solidFill>
          </w14:textFill>
        </w:rPr>
        <w:t>临时占地自费恢复到临时占地使用前的状况。</w:t>
      </w:r>
    </w:p>
    <w:p w14:paraId="22F1AB0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9.4.11 承包人应严格按照国家有关法规要求，做好施工过</w:t>
      </w:r>
      <w:r>
        <w:rPr>
          <w:rFonts w:hint="eastAsia" w:ascii="宋体" w:hAnsi="宋体" w:eastAsia="宋体" w:cs="宋体"/>
          <w:color w:val="000000" w:themeColor="text1"/>
          <w:spacing w:val="8"/>
          <w:sz w:val="21"/>
          <w:szCs w:val="21"/>
          <w14:textFill>
            <w14:solidFill>
              <w14:schemeClr w14:val="tx1"/>
            </w14:solidFill>
          </w14:textFill>
        </w:rPr>
        <w:t>程中的生态保护和水土保持工作。</w:t>
      </w:r>
    </w:p>
    <w:p w14:paraId="756D8B40">
      <w:pPr>
        <w:pStyle w:val="1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施工中要尽可能减少对原地面的扰动，减少对地面草木的破坏，需要爆</w:t>
      </w:r>
      <w:r>
        <w:rPr>
          <w:rFonts w:hint="eastAsia" w:ascii="宋体" w:hAnsi="宋体" w:eastAsia="宋体" w:cs="宋体"/>
          <w:color w:val="000000" w:themeColor="text1"/>
          <w:spacing w:val="9"/>
          <w:sz w:val="21"/>
          <w:szCs w:val="21"/>
          <w14:textFill>
            <w14:solidFill>
              <w14:schemeClr w14:val="tx1"/>
            </w14:solidFill>
          </w14:textFill>
        </w:rPr>
        <w:t>破作业的，应按规定进行控</w:t>
      </w:r>
      <w:r>
        <w:rPr>
          <w:rFonts w:hint="eastAsia" w:ascii="宋体" w:hAnsi="宋体" w:eastAsia="宋体" w:cs="宋体"/>
          <w:color w:val="000000" w:themeColor="text1"/>
          <w:spacing w:val="7"/>
          <w:sz w:val="21"/>
          <w:szCs w:val="21"/>
          <w14:textFill>
            <w14:solidFill>
              <w14:schemeClr w14:val="tx1"/>
            </w14:solidFill>
          </w14:textFill>
        </w:rPr>
        <w:t>爆设计。雨季填筑路基应随挖、随运、随压，要</w:t>
      </w:r>
      <w:r>
        <w:rPr>
          <w:rFonts w:hint="eastAsia" w:ascii="宋体" w:hAnsi="宋体" w:eastAsia="宋体" w:cs="宋体"/>
          <w:color w:val="000000" w:themeColor="text1"/>
          <w:spacing w:val="6"/>
          <w:sz w:val="21"/>
          <w:szCs w:val="21"/>
          <w14:textFill>
            <w14:solidFill>
              <w14:schemeClr w14:val="tx1"/>
            </w14:solidFill>
          </w14:textFill>
        </w:rPr>
        <w:t>完善施工中的临时排水系统，加强施工便道的管理。</w:t>
      </w:r>
      <w:r>
        <w:rPr>
          <w:rFonts w:hint="eastAsia" w:ascii="宋体" w:hAnsi="宋体" w:eastAsia="宋体" w:cs="宋体"/>
          <w:color w:val="000000" w:themeColor="text1"/>
          <w:spacing w:val="9"/>
          <w:sz w:val="21"/>
          <w:szCs w:val="21"/>
          <w14:textFill>
            <w14:solidFill>
              <w14:schemeClr w14:val="tx1"/>
            </w14:solidFill>
          </w14:textFill>
        </w:rPr>
        <w:t>取（弃）土场必须先挡后弃，严禁在指定的取（弃）土场以外的地方乱挖乱弃。</w:t>
      </w:r>
    </w:p>
    <w:p w14:paraId="158D3DF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10．进度计划</w:t>
      </w:r>
    </w:p>
    <w:p w14:paraId="6F5442C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10.1</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合同进度计划</w:t>
      </w:r>
    </w:p>
    <w:p w14:paraId="55503F7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w:t>
      </w:r>
    </w:p>
    <w:p w14:paraId="11F75D8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承包人编制施工方案说明的内容见项目专用合同条款。</w:t>
      </w:r>
    </w:p>
    <w:p w14:paraId="484C754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承包人向监理人报送施工进度计划和施工方案说明的期限：签订合同协议书后 28 天之内。</w:t>
      </w:r>
    </w:p>
    <w:p w14:paraId="417EA88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监理人应在 14 天内对承包人施工进度计划和施工方案说明予以批复或提出修</w:t>
      </w:r>
      <w:r>
        <w:rPr>
          <w:rFonts w:hint="eastAsia" w:ascii="宋体" w:hAnsi="宋体" w:eastAsia="宋体" w:cs="宋体"/>
          <w:color w:val="000000" w:themeColor="text1"/>
          <w:spacing w:val="8"/>
          <w:sz w:val="21"/>
          <w:szCs w:val="21"/>
          <w14:textFill>
            <w14:solidFill>
              <w14:schemeClr w14:val="tx1"/>
            </w14:solidFill>
          </w14:textFill>
        </w:rPr>
        <w:t>改意见。</w:t>
      </w:r>
    </w:p>
    <w:p w14:paraId="507F2D4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70" w:firstLine="41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合同进度计划应按照关键线路网络图和主要工作横道图两</w:t>
      </w:r>
      <w:r>
        <w:rPr>
          <w:rFonts w:hint="eastAsia" w:ascii="宋体" w:hAnsi="宋体" w:eastAsia="宋体" w:cs="宋体"/>
          <w:color w:val="000000" w:themeColor="text1"/>
          <w:spacing w:val="9"/>
          <w:sz w:val="21"/>
          <w:szCs w:val="21"/>
          <w14:textFill>
            <w14:solidFill>
              <w14:schemeClr w14:val="tx1"/>
            </w14:solidFill>
          </w14:textFill>
        </w:rPr>
        <w:t>种形式分别编绘，并应包括每月预计</w:t>
      </w:r>
      <w:r>
        <w:rPr>
          <w:rFonts w:hint="eastAsia" w:ascii="宋体" w:hAnsi="宋体" w:eastAsia="宋体" w:cs="宋体"/>
          <w:color w:val="000000" w:themeColor="text1"/>
          <w:spacing w:val="8"/>
          <w:sz w:val="21"/>
          <w:szCs w:val="21"/>
          <w14:textFill>
            <w14:solidFill>
              <w14:schemeClr w14:val="tx1"/>
            </w14:solidFill>
          </w14:textFill>
        </w:rPr>
        <w:t>完成的工作量和形象进度。</w:t>
      </w:r>
    </w:p>
    <w:p w14:paraId="0CC0AEF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10.2</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合同进度计划的修订</w:t>
      </w:r>
    </w:p>
    <w:p w14:paraId="64CFC3A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w:t>
      </w:r>
    </w:p>
    <w:p w14:paraId="3D35D66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60"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承包人提交合同进度计划修订申请报告，并附有关措施和相</w:t>
      </w:r>
      <w:r>
        <w:rPr>
          <w:rFonts w:hint="eastAsia" w:ascii="宋体" w:hAnsi="宋体" w:eastAsia="宋体" w:cs="宋体"/>
          <w:color w:val="000000" w:themeColor="text1"/>
          <w:spacing w:val="9"/>
          <w:sz w:val="21"/>
          <w:szCs w:val="21"/>
          <w14:textFill>
            <w14:solidFill>
              <w14:schemeClr w14:val="tx1"/>
            </w14:solidFill>
          </w14:textFill>
        </w:rPr>
        <w:t>关资料的期限：实际进度发生滞后</w:t>
      </w:r>
      <w:r>
        <w:rPr>
          <w:rFonts w:hint="eastAsia" w:ascii="宋体" w:hAnsi="宋体" w:eastAsia="宋体" w:cs="宋体"/>
          <w:color w:val="000000" w:themeColor="text1"/>
          <w:spacing w:val="-3"/>
          <w:sz w:val="21"/>
          <w:szCs w:val="21"/>
          <w14:textFill>
            <w14:solidFill>
              <w14:schemeClr w14:val="tx1"/>
            </w14:solidFill>
          </w14:textFill>
        </w:rPr>
        <w:t>的当月</w:t>
      </w:r>
      <w:r>
        <w:rPr>
          <w:rFonts w:hint="eastAsia" w:ascii="宋体" w:hAnsi="宋体" w:eastAsia="宋体" w:cs="宋体"/>
          <w:color w:val="000000" w:themeColor="text1"/>
          <w:spacing w:val="16"/>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25</w:t>
      </w:r>
      <w:r>
        <w:rPr>
          <w:rFonts w:hint="eastAsia" w:ascii="宋体" w:hAnsi="宋体" w:eastAsia="宋体" w:cs="宋体"/>
          <w:color w:val="000000" w:themeColor="text1"/>
          <w:spacing w:val="48"/>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日前。</w:t>
      </w:r>
      <w:r>
        <w:rPr>
          <w:rFonts w:hint="eastAsia" w:ascii="宋体" w:hAnsi="宋体" w:eastAsia="宋体" w:cs="宋体"/>
          <w:color w:val="000000" w:themeColor="text1"/>
          <w:spacing w:val="8"/>
          <w:sz w:val="21"/>
          <w:szCs w:val="21"/>
          <w14:textFill>
            <w14:solidFill>
              <w14:schemeClr w14:val="tx1"/>
            </w14:solidFill>
          </w14:textFill>
        </w:rPr>
        <w:t>监理人批复修订合同进度计划的期限：收到修订合同进度计划后</w:t>
      </w:r>
      <w:r>
        <w:rPr>
          <w:rFonts w:hint="eastAsia" w:ascii="宋体" w:hAnsi="宋体" w:eastAsia="宋体" w:cs="宋体"/>
          <w:color w:val="000000" w:themeColor="text1"/>
          <w:spacing w:val="35"/>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14 天内。</w:t>
      </w:r>
    </w:p>
    <w:p w14:paraId="06666F1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补充第</w:t>
      </w:r>
      <w:r>
        <w:rPr>
          <w:rFonts w:hint="eastAsia" w:ascii="宋体" w:hAnsi="宋体" w:eastAsia="宋体" w:cs="宋体"/>
          <w:color w:val="000000" w:themeColor="text1"/>
          <w:spacing w:val="29"/>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10.3、10.4 款：</w:t>
      </w:r>
    </w:p>
    <w:p w14:paraId="5E72F60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10.3</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年度施工计划</w:t>
      </w:r>
    </w:p>
    <w:p w14:paraId="78514F7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0"/>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承包人应在每年</w:t>
      </w:r>
      <w:r>
        <w:rPr>
          <w:rFonts w:hint="eastAsia" w:ascii="宋体" w:hAnsi="宋体" w:eastAsia="宋体" w:cs="宋体"/>
          <w:color w:val="000000" w:themeColor="text1"/>
          <w:spacing w:val="33"/>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11 月底前，根据已同意的合同进度计划或其修订的计划，向监理人提交 2 份</w:t>
      </w:r>
      <w:r>
        <w:rPr>
          <w:rFonts w:hint="eastAsia" w:ascii="宋体" w:hAnsi="宋体" w:eastAsia="宋体" w:cs="宋体"/>
          <w:color w:val="000000" w:themeColor="text1"/>
          <w:spacing w:val="10"/>
          <w:sz w:val="21"/>
          <w:szCs w:val="21"/>
          <w14:textFill>
            <w14:solidFill>
              <w14:schemeClr w14:val="tx1"/>
            </w14:solidFill>
          </w14:textFill>
        </w:rPr>
        <w:t>格式和内容符合监理人合理规定的下一年度的施工计划，以供审查。</w:t>
      </w:r>
      <w:r>
        <w:rPr>
          <w:rFonts w:hint="eastAsia" w:ascii="宋体" w:hAnsi="宋体" w:eastAsia="宋体" w:cs="宋体"/>
          <w:color w:val="000000" w:themeColor="text1"/>
          <w:spacing w:val="9"/>
          <w:sz w:val="21"/>
          <w:szCs w:val="21"/>
          <w14:textFill>
            <w14:solidFill>
              <w14:schemeClr w14:val="tx1"/>
            </w14:solidFill>
          </w14:textFill>
        </w:rPr>
        <w:t>该计划应包括本年度估计完成</w:t>
      </w:r>
      <w:r>
        <w:rPr>
          <w:rFonts w:hint="eastAsia" w:ascii="宋体" w:hAnsi="宋体" w:eastAsia="宋体" w:cs="宋体"/>
          <w:color w:val="000000" w:themeColor="text1"/>
          <w:spacing w:val="8"/>
          <w:sz w:val="21"/>
          <w:szCs w:val="21"/>
          <w14:textFill>
            <w14:solidFill>
              <w14:schemeClr w14:val="tx1"/>
            </w14:solidFill>
          </w14:textFill>
        </w:rPr>
        <w:t>的和下一年度预计完成的分项工程数量和工作量，</w:t>
      </w:r>
      <w:r>
        <w:rPr>
          <w:rFonts w:hint="eastAsia" w:ascii="宋体" w:hAnsi="宋体" w:eastAsia="宋体" w:cs="宋体"/>
          <w:color w:val="000000" w:themeColor="text1"/>
          <w:spacing w:val="-48"/>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以及为实施此计划将采取的措施。</w:t>
      </w:r>
    </w:p>
    <w:p w14:paraId="62F339A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10.4 合同用款计划</w:t>
      </w:r>
    </w:p>
    <w:p w14:paraId="03593F9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2" w:firstLine="41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承包人应在签订本合同协议书后 28 天之内，按采购文件中规定的格式，向监理人提交 2</w:t>
      </w:r>
      <w:r>
        <w:rPr>
          <w:rFonts w:hint="eastAsia" w:ascii="宋体" w:hAnsi="宋体" w:eastAsia="宋体" w:cs="宋体"/>
          <w:color w:val="000000" w:themeColor="text1"/>
          <w:spacing w:val="8"/>
          <w:sz w:val="21"/>
          <w:szCs w:val="21"/>
          <w14:textFill>
            <w14:solidFill>
              <w14:schemeClr w14:val="tx1"/>
            </w14:solidFill>
          </w14:textFill>
        </w:rPr>
        <w:t xml:space="preserve"> 份</w:t>
      </w:r>
      <w:r>
        <w:rPr>
          <w:rFonts w:hint="eastAsia" w:ascii="宋体" w:hAnsi="宋体" w:eastAsia="宋体" w:cs="宋体"/>
          <w:color w:val="000000" w:themeColor="text1"/>
          <w:spacing w:val="10"/>
          <w:sz w:val="21"/>
          <w:szCs w:val="21"/>
          <w14:textFill>
            <w14:solidFill>
              <w14:schemeClr w14:val="tx1"/>
            </w14:solidFill>
          </w14:textFill>
        </w:rPr>
        <w:t>按合同规定承包人有权得到支付的详细的季度合同用款计划</w:t>
      </w:r>
      <w:r>
        <w:rPr>
          <w:rFonts w:hint="eastAsia" w:ascii="宋体" w:hAnsi="宋体" w:eastAsia="宋体" w:cs="宋体"/>
          <w:color w:val="000000" w:themeColor="text1"/>
          <w:spacing w:val="9"/>
          <w:sz w:val="21"/>
          <w:szCs w:val="21"/>
          <w14:textFill>
            <w14:solidFill>
              <w14:schemeClr w14:val="tx1"/>
            </w14:solidFill>
          </w14:textFill>
        </w:rPr>
        <w:t>，以备监理人查阅。如果监理人提出要求，承包人还应按季度提交修订的合同用款计划。</w:t>
      </w:r>
    </w:p>
    <w:p w14:paraId="498B35E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11．开工和竣工</w:t>
      </w:r>
    </w:p>
    <w:p w14:paraId="04C06DB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1"/>
          <w:sz w:val="21"/>
          <w:szCs w:val="21"/>
          <w14:textFill>
            <w14:solidFill>
              <w14:schemeClr w14:val="tx1"/>
            </w14:solidFill>
          </w14:textFill>
        </w:rPr>
        <w:t>11.1</w:t>
      </w:r>
      <w:r>
        <w:rPr>
          <w:rFonts w:hint="eastAsia" w:ascii="宋体" w:hAnsi="宋体" w:eastAsia="宋体" w:cs="宋体"/>
          <w:color w:val="000000" w:themeColor="text1"/>
          <w:spacing w:val="16"/>
          <w:sz w:val="21"/>
          <w:szCs w:val="21"/>
          <w14:textFill>
            <w14:solidFill>
              <w14:schemeClr w14:val="tx1"/>
            </w14:solidFill>
          </w14:textFill>
        </w:rPr>
        <w:t xml:space="preserve"> </w:t>
      </w:r>
      <w:r>
        <w:rPr>
          <w:rFonts w:hint="eastAsia" w:ascii="宋体" w:hAnsi="宋体" w:eastAsia="宋体" w:cs="宋体"/>
          <w:b/>
          <w:bCs/>
          <w:color w:val="000000" w:themeColor="text1"/>
          <w:spacing w:val="-1"/>
          <w:sz w:val="21"/>
          <w:szCs w:val="21"/>
          <w14:textFill>
            <w14:solidFill>
              <w14:schemeClr w14:val="tx1"/>
            </w14:solidFill>
          </w14:textFill>
        </w:rPr>
        <w:t>开工</w:t>
      </w:r>
    </w:p>
    <w:p w14:paraId="61DBC09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第</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11.1.2 项补充：</w:t>
      </w:r>
    </w:p>
    <w:p w14:paraId="3116707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138" w:firstLine="41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承包人应在分部工程开工前</w:t>
      </w:r>
      <w:r>
        <w:rPr>
          <w:rFonts w:hint="eastAsia" w:ascii="宋体" w:hAnsi="宋体" w:eastAsia="宋体" w:cs="宋体"/>
          <w:color w:val="000000" w:themeColor="text1"/>
          <w:spacing w:val="-21"/>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14</w:t>
      </w:r>
      <w:r>
        <w:rPr>
          <w:rFonts w:hint="eastAsia" w:ascii="宋体" w:hAnsi="宋体" w:eastAsia="宋体" w:cs="宋体"/>
          <w:color w:val="000000" w:themeColor="text1"/>
          <w:spacing w:val="-36"/>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天向监理人提交分部工程开工报审</w:t>
      </w:r>
      <w:r>
        <w:rPr>
          <w:rFonts w:hint="eastAsia" w:ascii="宋体" w:hAnsi="宋体" w:eastAsia="宋体" w:cs="宋体"/>
          <w:color w:val="000000" w:themeColor="text1"/>
          <w:spacing w:val="7"/>
          <w:sz w:val="21"/>
          <w:szCs w:val="21"/>
          <w14:textFill>
            <w14:solidFill>
              <w14:schemeClr w14:val="tx1"/>
            </w14:solidFill>
          </w14:textFill>
        </w:rPr>
        <w:t>表，若承包人的开工准备、</w:t>
      </w:r>
      <w:r>
        <w:rPr>
          <w:rFonts w:hint="eastAsia" w:ascii="宋体" w:hAnsi="宋体" w:eastAsia="宋体" w:cs="宋体"/>
          <w:color w:val="000000" w:themeColor="text1"/>
          <w:spacing w:val="10"/>
          <w:sz w:val="21"/>
          <w:szCs w:val="21"/>
          <w14:textFill>
            <w14:solidFill>
              <w14:schemeClr w14:val="tx1"/>
            </w14:solidFill>
          </w14:textFill>
        </w:rPr>
        <w:t>工作计划和质量控制方法是可接受的且已获</w:t>
      </w:r>
      <w:r>
        <w:rPr>
          <w:rFonts w:hint="eastAsia" w:ascii="宋体" w:hAnsi="宋体" w:eastAsia="宋体" w:cs="宋体"/>
          <w:color w:val="000000" w:themeColor="text1"/>
          <w:spacing w:val="9"/>
          <w:sz w:val="21"/>
          <w:szCs w:val="21"/>
          <w14:textFill>
            <w14:solidFill>
              <w14:schemeClr w14:val="tx1"/>
            </w14:solidFill>
          </w14:textFill>
        </w:rPr>
        <w:t>得批准，则经监理人书面同意，分部工程才能开工。</w:t>
      </w:r>
    </w:p>
    <w:p w14:paraId="1BDD9EF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11.3</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发包人的工期延误</w:t>
      </w:r>
    </w:p>
    <w:p w14:paraId="598EC7E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w:t>
      </w:r>
    </w:p>
    <w:p w14:paraId="6780FF4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2" w:firstLine="43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即使由于上述原因造成工期延误，如果受影响的工程并非处在工程施工进度网络计划的关键线</w:t>
      </w:r>
      <w:r>
        <w:rPr>
          <w:rFonts w:hint="eastAsia" w:ascii="宋体" w:hAnsi="宋体" w:eastAsia="宋体" w:cs="宋体"/>
          <w:color w:val="000000" w:themeColor="text1"/>
          <w:spacing w:val="8"/>
          <w:sz w:val="21"/>
          <w:szCs w:val="21"/>
          <w14:textFill>
            <w14:solidFill>
              <w14:schemeClr w14:val="tx1"/>
            </w14:solidFill>
          </w14:textFill>
        </w:rPr>
        <w:t>路上，则承包人无权要求延长总工期。</w:t>
      </w:r>
    </w:p>
    <w:p w14:paraId="4CBD17F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11.4</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异常恶劣的气候条件</w:t>
      </w:r>
    </w:p>
    <w:p w14:paraId="2BA1762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w:t>
      </w:r>
    </w:p>
    <w:p w14:paraId="38D4D6A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20"/>
        <w:jc w:val="right"/>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异常气候条件是指项目所在地30年一遇的罕见气候现象（包括</w:t>
      </w:r>
      <w:r>
        <w:rPr>
          <w:rFonts w:hint="eastAsia" w:ascii="宋体" w:hAnsi="宋体" w:eastAsia="宋体" w:cs="宋体"/>
          <w:color w:val="000000" w:themeColor="text1"/>
          <w:spacing w:val="8"/>
          <w:sz w:val="21"/>
          <w:szCs w:val="21"/>
          <w14:textFill>
            <w14:solidFill>
              <w14:schemeClr w14:val="tx1"/>
            </w14:solidFill>
          </w14:textFill>
        </w:rPr>
        <w:t>温度、降水、降雪、风等）。</w:t>
      </w:r>
    </w:p>
    <w:p w14:paraId="44F99EB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异常恶劣的气候条件在项目专用合同条款中作具体规定。</w:t>
      </w:r>
    </w:p>
    <w:p w14:paraId="6646E35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11.5</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承包人的工期延误</w:t>
      </w:r>
    </w:p>
    <w:p w14:paraId="16FC034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本款细化为：</w:t>
      </w:r>
    </w:p>
    <w:p w14:paraId="3A6500B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30"/>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（1）承包人应严格执行监理人批准的合同</w:t>
      </w:r>
      <w:r>
        <w:rPr>
          <w:rFonts w:hint="eastAsia" w:ascii="宋体" w:hAnsi="宋体" w:eastAsia="宋体" w:cs="宋体"/>
          <w:color w:val="000000" w:themeColor="text1"/>
          <w:spacing w:val="8"/>
          <w:sz w:val="21"/>
          <w:szCs w:val="21"/>
          <w14:textFill>
            <w14:solidFill>
              <w14:schemeClr w14:val="tx1"/>
            </w14:solidFill>
          </w14:textFill>
        </w:rPr>
        <w:t>进度计划，对工作量计划和形象进度计划分别控制。</w:t>
      </w:r>
      <w:r>
        <w:rPr>
          <w:rFonts w:hint="eastAsia" w:ascii="宋体" w:hAnsi="宋体" w:eastAsia="宋体" w:cs="宋体"/>
          <w:color w:val="000000" w:themeColor="text1"/>
          <w:spacing w:val="9"/>
          <w:sz w:val="21"/>
          <w:szCs w:val="21"/>
          <w14:textFill>
            <w14:solidFill>
              <w14:schemeClr w14:val="tx1"/>
            </w14:solidFill>
          </w14:textFill>
        </w:rPr>
        <w:t>除 11.3 款规定外，承包人的实际工程进度曲线应在合同进度管理曲线规定的安全区域之内。若承</w:t>
      </w:r>
      <w:r>
        <w:rPr>
          <w:rFonts w:hint="eastAsia" w:ascii="宋体" w:hAnsi="宋体" w:eastAsia="宋体" w:cs="宋体"/>
          <w:color w:val="000000" w:themeColor="text1"/>
          <w:spacing w:val="10"/>
          <w:sz w:val="21"/>
          <w:szCs w:val="21"/>
          <w14:textFill>
            <w14:solidFill>
              <w14:schemeClr w14:val="tx1"/>
            </w14:solidFill>
          </w14:textFill>
        </w:rPr>
        <w:t>包人的实际工程进度曲线处在合同进度管理曲线规定的安全区域</w:t>
      </w:r>
      <w:r>
        <w:rPr>
          <w:rFonts w:hint="eastAsia" w:ascii="宋体" w:hAnsi="宋体" w:eastAsia="宋体" w:cs="宋体"/>
          <w:color w:val="000000" w:themeColor="text1"/>
          <w:spacing w:val="9"/>
          <w:sz w:val="21"/>
          <w:szCs w:val="21"/>
          <w14:textFill>
            <w14:solidFill>
              <w14:schemeClr w14:val="tx1"/>
            </w14:solidFill>
          </w14:textFill>
        </w:rPr>
        <w:t>的下限之外时，则监理人有权认为</w:t>
      </w:r>
      <w:r>
        <w:rPr>
          <w:rFonts w:hint="eastAsia" w:ascii="宋体" w:hAnsi="宋体" w:eastAsia="宋体" w:cs="宋体"/>
          <w:color w:val="000000" w:themeColor="text1"/>
          <w:spacing w:val="10"/>
          <w:sz w:val="21"/>
          <w:szCs w:val="21"/>
          <w14:textFill>
            <w14:solidFill>
              <w14:schemeClr w14:val="tx1"/>
            </w14:solidFill>
          </w14:textFill>
        </w:rPr>
        <w:t>本合同工程的进度过慢，并通知承包人应采取必要措施，以便加快工</w:t>
      </w:r>
      <w:r>
        <w:rPr>
          <w:rFonts w:hint="eastAsia" w:ascii="宋体" w:hAnsi="宋体" w:eastAsia="宋体" w:cs="宋体"/>
          <w:color w:val="000000" w:themeColor="text1"/>
          <w:spacing w:val="9"/>
          <w:sz w:val="21"/>
          <w:szCs w:val="21"/>
          <w14:textFill>
            <w14:solidFill>
              <w14:schemeClr w14:val="tx1"/>
            </w14:solidFill>
          </w14:textFill>
        </w:rPr>
        <w:t>程进度，确保工程能在预定的工期内交工。承包人应采取措施加快进度，并承担加快进度所增加的费用。</w:t>
      </w:r>
    </w:p>
    <w:p w14:paraId="5CA8048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68"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（2）如果承包人在接到监理人通知后的</w:t>
      </w:r>
      <w:r>
        <w:rPr>
          <w:rFonts w:hint="eastAsia" w:ascii="宋体" w:hAnsi="宋体" w:eastAsia="宋体" w:cs="宋体"/>
          <w:color w:val="000000" w:themeColor="text1"/>
          <w:spacing w:val="47"/>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14 天内，未能采取加快工程进度的措施，致使实际</w:t>
      </w:r>
      <w:r>
        <w:rPr>
          <w:rFonts w:hint="eastAsia" w:ascii="宋体" w:hAnsi="宋体" w:eastAsia="宋体" w:cs="宋体"/>
          <w:color w:val="000000" w:themeColor="text1"/>
          <w:spacing w:val="10"/>
          <w:sz w:val="21"/>
          <w:szCs w:val="21"/>
          <w14:textFill>
            <w14:solidFill>
              <w14:schemeClr w14:val="tx1"/>
            </w14:solidFill>
          </w14:textFill>
        </w:rPr>
        <w:t>工程进度进一步滞后，或承包人虽采取了一些措施，仍无法按预</w:t>
      </w:r>
      <w:r>
        <w:rPr>
          <w:rFonts w:hint="eastAsia" w:ascii="宋体" w:hAnsi="宋体" w:eastAsia="宋体" w:cs="宋体"/>
          <w:color w:val="000000" w:themeColor="text1"/>
          <w:spacing w:val="9"/>
          <w:sz w:val="21"/>
          <w:szCs w:val="21"/>
          <w14:textFill>
            <w14:solidFill>
              <w14:schemeClr w14:val="tx1"/>
            </w14:solidFill>
          </w14:textFill>
        </w:rPr>
        <w:t>计工期交工时，监理人应立即通知</w:t>
      </w:r>
      <w:r>
        <w:rPr>
          <w:rFonts w:hint="eastAsia" w:ascii="宋体" w:hAnsi="宋体" w:eastAsia="宋体" w:cs="宋体"/>
          <w:color w:val="000000" w:themeColor="text1"/>
          <w:spacing w:val="8"/>
          <w:sz w:val="21"/>
          <w:szCs w:val="21"/>
          <w14:textFill>
            <w14:solidFill>
              <w14:schemeClr w14:val="tx1"/>
            </w14:solidFill>
          </w14:textFill>
        </w:rPr>
        <w:t>发包人。发包人在向承包人发出书面警告通知</w:t>
      </w:r>
      <w:r>
        <w:rPr>
          <w:rFonts w:hint="eastAsia" w:ascii="宋体" w:hAnsi="宋体" w:eastAsia="宋体" w:cs="宋体"/>
          <w:color w:val="000000" w:themeColor="text1"/>
          <w:spacing w:val="41"/>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14 天后，发包人可按第 22.1 款终止对承包人的雇</w:t>
      </w:r>
      <w:r>
        <w:rPr>
          <w:rFonts w:hint="eastAsia" w:ascii="宋体" w:hAnsi="宋体" w:eastAsia="宋体" w:cs="宋体"/>
          <w:color w:val="000000" w:themeColor="text1"/>
          <w:spacing w:val="10"/>
          <w:sz w:val="21"/>
          <w:szCs w:val="21"/>
          <w14:textFill>
            <w14:solidFill>
              <w14:schemeClr w14:val="tx1"/>
            </w14:solidFill>
          </w14:textFill>
        </w:rPr>
        <w:t>用，也可将本合同工程中的一部分工作交由其他承包人或其他</w:t>
      </w:r>
      <w:r>
        <w:rPr>
          <w:rFonts w:hint="eastAsia" w:ascii="宋体" w:hAnsi="宋体" w:eastAsia="宋体" w:cs="宋体"/>
          <w:color w:val="000000" w:themeColor="text1"/>
          <w:spacing w:val="9"/>
          <w:sz w:val="21"/>
          <w:szCs w:val="21"/>
          <w14:textFill>
            <w14:solidFill>
              <w14:schemeClr w14:val="tx1"/>
            </w14:solidFill>
          </w14:textFill>
        </w:rPr>
        <w:t>分包人完成。在不解除本合同规定的承包人责任和义务的同时，承包人应承担因此所增加的一切费用。</w:t>
      </w:r>
    </w:p>
    <w:p w14:paraId="65E0A09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68" w:firstLine="42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（2）</w:t>
      </w:r>
      <w:r>
        <w:rPr>
          <w:rFonts w:hint="eastAsia" w:ascii="宋体" w:hAnsi="宋体" w:eastAsia="宋体" w:cs="宋体"/>
          <w:color w:val="000000" w:themeColor="text1"/>
          <w:spacing w:val="-45"/>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由于承包人原因造成工期延误，承包人应支付逾期交工违约金。逾期交工违约金的计算</w:t>
      </w:r>
      <w:r>
        <w:rPr>
          <w:rFonts w:hint="eastAsia" w:ascii="宋体" w:hAnsi="宋体" w:eastAsia="宋体" w:cs="宋体"/>
          <w:color w:val="000000" w:themeColor="text1"/>
          <w:spacing w:val="10"/>
          <w:sz w:val="21"/>
          <w:szCs w:val="21"/>
          <w14:textFill>
            <w14:solidFill>
              <w14:schemeClr w14:val="tx1"/>
            </w14:solidFill>
          </w14:textFill>
        </w:rPr>
        <w:t>方法在项目专用合同条款数据表中约定，时间自预定的交工日期起</w:t>
      </w:r>
      <w:r>
        <w:rPr>
          <w:rFonts w:hint="eastAsia" w:ascii="宋体" w:hAnsi="宋体" w:eastAsia="宋体" w:cs="宋体"/>
          <w:color w:val="000000" w:themeColor="text1"/>
          <w:spacing w:val="9"/>
          <w:sz w:val="21"/>
          <w:szCs w:val="21"/>
          <w14:textFill>
            <w14:solidFill>
              <w14:schemeClr w14:val="tx1"/>
            </w14:solidFill>
          </w14:textFill>
        </w:rPr>
        <w:t>到交工验收证书为：每逾期一天支付 元人民币（在项目专用合同条款中约定</w:t>
      </w:r>
      <w:r>
        <w:rPr>
          <w:rFonts w:hint="eastAsia" w:ascii="宋体" w:hAnsi="宋体" w:eastAsia="宋体" w:cs="宋体"/>
          <w:color w:val="000000" w:themeColor="text1"/>
          <w:spacing w:val="22"/>
          <w:sz w:val="21"/>
          <w:szCs w:val="21"/>
          <w14:textFill>
            <w14:solidFill>
              <w14:schemeClr w14:val="tx1"/>
            </w14:solidFill>
          </w14:textFill>
        </w:rPr>
        <w:t>），</w:t>
      </w:r>
      <w:r>
        <w:rPr>
          <w:rFonts w:hint="eastAsia" w:ascii="宋体" w:hAnsi="宋体" w:eastAsia="宋体" w:cs="宋体"/>
          <w:color w:val="000000" w:themeColor="text1"/>
          <w:spacing w:val="9"/>
          <w:sz w:val="21"/>
          <w:szCs w:val="21"/>
          <w14:textFill>
            <w14:solidFill>
              <w14:schemeClr w14:val="tx1"/>
            </w14:solidFill>
          </w14:textFill>
        </w:rPr>
        <w:t>时间自预定的竣工日期起到工程接收证书中写明的实际竣工日期止（扣除已批准的延长工期</w:t>
      </w:r>
      <w:r>
        <w:rPr>
          <w:rFonts w:hint="eastAsia" w:ascii="宋体" w:hAnsi="宋体" w:eastAsia="宋体" w:cs="宋体"/>
          <w:color w:val="000000" w:themeColor="text1"/>
          <w:spacing w:val="23"/>
          <w:sz w:val="21"/>
          <w:szCs w:val="21"/>
          <w14:textFill>
            <w14:solidFill>
              <w14:schemeClr w14:val="tx1"/>
            </w14:solidFill>
          </w14:textFill>
        </w:rPr>
        <w:t>），</w:t>
      </w:r>
      <w:r>
        <w:rPr>
          <w:rFonts w:hint="eastAsia" w:ascii="宋体" w:hAnsi="宋体" w:eastAsia="宋体" w:cs="宋体"/>
          <w:color w:val="000000" w:themeColor="text1"/>
          <w:spacing w:val="9"/>
          <w:sz w:val="21"/>
          <w:szCs w:val="21"/>
          <w14:textFill>
            <w14:solidFill>
              <w14:schemeClr w14:val="tx1"/>
            </w14:solidFill>
          </w14:textFill>
        </w:rPr>
        <w:t>按天计算。逾期竣工违约金累计金额最高不超过签</w:t>
      </w:r>
      <w:r>
        <w:rPr>
          <w:rFonts w:hint="eastAsia" w:ascii="宋体" w:hAnsi="宋体" w:eastAsia="宋体" w:cs="宋体"/>
          <w:color w:val="000000" w:themeColor="text1"/>
          <w:spacing w:val="10"/>
          <w:sz w:val="21"/>
          <w:szCs w:val="21"/>
          <w14:textFill>
            <w14:solidFill>
              <w14:schemeClr w14:val="tx1"/>
            </w14:solidFill>
          </w14:textFill>
        </w:rPr>
        <w:t>约合同价的</w:t>
      </w:r>
      <w:r>
        <w:rPr>
          <w:rFonts w:hint="eastAsia" w:ascii="宋体" w:hAnsi="宋体" w:eastAsia="宋体" w:cs="宋体"/>
          <w:color w:val="000000" w:themeColor="text1"/>
          <w:spacing w:val="4"/>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93"/>
          <w:sz w:val="21"/>
          <w:szCs w:val="21"/>
          <w14:textFill>
            <w14:solidFill>
              <w14:schemeClr w14:val="tx1"/>
            </w14:solidFill>
          </w14:textFill>
        </w:rPr>
        <w:t xml:space="preserve"> </w:t>
      </w:r>
      <w:r>
        <w:rPr>
          <w:rFonts w:hint="eastAsia" w:ascii="宋体" w:hAnsi="宋体" w:eastAsia="宋体" w:cs="宋体"/>
          <w:color w:val="000000" w:themeColor="text1"/>
          <w:spacing w:val="10"/>
          <w:sz w:val="21"/>
          <w:szCs w:val="21"/>
          <w14:textFill>
            <w14:solidFill>
              <w14:schemeClr w14:val="tx1"/>
            </w14:solidFill>
          </w14:textFill>
        </w:rPr>
        <w:t>%。发包人可以从应付或到期应付给</w:t>
      </w:r>
      <w:r>
        <w:rPr>
          <w:rFonts w:hint="eastAsia" w:ascii="宋体" w:hAnsi="宋体" w:eastAsia="宋体" w:cs="宋体"/>
          <w:color w:val="000000" w:themeColor="text1"/>
          <w:spacing w:val="9"/>
          <w:sz w:val="21"/>
          <w:szCs w:val="21"/>
          <w14:textFill>
            <w14:solidFill>
              <w14:schemeClr w14:val="tx1"/>
            </w14:solidFill>
          </w14:textFill>
        </w:rPr>
        <w:t>承包人的任何款项中或采用其他方法扣除此违</w:t>
      </w:r>
      <w:r>
        <w:rPr>
          <w:rFonts w:hint="eastAsia" w:ascii="宋体" w:hAnsi="宋体" w:eastAsia="宋体" w:cs="宋体"/>
          <w:color w:val="000000" w:themeColor="text1"/>
          <w:spacing w:val="2"/>
          <w:sz w:val="21"/>
          <w:szCs w:val="21"/>
          <w14:textFill>
            <w14:solidFill>
              <w14:schemeClr w14:val="tx1"/>
            </w14:solidFill>
          </w14:textFill>
        </w:rPr>
        <w:t>约金。</w:t>
      </w:r>
    </w:p>
    <w:p w14:paraId="48F7009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承包人支付逾期竣工违约金，不免除承包人完成工程及修补缺陷的义务。</w:t>
      </w:r>
    </w:p>
    <w:p w14:paraId="05F6194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68" w:firstLine="42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如果在合同工作完工之前，已对合同工程内按时完工的单</w:t>
      </w:r>
      <w:r>
        <w:rPr>
          <w:rFonts w:hint="eastAsia" w:ascii="宋体" w:hAnsi="宋体" w:eastAsia="宋体" w:cs="宋体"/>
          <w:color w:val="000000" w:themeColor="text1"/>
          <w:spacing w:val="9"/>
          <w:sz w:val="21"/>
          <w:szCs w:val="21"/>
          <w14:textFill>
            <w14:solidFill>
              <w14:schemeClr w14:val="tx1"/>
            </w14:solidFill>
          </w14:textFill>
        </w:rPr>
        <w:t>位工程签发了工程接收证书，则合同</w:t>
      </w:r>
      <w:r>
        <w:rPr>
          <w:rFonts w:hint="eastAsia" w:ascii="宋体" w:hAnsi="宋体" w:eastAsia="宋体" w:cs="宋体"/>
          <w:color w:val="000000" w:themeColor="text1"/>
          <w:spacing w:val="10"/>
          <w:sz w:val="21"/>
          <w:szCs w:val="21"/>
          <w14:textFill>
            <w14:solidFill>
              <w14:schemeClr w14:val="tx1"/>
            </w14:solidFill>
          </w14:textFill>
        </w:rPr>
        <w:t>工程的逾期竣工违约金，应按已签发工程接收证书的单位工</w:t>
      </w:r>
      <w:r>
        <w:rPr>
          <w:rFonts w:hint="eastAsia" w:ascii="宋体" w:hAnsi="宋体" w:eastAsia="宋体" w:cs="宋体"/>
          <w:color w:val="000000" w:themeColor="text1"/>
          <w:spacing w:val="9"/>
          <w:sz w:val="21"/>
          <w:szCs w:val="21"/>
          <w14:textFill>
            <w14:solidFill>
              <w14:schemeClr w14:val="tx1"/>
            </w14:solidFill>
          </w14:textFill>
        </w:rPr>
        <w:t>程的价值占合同工程价值的比例予以减少，但本规定不应影响逾期竣工违约金的规定限额。</w:t>
      </w:r>
    </w:p>
    <w:p w14:paraId="156BDC1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2"/>
          <w:sz w:val="21"/>
          <w:szCs w:val="21"/>
          <w14:textFill>
            <w14:solidFill>
              <w14:schemeClr w14:val="tx1"/>
            </w14:solidFill>
          </w14:textFill>
        </w:rPr>
        <w:t>11．6</w:t>
      </w:r>
      <w:r>
        <w:rPr>
          <w:rFonts w:hint="eastAsia" w:ascii="宋体" w:hAnsi="宋体" w:eastAsia="宋体" w:cs="宋体"/>
          <w:color w:val="000000" w:themeColor="text1"/>
          <w:spacing w:val="18"/>
          <w:sz w:val="21"/>
          <w:szCs w:val="21"/>
          <w14:textFill>
            <w14:solidFill>
              <w14:schemeClr w14:val="tx1"/>
            </w14:solidFill>
          </w14:textFill>
        </w:rPr>
        <w:t xml:space="preserve"> </w:t>
      </w:r>
      <w:r>
        <w:rPr>
          <w:rFonts w:hint="eastAsia" w:ascii="宋体" w:hAnsi="宋体" w:eastAsia="宋体" w:cs="宋体"/>
          <w:b/>
          <w:bCs/>
          <w:color w:val="000000" w:themeColor="text1"/>
          <w:spacing w:val="2"/>
          <w:sz w:val="21"/>
          <w:szCs w:val="21"/>
          <w14:textFill>
            <w14:solidFill>
              <w14:schemeClr w14:val="tx1"/>
            </w14:solidFill>
          </w14:textFill>
        </w:rPr>
        <w:t>工期提前</w:t>
      </w:r>
    </w:p>
    <w:p w14:paraId="429D9999">
      <w:pPr>
        <w:keepNext w:val="0"/>
        <w:keepLines w:val="0"/>
        <w:pageBreakBefore w:val="0"/>
        <w:widowControl/>
        <w:kinsoku w:val="0"/>
        <w:wordWrap/>
        <w:overflowPunct/>
        <w:topLinePunct w:val="0"/>
        <w:autoSpaceDE w:val="0"/>
        <w:autoSpaceDN w:val="0"/>
        <w:bidi w:val="0"/>
        <w:adjustRightInd w:val="0"/>
        <w:snapToGrid w:val="0"/>
        <w:spacing w:line="400" w:lineRule="exact"/>
        <w:ind w:firstLine="440"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w:t>
      </w:r>
    </w:p>
    <w:p w14:paraId="37871B0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3"/>
        <w:textAlignment w:val="baseline"/>
        <w:rPr>
          <w:rFonts w:hint="eastAsia" w:ascii="宋体" w:hAnsi="宋体" w:eastAsia="宋体" w:cs="宋体"/>
          <w:color w:val="000000" w:themeColor="text1"/>
          <w:spacing w:val="9"/>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发包人不得随意要求承包人提前交工，承包人也不得随意提出提前交工的建议。如</w:t>
      </w:r>
      <w:r>
        <w:rPr>
          <w:rFonts w:hint="eastAsia" w:ascii="宋体" w:hAnsi="宋体" w:eastAsia="宋体" w:cs="宋体"/>
          <w:color w:val="000000" w:themeColor="text1"/>
          <w:spacing w:val="5"/>
          <w:sz w:val="21"/>
          <w:szCs w:val="21"/>
          <w14:textFill>
            <w14:solidFill>
              <w14:schemeClr w14:val="tx1"/>
            </w14:solidFill>
          </w14:textFill>
        </w:rPr>
        <w:t>遇特殊情况，</w:t>
      </w:r>
      <w:r>
        <w:rPr>
          <w:rFonts w:hint="eastAsia" w:ascii="宋体" w:hAnsi="宋体" w:eastAsia="宋体" w:cs="宋体"/>
          <w:color w:val="000000" w:themeColor="text1"/>
          <w:spacing w:val="9"/>
          <w:sz w:val="21"/>
          <w:szCs w:val="21"/>
          <w14:textFill>
            <w14:solidFill>
              <w14:schemeClr w14:val="tx1"/>
            </w14:solidFill>
          </w14:textFill>
        </w:rPr>
        <w:t>确需将工期提前的，发包人和承包人必须采取有效措施，确保工程质量。</w:t>
      </w:r>
    </w:p>
    <w:p w14:paraId="236D680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如果承包人提前交工，发包人支付奖金的计算方法在项目</w:t>
      </w:r>
      <w:r>
        <w:rPr>
          <w:rFonts w:hint="eastAsia" w:ascii="宋体" w:hAnsi="宋体" w:eastAsia="宋体" w:cs="宋体"/>
          <w:color w:val="000000" w:themeColor="text1"/>
          <w:spacing w:val="9"/>
          <w:sz w:val="21"/>
          <w:szCs w:val="21"/>
          <w14:textFill>
            <w14:solidFill>
              <w14:schemeClr w14:val="tx1"/>
            </w14:solidFill>
          </w14:textFill>
        </w:rPr>
        <w:t>专用合同条款数据表中约定，时间自</w:t>
      </w:r>
      <w:r>
        <w:rPr>
          <w:rFonts w:hint="eastAsia" w:ascii="宋体" w:hAnsi="宋体" w:eastAsia="宋体" w:cs="宋体"/>
          <w:color w:val="000000" w:themeColor="text1"/>
          <w:spacing w:val="10"/>
          <w:sz w:val="21"/>
          <w:szCs w:val="21"/>
          <w14:textFill>
            <w14:solidFill>
              <w14:schemeClr w14:val="tx1"/>
            </w14:solidFill>
          </w14:textFill>
        </w:rPr>
        <w:t>交工验收证书中写明的实际交工日期起至预定的交工日期止</w:t>
      </w:r>
      <w:r>
        <w:rPr>
          <w:rFonts w:hint="eastAsia" w:ascii="宋体" w:hAnsi="宋体" w:eastAsia="宋体" w:cs="宋体"/>
          <w:color w:val="000000" w:themeColor="text1"/>
          <w:spacing w:val="9"/>
          <w:sz w:val="21"/>
          <w:szCs w:val="21"/>
          <w14:textFill>
            <w14:solidFill>
              <w14:schemeClr w14:val="tx1"/>
            </w14:solidFill>
          </w14:textFill>
        </w:rPr>
        <w:t>，按天计算。但奖金最高限额不超过项</w:t>
      </w:r>
      <w:r>
        <w:rPr>
          <w:rFonts w:hint="eastAsia" w:ascii="宋体" w:hAnsi="宋体" w:eastAsia="宋体" w:cs="宋体"/>
          <w:color w:val="000000" w:themeColor="text1"/>
          <w:spacing w:val="8"/>
          <w:sz w:val="21"/>
          <w:szCs w:val="21"/>
          <w14:textFill>
            <w14:solidFill>
              <w14:schemeClr w14:val="tx1"/>
            </w14:solidFill>
          </w14:textFill>
        </w:rPr>
        <w:t>目专用合同条款数据表中写明的限额。</w:t>
      </w:r>
    </w:p>
    <w:p w14:paraId="79BD3C8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补充</w:t>
      </w:r>
      <w:r>
        <w:rPr>
          <w:rFonts w:hint="eastAsia" w:ascii="宋体" w:hAnsi="宋体" w:eastAsia="宋体" w:cs="宋体"/>
          <w:color w:val="000000" w:themeColor="text1"/>
          <w:spacing w:val="35"/>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11.7</w:t>
      </w:r>
      <w:r>
        <w:rPr>
          <w:rFonts w:hint="eastAsia" w:ascii="宋体" w:hAnsi="宋体" w:eastAsia="宋体" w:cs="宋体"/>
          <w:color w:val="000000" w:themeColor="text1"/>
          <w:spacing w:val="13"/>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款：</w:t>
      </w:r>
    </w:p>
    <w:p w14:paraId="454CAC9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11．7</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工作时间的限制</w:t>
      </w:r>
    </w:p>
    <w:p w14:paraId="5DCE445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54" w:firstLine="41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承包人在夜间或国家规定的节假日进行永久工程的施工，应</w:t>
      </w:r>
      <w:r>
        <w:rPr>
          <w:rFonts w:hint="eastAsia" w:ascii="宋体" w:hAnsi="宋体" w:eastAsia="宋体" w:cs="宋体"/>
          <w:color w:val="000000" w:themeColor="text1"/>
          <w:spacing w:val="9"/>
          <w:sz w:val="21"/>
          <w:szCs w:val="21"/>
          <w14:textFill>
            <w14:solidFill>
              <w14:schemeClr w14:val="tx1"/>
            </w14:solidFill>
          </w14:textFill>
        </w:rPr>
        <w:t>向监理人报告，以便监理人履行监</w:t>
      </w:r>
      <w:r>
        <w:rPr>
          <w:rFonts w:hint="eastAsia" w:ascii="宋体" w:hAnsi="宋体" w:eastAsia="宋体" w:cs="宋体"/>
          <w:color w:val="000000" w:themeColor="text1"/>
          <w:spacing w:val="8"/>
          <w:sz w:val="21"/>
          <w:szCs w:val="21"/>
          <w14:textFill>
            <w14:solidFill>
              <w14:schemeClr w14:val="tx1"/>
            </w14:solidFill>
          </w14:textFill>
        </w:rPr>
        <w:t>理人履行监理职责和义务。</w:t>
      </w:r>
    </w:p>
    <w:p w14:paraId="3681511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right="54" w:firstLine="41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但是，为了抢救生命或保护财产，或为了工程的安全、质量而</w:t>
      </w:r>
      <w:r>
        <w:rPr>
          <w:rFonts w:hint="eastAsia" w:ascii="宋体" w:hAnsi="宋体" w:eastAsia="宋体" w:cs="宋体"/>
          <w:color w:val="000000" w:themeColor="text1"/>
          <w:spacing w:val="9"/>
          <w:sz w:val="21"/>
          <w:szCs w:val="21"/>
          <w14:textFill>
            <w14:solidFill>
              <w14:schemeClr w14:val="tx1"/>
            </w14:solidFill>
          </w14:textFill>
        </w:rPr>
        <w:t>不可避免地短暂作业，则不必事先向监理人报告。但承包人应在事后立即向监理人报告。</w:t>
      </w:r>
    </w:p>
    <w:p w14:paraId="775F93C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本款规定不适用于习惯上或施工本身要求实行连续生产的作业。</w:t>
      </w:r>
    </w:p>
    <w:p w14:paraId="425AE3C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12．暂停施工</w:t>
      </w:r>
    </w:p>
    <w:p w14:paraId="46FBA71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12．1</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承包人暂停施工的责任</w:t>
      </w:r>
    </w:p>
    <w:p w14:paraId="1A5E9AE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本款第（5）项细化为：</w:t>
      </w:r>
    </w:p>
    <w:p w14:paraId="72F3EBF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（5）现场气候条件导致的必要停工（第</w:t>
      </w:r>
      <w:r>
        <w:rPr>
          <w:rFonts w:hint="eastAsia" w:ascii="宋体" w:hAnsi="宋体" w:eastAsia="宋体" w:cs="宋体"/>
          <w:color w:val="000000" w:themeColor="text1"/>
          <w:spacing w:val="31"/>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11.4 款规定的异常恶劣的气候条件除外</w:t>
      </w:r>
      <w:r>
        <w:rPr>
          <w:rFonts w:hint="eastAsia" w:ascii="宋体" w:hAnsi="宋体" w:eastAsia="宋体" w:cs="宋体"/>
          <w:color w:val="000000" w:themeColor="text1"/>
          <w:sz w:val="21"/>
          <w:szCs w:val="21"/>
          <w14:textFill>
            <w14:solidFill>
              <w14:schemeClr w14:val="tx1"/>
            </w14:solidFill>
          </w14:textFill>
        </w:rPr>
        <w:t>）；</w:t>
      </w:r>
    </w:p>
    <w:p w14:paraId="09E8705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（6）项目专用合同条款约定的由承包人承</w:t>
      </w:r>
      <w:r>
        <w:rPr>
          <w:rFonts w:hint="eastAsia" w:ascii="宋体" w:hAnsi="宋体" w:eastAsia="宋体" w:cs="宋体"/>
          <w:color w:val="000000" w:themeColor="text1"/>
          <w:spacing w:val="8"/>
          <w:sz w:val="21"/>
          <w:szCs w:val="21"/>
          <w14:textFill>
            <w14:solidFill>
              <w14:schemeClr w14:val="tx1"/>
            </w14:solidFill>
          </w14:textFill>
        </w:rPr>
        <w:t>担的其他暂停施工。</w:t>
      </w:r>
    </w:p>
    <w:p w14:paraId="31792A8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13．工程质量</w:t>
      </w:r>
    </w:p>
    <w:p w14:paraId="3C9956E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13．1</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工程质量要求</w:t>
      </w:r>
    </w:p>
    <w:p w14:paraId="6DBDB48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第</w:t>
      </w:r>
      <w:r>
        <w:rPr>
          <w:rFonts w:hint="eastAsia" w:ascii="宋体" w:hAnsi="宋体" w:eastAsia="宋体" w:cs="宋体"/>
          <w:color w:val="000000" w:themeColor="text1"/>
          <w:spacing w:val="38"/>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13.1.1 项约定为：</w:t>
      </w:r>
    </w:p>
    <w:p w14:paraId="164250E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工程质量验收按技术规范及《公路工程质量检验评定标准》执行。</w:t>
      </w:r>
    </w:p>
    <w:p w14:paraId="1FE2A21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本款补充第</w:t>
      </w:r>
      <w:r>
        <w:rPr>
          <w:rFonts w:hint="eastAsia" w:ascii="宋体" w:hAnsi="宋体" w:eastAsia="宋体" w:cs="宋体"/>
          <w:color w:val="000000" w:themeColor="text1"/>
          <w:spacing w:val="41"/>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13.1.4 和</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13.1.5 项：</w:t>
      </w:r>
    </w:p>
    <w:p w14:paraId="6230E12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right="155" w:firstLine="43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13.1.4 发包人和成博爱人应严格遵守《关于严格落</w:t>
      </w:r>
      <w:r>
        <w:rPr>
          <w:rFonts w:hint="eastAsia" w:ascii="宋体" w:hAnsi="宋体" w:eastAsia="宋体" w:cs="宋体"/>
          <w:color w:val="000000" w:themeColor="text1"/>
          <w:spacing w:val="8"/>
          <w:sz w:val="21"/>
          <w:szCs w:val="21"/>
          <w14:textFill>
            <w14:solidFill>
              <w14:schemeClr w14:val="tx1"/>
            </w14:solidFill>
          </w14:textFill>
        </w:rPr>
        <w:t>实公路工程质量责任制的若干意见》的相</w:t>
      </w:r>
      <w:r>
        <w:rPr>
          <w:rFonts w:hint="eastAsia" w:ascii="宋体" w:hAnsi="宋体" w:eastAsia="宋体" w:cs="宋体"/>
          <w:color w:val="000000" w:themeColor="text1"/>
          <w:spacing w:val="9"/>
          <w:sz w:val="21"/>
          <w:szCs w:val="21"/>
          <w14:textFill>
            <w14:solidFill>
              <w14:schemeClr w14:val="tx1"/>
            </w14:solidFill>
          </w14:textFill>
        </w:rPr>
        <w:t>关规定，认真执行工程质量责任登记制度并按要求填写工程质量责任登记表。</w:t>
      </w:r>
    </w:p>
    <w:p w14:paraId="47D988C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54" w:firstLine="433"/>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13.1.5 本项目严格执行质量责任追究制度。质量事故处理实行“</w:t>
      </w:r>
      <w:r>
        <w:rPr>
          <w:rFonts w:hint="eastAsia" w:ascii="宋体" w:hAnsi="宋体" w:eastAsia="宋体" w:cs="宋体"/>
          <w:color w:val="000000" w:themeColor="text1"/>
          <w:spacing w:val="-60"/>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四不放过</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”原则：事故原因</w:t>
      </w:r>
      <w:r>
        <w:rPr>
          <w:rFonts w:hint="eastAsia" w:ascii="宋体" w:hAnsi="宋体" w:eastAsia="宋体" w:cs="宋体"/>
          <w:color w:val="000000" w:themeColor="text1"/>
          <w:spacing w:val="10"/>
          <w:sz w:val="21"/>
          <w:szCs w:val="21"/>
          <w14:textFill>
            <w14:solidFill>
              <w14:schemeClr w14:val="tx1"/>
            </w14:solidFill>
          </w14:textFill>
        </w:rPr>
        <w:t>调查不清不放过；事故责任者没有受到教育不放过；没有防</w:t>
      </w:r>
      <w:r>
        <w:rPr>
          <w:rFonts w:hint="eastAsia" w:ascii="宋体" w:hAnsi="宋体" w:eastAsia="宋体" w:cs="宋体"/>
          <w:color w:val="000000" w:themeColor="text1"/>
          <w:spacing w:val="9"/>
          <w:sz w:val="21"/>
          <w:szCs w:val="21"/>
          <w14:textFill>
            <w14:solidFill>
              <w14:schemeClr w14:val="tx1"/>
            </w14:solidFill>
          </w14:textFill>
        </w:rPr>
        <w:t>范措施不放过；相关责任人没受到处理</w:t>
      </w:r>
      <w:r>
        <w:rPr>
          <w:rFonts w:hint="eastAsia" w:ascii="宋体" w:hAnsi="宋体" w:eastAsia="宋体" w:cs="宋体"/>
          <w:color w:val="000000" w:themeColor="text1"/>
          <w:spacing w:val="4"/>
          <w:sz w:val="21"/>
          <w:szCs w:val="21"/>
          <w14:textFill>
            <w14:solidFill>
              <w14:schemeClr w14:val="tx1"/>
            </w14:solidFill>
          </w14:textFill>
        </w:rPr>
        <w:t>不放过。</w:t>
      </w:r>
    </w:p>
    <w:p w14:paraId="4AD4DCD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13．2</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承包人的质量管理</w:t>
      </w:r>
    </w:p>
    <w:p w14:paraId="58F9628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第</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13.2.1 项补充：</w:t>
      </w:r>
    </w:p>
    <w:p w14:paraId="06AB331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 xml:space="preserve">承包人提交工程质量保证措施文件的期限：签订合同协议书后 </w:t>
      </w:r>
      <w:r>
        <w:rPr>
          <w:rFonts w:hint="eastAsia" w:ascii="宋体" w:hAnsi="宋体" w:eastAsia="宋体" w:cs="宋体"/>
          <w:color w:val="000000" w:themeColor="text1"/>
          <w:spacing w:val="8"/>
          <w:sz w:val="21"/>
          <w:szCs w:val="21"/>
          <w14:textFill>
            <w14:solidFill>
              <w14:schemeClr w14:val="tx1"/>
            </w14:solidFill>
          </w14:textFill>
        </w:rPr>
        <w:t>28 天之内。</w:t>
      </w:r>
    </w:p>
    <w:p w14:paraId="2D6BA7E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本款补充第</w:t>
      </w:r>
      <w:r>
        <w:rPr>
          <w:rFonts w:hint="eastAsia" w:ascii="宋体" w:hAnsi="宋体" w:eastAsia="宋体" w:cs="宋体"/>
          <w:color w:val="000000" w:themeColor="text1"/>
          <w:spacing w:val="31"/>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13.2.3 项～第</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13.2.6 项：</w:t>
      </w:r>
    </w:p>
    <w:p w14:paraId="4427C44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55" w:firstLine="43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13.2.3 承包人必须遵守国家有关法律、法规和规章</w:t>
      </w:r>
      <w:r>
        <w:rPr>
          <w:rFonts w:hint="eastAsia" w:ascii="宋体" w:hAnsi="宋体" w:eastAsia="宋体" w:cs="宋体"/>
          <w:color w:val="000000" w:themeColor="text1"/>
          <w:spacing w:val="8"/>
          <w:sz w:val="21"/>
          <w:szCs w:val="21"/>
          <w14:textFill>
            <w14:solidFill>
              <w14:schemeClr w14:val="tx1"/>
            </w14:solidFill>
          </w14:textFill>
        </w:rPr>
        <w:t>，严格执行公路工程强制性技术标准、各</w:t>
      </w:r>
      <w:r>
        <w:rPr>
          <w:rFonts w:hint="eastAsia" w:ascii="宋体" w:hAnsi="宋体" w:eastAsia="宋体" w:cs="宋体"/>
          <w:color w:val="000000" w:themeColor="text1"/>
          <w:spacing w:val="9"/>
          <w:sz w:val="21"/>
          <w:szCs w:val="21"/>
          <w14:textFill>
            <w14:solidFill>
              <w14:schemeClr w14:val="tx1"/>
            </w14:solidFill>
          </w14:textFill>
        </w:rPr>
        <w:t>类技术规范及规程，全面履行工程合同义务，依法对公路工程质量负责。</w:t>
      </w:r>
    </w:p>
    <w:p w14:paraId="23650C3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155" w:firstLine="43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13.2.4 承包人应加强质量监控，确保规范规定的检</w:t>
      </w:r>
      <w:r>
        <w:rPr>
          <w:rFonts w:hint="eastAsia" w:ascii="宋体" w:hAnsi="宋体" w:eastAsia="宋体" w:cs="宋体"/>
          <w:color w:val="000000" w:themeColor="text1"/>
          <w:spacing w:val="8"/>
          <w:sz w:val="21"/>
          <w:szCs w:val="21"/>
          <w14:textFill>
            <w14:solidFill>
              <w14:schemeClr w14:val="tx1"/>
            </w14:solidFill>
          </w14:textFill>
        </w:rPr>
        <w:t>验、抽检频率，现场质检的原始资料必须</w:t>
      </w:r>
      <w:r>
        <w:rPr>
          <w:rFonts w:hint="eastAsia" w:ascii="宋体" w:hAnsi="宋体" w:eastAsia="宋体" w:cs="宋体"/>
          <w:color w:val="000000" w:themeColor="text1"/>
          <w:spacing w:val="9"/>
          <w:sz w:val="21"/>
          <w:szCs w:val="21"/>
          <w14:textFill>
            <w14:solidFill>
              <w14:schemeClr w14:val="tx1"/>
            </w14:solidFill>
          </w14:textFill>
        </w:rPr>
        <w:t>真实、准确、可靠，不得追记，接受质量检查时必须出示原始资料。</w:t>
      </w:r>
    </w:p>
    <w:p w14:paraId="58B5052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firstLine="43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13.2.5 承包人必须完善检验手段，根据技术规范的</w:t>
      </w:r>
      <w:r>
        <w:rPr>
          <w:rFonts w:hint="eastAsia" w:ascii="宋体" w:hAnsi="宋体" w:eastAsia="宋体" w:cs="宋体"/>
          <w:color w:val="000000" w:themeColor="text1"/>
          <w:spacing w:val="8"/>
          <w:sz w:val="21"/>
          <w:szCs w:val="21"/>
          <w14:textFill>
            <w14:solidFill>
              <w14:schemeClr w14:val="tx1"/>
            </w14:solidFill>
          </w14:textFill>
        </w:rPr>
        <w:t>规定配齐检测和试验仪器、仪表，并应及</w:t>
      </w:r>
      <w:r>
        <w:rPr>
          <w:rFonts w:hint="eastAsia" w:ascii="宋体" w:hAnsi="宋体" w:eastAsia="宋体" w:cs="宋体"/>
          <w:color w:val="000000" w:themeColor="text1"/>
          <w:spacing w:val="6"/>
          <w:sz w:val="21"/>
          <w:szCs w:val="21"/>
          <w14:textFill>
            <w14:solidFill>
              <w14:schemeClr w14:val="tx1"/>
            </w14:solidFill>
          </w14:textFill>
        </w:rPr>
        <w:t>时校正确保其精度；根据合同要求加强工地试验室的管理；加强标准计量基础工作和材料检验工作，</w:t>
      </w:r>
      <w:r>
        <w:rPr>
          <w:rFonts w:hint="eastAsia" w:ascii="宋体" w:hAnsi="宋体" w:eastAsia="宋体" w:cs="宋体"/>
          <w:color w:val="000000" w:themeColor="text1"/>
          <w:spacing w:val="8"/>
          <w:sz w:val="21"/>
          <w:szCs w:val="21"/>
          <w14:textFill>
            <w14:solidFill>
              <w14:schemeClr w14:val="tx1"/>
            </w14:solidFill>
          </w14:textFill>
        </w:rPr>
        <w:t>不得违规计量，不合格材料严禁用于本工程。</w:t>
      </w:r>
    </w:p>
    <w:p w14:paraId="3E79788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155" w:firstLine="43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13.2.6 承包人驻工程现场机构应在现场驻地和汇总</w:t>
      </w:r>
      <w:r>
        <w:rPr>
          <w:rFonts w:hint="eastAsia" w:ascii="宋体" w:hAnsi="宋体" w:eastAsia="宋体" w:cs="宋体"/>
          <w:color w:val="000000" w:themeColor="text1"/>
          <w:spacing w:val="8"/>
          <w:sz w:val="21"/>
          <w:szCs w:val="21"/>
          <w14:textFill>
            <w14:solidFill>
              <w14:schemeClr w14:val="tx1"/>
            </w14:solidFill>
          </w14:textFill>
        </w:rPr>
        <w:t>要的分部、分项工程施工现场设置明显的工程质量责任登记表公示牌。</w:t>
      </w:r>
    </w:p>
    <w:p w14:paraId="3870E1D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13．4</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监理人的质量检查</w:t>
      </w:r>
    </w:p>
    <w:p w14:paraId="5D8CD37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w:t>
      </w:r>
    </w:p>
    <w:p w14:paraId="2A453FD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54" w:firstLine="41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监理人及其委派的检验人员，应能进入工程现场，以及材</w:t>
      </w:r>
      <w:r>
        <w:rPr>
          <w:rFonts w:hint="eastAsia" w:ascii="宋体" w:hAnsi="宋体" w:eastAsia="宋体" w:cs="宋体"/>
          <w:color w:val="000000" w:themeColor="text1"/>
          <w:spacing w:val="9"/>
          <w:sz w:val="21"/>
          <w:szCs w:val="21"/>
          <w14:textFill>
            <w14:solidFill>
              <w14:schemeClr w14:val="tx1"/>
            </w14:solidFill>
          </w14:textFill>
        </w:rPr>
        <w:t>料或工程设备的制造、加工或制配的车间和场所，包括不属于承包人的车间或场所进行检查，承包人应为此提供便利和协助。</w:t>
      </w:r>
    </w:p>
    <w:p w14:paraId="5A70BBE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54" w:firstLine="420"/>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监理人可以将材料或工程设备的检查委托给一家独立的有</w:t>
      </w:r>
      <w:r>
        <w:rPr>
          <w:rFonts w:hint="eastAsia" w:ascii="宋体" w:hAnsi="宋体" w:eastAsia="宋体" w:cs="宋体"/>
          <w:color w:val="000000" w:themeColor="text1"/>
          <w:spacing w:val="9"/>
          <w:sz w:val="21"/>
          <w:szCs w:val="21"/>
          <w14:textFill>
            <w14:solidFill>
              <w14:schemeClr w14:val="tx1"/>
            </w14:solidFill>
          </w14:textFill>
        </w:rPr>
        <w:t>质量检验认证资格的检验单位。该独立检验单位的检验结果应视为监理人完成的。监理人应将这种委托的通知书不少于 7 天交给承包</w:t>
      </w:r>
      <w:r>
        <w:rPr>
          <w:rFonts w:hint="eastAsia" w:ascii="宋体" w:hAnsi="宋体" w:eastAsia="宋体" w:cs="宋体"/>
          <w:color w:val="000000" w:themeColor="text1"/>
          <w:sz w:val="21"/>
          <w:szCs w:val="21"/>
          <w14:textFill>
            <w14:solidFill>
              <w14:schemeClr w14:val="tx1"/>
            </w14:solidFill>
          </w14:textFill>
        </w:rPr>
        <w:t>人。</w:t>
      </w:r>
    </w:p>
    <w:p w14:paraId="15B74F8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13．5</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b/>
          <w:bCs/>
          <w:color w:val="000000" w:themeColor="text1"/>
          <w:spacing w:val="6"/>
          <w:sz w:val="21"/>
          <w:szCs w:val="21"/>
          <w14:textFill>
            <w14:solidFill>
              <w14:schemeClr w14:val="tx1"/>
            </w14:solidFill>
          </w14:textFill>
        </w:rPr>
        <w:t>工程隐蔽部位覆盖前的检查</w:t>
      </w:r>
    </w:p>
    <w:p w14:paraId="5139C69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第</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13.5.1 项补充：</w:t>
      </w:r>
    </w:p>
    <w:p w14:paraId="0F3BE53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34"/>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当监理人有指示时，承包人应对重要隐蔽工程进行拍摄或照相并应保证监理人有充分的机会对</w:t>
      </w:r>
      <w:r>
        <w:rPr>
          <w:rFonts w:hint="eastAsia" w:ascii="宋体" w:hAnsi="宋体" w:eastAsia="宋体" w:cs="宋体"/>
          <w:color w:val="000000" w:themeColor="text1"/>
          <w:spacing w:val="10"/>
          <w:sz w:val="21"/>
          <w:szCs w:val="21"/>
          <w14:textFill>
            <w14:solidFill>
              <w14:schemeClr w14:val="tx1"/>
            </w14:solidFill>
          </w14:textFill>
        </w:rPr>
        <w:t>将要覆盖或隐蔽的工程进行检查或量测，特别是在基础以上的任一部分工</w:t>
      </w:r>
      <w:r>
        <w:rPr>
          <w:rFonts w:hint="eastAsia" w:ascii="宋体" w:hAnsi="宋体" w:eastAsia="宋体" w:cs="宋体"/>
          <w:color w:val="000000" w:themeColor="text1"/>
          <w:spacing w:val="9"/>
          <w:sz w:val="21"/>
          <w:szCs w:val="21"/>
          <w14:textFill>
            <w14:solidFill>
              <w14:schemeClr w14:val="tx1"/>
            </w14:solidFill>
          </w14:textFill>
        </w:rPr>
        <w:t>程修筑之前，对该基础进</w:t>
      </w:r>
      <w:r>
        <w:rPr>
          <w:rFonts w:hint="eastAsia" w:ascii="宋体" w:hAnsi="宋体" w:eastAsia="宋体" w:cs="宋体"/>
          <w:color w:val="000000" w:themeColor="text1"/>
          <w:spacing w:val="5"/>
          <w:sz w:val="21"/>
          <w:szCs w:val="21"/>
          <w14:textFill>
            <w14:solidFill>
              <w14:schemeClr w14:val="tx1"/>
            </w14:solidFill>
          </w14:textFill>
        </w:rPr>
        <w:t>行检查。</w:t>
      </w:r>
    </w:p>
    <w:p w14:paraId="11CA557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7"/>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13．6</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清除不合格工程</w:t>
      </w:r>
    </w:p>
    <w:p w14:paraId="4F7C105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第</w:t>
      </w:r>
      <w:r>
        <w:rPr>
          <w:rFonts w:hint="eastAsia" w:ascii="宋体" w:hAnsi="宋体" w:eastAsia="宋体" w:cs="宋体"/>
          <w:color w:val="000000" w:themeColor="text1"/>
          <w:spacing w:val="38"/>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13.6.1 项细化为：</w:t>
      </w:r>
    </w:p>
    <w:p w14:paraId="71A0189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2"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（1）承包人使用不合格材料、工程设备，或采用不适当的施工工艺，或施工不当，造成工程</w:t>
      </w:r>
      <w:r>
        <w:rPr>
          <w:rFonts w:hint="eastAsia" w:ascii="宋体" w:hAnsi="宋体" w:eastAsia="宋体" w:cs="宋体"/>
          <w:color w:val="000000" w:themeColor="text1"/>
          <w:spacing w:val="10"/>
          <w:sz w:val="21"/>
          <w:szCs w:val="21"/>
          <w14:textFill>
            <w14:solidFill>
              <w14:schemeClr w14:val="tx1"/>
            </w14:solidFill>
          </w14:textFill>
        </w:rPr>
        <w:t>不合格的，监理人可以随时发出指示，要求承包人立即采取措施</w:t>
      </w:r>
      <w:r>
        <w:rPr>
          <w:rFonts w:hint="eastAsia" w:ascii="宋体" w:hAnsi="宋体" w:eastAsia="宋体" w:cs="宋体"/>
          <w:color w:val="000000" w:themeColor="text1"/>
          <w:spacing w:val="9"/>
          <w:sz w:val="21"/>
          <w:szCs w:val="21"/>
          <w14:textFill>
            <w14:solidFill>
              <w14:schemeClr w14:val="tx1"/>
            </w14:solidFill>
          </w14:textFill>
        </w:rPr>
        <w:t>进行替换、补救或拆除重建，直至</w:t>
      </w:r>
      <w:r>
        <w:rPr>
          <w:rFonts w:hint="eastAsia" w:ascii="宋体" w:hAnsi="宋体" w:eastAsia="宋体" w:cs="宋体"/>
          <w:color w:val="000000" w:themeColor="text1"/>
          <w:spacing w:val="8"/>
          <w:sz w:val="21"/>
          <w:szCs w:val="21"/>
          <w14:textFill>
            <w14:solidFill>
              <w14:schemeClr w14:val="tx1"/>
            </w14:solidFill>
          </w14:textFill>
        </w:rPr>
        <w:t>达到合同要求的质量标准，</w:t>
      </w:r>
      <w:r>
        <w:rPr>
          <w:rFonts w:hint="eastAsia" w:ascii="宋体" w:hAnsi="宋体" w:eastAsia="宋体" w:cs="宋体"/>
          <w:color w:val="000000" w:themeColor="text1"/>
          <w:spacing w:val="-52"/>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由此增加的费用和（或）工期延误由承包人承担。</w:t>
      </w:r>
    </w:p>
    <w:p w14:paraId="3204857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3" w:right="103" w:firstLine="41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（2）如果承包人未在规定时间内执行监理人的指示，发包人有权雇用他人执行，</w:t>
      </w:r>
      <w:r>
        <w:rPr>
          <w:rFonts w:hint="eastAsia" w:ascii="宋体" w:hAnsi="宋体" w:eastAsia="宋体" w:cs="宋体"/>
          <w:color w:val="000000" w:themeColor="text1"/>
          <w:spacing w:val="-45"/>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由此增加的费用和（或）工期延误由承包人承担。</w:t>
      </w:r>
    </w:p>
    <w:p w14:paraId="59BC31F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14．试验和检验</w:t>
      </w:r>
    </w:p>
    <w:p w14:paraId="5271E74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补充第</w:t>
      </w:r>
      <w:r>
        <w:rPr>
          <w:rFonts w:hint="eastAsia" w:ascii="宋体" w:hAnsi="宋体" w:eastAsia="宋体" w:cs="宋体"/>
          <w:color w:val="000000" w:themeColor="text1"/>
          <w:spacing w:val="29"/>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14.4 款：</w:t>
      </w:r>
    </w:p>
    <w:p w14:paraId="4CCAEFB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14．4 试验和检验费用</w:t>
      </w:r>
    </w:p>
    <w:p w14:paraId="14C065D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（1）承包人应负责提供合同和技术规范规定的试验和检验所需的全部样品，并承担其费用。</w:t>
      </w:r>
    </w:p>
    <w:p w14:paraId="1768C64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1" w:right="103" w:firstLine="41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（2）在合同中明确规定的试验和检验，包括无须在工程量清单中单独列项和已在工程量清单</w:t>
      </w:r>
      <w:r>
        <w:rPr>
          <w:rFonts w:hint="eastAsia" w:ascii="宋体" w:hAnsi="宋体" w:eastAsia="宋体" w:cs="宋体"/>
          <w:color w:val="000000" w:themeColor="text1"/>
          <w:spacing w:val="8"/>
          <w:sz w:val="21"/>
          <w:szCs w:val="21"/>
          <w14:textFill>
            <w14:solidFill>
              <w14:schemeClr w14:val="tx1"/>
            </w14:solidFill>
          </w14:textFill>
        </w:rPr>
        <w:t>中单独列项的试验和检验，其试验和检验的费用由承包人承担。</w:t>
      </w:r>
    </w:p>
    <w:p w14:paraId="21C0185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2" w:firstLine="42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（3）如果监理人所要求做的试验和检验为合同未规定的或是在该材料或工程设备的制造、加</w:t>
      </w:r>
      <w:r>
        <w:rPr>
          <w:rFonts w:hint="eastAsia" w:ascii="宋体" w:hAnsi="宋体" w:eastAsia="宋体" w:cs="宋体"/>
          <w:color w:val="000000" w:themeColor="text1"/>
          <w:spacing w:val="10"/>
          <w:sz w:val="21"/>
          <w:szCs w:val="21"/>
          <w14:textFill>
            <w14:solidFill>
              <w14:schemeClr w14:val="tx1"/>
            </w14:solidFill>
          </w14:textFill>
        </w:rPr>
        <w:t>工、制配场地以外的场地进行的，则检验结束后，如表明操作</w:t>
      </w:r>
      <w:r>
        <w:rPr>
          <w:rFonts w:hint="eastAsia" w:ascii="宋体" w:hAnsi="宋体" w:eastAsia="宋体" w:cs="宋体"/>
          <w:color w:val="000000" w:themeColor="text1"/>
          <w:spacing w:val="9"/>
          <w:sz w:val="21"/>
          <w:szCs w:val="21"/>
          <w14:textFill>
            <w14:solidFill>
              <w14:schemeClr w14:val="tx1"/>
            </w14:solidFill>
          </w14:textFill>
        </w:rPr>
        <w:t>工艺或材料、工程设备未能符合合同规定，其费用应由承包人承担，否则，其费用应由发包人承担。</w:t>
      </w:r>
    </w:p>
    <w:p w14:paraId="4FCBC39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1"/>
          <w:sz w:val="21"/>
          <w:szCs w:val="21"/>
          <w14:textFill>
            <w14:solidFill>
              <w14:schemeClr w14:val="tx1"/>
            </w14:solidFill>
          </w14:textFill>
        </w:rPr>
        <w:t>15．变更</w:t>
      </w:r>
    </w:p>
    <w:p w14:paraId="5C6EDCB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15.1</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变更的范围和内容</w:t>
      </w:r>
    </w:p>
    <w:p w14:paraId="7D77069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本款第（1）项细化为：</w:t>
      </w:r>
    </w:p>
    <w:p w14:paraId="7C760A7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01"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（1）取消合同中任何一项工作，但被取消的工作不能转由发包人或其他人实施，</w:t>
      </w:r>
      <w:r>
        <w:rPr>
          <w:rFonts w:hint="eastAsia" w:ascii="宋体" w:hAnsi="宋体" w:eastAsia="宋体" w:cs="宋体"/>
          <w:color w:val="000000" w:themeColor="text1"/>
          <w:spacing w:val="-45"/>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由于承包人违约造成的情况除外；</w:t>
      </w:r>
    </w:p>
    <w:p w14:paraId="6903910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15.3</w:t>
      </w:r>
      <w:r>
        <w:rPr>
          <w:rFonts w:hint="eastAsia"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b/>
          <w:bCs/>
          <w:color w:val="000000" w:themeColor="text1"/>
          <w:spacing w:val="3"/>
          <w:sz w:val="21"/>
          <w:szCs w:val="21"/>
          <w14:textFill>
            <w14:solidFill>
              <w14:schemeClr w14:val="tx1"/>
            </w14:solidFill>
          </w14:textFill>
        </w:rPr>
        <w:t>变更程序</w:t>
      </w:r>
    </w:p>
    <w:p w14:paraId="1676FE2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本款补充第</w:t>
      </w:r>
      <w:r>
        <w:rPr>
          <w:rFonts w:hint="eastAsia" w:ascii="宋体" w:hAnsi="宋体" w:eastAsia="宋体" w:cs="宋体"/>
          <w:color w:val="000000" w:themeColor="text1"/>
          <w:spacing w:val="31"/>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15.3.4 项：</w:t>
      </w:r>
    </w:p>
    <w:p w14:paraId="38B1369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15.3.4 设计变更程序应执行《公路工程设计变更管理办法》的相关规定。</w:t>
      </w:r>
    </w:p>
    <w:p w14:paraId="52DE00F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15.4</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变更的估价原则</w:t>
      </w:r>
    </w:p>
    <w:p w14:paraId="1E6EF32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本款细化为</w:t>
      </w:r>
    </w:p>
    <w:p w14:paraId="7327D82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除项目专用合同条款另有约定外，因变更引起的价格调整按照本款约定处理。</w:t>
      </w:r>
    </w:p>
    <w:p w14:paraId="1DEB565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15.4.1 如果取消某项工作，则该项工作</w:t>
      </w:r>
      <w:r>
        <w:rPr>
          <w:rFonts w:hint="eastAsia" w:ascii="宋体" w:hAnsi="宋体" w:eastAsia="宋体" w:cs="宋体"/>
          <w:color w:val="000000" w:themeColor="text1"/>
          <w:spacing w:val="7"/>
          <w:sz w:val="21"/>
          <w:szCs w:val="21"/>
          <w14:textFill>
            <w14:solidFill>
              <w14:schemeClr w14:val="tx1"/>
            </w14:solidFill>
          </w14:textFill>
        </w:rPr>
        <w:t>的总额价不予以支付；</w:t>
      </w:r>
    </w:p>
    <w:p w14:paraId="6932734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15.4.2</w:t>
      </w:r>
      <w:r>
        <w:rPr>
          <w:rFonts w:hint="eastAsia" w:ascii="宋体" w:hAnsi="宋体" w:eastAsia="宋体" w:cs="宋体"/>
          <w:color w:val="000000" w:themeColor="text1"/>
          <w:spacing w:val="48"/>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已标价工程量清单中有适用于变更工作的子目的，采用该子目的单价。</w:t>
      </w:r>
    </w:p>
    <w:p w14:paraId="7BC1E74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52" w:firstLineChars="200"/>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15.4.3</w:t>
      </w:r>
      <w:r>
        <w:rPr>
          <w:rFonts w:hint="eastAsia" w:ascii="宋体" w:hAnsi="宋体" w:eastAsia="宋体" w:cs="宋体"/>
          <w:color w:val="000000" w:themeColor="text1"/>
          <w:spacing w:val="35"/>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已标价工程量清单中无适用于变更工作的子目，但有类似子目的，可在合理范围内参照类似子目的单价，由监理人按第 3.5 款商定或确定变更工作的单价。</w:t>
      </w:r>
    </w:p>
    <w:p w14:paraId="0EB2559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7" w:right="101" w:firstLine="41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15.4.4</w:t>
      </w:r>
      <w:r>
        <w:rPr>
          <w:rFonts w:hint="eastAsia" w:ascii="宋体" w:hAnsi="宋体" w:eastAsia="宋体" w:cs="宋体"/>
          <w:color w:val="000000" w:themeColor="text1"/>
          <w:spacing w:val="35"/>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已标价工程量清单中无适用或类似子目的单价，可在综合考虑承包人在竞标时所提供的单价分析表的基础上，由监理人按第 3.5 款商定或确定变更工作的单价。</w:t>
      </w:r>
    </w:p>
    <w:p w14:paraId="78740F4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56" w:firstLineChars="200"/>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15.4.5 如果本工程的变更指示是因承包人过错、承</w:t>
      </w:r>
      <w:r>
        <w:rPr>
          <w:rFonts w:hint="eastAsia" w:ascii="宋体" w:hAnsi="宋体" w:eastAsia="宋体" w:cs="宋体"/>
          <w:color w:val="000000" w:themeColor="text1"/>
          <w:spacing w:val="8"/>
          <w:sz w:val="21"/>
          <w:szCs w:val="21"/>
          <w14:textFill>
            <w14:solidFill>
              <w14:schemeClr w14:val="tx1"/>
            </w14:solidFill>
          </w14:textFill>
        </w:rPr>
        <w:t>包人违反合同或承包人责任造成的，则这</w:t>
      </w:r>
      <w:r>
        <w:rPr>
          <w:rFonts w:hint="eastAsia" w:ascii="宋体" w:hAnsi="宋体" w:eastAsia="宋体" w:cs="宋体"/>
          <w:color w:val="000000" w:themeColor="text1"/>
          <w:spacing w:val="9"/>
          <w:sz w:val="21"/>
          <w:szCs w:val="21"/>
          <w14:textFill>
            <w14:solidFill>
              <w14:schemeClr w14:val="tx1"/>
            </w14:solidFill>
          </w14:textFill>
        </w:rPr>
        <w:t>种违约引起的任何额外费用应由承包人承担。</w:t>
      </w:r>
    </w:p>
    <w:p w14:paraId="3504974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15.5</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承包人的合理化建议</w:t>
      </w:r>
    </w:p>
    <w:p w14:paraId="317539A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第</w:t>
      </w:r>
      <w:r>
        <w:rPr>
          <w:rFonts w:hint="eastAsia" w:ascii="宋体" w:hAnsi="宋体" w:eastAsia="宋体" w:cs="宋体"/>
          <w:color w:val="000000" w:themeColor="text1"/>
          <w:spacing w:val="38"/>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15.5.2 项约定为：</w:t>
      </w:r>
    </w:p>
    <w:p w14:paraId="2E30BE8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承包人提出的合理化建议缩短了工期，发包人按第</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11.6 款的规定给予</w:t>
      </w:r>
      <w:r>
        <w:rPr>
          <w:rFonts w:hint="eastAsia" w:ascii="宋体" w:hAnsi="宋体" w:eastAsia="宋体" w:cs="宋体"/>
          <w:color w:val="000000" w:themeColor="text1"/>
          <w:spacing w:val="7"/>
          <w:sz w:val="21"/>
          <w:szCs w:val="21"/>
          <w14:textFill>
            <w14:solidFill>
              <w14:schemeClr w14:val="tx1"/>
            </w14:solidFill>
          </w14:textFill>
        </w:rPr>
        <w:t>奖励。</w:t>
      </w:r>
    </w:p>
    <w:p w14:paraId="1F1B163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firstLine="41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承包人提出的合理化建议降低了合同价格或者提高了工程</w:t>
      </w:r>
      <w:r>
        <w:rPr>
          <w:rFonts w:hint="eastAsia" w:ascii="宋体" w:hAnsi="宋体" w:eastAsia="宋体" w:cs="宋体"/>
          <w:color w:val="000000" w:themeColor="text1"/>
          <w:spacing w:val="9"/>
          <w:sz w:val="21"/>
          <w:szCs w:val="21"/>
          <w14:textFill>
            <w14:solidFill>
              <w14:schemeClr w14:val="tx1"/>
            </w14:solidFill>
          </w14:textFill>
        </w:rPr>
        <w:t>经济效益的，发包人按项目专用合同</w:t>
      </w:r>
      <w:r>
        <w:rPr>
          <w:rFonts w:hint="eastAsia" w:ascii="宋体" w:hAnsi="宋体" w:eastAsia="宋体" w:cs="宋体"/>
          <w:color w:val="000000" w:themeColor="text1"/>
          <w:spacing w:val="8"/>
          <w:sz w:val="21"/>
          <w:szCs w:val="21"/>
          <w14:textFill>
            <w14:solidFill>
              <w14:schemeClr w14:val="tx1"/>
            </w14:solidFill>
          </w14:textFill>
        </w:rPr>
        <w:t>条款数据表中规定的金额给予奖励。</w:t>
      </w:r>
    </w:p>
    <w:p w14:paraId="2433877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1"/>
          <w:sz w:val="21"/>
          <w:szCs w:val="21"/>
          <w14:textFill>
            <w14:solidFill>
              <w14:schemeClr w14:val="tx1"/>
            </w14:solidFill>
          </w14:textFill>
        </w:rPr>
        <w:t>15.6</w:t>
      </w:r>
      <w:r>
        <w:rPr>
          <w:rFonts w:hint="eastAsia" w:ascii="宋体" w:hAnsi="宋体" w:eastAsia="宋体" w:cs="宋体"/>
          <w:color w:val="000000" w:themeColor="text1"/>
          <w:spacing w:val="21"/>
          <w:sz w:val="21"/>
          <w:szCs w:val="21"/>
          <w14:textFill>
            <w14:solidFill>
              <w14:schemeClr w14:val="tx1"/>
            </w14:solidFill>
          </w14:textFill>
        </w:rPr>
        <w:t xml:space="preserve"> </w:t>
      </w:r>
      <w:r>
        <w:rPr>
          <w:rFonts w:hint="eastAsia" w:ascii="宋体" w:hAnsi="宋体" w:eastAsia="宋体" w:cs="宋体"/>
          <w:b/>
          <w:bCs/>
          <w:color w:val="000000" w:themeColor="text1"/>
          <w:spacing w:val="1"/>
          <w:sz w:val="21"/>
          <w:szCs w:val="21"/>
          <w14:textFill>
            <w14:solidFill>
              <w14:schemeClr w14:val="tx1"/>
            </w14:solidFill>
          </w14:textFill>
        </w:rPr>
        <w:t>暂列金额</w:t>
      </w:r>
    </w:p>
    <w:p w14:paraId="7ADB161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本款细化为：</w:t>
      </w:r>
    </w:p>
    <w:p w14:paraId="259F052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15.6.l 暂列金额应由监理人报发包人批准后指令全部或部分地使用，或者根本不予动用。</w:t>
      </w:r>
    </w:p>
    <w:p w14:paraId="35894CD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52"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15.6.2 对于经发包人批准的每一笔暂列金额，监理人有权向承包人发出</w:t>
      </w:r>
      <w:r>
        <w:rPr>
          <w:rFonts w:hint="eastAsia" w:ascii="宋体" w:hAnsi="宋体" w:eastAsia="宋体" w:cs="宋体"/>
          <w:color w:val="000000" w:themeColor="text1"/>
          <w:spacing w:val="7"/>
          <w:sz w:val="21"/>
          <w:szCs w:val="21"/>
          <w14:textFill>
            <w14:solidFill>
              <w14:schemeClr w14:val="tx1"/>
            </w14:solidFill>
          </w14:textFill>
        </w:rPr>
        <w:t>实施工程或提供材料、</w:t>
      </w:r>
      <w:r>
        <w:rPr>
          <w:rFonts w:hint="eastAsia" w:ascii="宋体" w:hAnsi="宋体" w:eastAsia="宋体" w:cs="宋体"/>
          <w:color w:val="000000" w:themeColor="text1"/>
          <w:spacing w:val="9"/>
          <w:sz w:val="21"/>
          <w:szCs w:val="21"/>
          <w14:textFill>
            <w14:solidFill>
              <w14:schemeClr w14:val="tx1"/>
            </w14:solidFill>
          </w14:textFill>
        </w:rPr>
        <w:t>工程设备或服务的指令。这些指令应由承包人完成，监理人应根据第 15.4 款约定的变更估价原则</w:t>
      </w:r>
      <w:r>
        <w:rPr>
          <w:rFonts w:hint="eastAsia" w:ascii="宋体" w:hAnsi="宋体" w:eastAsia="宋体" w:cs="宋体"/>
          <w:color w:val="000000" w:themeColor="text1"/>
          <w:spacing w:val="7"/>
          <w:sz w:val="21"/>
          <w:szCs w:val="21"/>
          <w14:textFill>
            <w14:solidFill>
              <w14:schemeClr w14:val="tx1"/>
            </w14:solidFill>
          </w14:textFill>
        </w:rPr>
        <w:t>和第</w:t>
      </w:r>
      <w:r>
        <w:rPr>
          <w:rFonts w:hint="eastAsia" w:ascii="宋体" w:hAnsi="宋体" w:eastAsia="宋体" w:cs="宋体"/>
          <w:color w:val="000000" w:themeColor="text1"/>
          <w:spacing w:val="31"/>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15.7 款的规定，对合同价格进行相应</w:t>
      </w:r>
      <w:r>
        <w:rPr>
          <w:rFonts w:hint="eastAsia" w:ascii="宋体" w:hAnsi="宋体" w:eastAsia="宋体" w:cs="宋体"/>
          <w:color w:val="000000" w:themeColor="text1"/>
          <w:spacing w:val="6"/>
          <w:sz w:val="21"/>
          <w:szCs w:val="21"/>
          <w14:textFill>
            <w14:solidFill>
              <w14:schemeClr w14:val="tx1"/>
            </w14:solidFill>
          </w14:textFill>
        </w:rPr>
        <w:t>调整。</w:t>
      </w:r>
    </w:p>
    <w:p w14:paraId="21BCB6F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right="171" w:firstLine="43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15.6.3 当监理人提出要求时，承包人应提供有关暂</w:t>
      </w:r>
      <w:r>
        <w:rPr>
          <w:rFonts w:hint="eastAsia" w:ascii="宋体" w:hAnsi="宋体" w:eastAsia="宋体" w:cs="宋体"/>
          <w:color w:val="000000" w:themeColor="text1"/>
          <w:spacing w:val="8"/>
          <w:sz w:val="21"/>
          <w:szCs w:val="21"/>
          <w14:textFill>
            <w14:solidFill>
              <w14:schemeClr w14:val="tx1"/>
            </w14:solidFill>
          </w14:textFill>
        </w:rPr>
        <w:t>列金额支出的所有报价单、发票、凭证和</w:t>
      </w:r>
      <w:r>
        <w:rPr>
          <w:rFonts w:hint="eastAsia" w:ascii="宋体" w:hAnsi="宋体" w:eastAsia="宋体" w:cs="宋体"/>
          <w:color w:val="000000" w:themeColor="text1"/>
          <w:spacing w:val="9"/>
          <w:sz w:val="21"/>
          <w:szCs w:val="21"/>
          <w14:textFill>
            <w14:solidFill>
              <w14:schemeClr w14:val="tx1"/>
            </w14:solidFill>
          </w14:textFill>
        </w:rPr>
        <w:t>账单或收据，除非该工作是根据已标价工程量清单列明的单价或总额价进行的估价。</w:t>
      </w:r>
    </w:p>
    <w:p w14:paraId="6ED7C0E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16.价格调整</w:t>
      </w:r>
    </w:p>
    <w:p w14:paraId="7697A30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16.1</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物价波动引起的价格调整</w:t>
      </w:r>
    </w:p>
    <w:p w14:paraId="7D18FF5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本款约定为：</w:t>
      </w:r>
    </w:p>
    <w:p w14:paraId="0713ED8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6" w:firstLine="430"/>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（1）除项目专用合同条款另有约定外，因物价波动引起的价格调整应按项目专用合同条款数</w:t>
      </w:r>
      <w:r>
        <w:rPr>
          <w:rFonts w:hint="eastAsia" w:ascii="宋体" w:hAnsi="宋体" w:eastAsia="宋体" w:cs="宋体"/>
          <w:color w:val="000000" w:themeColor="text1"/>
          <w:spacing w:val="8"/>
          <w:sz w:val="21"/>
          <w:szCs w:val="21"/>
          <w14:textFill>
            <w14:solidFill>
              <w14:schemeClr w14:val="tx1"/>
            </w14:solidFill>
          </w14:textFill>
        </w:rPr>
        <w:t>据表的规定，按照第 16.1.1 项或第 16.1.2 项约定的原则处理；或者在合同执行期间（包括工期</w:t>
      </w:r>
      <w:r>
        <w:rPr>
          <w:rFonts w:hint="eastAsia" w:ascii="宋体" w:hAnsi="宋体" w:eastAsia="宋体" w:cs="宋体"/>
          <w:color w:val="000000" w:themeColor="text1"/>
          <w:spacing w:val="7"/>
          <w:sz w:val="21"/>
          <w:szCs w:val="21"/>
          <w14:textFill>
            <w14:solidFill>
              <w14:schemeClr w14:val="tx1"/>
            </w14:solidFill>
          </w14:textFill>
        </w:rPr>
        <w:t>拖延期间</w:t>
      </w:r>
      <w:r>
        <w:rPr>
          <w:rFonts w:hint="eastAsia" w:ascii="宋体" w:hAnsi="宋体" w:eastAsia="宋体" w:cs="宋体"/>
          <w:color w:val="000000" w:themeColor="text1"/>
          <w:spacing w:val="-8"/>
          <w:sz w:val="21"/>
          <w:szCs w:val="21"/>
          <w14:textFill>
            <w14:solidFill>
              <w14:schemeClr w14:val="tx1"/>
            </w14:solidFill>
          </w14:textFill>
        </w:rPr>
        <w:t>），</w:t>
      </w:r>
      <w:r>
        <w:rPr>
          <w:rFonts w:hint="eastAsia" w:ascii="宋体" w:hAnsi="宋体" w:eastAsia="宋体" w:cs="宋体"/>
          <w:color w:val="000000" w:themeColor="text1"/>
          <w:spacing w:val="7"/>
          <w:sz w:val="21"/>
          <w:szCs w:val="21"/>
          <w14:textFill>
            <w14:solidFill>
              <w14:schemeClr w14:val="tx1"/>
            </w14:solidFill>
          </w14:textFill>
        </w:rPr>
        <w:t>由于人工、材料和设备价格的上涨而引起工程施工成本增加的风险由</w:t>
      </w:r>
      <w:r>
        <w:rPr>
          <w:rFonts w:hint="eastAsia" w:ascii="宋体" w:hAnsi="宋体" w:eastAsia="宋体" w:cs="宋体"/>
          <w:color w:val="000000" w:themeColor="text1"/>
          <w:spacing w:val="6"/>
          <w:sz w:val="21"/>
          <w:szCs w:val="21"/>
          <w14:textFill>
            <w14:solidFill>
              <w14:schemeClr w14:val="tx1"/>
            </w14:solidFill>
          </w14:textFill>
        </w:rPr>
        <w:t>承包人自行承担，</w:t>
      </w:r>
      <w:r>
        <w:rPr>
          <w:rFonts w:hint="eastAsia" w:ascii="宋体" w:hAnsi="宋体" w:eastAsia="宋体" w:cs="宋体"/>
          <w:color w:val="000000" w:themeColor="text1"/>
          <w:spacing w:val="8"/>
          <w:sz w:val="21"/>
          <w:szCs w:val="21"/>
          <w14:textFill>
            <w14:solidFill>
              <w14:schemeClr w14:val="tx1"/>
            </w14:solidFill>
          </w14:textFill>
        </w:rPr>
        <w:t>合同价格不会因此而调整。</w:t>
      </w:r>
    </w:p>
    <w:p w14:paraId="04CD245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16.1.1</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采用价格指数调整价格差额</w:t>
      </w:r>
    </w:p>
    <w:p w14:paraId="5EB0D3C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16.1.1</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价格调整公式</w:t>
      </w:r>
    </w:p>
    <w:p w14:paraId="03E311C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价格调整公式后增加备注如下：</w:t>
      </w:r>
    </w:p>
    <w:p w14:paraId="504AD6B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式中，A</w:t>
      </w:r>
      <w:r>
        <w:rPr>
          <w:rFonts w:hint="eastAsia" w:ascii="宋体" w:hAnsi="宋体" w:eastAsia="宋体" w:cs="宋体"/>
          <w:color w:val="000000" w:themeColor="text1"/>
          <w:spacing w:val="38"/>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＝1</w:t>
      </w:r>
      <w:r>
        <w:rPr>
          <w:rFonts w:hint="eastAsia" w:ascii="宋体" w:hAnsi="宋体" w:eastAsia="宋体" w:cs="宋体"/>
          <w:color w:val="000000" w:themeColor="text1"/>
          <w:spacing w:val="-16"/>
          <w:sz w:val="21"/>
          <w:szCs w:val="21"/>
          <w14:textFill>
            <w14:solidFill>
              <w14:schemeClr w14:val="tx1"/>
            </w14:solidFill>
          </w14:textFill>
        </w:rPr>
        <w:t>－（</w:t>
      </w:r>
      <w:r>
        <w:rPr>
          <w:rFonts w:hint="eastAsia" w:ascii="宋体" w:hAnsi="宋体" w:eastAsia="宋体" w:cs="宋体"/>
          <w:color w:val="000000" w:themeColor="text1"/>
          <w:spacing w:val="4"/>
          <w:sz w:val="21"/>
          <w:szCs w:val="21"/>
          <w14:textFill>
            <w14:solidFill>
              <w14:schemeClr w14:val="tx1"/>
            </w14:solidFill>
          </w14:textFill>
        </w:rPr>
        <w:t>B1</w:t>
      </w:r>
      <w:r>
        <w:rPr>
          <w:rFonts w:hint="eastAsia" w:ascii="宋体" w:hAnsi="宋体" w:eastAsia="宋体" w:cs="宋体"/>
          <w:color w:val="000000" w:themeColor="text1"/>
          <w:spacing w:val="30"/>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 B2</w:t>
      </w:r>
      <w:r>
        <w:rPr>
          <w:rFonts w:hint="eastAsia" w:ascii="宋体" w:hAnsi="宋体" w:eastAsia="宋体" w:cs="宋体"/>
          <w:color w:val="000000" w:themeColor="text1"/>
          <w:spacing w:val="31"/>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 B3</w:t>
      </w:r>
      <w:r>
        <w:rPr>
          <w:rFonts w:hint="eastAsia" w:ascii="宋体" w:hAnsi="宋体" w:eastAsia="宋体" w:cs="宋体"/>
          <w:color w:val="000000" w:themeColor="text1"/>
          <w:spacing w:val="30"/>
          <w:sz w:val="21"/>
          <w:szCs w:val="21"/>
          <w14:textFill>
            <w14:solidFill>
              <w14:schemeClr w14:val="tx1"/>
            </w14:solidFill>
          </w14:textFill>
        </w:rPr>
        <w:t xml:space="preserve"> </w:t>
      </w:r>
      <w:r>
        <w:rPr>
          <w:rFonts w:hint="eastAsia" w:ascii="宋体" w:hAnsi="宋体" w:eastAsia="宋体" w:cs="宋体"/>
          <w:color w:val="000000" w:themeColor="text1"/>
          <w:spacing w:val="-16"/>
          <w:sz w:val="21"/>
          <w:szCs w:val="21"/>
          <w14:textFill>
            <w14:solidFill>
              <w14:schemeClr w14:val="tx1"/>
            </w14:solidFill>
          </w14:textFill>
        </w:rPr>
        <w:t>＋</w:t>
      </w:r>
      <w:r>
        <w:rPr>
          <w:rFonts w:hint="eastAsia" w:ascii="宋体" w:hAnsi="宋体" w:eastAsia="宋体" w:cs="宋体"/>
          <w:color w:val="000000" w:themeColor="text1"/>
          <w:spacing w:val="23"/>
          <w:sz w:val="21"/>
          <w:szCs w:val="21"/>
          <w14:textFill>
            <w14:solidFill>
              <w14:schemeClr w14:val="tx1"/>
            </w14:solidFill>
          </w14:textFill>
        </w:rPr>
        <w:t xml:space="preserve"> </w:t>
      </w:r>
      <w:r>
        <w:rPr>
          <w:rFonts w:hint="eastAsia" w:ascii="宋体" w:hAnsi="宋体" w:eastAsia="宋体" w:cs="宋体"/>
          <w:color w:val="000000" w:themeColor="text1"/>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16"/>
          <w:sz w:val="21"/>
          <w:szCs w:val="21"/>
          <w14:textFill>
            <w14:solidFill>
              <w14:schemeClr w14:val="tx1"/>
            </w14:solidFill>
          </w14:textFill>
        </w:rPr>
        <w:t>＋</w:t>
      </w:r>
      <w:r>
        <w:rPr>
          <w:rFonts w:hint="eastAsia" w:ascii="宋体" w:hAnsi="宋体" w:eastAsia="宋体" w:cs="宋体"/>
          <w:color w:val="000000" w:themeColor="text1"/>
          <w:spacing w:val="10"/>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Bn</w:t>
      </w:r>
      <w:r>
        <w:rPr>
          <w:rFonts w:hint="eastAsia" w:ascii="宋体" w:hAnsi="宋体" w:eastAsia="宋体" w:cs="宋体"/>
          <w:color w:val="000000" w:themeColor="text1"/>
          <w:spacing w:val="4"/>
          <w:sz w:val="21"/>
          <w:szCs w:val="21"/>
          <w14:textFill>
            <w14:solidFill>
              <w14:schemeClr w14:val="tx1"/>
            </w14:solidFill>
          </w14:textFill>
        </w:rPr>
        <w:t xml:space="preserve"> ）</w:t>
      </w:r>
    </w:p>
    <w:p w14:paraId="402A13D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本目最后一段文字细化为：</w:t>
      </w:r>
    </w:p>
    <w:p w14:paraId="2040CDB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在采用价格调整公式进行调价时，还应遵守以下规定：</w:t>
      </w:r>
    </w:p>
    <w:p w14:paraId="1C99FF4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68"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（1）</w:t>
      </w:r>
      <w:r>
        <w:rPr>
          <w:rFonts w:hint="eastAsia" w:ascii="宋体" w:hAnsi="宋体" w:eastAsia="宋体" w:cs="宋体"/>
          <w:color w:val="000000" w:themeColor="text1"/>
          <w:spacing w:val="-44"/>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以上价格调整公式中的各可调因子、定值权重，</w:t>
      </w:r>
      <w:r>
        <w:rPr>
          <w:rFonts w:hint="eastAsia" w:ascii="宋体" w:hAnsi="宋体" w:eastAsia="宋体" w:cs="宋体"/>
          <w:color w:val="000000" w:themeColor="text1"/>
          <w:spacing w:val="-60"/>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以及基本价格指数及其来源，由发包人</w:t>
      </w:r>
      <w:r>
        <w:rPr>
          <w:rFonts w:hint="eastAsia" w:ascii="宋体" w:hAnsi="宋体" w:eastAsia="宋体" w:cs="宋体"/>
          <w:color w:val="000000" w:themeColor="text1"/>
          <w:spacing w:val="9"/>
          <w:sz w:val="21"/>
          <w:szCs w:val="21"/>
          <w14:textFill>
            <w14:solidFill>
              <w14:schemeClr w14:val="tx1"/>
            </w14:solidFill>
          </w14:textFill>
        </w:rPr>
        <w:t>在竞标函附录价格指数和权重表中约定。价格指数应首先采</w:t>
      </w:r>
      <w:r>
        <w:rPr>
          <w:rFonts w:hint="eastAsia" w:ascii="宋体" w:hAnsi="宋体" w:eastAsia="宋体" w:cs="宋体"/>
          <w:color w:val="000000" w:themeColor="text1"/>
          <w:spacing w:val="8"/>
          <w:sz w:val="21"/>
          <w:szCs w:val="21"/>
          <w14:textFill>
            <w14:solidFill>
              <w14:schemeClr w14:val="tx1"/>
            </w14:solidFill>
          </w14:textFill>
        </w:rPr>
        <w:t>用国家或省、</w:t>
      </w:r>
      <w:r>
        <w:rPr>
          <w:rFonts w:hint="eastAsia" w:ascii="宋体" w:hAnsi="宋体" w:eastAsia="宋体" w:cs="宋体"/>
          <w:color w:val="000000" w:themeColor="text1"/>
          <w:spacing w:val="-52"/>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自治区、直辖市价格部门</w:t>
      </w:r>
      <w:r>
        <w:rPr>
          <w:rFonts w:hint="eastAsia" w:ascii="宋体" w:hAnsi="宋体" w:eastAsia="宋体" w:cs="宋体"/>
          <w:color w:val="000000" w:themeColor="text1"/>
          <w:spacing w:val="9"/>
          <w:sz w:val="21"/>
          <w:szCs w:val="21"/>
          <w14:textFill>
            <w14:solidFill>
              <w14:schemeClr w14:val="tx1"/>
            </w14:solidFill>
          </w14:textFill>
        </w:rPr>
        <w:t>或统计部门提供的价格指数，缺乏上述价格指数时，可采用上述部门提供的价格代替。</w:t>
      </w:r>
    </w:p>
    <w:p w14:paraId="63BD2D5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68" w:firstLine="42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（2）价格调整公式中的变值权重，</w:t>
      </w:r>
      <w:r>
        <w:rPr>
          <w:rFonts w:hint="eastAsia" w:ascii="宋体" w:hAnsi="宋体" w:eastAsia="宋体" w:cs="宋体"/>
          <w:color w:val="000000" w:themeColor="text1"/>
          <w:spacing w:val="-45"/>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由发包人根据项目实际情况测算确定范围，并在竞标函附</w:t>
      </w:r>
      <w:r>
        <w:rPr>
          <w:rFonts w:hint="eastAsia" w:ascii="宋体" w:hAnsi="宋体" w:eastAsia="宋体" w:cs="宋体"/>
          <w:color w:val="000000" w:themeColor="text1"/>
          <w:spacing w:val="10"/>
          <w:sz w:val="21"/>
          <w:szCs w:val="21"/>
          <w14:textFill>
            <w14:solidFill>
              <w14:schemeClr w14:val="tx1"/>
            </w14:solidFill>
          </w14:textFill>
        </w:rPr>
        <w:t>录价格指数和权重表中约定范围；承包人在竞标时在此范围内填写</w:t>
      </w:r>
      <w:r>
        <w:rPr>
          <w:rFonts w:hint="eastAsia" w:ascii="宋体" w:hAnsi="宋体" w:eastAsia="宋体" w:cs="宋体"/>
          <w:color w:val="000000" w:themeColor="text1"/>
          <w:spacing w:val="9"/>
          <w:sz w:val="21"/>
          <w:szCs w:val="21"/>
          <w14:textFill>
            <w14:solidFill>
              <w14:schemeClr w14:val="tx1"/>
            </w14:solidFill>
          </w14:textFill>
        </w:rPr>
        <w:t>各可调因子的权重，合同实施期</w:t>
      </w:r>
      <w:r>
        <w:rPr>
          <w:rFonts w:hint="eastAsia" w:ascii="宋体" w:hAnsi="宋体" w:eastAsia="宋体" w:cs="宋体"/>
          <w:color w:val="000000" w:themeColor="text1"/>
          <w:spacing w:val="8"/>
          <w:sz w:val="21"/>
          <w:szCs w:val="21"/>
          <w14:textFill>
            <w14:solidFill>
              <w14:schemeClr w14:val="tx1"/>
            </w14:solidFill>
          </w14:textFill>
        </w:rPr>
        <w:t>间将按此权重进行调价。</w:t>
      </w:r>
    </w:p>
    <w:p w14:paraId="1265F95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17.计量与支付</w:t>
      </w:r>
    </w:p>
    <w:p w14:paraId="29F5637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1"/>
          <w:sz w:val="21"/>
          <w:szCs w:val="21"/>
          <w14:textFill>
            <w14:solidFill>
              <w14:schemeClr w14:val="tx1"/>
            </w14:solidFill>
          </w14:textFill>
        </w:rPr>
        <w:t>17.1</w:t>
      </w:r>
      <w:r>
        <w:rPr>
          <w:rFonts w:hint="eastAsia" w:ascii="宋体" w:hAnsi="宋体" w:eastAsia="宋体" w:cs="宋体"/>
          <w:color w:val="000000" w:themeColor="text1"/>
          <w:spacing w:val="16"/>
          <w:sz w:val="21"/>
          <w:szCs w:val="21"/>
          <w14:textFill>
            <w14:solidFill>
              <w14:schemeClr w14:val="tx1"/>
            </w14:solidFill>
          </w14:textFill>
        </w:rPr>
        <w:t xml:space="preserve"> </w:t>
      </w:r>
      <w:r>
        <w:rPr>
          <w:rFonts w:hint="eastAsia" w:ascii="宋体" w:hAnsi="宋体" w:eastAsia="宋体" w:cs="宋体"/>
          <w:b/>
          <w:bCs/>
          <w:color w:val="000000" w:themeColor="text1"/>
          <w:spacing w:val="-1"/>
          <w:sz w:val="21"/>
          <w:szCs w:val="21"/>
          <w14:textFill>
            <w14:solidFill>
              <w14:schemeClr w14:val="tx1"/>
            </w14:solidFill>
          </w14:textFill>
        </w:rPr>
        <w:t>计量</w:t>
      </w:r>
    </w:p>
    <w:p w14:paraId="1DC402D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17.1.2 计量方法</w:t>
      </w:r>
    </w:p>
    <w:p w14:paraId="4DD6A0C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本项约定为：</w:t>
      </w:r>
    </w:p>
    <w:p w14:paraId="0FFFA42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3" w:firstLine="42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工程的计量应以净值为准，除非项目专用合同条款另</w:t>
      </w:r>
      <w:r>
        <w:rPr>
          <w:rFonts w:hint="eastAsia" w:ascii="宋体" w:hAnsi="宋体" w:eastAsia="宋体" w:cs="宋体"/>
          <w:color w:val="000000" w:themeColor="text1"/>
          <w:spacing w:val="9"/>
          <w:sz w:val="21"/>
          <w:szCs w:val="21"/>
          <w14:textFill>
            <w14:solidFill>
              <w14:schemeClr w14:val="tx1"/>
            </w14:solidFill>
          </w14:textFill>
        </w:rPr>
        <w:t>有约定。工程量清单中各个子目的具体计量方法按本合同文件技术标准中的规定执行。</w:t>
      </w:r>
    </w:p>
    <w:p w14:paraId="1D2442A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17.1.4 单价子目的计量</w:t>
      </w:r>
    </w:p>
    <w:p w14:paraId="51D71BD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本项补充：</w:t>
      </w:r>
    </w:p>
    <w:p w14:paraId="6CF55E6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104" w:firstLine="42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（7）承包人未在已标价工程量清单中填入单价或总额价的工程子目，将被认为其已包含在本合同的其他子目的单价和总额价中，发包人将不另行支付。</w:t>
      </w:r>
    </w:p>
    <w:p w14:paraId="127E4B8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17.2</w:t>
      </w:r>
      <w:r>
        <w:rPr>
          <w:rFonts w:hint="eastAsia" w:ascii="宋体" w:hAnsi="宋体" w:eastAsia="宋体" w:cs="宋体"/>
          <w:color w:val="000000" w:themeColor="text1"/>
          <w:spacing w:val="17"/>
          <w:sz w:val="21"/>
          <w:szCs w:val="21"/>
          <w14:textFill>
            <w14:solidFill>
              <w14:schemeClr w14:val="tx1"/>
            </w14:solidFill>
          </w14:textFill>
        </w:rPr>
        <w:t xml:space="preserve"> </w:t>
      </w:r>
      <w:r>
        <w:rPr>
          <w:rFonts w:hint="eastAsia" w:ascii="宋体" w:hAnsi="宋体" w:eastAsia="宋体" w:cs="宋体"/>
          <w:b/>
          <w:bCs/>
          <w:color w:val="000000" w:themeColor="text1"/>
          <w:sz w:val="21"/>
          <w:szCs w:val="21"/>
          <w14:textFill>
            <w14:solidFill>
              <w14:schemeClr w14:val="tx1"/>
            </w14:solidFill>
          </w14:textFill>
        </w:rPr>
        <w:t>预付款：</w:t>
      </w:r>
    </w:p>
    <w:p w14:paraId="2A33745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3" w:firstLine="4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17.2.1 本项目预付款约定为</w:t>
      </w:r>
      <w:r>
        <w:rPr>
          <w:rFonts w:hint="eastAsia" w:ascii="宋体" w:hAnsi="宋体" w:eastAsia="宋体" w:cs="宋体"/>
          <w:color w:val="000000" w:themeColor="text1"/>
          <w:spacing w:val="7"/>
          <w:sz w:val="21"/>
          <w:szCs w:val="21"/>
          <w:u w:val="single" w:color="auto"/>
          <w14:textFill>
            <w14:solidFill>
              <w14:schemeClr w14:val="tx1"/>
            </w14:solidFill>
          </w14:textFill>
        </w:rPr>
        <w:t>合同价的</w:t>
      </w:r>
      <w:r>
        <w:rPr>
          <w:rFonts w:hint="eastAsia" w:ascii="宋体" w:hAnsi="宋体" w:eastAsia="宋体" w:cs="宋体"/>
          <w:color w:val="000000" w:themeColor="text1"/>
          <w:spacing w:val="-3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7"/>
          <w:sz w:val="21"/>
          <w:szCs w:val="21"/>
          <w:u w:val="single" w:color="auto"/>
          <w14:textFill>
            <w14:solidFill>
              <w14:schemeClr w14:val="tx1"/>
            </w14:solidFill>
          </w14:textFill>
        </w:rPr>
        <w:t>30%（在签订合同时，承包人明确表示</w:t>
      </w:r>
      <w:r>
        <w:rPr>
          <w:rFonts w:hint="eastAsia" w:ascii="宋体" w:hAnsi="宋体" w:eastAsia="宋体" w:cs="宋体"/>
          <w:color w:val="000000" w:themeColor="text1"/>
          <w:spacing w:val="6"/>
          <w:sz w:val="21"/>
          <w:szCs w:val="21"/>
          <w:u w:val="single" w:color="auto"/>
          <w14:textFill>
            <w14:solidFill>
              <w14:schemeClr w14:val="tx1"/>
            </w14:solidFill>
          </w14:textFill>
        </w:rPr>
        <w:t>无需预付款或者主</w:t>
      </w:r>
      <w:r>
        <w:rPr>
          <w:rFonts w:hint="eastAsia" w:ascii="宋体" w:hAnsi="宋体" w:eastAsia="宋体" w:cs="宋体"/>
          <w:color w:val="000000" w:themeColor="text1"/>
          <w:spacing w:val="9"/>
          <w:sz w:val="21"/>
          <w:szCs w:val="21"/>
          <w:u w:val="single" w:color="auto"/>
          <w14:textFill>
            <w14:solidFill>
              <w14:schemeClr w14:val="tx1"/>
            </w14:solidFill>
          </w14:textFill>
        </w:rPr>
        <w:t>动要求降低预付款比例的，发包人人可不适用于预付</w:t>
      </w:r>
      <w:r>
        <w:rPr>
          <w:rFonts w:hint="eastAsia" w:ascii="宋体" w:hAnsi="宋体" w:eastAsia="宋体" w:cs="宋体"/>
          <w:color w:val="000000" w:themeColor="text1"/>
          <w:spacing w:val="8"/>
          <w:sz w:val="21"/>
          <w:szCs w:val="21"/>
          <w:u w:val="single" w:color="auto"/>
          <w14:textFill>
            <w14:solidFill>
              <w14:schemeClr w14:val="tx1"/>
            </w14:solidFill>
          </w14:textFill>
        </w:rPr>
        <w:t>款制度）</w:t>
      </w:r>
      <w:r>
        <w:rPr>
          <w:rFonts w:hint="eastAsia" w:ascii="宋体" w:hAnsi="宋体" w:eastAsia="宋体" w:cs="宋体"/>
          <w:color w:val="000000" w:themeColor="text1"/>
          <w:spacing w:val="8"/>
          <w:sz w:val="21"/>
          <w:szCs w:val="21"/>
          <w14:textFill>
            <w14:solidFill>
              <w14:schemeClr w14:val="tx1"/>
            </w14:solidFill>
          </w14:textFill>
        </w:rPr>
        <w:t>。</w:t>
      </w:r>
    </w:p>
    <w:p w14:paraId="2191286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17.2.2 预付款的扣回：</w:t>
      </w:r>
      <w:r>
        <w:rPr>
          <w:rFonts w:hint="eastAsia" w:ascii="宋体" w:hAnsi="宋体" w:eastAsia="宋体" w:cs="宋体"/>
          <w:color w:val="000000" w:themeColor="text1"/>
          <w:spacing w:val="7"/>
          <w:sz w:val="21"/>
          <w:szCs w:val="21"/>
          <w:u w:val="single" w:color="auto"/>
          <w14:textFill>
            <w14:solidFill>
              <w14:schemeClr w14:val="tx1"/>
            </w14:solidFill>
          </w14:textFill>
        </w:rPr>
        <w:t>在首次进度款中一次性扣回</w:t>
      </w:r>
      <w:r>
        <w:rPr>
          <w:rFonts w:hint="eastAsia" w:ascii="宋体" w:hAnsi="宋体" w:eastAsia="宋体" w:cs="宋体"/>
          <w:color w:val="000000" w:themeColor="text1"/>
          <w:spacing w:val="7"/>
          <w:sz w:val="21"/>
          <w:szCs w:val="21"/>
          <w14:textFill>
            <w14:solidFill>
              <w14:schemeClr w14:val="tx1"/>
            </w14:solidFill>
          </w14:textFill>
        </w:rPr>
        <w:t>。</w:t>
      </w:r>
    </w:p>
    <w:p w14:paraId="071A4BE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17.3</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工程进度付款</w:t>
      </w:r>
    </w:p>
    <w:p w14:paraId="7EAE82A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firstLine="444" w:firstLineChars="200"/>
        <w:textAlignment w:val="baseline"/>
        <w:rPr>
          <w:rFonts w:hint="eastAsia" w:ascii="宋体" w:hAnsi="宋体" w:eastAsia="宋体" w:cs="宋体"/>
          <w:color w:val="000000" w:themeColor="text1"/>
          <w:spacing w:val="6"/>
          <w:sz w:val="21"/>
          <w:szCs w:val="21"/>
          <w:u w:val="single" w:color="auto"/>
          <w14:textFill>
            <w14:solidFill>
              <w14:schemeClr w14:val="tx1"/>
            </w14:solidFill>
          </w14:textFill>
        </w:rPr>
      </w:pPr>
      <w:r>
        <w:rPr>
          <w:rFonts w:hint="eastAsia" w:ascii="宋体" w:hAnsi="宋体" w:eastAsia="宋体" w:cs="宋体"/>
          <w:color w:val="000000" w:themeColor="text1"/>
          <w:spacing w:val="6"/>
          <w:sz w:val="21"/>
          <w:szCs w:val="21"/>
          <w:u w:val="single" w:color="auto"/>
          <w14:textFill>
            <w14:solidFill>
              <w14:schemeClr w14:val="tx1"/>
            </w14:solidFill>
          </w14:textFill>
        </w:rPr>
        <w:t>(1)根据桂人社发(2019)30 号文件要求:实行农民工工资保障金三方监管，并办理农民工工资保障金三方监管手续。(2)本工程约定预付款为合同价款的 30%（在签订合同时，承包人明确表示无需预付款或者主动要求降低预付款比例的，发包人人可不适用于预付款制度）。 (3)承包人可以按工程进度完成的工程数量向发包人申请进度款，申请进度款按发包人审定工程量的 80%支付，剩余 20%待工程竣工验收合格并经审计部门审定后，方可申请支付至审计审定价的100%；质量保证金待工程质量保修期(一年)满后，无质量问题一次性返还(无息)【开工前承包人按合同价的 3%向发包人缴纳工程质量保证金，保证金缴存港北财政局归集账户(贵港市港北区财政局623657503796中行港北支行，备注 :港北区交通运输局XXX 建设工程)]，质量保证金待工程质量保修期(1年)满后，无质量问题时一次性无息返还。</w:t>
      </w:r>
    </w:p>
    <w:p w14:paraId="674843F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17.4</w:t>
      </w:r>
      <w:r>
        <w:rPr>
          <w:rFonts w:hint="eastAsia"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b/>
          <w:bCs/>
          <w:color w:val="000000" w:themeColor="text1"/>
          <w:spacing w:val="3"/>
          <w:sz w:val="21"/>
          <w:szCs w:val="21"/>
          <w14:textFill>
            <w14:solidFill>
              <w14:schemeClr w14:val="tx1"/>
            </w14:solidFill>
          </w14:textFill>
        </w:rPr>
        <w:t>质量保证金</w:t>
      </w:r>
    </w:p>
    <w:p w14:paraId="2983184A">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第</w:t>
      </w:r>
      <w:r>
        <w:rPr>
          <w:rFonts w:hint="eastAsia" w:ascii="宋体" w:hAnsi="宋体" w:eastAsia="宋体" w:cs="宋体"/>
          <w:color w:val="000000" w:themeColor="text1"/>
          <w:spacing w:val="38"/>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17.4.1 项细化为：</w:t>
      </w:r>
    </w:p>
    <w:p w14:paraId="7F30DF27">
      <w:pPr>
        <w:pStyle w:val="18"/>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cs="宋体"/>
          <w:color w:val="000000" w:themeColor="text1"/>
          <w:spacing w:val="8"/>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开工前承包人按合同价的</w:t>
      </w:r>
      <w:r>
        <w:rPr>
          <w:rFonts w:hint="eastAsia" w:ascii="宋体" w:hAnsi="宋体" w:eastAsia="宋体" w:cs="宋体"/>
          <w:color w:val="000000" w:themeColor="text1"/>
          <w:spacing w:val="-35"/>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3%向发包人缴纳工程质量保证金，保证金缴存港北区财政</w:t>
      </w:r>
      <w:r>
        <w:rPr>
          <w:rFonts w:hint="eastAsia" w:ascii="宋体" w:hAnsi="宋体" w:eastAsia="宋体" w:cs="宋体"/>
          <w:color w:val="000000" w:themeColor="text1"/>
          <w:spacing w:val="7"/>
          <w:sz w:val="21"/>
          <w:szCs w:val="21"/>
          <w14:textFill>
            <w14:solidFill>
              <w14:schemeClr w14:val="tx1"/>
            </w14:solidFill>
          </w14:textFill>
        </w:rPr>
        <w:t>局归集账户(贵港市港北区财政局</w:t>
      </w:r>
      <w:r>
        <w:rPr>
          <w:rFonts w:hint="eastAsia" w:ascii="宋体" w:hAnsi="宋体" w:eastAsia="宋体" w:cs="宋体"/>
          <w:color w:val="000000" w:themeColor="text1"/>
          <w:spacing w:val="-37"/>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623657503796</w:t>
      </w:r>
      <w:r>
        <w:rPr>
          <w:rFonts w:hint="eastAsia" w:ascii="宋体" w:hAnsi="宋体" w:eastAsia="宋体" w:cs="宋体"/>
          <w:color w:val="000000" w:themeColor="text1"/>
          <w:spacing w:val="-21"/>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中行港北支行，备注</w:t>
      </w:r>
      <w:r>
        <w:rPr>
          <w:rFonts w:hint="eastAsia" w:ascii="宋体" w:hAnsi="宋体" w:eastAsia="宋体" w:cs="宋体"/>
          <w:color w:val="000000" w:themeColor="text1"/>
          <w:spacing w:val="-58"/>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:港北区交通运输局</w:t>
      </w:r>
      <w:r>
        <w:rPr>
          <w:rFonts w:hint="eastAsia" w:ascii="宋体" w:hAnsi="宋体" w:eastAsia="宋体" w:cs="宋体"/>
          <w:color w:val="000000" w:themeColor="text1"/>
          <w:sz w:val="21"/>
          <w:szCs w:val="21"/>
          <w14:textFill>
            <w14:solidFill>
              <w14:schemeClr w14:val="tx1"/>
            </w14:solidFill>
          </w14:textFill>
        </w:rPr>
        <w:t>XXX</w:t>
      </w:r>
      <w:r>
        <w:rPr>
          <w:rFonts w:hint="eastAsia" w:ascii="宋体" w:hAnsi="宋体" w:eastAsia="宋体" w:cs="宋体"/>
          <w:color w:val="000000" w:themeColor="text1"/>
          <w:spacing w:val="-38"/>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建设工程</w:t>
      </w:r>
      <w:r>
        <w:rPr>
          <w:rFonts w:hint="eastAsia" w:ascii="宋体" w:hAnsi="宋体" w:eastAsia="宋体" w:cs="宋体"/>
          <w:color w:val="000000" w:themeColor="text1"/>
          <w:spacing w:val="6"/>
          <w:sz w:val="21"/>
          <w:szCs w:val="21"/>
          <w14:textFill>
            <w14:solidFill>
              <w14:schemeClr w14:val="tx1"/>
            </w14:solidFill>
          </w14:textFill>
        </w:rPr>
        <w:t>)。待工</w:t>
      </w:r>
      <w:r>
        <w:rPr>
          <w:rFonts w:hint="eastAsia" w:ascii="宋体" w:hAnsi="宋体" w:eastAsia="宋体" w:cs="宋体"/>
          <w:color w:val="000000" w:themeColor="text1"/>
          <w:spacing w:val="8"/>
          <w:sz w:val="21"/>
          <w:szCs w:val="21"/>
          <w14:textFill>
            <w14:solidFill>
              <w14:schemeClr w14:val="tx1"/>
            </w14:solidFill>
          </w14:textFill>
        </w:rPr>
        <w:t>程质量保修期(一年)满后，无质量问题时一次性返还(无息)。</w:t>
      </w:r>
    </w:p>
    <w:p w14:paraId="6994CDF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1"/>
          <w:sz w:val="21"/>
          <w:szCs w:val="21"/>
          <w14:textFill>
            <w14:solidFill>
              <w14:schemeClr w14:val="tx1"/>
            </w14:solidFill>
          </w14:textFill>
        </w:rPr>
        <w:t>17.5</w:t>
      </w:r>
      <w:r>
        <w:rPr>
          <w:rFonts w:hint="eastAsia" w:ascii="宋体" w:hAnsi="宋体" w:eastAsia="宋体" w:cs="宋体"/>
          <w:color w:val="000000" w:themeColor="text1"/>
          <w:spacing w:val="21"/>
          <w:sz w:val="21"/>
          <w:szCs w:val="21"/>
          <w14:textFill>
            <w14:solidFill>
              <w14:schemeClr w14:val="tx1"/>
            </w14:solidFill>
          </w14:textFill>
        </w:rPr>
        <w:t xml:space="preserve"> </w:t>
      </w:r>
      <w:r>
        <w:rPr>
          <w:rFonts w:hint="eastAsia" w:ascii="宋体" w:hAnsi="宋体" w:eastAsia="宋体" w:cs="宋体"/>
          <w:b/>
          <w:bCs/>
          <w:color w:val="000000" w:themeColor="text1"/>
          <w:spacing w:val="1"/>
          <w:sz w:val="21"/>
          <w:szCs w:val="21"/>
          <w14:textFill>
            <w14:solidFill>
              <w14:schemeClr w14:val="tx1"/>
            </w14:solidFill>
          </w14:textFill>
        </w:rPr>
        <w:t>交工结算</w:t>
      </w:r>
    </w:p>
    <w:p w14:paraId="28A8457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17.5.l 交工付款申请单</w:t>
      </w:r>
    </w:p>
    <w:p w14:paraId="585BD0D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本项（l）</w:t>
      </w:r>
      <w:r>
        <w:rPr>
          <w:rFonts w:hint="eastAsia" w:ascii="宋体" w:hAnsi="宋体" w:eastAsia="宋体" w:cs="宋体"/>
          <w:color w:val="000000" w:themeColor="text1"/>
          <w:spacing w:val="-37"/>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目约定为：</w:t>
      </w:r>
    </w:p>
    <w:p w14:paraId="0D42D56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0" w:firstLine="4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承包人向监理人提交交工付款申请单（包括相关证明材料）的份</w:t>
      </w:r>
      <w:r>
        <w:rPr>
          <w:rFonts w:hint="eastAsia" w:ascii="宋体" w:hAnsi="宋体" w:eastAsia="宋体" w:cs="宋体"/>
          <w:color w:val="000000" w:themeColor="text1"/>
          <w:spacing w:val="9"/>
          <w:sz w:val="21"/>
          <w:szCs w:val="21"/>
          <w14:textFill>
            <w14:solidFill>
              <w14:schemeClr w14:val="tx1"/>
            </w14:solidFill>
          </w14:textFill>
        </w:rPr>
        <w:t>数在项目专用合同条款数据表</w:t>
      </w:r>
      <w:r>
        <w:rPr>
          <w:rFonts w:hint="eastAsia" w:ascii="宋体" w:hAnsi="宋体" w:eastAsia="宋体" w:cs="宋体"/>
          <w:color w:val="000000" w:themeColor="text1"/>
          <w:spacing w:val="7"/>
          <w:sz w:val="21"/>
          <w:szCs w:val="21"/>
          <w14:textFill>
            <w14:solidFill>
              <w14:schemeClr w14:val="tx1"/>
            </w14:solidFill>
          </w14:textFill>
        </w:rPr>
        <w:t>中约定；期限：交工验收证书签发后 30 天内。</w:t>
      </w:r>
    </w:p>
    <w:p w14:paraId="0A7F6B2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1"/>
          <w:sz w:val="21"/>
          <w:szCs w:val="21"/>
          <w14:textFill>
            <w14:solidFill>
              <w14:schemeClr w14:val="tx1"/>
            </w14:solidFill>
          </w14:textFill>
        </w:rPr>
        <w:t>17.6</w:t>
      </w:r>
      <w:r>
        <w:rPr>
          <w:rFonts w:hint="eastAsia" w:ascii="宋体" w:hAnsi="宋体" w:eastAsia="宋体" w:cs="宋体"/>
          <w:color w:val="000000" w:themeColor="text1"/>
          <w:spacing w:val="21"/>
          <w:sz w:val="21"/>
          <w:szCs w:val="21"/>
          <w14:textFill>
            <w14:solidFill>
              <w14:schemeClr w14:val="tx1"/>
            </w14:solidFill>
          </w14:textFill>
        </w:rPr>
        <w:t xml:space="preserve"> </w:t>
      </w:r>
      <w:r>
        <w:rPr>
          <w:rFonts w:hint="eastAsia" w:ascii="宋体" w:hAnsi="宋体" w:eastAsia="宋体" w:cs="宋体"/>
          <w:b/>
          <w:bCs/>
          <w:color w:val="000000" w:themeColor="text1"/>
          <w:spacing w:val="1"/>
          <w:sz w:val="21"/>
          <w:szCs w:val="21"/>
          <w14:textFill>
            <w14:solidFill>
              <w14:schemeClr w14:val="tx1"/>
            </w14:solidFill>
          </w14:textFill>
        </w:rPr>
        <w:t>最终结清</w:t>
      </w:r>
    </w:p>
    <w:p w14:paraId="6672111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17.6.1 最终结清申请单</w:t>
      </w:r>
    </w:p>
    <w:p w14:paraId="365D0B5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本项（1）</w:t>
      </w:r>
      <w:r>
        <w:rPr>
          <w:rFonts w:hint="eastAsia" w:ascii="宋体" w:hAnsi="宋体" w:eastAsia="宋体" w:cs="宋体"/>
          <w:color w:val="000000" w:themeColor="text1"/>
          <w:spacing w:val="-37"/>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目约定为：</w:t>
      </w:r>
    </w:p>
    <w:p w14:paraId="393472F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0" w:firstLine="4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承包人向监理人提交最终结清申请单（包括相关证明材料）的份</w:t>
      </w:r>
      <w:r>
        <w:rPr>
          <w:rFonts w:hint="eastAsia" w:ascii="宋体" w:hAnsi="宋体" w:eastAsia="宋体" w:cs="宋体"/>
          <w:color w:val="000000" w:themeColor="text1"/>
          <w:spacing w:val="9"/>
          <w:sz w:val="21"/>
          <w:szCs w:val="21"/>
          <w14:textFill>
            <w14:solidFill>
              <w14:schemeClr w14:val="tx1"/>
            </w14:solidFill>
          </w14:textFill>
        </w:rPr>
        <w:t>数在项目专用合同条款数据表</w:t>
      </w:r>
      <w:r>
        <w:rPr>
          <w:rFonts w:hint="eastAsia" w:ascii="宋体" w:hAnsi="宋体" w:eastAsia="宋体" w:cs="宋体"/>
          <w:color w:val="000000" w:themeColor="text1"/>
          <w:spacing w:val="7"/>
          <w:sz w:val="21"/>
          <w:szCs w:val="21"/>
          <w14:textFill>
            <w14:solidFill>
              <w14:schemeClr w14:val="tx1"/>
            </w14:solidFill>
          </w14:textFill>
        </w:rPr>
        <w:t>中约定；期限：缺陷责任期终止证书签发后 28 天内。</w:t>
      </w:r>
    </w:p>
    <w:p w14:paraId="5E22639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208" w:firstLine="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最终结清申请单中的总金额应认为是代表了根据合同规定</w:t>
      </w:r>
      <w:r>
        <w:rPr>
          <w:rFonts w:hint="eastAsia" w:ascii="宋体" w:hAnsi="宋体" w:eastAsia="宋体" w:cs="宋体"/>
          <w:color w:val="000000" w:themeColor="text1"/>
          <w:spacing w:val="9"/>
          <w:sz w:val="21"/>
          <w:szCs w:val="21"/>
          <w14:textFill>
            <w14:solidFill>
              <w14:schemeClr w14:val="tx1"/>
            </w14:solidFill>
          </w14:textFill>
        </w:rPr>
        <w:t>应付给承包人的全部款项的最后结</w:t>
      </w:r>
      <w:r>
        <w:rPr>
          <w:rFonts w:hint="eastAsia" w:ascii="宋体" w:hAnsi="宋体" w:eastAsia="宋体" w:cs="宋体"/>
          <w:color w:val="000000" w:themeColor="text1"/>
          <w:spacing w:val="-1"/>
          <w:sz w:val="21"/>
          <w:szCs w:val="21"/>
          <w14:textFill>
            <w14:solidFill>
              <w14:schemeClr w14:val="tx1"/>
            </w14:solidFill>
          </w14:textFill>
        </w:rPr>
        <w:t>算。</w:t>
      </w:r>
    </w:p>
    <w:p w14:paraId="7E02AF8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18．交工验收</w:t>
      </w:r>
    </w:p>
    <w:p w14:paraId="4F33416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18.2</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交工验收申请报告</w:t>
      </w:r>
    </w:p>
    <w:p w14:paraId="08B136E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本款第（2）项约定为：</w:t>
      </w:r>
    </w:p>
    <w:p w14:paraId="3E1FC1E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8"/>
        <w:jc w:val="right"/>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竣工资料的内容：承包人应按照《公路工程竣（交）工验收办法》和相关规定编制竣工资料。</w:t>
      </w:r>
    </w:p>
    <w:p w14:paraId="52B0B76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竣工资料的份数在项目专用合同条款数据表中约定。</w:t>
      </w:r>
    </w:p>
    <w:p w14:paraId="68D4A48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18.3</w:t>
      </w:r>
      <w:r>
        <w:rPr>
          <w:rFonts w:hint="eastAsia" w:ascii="宋体" w:hAnsi="宋体" w:eastAsia="宋体" w:cs="宋体"/>
          <w:color w:val="000000" w:themeColor="text1"/>
          <w:spacing w:val="11"/>
          <w:sz w:val="21"/>
          <w:szCs w:val="21"/>
          <w14:textFill>
            <w14:solidFill>
              <w14:schemeClr w14:val="tx1"/>
            </w14:solidFill>
          </w14:textFill>
        </w:rPr>
        <w:t xml:space="preserve"> </w:t>
      </w:r>
      <w:r>
        <w:rPr>
          <w:rFonts w:hint="eastAsia" w:ascii="宋体" w:hAnsi="宋体" w:eastAsia="宋体" w:cs="宋体"/>
          <w:b/>
          <w:bCs/>
          <w:color w:val="000000" w:themeColor="text1"/>
          <w:sz w:val="21"/>
          <w:szCs w:val="21"/>
          <w14:textFill>
            <w14:solidFill>
              <w14:schemeClr w14:val="tx1"/>
            </w14:solidFill>
          </w14:textFill>
        </w:rPr>
        <w:t>验收</w:t>
      </w:r>
    </w:p>
    <w:p w14:paraId="37224629">
      <w:pPr>
        <w:keepNext w:val="0"/>
        <w:keepLines w:val="0"/>
        <w:pageBreakBefore w:val="0"/>
        <w:widowControl/>
        <w:kinsoku w:val="0"/>
        <w:wordWrap/>
        <w:overflowPunct/>
        <w:topLinePunct w:val="0"/>
        <w:autoSpaceDE w:val="0"/>
        <w:autoSpaceDN w:val="0"/>
        <w:bidi w:val="0"/>
        <w:adjustRightInd w:val="0"/>
        <w:snapToGrid w:val="0"/>
        <w:spacing w:line="400" w:lineRule="exact"/>
        <w:ind w:firstLine="432"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第</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18.3.2 项补充：</w:t>
      </w:r>
    </w:p>
    <w:p w14:paraId="44EBD97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5"/>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交工验收由发包人主持，由发包人、监理人、质</w:t>
      </w:r>
      <w:r>
        <w:rPr>
          <w:rFonts w:hint="eastAsia" w:ascii="宋体" w:hAnsi="宋体" w:eastAsia="宋体" w:cs="宋体"/>
          <w:color w:val="000000" w:themeColor="text1"/>
          <w:spacing w:val="9"/>
          <w:sz w:val="21"/>
          <w:szCs w:val="21"/>
          <w14:textFill>
            <w14:solidFill>
              <w14:schemeClr w14:val="tx1"/>
            </w14:solidFill>
          </w14:textFill>
        </w:rPr>
        <w:t>监、设计、施工、运营、管理养护等有关部门</w:t>
      </w:r>
      <w:r>
        <w:rPr>
          <w:rFonts w:hint="eastAsia" w:ascii="宋体" w:hAnsi="宋体" w:eastAsia="宋体" w:cs="宋体"/>
          <w:color w:val="000000" w:themeColor="text1"/>
          <w:spacing w:val="7"/>
          <w:sz w:val="21"/>
          <w:szCs w:val="21"/>
          <w14:textFill>
            <w14:solidFill>
              <w14:schemeClr w14:val="tx1"/>
            </w14:solidFill>
          </w14:textFill>
        </w:rPr>
        <w:t>代表组成交工验收小组，对本项目的工程质量进行</w:t>
      </w:r>
      <w:r>
        <w:rPr>
          <w:rFonts w:hint="eastAsia" w:ascii="宋体" w:hAnsi="宋体" w:eastAsia="宋体" w:cs="宋体"/>
          <w:color w:val="000000" w:themeColor="text1"/>
          <w:spacing w:val="6"/>
          <w:sz w:val="21"/>
          <w:szCs w:val="21"/>
          <w14:textFill>
            <w14:solidFill>
              <w14:schemeClr w14:val="tx1"/>
            </w14:solidFill>
          </w14:textFill>
        </w:rPr>
        <w:t>评定，并写出交工验收报告报交通主管部门备案。</w:t>
      </w:r>
      <w:r>
        <w:rPr>
          <w:rFonts w:hint="eastAsia" w:ascii="宋体" w:hAnsi="宋体" w:eastAsia="宋体" w:cs="宋体"/>
          <w:color w:val="000000" w:themeColor="text1"/>
          <w:spacing w:val="9"/>
          <w:sz w:val="21"/>
          <w:szCs w:val="21"/>
          <w14:textFill>
            <w14:solidFill>
              <w14:schemeClr w14:val="tx1"/>
            </w14:solidFill>
          </w14:textFill>
        </w:rPr>
        <w:t>承包人应按发包人的要求提交竣工资料，完成交工验收准备工作。</w:t>
      </w:r>
    </w:p>
    <w:p w14:paraId="5CCC34F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第</w:t>
      </w:r>
      <w:r>
        <w:rPr>
          <w:rFonts w:hint="eastAsia" w:ascii="宋体" w:hAnsi="宋体" w:eastAsia="宋体" w:cs="宋体"/>
          <w:color w:val="000000" w:themeColor="text1"/>
          <w:spacing w:val="38"/>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18.3.5 项约定为：</w:t>
      </w:r>
    </w:p>
    <w:p w14:paraId="5D7A23D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5" w:right="68" w:firstLine="41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经验收合格工程的实际交工日期，以最终提交交工验收申请</w:t>
      </w:r>
      <w:r>
        <w:rPr>
          <w:rFonts w:hint="eastAsia" w:ascii="宋体" w:hAnsi="宋体" w:eastAsia="宋体" w:cs="宋体"/>
          <w:color w:val="000000" w:themeColor="text1"/>
          <w:spacing w:val="9"/>
          <w:sz w:val="21"/>
          <w:szCs w:val="21"/>
          <w14:textFill>
            <w14:solidFill>
              <w14:schemeClr w14:val="tx1"/>
            </w14:solidFill>
          </w14:textFill>
        </w:rPr>
        <w:t>报告的日期为准，并在交工验收证</w:t>
      </w:r>
      <w:r>
        <w:rPr>
          <w:rFonts w:hint="eastAsia" w:ascii="宋体" w:hAnsi="宋体" w:eastAsia="宋体" w:cs="宋体"/>
          <w:color w:val="000000" w:themeColor="text1"/>
          <w:spacing w:val="5"/>
          <w:sz w:val="21"/>
          <w:szCs w:val="21"/>
          <w14:textFill>
            <w14:solidFill>
              <w14:schemeClr w14:val="tx1"/>
            </w14:solidFill>
          </w14:textFill>
        </w:rPr>
        <w:t>书中写明。</w:t>
      </w:r>
    </w:p>
    <w:p w14:paraId="54BD03D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本款补充第</w:t>
      </w:r>
      <w:r>
        <w:rPr>
          <w:rFonts w:hint="eastAsia" w:ascii="宋体" w:hAnsi="宋体" w:eastAsia="宋体" w:cs="宋体"/>
          <w:color w:val="000000" w:themeColor="text1"/>
          <w:spacing w:val="31"/>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18.3.7 项：</w:t>
      </w:r>
    </w:p>
    <w:p w14:paraId="4E04B91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70" w:firstLine="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组织办理交工验收和签发交工验收证书的费用由发包人承担。但按照第</w:t>
      </w:r>
      <w:r>
        <w:rPr>
          <w:rFonts w:hint="eastAsia" w:ascii="宋体" w:hAnsi="宋体" w:eastAsia="宋体" w:cs="宋体"/>
          <w:color w:val="000000" w:themeColor="text1"/>
          <w:spacing w:val="40"/>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18.3.4 项规定达不到合格标准的交工验收费用由承包人承担。</w:t>
      </w:r>
    </w:p>
    <w:p w14:paraId="0384431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本条补充第</w:t>
      </w:r>
      <w:r>
        <w:rPr>
          <w:rFonts w:hint="eastAsia" w:ascii="宋体" w:hAnsi="宋体" w:eastAsia="宋体" w:cs="宋体"/>
          <w:color w:val="000000" w:themeColor="text1"/>
          <w:spacing w:val="31"/>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18.9 款：</w:t>
      </w:r>
    </w:p>
    <w:p w14:paraId="446350F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18.9</w:t>
      </w:r>
      <w:r>
        <w:rPr>
          <w:rFonts w:hint="eastAsia"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b/>
          <w:bCs/>
          <w:color w:val="000000" w:themeColor="text1"/>
          <w:spacing w:val="3"/>
          <w:sz w:val="21"/>
          <w:szCs w:val="21"/>
          <w14:textFill>
            <w14:solidFill>
              <w14:schemeClr w14:val="tx1"/>
            </w14:solidFill>
          </w14:textFill>
        </w:rPr>
        <w:t>竣工文件</w:t>
      </w:r>
    </w:p>
    <w:p w14:paraId="1BFB1AF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right="70" w:firstLine="41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承包人应按照《公路工程竣（交）工验收办法》中的相关</w:t>
      </w:r>
      <w:r>
        <w:rPr>
          <w:rFonts w:hint="eastAsia" w:ascii="宋体" w:hAnsi="宋体" w:eastAsia="宋体" w:cs="宋体"/>
          <w:color w:val="000000" w:themeColor="text1"/>
          <w:spacing w:val="9"/>
          <w:sz w:val="21"/>
          <w:szCs w:val="21"/>
          <w14:textFill>
            <w14:solidFill>
              <w14:schemeClr w14:val="tx1"/>
            </w14:solidFill>
          </w14:textFill>
        </w:rPr>
        <w:t>规定，在缺陷责任期内为竣工验收补充竣工资料，并在签发缺陷责任期终止证书之前提交。</w:t>
      </w:r>
    </w:p>
    <w:p w14:paraId="465EFD2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19．缺陷责任与保修责任</w:t>
      </w:r>
    </w:p>
    <w:p w14:paraId="795C3A7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19.2</w:t>
      </w:r>
      <w:r>
        <w:rPr>
          <w:rFonts w:hint="eastAsia"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b/>
          <w:bCs/>
          <w:color w:val="000000" w:themeColor="text1"/>
          <w:spacing w:val="3"/>
          <w:sz w:val="21"/>
          <w:szCs w:val="21"/>
          <w14:textFill>
            <w14:solidFill>
              <w14:schemeClr w14:val="tx1"/>
            </w14:solidFill>
          </w14:textFill>
        </w:rPr>
        <w:t>缺陷责任</w:t>
      </w:r>
    </w:p>
    <w:p w14:paraId="18E12FF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第</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19.2.2 项补充：</w:t>
      </w:r>
    </w:p>
    <w:p w14:paraId="73F5889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4" w:right="70" w:firstLine="40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在缺陷责任期内，承包人应尽快完成在交工验收证书中写明</w:t>
      </w:r>
      <w:r>
        <w:rPr>
          <w:rFonts w:hint="eastAsia" w:ascii="宋体" w:hAnsi="宋体" w:eastAsia="宋体" w:cs="宋体"/>
          <w:color w:val="000000" w:themeColor="text1"/>
          <w:spacing w:val="9"/>
          <w:sz w:val="21"/>
          <w:szCs w:val="21"/>
          <w14:textFill>
            <w14:solidFill>
              <w14:schemeClr w14:val="tx1"/>
            </w14:solidFill>
          </w14:textFill>
        </w:rPr>
        <w:t>的未完成工作，并完成对本工程缺</w:t>
      </w:r>
      <w:r>
        <w:rPr>
          <w:rFonts w:hint="eastAsia" w:ascii="宋体" w:hAnsi="宋体" w:eastAsia="宋体" w:cs="宋体"/>
          <w:color w:val="000000" w:themeColor="text1"/>
          <w:spacing w:val="7"/>
          <w:sz w:val="21"/>
          <w:szCs w:val="21"/>
          <w14:textFill>
            <w14:solidFill>
              <w14:schemeClr w14:val="tx1"/>
            </w14:solidFill>
          </w14:textFill>
        </w:rPr>
        <w:t>陷的修复或监理人指令的修补工作。</w:t>
      </w:r>
    </w:p>
    <w:p w14:paraId="6EB9E97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19.5</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承包人的进入权</w:t>
      </w:r>
    </w:p>
    <w:p w14:paraId="1CACAC8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本款补充：</w:t>
      </w:r>
    </w:p>
    <w:p w14:paraId="18D1DB0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70" w:firstLine="41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承包人在缺陷修复施工过程中，应服从管养单位的有关安</w:t>
      </w:r>
      <w:r>
        <w:rPr>
          <w:rFonts w:hint="eastAsia" w:ascii="宋体" w:hAnsi="宋体" w:eastAsia="宋体" w:cs="宋体"/>
          <w:color w:val="000000" w:themeColor="text1"/>
          <w:spacing w:val="9"/>
          <w:sz w:val="21"/>
          <w:szCs w:val="21"/>
          <w14:textFill>
            <w14:solidFill>
              <w14:schemeClr w14:val="tx1"/>
            </w14:solidFill>
          </w14:textFill>
        </w:rPr>
        <w:t>全管理规定，由于承包人自身原因造成的人员伤亡、设备和材料的损毁及罚款等责任由承包人自负。</w:t>
      </w:r>
    </w:p>
    <w:p w14:paraId="79AC820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6"/>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19.7</w:t>
      </w:r>
      <w:r>
        <w:rPr>
          <w:rFonts w:hint="eastAsia"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b/>
          <w:bCs/>
          <w:color w:val="000000" w:themeColor="text1"/>
          <w:spacing w:val="3"/>
          <w:sz w:val="21"/>
          <w:szCs w:val="21"/>
          <w14:textFill>
            <w14:solidFill>
              <w14:schemeClr w14:val="tx1"/>
            </w14:solidFill>
          </w14:textFill>
        </w:rPr>
        <w:t>保修责任</w:t>
      </w:r>
    </w:p>
    <w:p w14:paraId="7004F02F">
      <w:pPr>
        <w:keepNext w:val="0"/>
        <w:keepLines w:val="0"/>
        <w:pageBreakBefore w:val="0"/>
        <w:widowControl/>
        <w:kinsoku w:val="0"/>
        <w:wordWrap/>
        <w:overflowPunct/>
        <w:topLinePunct w:val="0"/>
        <w:autoSpaceDE w:val="0"/>
        <w:autoSpaceDN w:val="0"/>
        <w:bidi w:val="0"/>
        <w:adjustRightInd w:val="0"/>
        <w:snapToGrid w:val="0"/>
        <w:spacing w:line="400" w:lineRule="exact"/>
        <w:ind w:firstLine="444"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本款细化为：</w:t>
      </w:r>
    </w:p>
    <w:p w14:paraId="7F9D5C8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（1）保修期自实际交工日期起计算，具体期限在项目专用合同条款数据表中约定。保修期与</w:t>
      </w:r>
      <w:r>
        <w:rPr>
          <w:rFonts w:hint="eastAsia" w:ascii="宋体" w:hAnsi="宋体" w:eastAsia="宋体" w:cs="宋体"/>
          <w:color w:val="000000" w:themeColor="text1"/>
          <w:spacing w:val="10"/>
          <w:sz w:val="21"/>
          <w:szCs w:val="21"/>
          <w14:textFill>
            <w14:solidFill>
              <w14:schemeClr w14:val="tx1"/>
            </w14:solidFill>
          </w14:textFill>
        </w:rPr>
        <w:t>缺陷责任期重叠的期间内，承包人的保修责任同缺陷责任。在缺陷责任</w:t>
      </w:r>
      <w:r>
        <w:rPr>
          <w:rFonts w:hint="eastAsia" w:ascii="宋体" w:hAnsi="宋体" w:eastAsia="宋体" w:cs="宋体"/>
          <w:color w:val="000000" w:themeColor="text1"/>
          <w:spacing w:val="9"/>
          <w:sz w:val="21"/>
          <w:szCs w:val="21"/>
          <w14:textFill>
            <w14:solidFill>
              <w14:schemeClr w14:val="tx1"/>
            </w14:solidFill>
          </w14:textFill>
        </w:rPr>
        <w:t>期满后的保修期内，承包人</w:t>
      </w:r>
      <w:r>
        <w:rPr>
          <w:rFonts w:hint="eastAsia" w:ascii="宋体" w:hAnsi="宋体" w:eastAsia="宋体" w:cs="宋体"/>
          <w:color w:val="000000" w:themeColor="text1"/>
          <w:spacing w:val="10"/>
          <w:sz w:val="21"/>
          <w:szCs w:val="21"/>
          <w14:textFill>
            <w14:solidFill>
              <w14:schemeClr w14:val="tx1"/>
            </w14:solidFill>
          </w14:textFill>
        </w:rPr>
        <w:t>可不在工地留有办事人员和机械设备，但必须随时与发包人保持</w:t>
      </w:r>
      <w:r>
        <w:rPr>
          <w:rFonts w:hint="eastAsia" w:ascii="宋体" w:hAnsi="宋体" w:eastAsia="宋体" w:cs="宋体"/>
          <w:color w:val="000000" w:themeColor="text1"/>
          <w:spacing w:val="9"/>
          <w:sz w:val="21"/>
          <w:szCs w:val="21"/>
          <w14:textFill>
            <w14:solidFill>
              <w14:schemeClr w14:val="tx1"/>
            </w14:solidFill>
          </w14:textFill>
        </w:rPr>
        <w:t>联系，在保修期内承包人应对由于</w:t>
      </w:r>
      <w:r>
        <w:rPr>
          <w:rFonts w:hint="eastAsia" w:ascii="宋体" w:hAnsi="宋体" w:eastAsia="宋体" w:cs="宋体"/>
          <w:color w:val="000000" w:themeColor="text1"/>
          <w:spacing w:val="8"/>
          <w:sz w:val="21"/>
          <w:szCs w:val="21"/>
          <w14:textFill>
            <w14:solidFill>
              <w14:schemeClr w14:val="tx1"/>
            </w14:solidFill>
          </w14:textFill>
        </w:rPr>
        <w:t>施工质量原因造成的损坏自费进行修复。</w:t>
      </w:r>
    </w:p>
    <w:p w14:paraId="23069E2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right="103" w:firstLine="42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（2）在全部工程交工验收前，已经发包人提前验收的单位工程，其保修期的起算日期相应提</w:t>
      </w:r>
      <w:r>
        <w:rPr>
          <w:rFonts w:hint="eastAsia" w:ascii="宋体" w:hAnsi="宋体" w:eastAsia="宋体" w:cs="宋体"/>
          <w:color w:val="000000" w:themeColor="text1"/>
          <w:spacing w:val="-2"/>
          <w:sz w:val="21"/>
          <w:szCs w:val="21"/>
          <w14:textFill>
            <w14:solidFill>
              <w14:schemeClr w14:val="tx1"/>
            </w14:solidFill>
          </w14:textFill>
        </w:rPr>
        <w:t>前。</w:t>
      </w:r>
    </w:p>
    <w:p w14:paraId="0BDE9EC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（3）工程保修期终止后 28 天内，监理人签发保修期终止证书。</w:t>
      </w:r>
    </w:p>
    <w:p w14:paraId="504D603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103" w:firstLine="42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（4）若承包人不履行保修义务和责任，则承包人应承担由于违约造成的法律后果，并由发包人将其违约行为上报省级交通主管部门，作为不良记录纳入公路建设市场信用信息管理系统。</w:t>
      </w:r>
    </w:p>
    <w:p w14:paraId="084058E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20.保险</w:t>
      </w:r>
    </w:p>
    <w:p w14:paraId="3A48A45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20.1</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工程保险</w:t>
      </w:r>
    </w:p>
    <w:p w14:paraId="12F50F5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本款约定为：</w:t>
      </w:r>
    </w:p>
    <w:p w14:paraId="3AA32F3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right="2" w:firstLine="41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建筑工程—切险的投保内容：为本合同工程的永久工</w:t>
      </w:r>
      <w:r>
        <w:rPr>
          <w:rFonts w:hint="eastAsia" w:ascii="宋体" w:hAnsi="宋体" w:eastAsia="宋体" w:cs="宋体"/>
          <w:color w:val="000000" w:themeColor="text1"/>
          <w:spacing w:val="9"/>
          <w:sz w:val="21"/>
          <w:szCs w:val="21"/>
          <w14:textFill>
            <w14:solidFill>
              <w14:schemeClr w14:val="tx1"/>
            </w14:solidFill>
          </w14:textFill>
        </w:rPr>
        <w:t>程、临时工程和设备及已运至施工工地用</w:t>
      </w:r>
      <w:r>
        <w:rPr>
          <w:rFonts w:hint="eastAsia" w:ascii="宋体" w:hAnsi="宋体" w:eastAsia="宋体" w:cs="宋体"/>
          <w:color w:val="000000" w:themeColor="text1"/>
          <w:spacing w:val="8"/>
          <w:sz w:val="21"/>
          <w:szCs w:val="21"/>
          <w14:textFill>
            <w14:solidFill>
              <w14:schemeClr w14:val="tx1"/>
            </w14:solidFill>
          </w14:textFill>
        </w:rPr>
        <w:t>于永久工程的材料和设备所投的保险。</w:t>
      </w:r>
    </w:p>
    <w:p w14:paraId="4F8D0B2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7" w:firstLine="40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保险金额：工程量清单第</w:t>
      </w:r>
      <w:r>
        <w:rPr>
          <w:rFonts w:hint="eastAsia" w:ascii="宋体" w:hAnsi="宋体" w:eastAsia="宋体" w:cs="宋体"/>
          <w:color w:val="000000" w:themeColor="text1"/>
          <w:spacing w:val="36"/>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100 章（不含建筑工程一切险及第三者责任险的保险费）至 700 章</w:t>
      </w:r>
      <w:r>
        <w:rPr>
          <w:rFonts w:hint="eastAsia" w:ascii="宋体" w:hAnsi="宋体" w:eastAsia="宋体" w:cs="宋体"/>
          <w:color w:val="000000" w:themeColor="text1"/>
          <w:spacing w:val="3"/>
          <w:sz w:val="21"/>
          <w:szCs w:val="21"/>
          <w14:textFill>
            <w14:solidFill>
              <w14:schemeClr w14:val="tx1"/>
            </w14:solidFill>
          </w14:textFill>
        </w:rPr>
        <w:t>的合计金额。</w:t>
      </w:r>
    </w:p>
    <w:p w14:paraId="520A82D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保险费率：在项目专用条款数据表中约定。</w:t>
      </w:r>
    </w:p>
    <w:p w14:paraId="1088EFB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9"/>
        <w:jc w:val="right"/>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保险期限：开工日起直至本合同工程签发缺陷责任期终止证书止（即合同工期＋缺陷责任期）</w:t>
      </w:r>
    </w:p>
    <w:p w14:paraId="50551B8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2" w:firstLine="41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承包人应以发包人和承包人的共同名义投保建筑工程一切</w:t>
      </w:r>
      <w:r>
        <w:rPr>
          <w:rFonts w:hint="eastAsia" w:ascii="宋体" w:hAnsi="宋体" w:eastAsia="宋体" w:cs="宋体"/>
          <w:color w:val="000000" w:themeColor="text1"/>
          <w:spacing w:val="9"/>
          <w:sz w:val="21"/>
          <w:szCs w:val="21"/>
          <w14:textFill>
            <w14:solidFill>
              <w14:schemeClr w14:val="tx1"/>
            </w14:solidFill>
          </w14:textFill>
        </w:rPr>
        <w:t>险。建筑工程一切险的保险费由承包人报价时列入工程量清单 100 章内。发包人在接到保险单后，将按照保险单的费用直接向承包人</w:t>
      </w:r>
      <w:r>
        <w:rPr>
          <w:rFonts w:hint="eastAsia" w:ascii="宋体" w:hAnsi="宋体" w:eastAsia="宋体" w:cs="宋体"/>
          <w:color w:val="000000" w:themeColor="text1"/>
          <w:spacing w:val="2"/>
          <w:sz w:val="21"/>
          <w:szCs w:val="21"/>
          <w14:textFill>
            <w14:solidFill>
              <w14:schemeClr w14:val="tx1"/>
            </w14:solidFill>
          </w14:textFill>
        </w:rPr>
        <w:t>支付。</w:t>
      </w:r>
    </w:p>
    <w:p w14:paraId="75A307C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20.4</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第三者责任险</w:t>
      </w:r>
    </w:p>
    <w:p w14:paraId="631648C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第 20.4.2</w:t>
      </w:r>
      <w:r>
        <w:rPr>
          <w:rFonts w:hint="eastAsia" w:ascii="宋体" w:hAnsi="宋体" w:eastAsia="宋体" w:cs="宋体"/>
          <w:color w:val="000000" w:themeColor="text1"/>
          <w:spacing w:val="20"/>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项补充：</w:t>
      </w:r>
    </w:p>
    <w:p w14:paraId="4BE772E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54" w:firstLine="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第三者责任险的保险费由承包人报价时列入工程量清单</w:t>
      </w:r>
      <w:r>
        <w:rPr>
          <w:rFonts w:hint="eastAsia" w:ascii="宋体" w:hAnsi="宋体" w:eastAsia="宋体" w:cs="宋体"/>
          <w:color w:val="000000" w:themeColor="text1"/>
          <w:spacing w:val="49"/>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100 章内。发包人在接到保险单后，</w:t>
      </w:r>
      <w:r>
        <w:rPr>
          <w:rFonts w:hint="eastAsia" w:ascii="宋体" w:hAnsi="宋体" w:eastAsia="宋体" w:cs="宋体"/>
          <w:color w:val="000000" w:themeColor="text1"/>
          <w:spacing w:val="9"/>
          <w:sz w:val="21"/>
          <w:szCs w:val="21"/>
          <w14:textFill>
            <w14:solidFill>
              <w14:schemeClr w14:val="tx1"/>
            </w14:solidFill>
          </w14:textFill>
        </w:rPr>
        <w:t>将按照保险单的费用直接向承包人支付。</w:t>
      </w:r>
    </w:p>
    <w:p w14:paraId="61BB335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20.5</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其他保险</w:t>
      </w:r>
    </w:p>
    <w:p w14:paraId="659689D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本款约定为：</w:t>
      </w:r>
    </w:p>
    <w:p w14:paraId="373ED68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6" w:right="2" w:firstLine="39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承包人应为其施工设备等办理保险，其投保金额应足以现</w:t>
      </w:r>
      <w:r>
        <w:rPr>
          <w:rFonts w:hint="eastAsia" w:ascii="宋体" w:hAnsi="宋体" w:eastAsia="宋体" w:cs="宋体"/>
          <w:color w:val="000000" w:themeColor="text1"/>
          <w:spacing w:val="9"/>
          <w:sz w:val="21"/>
          <w:szCs w:val="21"/>
          <w14:textFill>
            <w14:solidFill>
              <w14:schemeClr w14:val="tx1"/>
            </w14:solidFill>
          </w14:textFill>
        </w:rPr>
        <w:t>场重量。办理本款保险的一切费用均由承包人承担，并包括在工程量清单的单价及总额</w:t>
      </w:r>
      <w:r>
        <w:rPr>
          <w:rFonts w:hint="eastAsia" w:ascii="宋体" w:hAnsi="宋体" w:eastAsia="宋体" w:cs="宋体"/>
          <w:color w:val="000000" w:themeColor="text1"/>
          <w:spacing w:val="8"/>
          <w:sz w:val="21"/>
          <w:szCs w:val="21"/>
          <w14:textFill>
            <w14:solidFill>
              <w14:schemeClr w14:val="tx1"/>
            </w14:solidFill>
          </w14:textFill>
        </w:rPr>
        <w:t>价中，发包人不单独支付。</w:t>
      </w:r>
    </w:p>
    <w:p w14:paraId="73A1F92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20.6</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b/>
          <w:bCs/>
          <w:color w:val="000000" w:themeColor="text1"/>
          <w:spacing w:val="6"/>
          <w:sz w:val="21"/>
          <w:szCs w:val="21"/>
          <w14:textFill>
            <w14:solidFill>
              <w14:schemeClr w14:val="tx1"/>
            </w14:solidFill>
          </w14:textFill>
        </w:rPr>
        <w:t>对各项保险的一般要求</w:t>
      </w:r>
    </w:p>
    <w:p w14:paraId="0D0B2D9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20.6.1 保险凭证</w:t>
      </w:r>
    </w:p>
    <w:p w14:paraId="049FC35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本项约定为：</w:t>
      </w:r>
    </w:p>
    <w:p w14:paraId="55B1FF8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承包人向发包人提交各项保险生效的证据和保险单副本的期限：开工后 7 天内。</w:t>
      </w:r>
    </w:p>
    <w:p w14:paraId="65C9D77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20.6.3 持续保险</w:t>
      </w:r>
    </w:p>
    <w:p w14:paraId="50769DE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本项补充：</w:t>
      </w:r>
    </w:p>
    <w:p w14:paraId="64FD00D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在整个合同期内，承包人应按合同条款保证足够的保险额。</w:t>
      </w:r>
    </w:p>
    <w:p w14:paraId="0A6E3A4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20.6.4 保险金不足的补偿</w:t>
      </w:r>
    </w:p>
    <w:p w14:paraId="31B33B8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本项细化为：</w:t>
      </w:r>
    </w:p>
    <w:p w14:paraId="60FD289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2" w:firstLine="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保险金不足补偿损失的（包括免赔额和超过赔偿限额的部分</w:t>
      </w:r>
      <w:r>
        <w:rPr>
          <w:rFonts w:hint="eastAsia" w:ascii="宋体" w:hAnsi="宋体" w:eastAsia="宋体" w:cs="宋体"/>
          <w:color w:val="000000" w:themeColor="text1"/>
          <w:spacing w:val="21"/>
          <w:sz w:val="21"/>
          <w:szCs w:val="21"/>
          <w14:textFill>
            <w14:solidFill>
              <w14:schemeClr w14:val="tx1"/>
            </w14:solidFill>
          </w14:textFill>
        </w:rPr>
        <w:t>），</w:t>
      </w:r>
      <w:r>
        <w:rPr>
          <w:rFonts w:hint="eastAsia" w:ascii="宋体" w:hAnsi="宋体" w:eastAsia="宋体" w:cs="宋体"/>
          <w:color w:val="000000" w:themeColor="text1"/>
          <w:spacing w:val="9"/>
          <w:sz w:val="21"/>
          <w:szCs w:val="21"/>
          <w14:textFill>
            <w14:solidFill>
              <w14:schemeClr w14:val="tx1"/>
            </w14:solidFill>
          </w14:textFill>
        </w:rPr>
        <w:t>应由承包人和（或）发包人按</w:t>
      </w:r>
      <w:r>
        <w:rPr>
          <w:rFonts w:hint="eastAsia" w:ascii="宋体" w:hAnsi="宋体" w:eastAsia="宋体" w:cs="宋体"/>
          <w:color w:val="000000" w:themeColor="text1"/>
          <w:spacing w:val="7"/>
          <w:sz w:val="21"/>
          <w:szCs w:val="21"/>
          <w14:textFill>
            <w14:solidFill>
              <w14:schemeClr w14:val="tx1"/>
            </w14:solidFill>
          </w14:textFill>
        </w:rPr>
        <w:t>合同约定负责补偿。</w:t>
      </w:r>
    </w:p>
    <w:p w14:paraId="56ECB64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20.6.5 未按约定投保的补救</w:t>
      </w:r>
    </w:p>
    <w:p w14:paraId="1F699D4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本项（2）</w:t>
      </w:r>
      <w:r>
        <w:rPr>
          <w:rFonts w:hint="eastAsia" w:ascii="宋体" w:hAnsi="宋体" w:eastAsia="宋体" w:cs="宋体"/>
          <w:color w:val="000000" w:themeColor="text1"/>
          <w:spacing w:val="-37"/>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目细化为：</w:t>
      </w:r>
    </w:p>
    <w:p w14:paraId="2F1ECC9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firstLine="429"/>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（2）</w:t>
      </w:r>
      <w:r>
        <w:rPr>
          <w:rFonts w:hint="eastAsia" w:ascii="宋体" w:hAnsi="宋体" w:eastAsia="宋体" w:cs="宋体"/>
          <w:color w:val="000000" w:themeColor="text1"/>
          <w:spacing w:val="-45"/>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由于负有投保义务的一方当事人未按合同约定办理某项保险，或未按保险单规定的条件</w:t>
      </w:r>
      <w:r>
        <w:rPr>
          <w:rFonts w:hint="eastAsia" w:ascii="宋体" w:hAnsi="宋体" w:eastAsia="宋体" w:cs="宋体"/>
          <w:color w:val="000000" w:themeColor="text1"/>
          <w:spacing w:val="10"/>
          <w:sz w:val="21"/>
          <w:szCs w:val="21"/>
          <w14:textFill>
            <w14:solidFill>
              <w14:schemeClr w14:val="tx1"/>
            </w14:solidFill>
          </w14:textFill>
        </w:rPr>
        <w:t>和期限及时间向保险人报告事故情况，或未按要求的保险期限进行</w:t>
      </w:r>
      <w:r>
        <w:rPr>
          <w:rFonts w:hint="eastAsia" w:ascii="宋体" w:hAnsi="宋体" w:eastAsia="宋体" w:cs="宋体"/>
          <w:color w:val="000000" w:themeColor="text1"/>
          <w:spacing w:val="9"/>
          <w:sz w:val="21"/>
          <w:szCs w:val="21"/>
          <w14:textFill>
            <w14:solidFill>
              <w14:schemeClr w14:val="tx1"/>
            </w14:solidFill>
          </w14:textFill>
        </w:rPr>
        <w:t>投保，或未按要求投保足够的保</w:t>
      </w:r>
      <w:r>
        <w:rPr>
          <w:rFonts w:hint="eastAsia" w:ascii="宋体" w:hAnsi="宋体" w:eastAsia="宋体" w:cs="宋体"/>
          <w:color w:val="000000" w:themeColor="text1"/>
          <w:spacing w:val="10"/>
          <w:sz w:val="21"/>
          <w:szCs w:val="21"/>
          <w14:textFill>
            <w14:solidFill>
              <w14:schemeClr w14:val="tx1"/>
            </w14:solidFill>
          </w14:textFill>
        </w:rPr>
        <w:t>险金额，导致受益人未能或未能全部得到保险人的赔偿，原应</w:t>
      </w:r>
      <w:r>
        <w:rPr>
          <w:rFonts w:hint="eastAsia" w:ascii="宋体" w:hAnsi="宋体" w:eastAsia="宋体" w:cs="宋体"/>
          <w:color w:val="000000" w:themeColor="text1"/>
          <w:spacing w:val="9"/>
          <w:sz w:val="21"/>
          <w:szCs w:val="21"/>
          <w14:textFill>
            <w14:solidFill>
              <w14:schemeClr w14:val="tx1"/>
            </w14:solidFill>
          </w14:textFill>
        </w:rPr>
        <w:t>从该项保险得到的保险金应由负有投</w:t>
      </w:r>
      <w:r>
        <w:rPr>
          <w:rFonts w:hint="eastAsia" w:ascii="宋体" w:hAnsi="宋体" w:eastAsia="宋体" w:cs="宋体"/>
          <w:color w:val="000000" w:themeColor="text1"/>
          <w:spacing w:val="8"/>
          <w:sz w:val="21"/>
          <w:szCs w:val="21"/>
          <w14:textFill>
            <w14:solidFill>
              <w14:schemeClr w14:val="tx1"/>
            </w14:solidFill>
          </w14:textFill>
        </w:rPr>
        <w:t>保义务的一方当事人支付。</w:t>
      </w:r>
    </w:p>
    <w:p w14:paraId="15CCCDA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21．不可抗力</w:t>
      </w:r>
    </w:p>
    <w:p w14:paraId="1EA99A1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21.1</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不可抗力的确认</w:t>
      </w:r>
    </w:p>
    <w:p w14:paraId="4474E43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21.1.1 项细化为：</w:t>
      </w:r>
    </w:p>
    <w:p w14:paraId="614E2BA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6" w:right="52" w:firstLine="41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不可抗力是指承包人和发包人在订立合同时不可预见，</w:t>
      </w:r>
      <w:r>
        <w:rPr>
          <w:rFonts w:hint="eastAsia" w:ascii="宋体" w:hAnsi="宋体" w:eastAsia="宋体" w:cs="宋体"/>
          <w:color w:val="000000" w:themeColor="text1"/>
          <w:spacing w:val="9"/>
          <w:sz w:val="21"/>
          <w:szCs w:val="21"/>
          <w14:textFill>
            <w14:solidFill>
              <w14:schemeClr w14:val="tx1"/>
            </w14:solidFill>
          </w14:textFill>
        </w:rPr>
        <w:t>在工程施工过程中不可避免发生并不能克服的自然灾害和社会性突发事件。包括但</w:t>
      </w:r>
      <w:r>
        <w:rPr>
          <w:rFonts w:hint="eastAsia" w:ascii="宋体" w:hAnsi="宋体" w:eastAsia="宋体" w:cs="宋体"/>
          <w:color w:val="000000" w:themeColor="text1"/>
          <w:spacing w:val="8"/>
          <w:sz w:val="21"/>
          <w:szCs w:val="21"/>
          <w14:textFill>
            <w14:solidFill>
              <w14:schemeClr w14:val="tx1"/>
            </w14:solidFill>
          </w14:textFill>
        </w:rPr>
        <w:t>不限于：</w:t>
      </w:r>
    </w:p>
    <w:p w14:paraId="5916346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（1）地震、海啸、火山爆发、泥石流、暴雨（雪）、台风、龙卷风、水灾等自然灾害；</w:t>
      </w:r>
    </w:p>
    <w:p w14:paraId="06CBDF3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7" w:right="155" w:firstLine="41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（2）战争、骚乱、暴动，但纯属承包人或其分包人派遣与雇用的人员由于本合同工程施工原</w:t>
      </w:r>
      <w:r>
        <w:rPr>
          <w:rFonts w:hint="eastAsia" w:ascii="宋体" w:hAnsi="宋体" w:eastAsia="宋体" w:cs="宋体"/>
          <w:color w:val="000000" w:themeColor="text1"/>
          <w:spacing w:val="4"/>
          <w:sz w:val="21"/>
          <w:szCs w:val="21"/>
          <w14:textFill>
            <w14:solidFill>
              <w14:schemeClr w14:val="tx1"/>
            </w14:solidFill>
          </w14:textFill>
        </w:rPr>
        <w:t>因引起者除外；</w:t>
      </w:r>
    </w:p>
    <w:p w14:paraId="6FF403D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（3）核反应、辐射或放射性污染；</w:t>
      </w:r>
    </w:p>
    <w:p w14:paraId="40B63B4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（4）空中飞行物体坠落或非发包人或承包人责任造成的爆炸</w:t>
      </w:r>
      <w:r>
        <w:rPr>
          <w:rFonts w:hint="eastAsia" w:ascii="宋体" w:hAnsi="宋体" w:eastAsia="宋体" w:cs="宋体"/>
          <w:color w:val="000000" w:themeColor="text1"/>
          <w:spacing w:val="8"/>
          <w:sz w:val="21"/>
          <w:szCs w:val="21"/>
          <w14:textFill>
            <w14:solidFill>
              <w14:schemeClr w14:val="tx1"/>
            </w14:solidFill>
          </w14:textFill>
        </w:rPr>
        <w:t>、火灾；</w:t>
      </w:r>
    </w:p>
    <w:p w14:paraId="7E3BE18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（5）瘟疫；</w:t>
      </w:r>
    </w:p>
    <w:p w14:paraId="76AB51E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（6）项目专用合同条款约定的其他情形。</w:t>
      </w:r>
    </w:p>
    <w:p w14:paraId="16D7667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21.3</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b/>
          <w:bCs/>
          <w:color w:val="000000" w:themeColor="text1"/>
          <w:spacing w:val="6"/>
          <w:sz w:val="21"/>
          <w:szCs w:val="21"/>
          <w14:textFill>
            <w14:solidFill>
              <w14:schemeClr w14:val="tx1"/>
            </w14:solidFill>
          </w14:textFill>
        </w:rPr>
        <w:t>不可抗力后果及其处理</w:t>
      </w:r>
    </w:p>
    <w:p w14:paraId="729AB35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21.3.4</w:t>
      </w:r>
      <w:r>
        <w:rPr>
          <w:rFonts w:hint="eastAsia" w:ascii="宋体" w:hAnsi="宋体" w:eastAsia="宋体" w:cs="宋体"/>
          <w:color w:val="000000" w:themeColor="text1"/>
          <w:spacing w:val="36"/>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因不可抗力解除合同</w:t>
      </w:r>
    </w:p>
    <w:p w14:paraId="31458FD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本项细化为：</w:t>
      </w:r>
    </w:p>
    <w:p w14:paraId="3A360E6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22"/>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合同一方当事人因不可抗力不能履行合同的，应当及时通</w:t>
      </w:r>
      <w:r>
        <w:rPr>
          <w:rFonts w:hint="eastAsia" w:ascii="宋体" w:hAnsi="宋体" w:eastAsia="宋体" w:cs="宋体"/>
          <w:color w:val="000000" w:themeColor="text1"/>
          <w:spacing w:val="9"/>
          <w:sz w:val="21"/>
          <w:szCs w:val="21"/>
          <w14:textFill>
            <w14:solidFill>
              <w14:schemeClr w14:val="tx1"/>
            </w14:solidFill>
          </w14:textFill>
        </w:rPr>
        <w:t>知对方解除合同。合同解除后，承包人应按照第 22.2.5 项约定撤离施工场地。已经订货的材料、设备由订货方负责退</w:t>
      </w:r>
      <w:r>
        <w:rPr>
          <w:rFonts w:hint="eastAsia" w:ascii="宋体" w:hAnsi="宋体" w:eastAsia="宋体" w:cs="宋体"/>
          <w:color w:val="000000" w:themeColor="text1"/>
          <w:spacing w:val="8"/>
          <w:sz w:val="21"/>
          <w:szCs w:val="21"/>
          <w14:textFill>
            <w14:solidFill>
              <w14:schemeClr w14:val="tx1"/>
            </w14:solidFill>
          </w14:textFill>
        </w:rPr>
        <w:t>货或解除订货合</w:t>
      </w:r>
      <w:r>
        <w:rPr>
          <w:rFonts w:hint="eastAsia" w:ascii="宋体" w:hAnsi="宋体" w:eastAsia="宋体" w:cs="宋体"/>
          <w:color w:val="000000" w:themeColor="text1"/>
          <w:spacing w:val="10"/>
          <w:sz w:val="21"/>
          <w:szCs w:val="21"/>
          <w14:textFill>
            <w14:solidFill>
              <w14:schemeClr w14:val="tx1"/>
            </w14:solidFill>
          </w14:textFill>
        </w:rPr>
        <w:t>同，不能退还的货款和因退货、解除订货合同发生的费用，由发包</w:t>
      </w:r>
      <w:r>
        <w:rPr>
          <w:rFonts w:hint="eastAsia" w:ascii="宋体" w:hAnsi="宋体" w:eastAsia="宋体" w:cs="宋体"/>
          <w:color w:val="000000" w:themeColor="text1"/>
          <w:spacing w:val="9"/>
          <w:sz w:val="21"/>
          <w:szCs w:val="21"/>
          <w14:textFill>
            <w14:solidFill>
              <w14:schemeClr w14:val="tx1"/>
            </w14:solidFill>
          </w14:textFill>
        </w:rPr>
        <w:t>人承担，因未有时退货造成的损</w:t>
      </w:r>
      <w:r>
        <w:rPr>
          <w:rFonts w:hint="eastAsia" w:ascii="宋体" w:hAnsi="宋体" w:eastAsia="宋体" w:cs="宋体"/>
          <w:color w:val="000000" w:themeColor="text1"/>
          <w:spacing w:val="8"/>
          <w:sz w:val="21"/>
          <w:szCs w:val="21"/>
          <w14:textFill>
            <w14:solidFill>
              <w14:schemeClr w14:val="tx1"/>
            </w14:solidFill>
          </w14:textFill>
        </w:rPr>
        <w:t xml:space="preserve">失由责任方承担。合同解除后的付款，参照第 </w:t>
      </w:r>
      <w:r>
        <w:rPr>
          <w:rFonts w:hint="eastAsia" w:ascii="宋体" w:hAnsi="宋体" w:eastAsia="宋体" w:cs="宋体"/>
          <w:color w:val="000000" w:themeColor="text1"/>
          <w:spacing w:val="7"/>
          <w:sz w:val="21"/>
          <w:szCs w:val="21"/>
          <w14:textFill>
            <w14:solidFill>
              <w14:schemeClr w14:val="tx1"/>
            </w14:solidFill>
          </w14:textFill>
        </w:rPr>
        <w:t>22.2.4 项约定，由监理人按第 3.5 款商定或确定，</w:t>
      </w:r>
      <w:r>
        <w:rPr>
          <w:rFonts w:hint="eastAsia" w:ascii="宋体" w:hAnsi="宋体" w:eastAsia="宋体" w:cs="宋体"/>
          <w:color w:val="000000" w:themeColor="text1"/>
          <w:spacing w:val="9"/>
          <w:sz w:val="21"/>
          <w:szCs w:val="21"/>
          <w14:textFill>
            <w14:solidFill>
              <w14:schemeClr w14:val="tx1"/>
            </w14:solidFill>
          </w14:textFill>
        </w:rPr>
        <w:t>但由于解除合同应赔偿的承包人损失不予考虑。</w:t>
      </w:r>
    </w:p>
    <w:p w14:paraId="1F3673E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22．违约</w:t>
      </w:r>
    </w:p>
    <w:p w14:paraId="7AE35C3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22.1</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承包人违约</w:t>
      </w:r>
    </w:p>
    <w:p w14:paraId="3CC90DC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22.1.1 承包人违约的情形</w:t>
      </w:r>
    </w:p>
    <w:p w14:paraId="37F75CF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本项（2）</w:t>
      </w:r>
      <w:r>
        <w:rPr>
          <w:rFonts w:hint="eastAsia" w:ascii="宋体" w:hAnsi="宋体" w:eastAsia="宋体" w:cs="宋体"/>
          <w:color w:val="000000" w:themeColor="text1"/>
          <w:spacing w:val="-37"/>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目细化为：</w:t>
      </w:r>
    </w:p>
    <w:p w14:paraId="09D3374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155"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（2）承包人违反第 5.3 款或第 6.4 款的约定，未经监理人批准，私自将已按合同约定进入</w:t>
      </w:r>
      <w:r>
        <w:rPr>
          <w:rFonts w:hint="eastAsia" w:ascii="宋体" w:hAnsi="宋体" w:eastAsia="宋体" w:cs="宋体"/>
          <w:color w:val="000000" w:themeColor="text1"/>
          <w:spacing w:val="9"/>
          <w:sz w:val="21"/>
          <w:szCs w:val="21"/>
          <w14:textFill>
            <w14:solidFill>
              <w14:schemeClr w14:val="tx1"/>
            </w14:solidFill>
          </w14:textFill>
        </w:rPr>
        <w:t>施工场地的施工设备、临时设施、材料或工程设备撤离施工场地；</w:t>
      </w:r>
    </w:p>
    <w:p w14:paraId="0FC7B74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本项（7）</w:t>
      </w:r>
      <w:r>
        <w:rPr>
          <w:rFonts w:hint="eastAsia" w:ascii="宋体" w:hAnsi="宋体" w:eastAsia="宋体" w:cs="宋体"/>
          <w:color w:val="000000" w:themeColor="text1"/>
          <w:spacing w:val="-37"/>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目细化为：</w:t>
      </w:r>
    </w:p>
    <w:p w14:paraId="100059A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（7）承包人未能按期开工；</w:t>
      </w:r>
    </w:p>
    <w:p w14:paraId="02966C4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155" w:firstLine="42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（8）承包人违反第 4.6 款或 6.3 款的规定，未按承诺或未按监理人的要求及时配备称职的主要管理人员、技术骨干或关键施工设备；</w:t>
      </w:r>
    </w:p>
    <w:p w14:paraId="6B97013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（9）经监理人和发包人检查，发现承包人有安全问题或有违反安全管理规章制度的情况；</w:t>
      </w:r>
    </w:p>
    <w:p w14:paraId="75B4210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（10）承包人不按合同约定履行义务的其他情况。</w:t>
      </w:r>
    </w:p>
    <w:p w14:paraId="1A31C96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22.1.2 对承包人违约的处理</w:t>
      </w:r>
    </w:p>
    <w:p w14:paraId="05B8699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本项补充：</w:t>
      </w:r>
    </w:p>
    <w:p w14:paraId="39503FF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2" w:right="155" w:firstLine="408"/>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（4）承包人发生第 22.1.1 项约定的违约</w:t>
      </w:r>
      <w:r>
        <w:rPr>
          <w:rFonts w:hint="eastAsia" w:ascii="宋体" w:hAnsi="宋体" w:eastAsia="宋体" w:cs="宋体"/>
          <w:color w:val="000000" w:themeColor="text1"/>
          <w:spacing w:val="8"/>
          <w:sz w:val="21"/>
          <w:szCs w:val="21"/>
          <w14:textFill>
            <w14:solidFill>
              <w14:schemeClr w14:val="tx1"/>
            </w14:solidFill>
          </w14:textFill>
        </w:rPr>
        <w:t>情况时，无论发包人是否解除合同，发包人均有权</w:t>
      </w:r>
      <w:r>
        <w:rPr>
          <w:rFonts w:hint="eastAsia" w:ascii="宋体" w:hAnsi="宋体" w:eastAsia="宋体" w:cs="宋体"/>
          <w:color w:val="000000" w:themeColor="text1"/>
          <w:spacing w:val="9"/>
          <w:sz w:val="21"/>
          <w:szCs w:val="21"/>
          <w14:textFill>
            <w14:solidFill>
              <w14:schemeClr w14:val="tx1"/>
            </w14:solidFill>
          </w14:textFill>
        </w:rPr>
        <w:t>向承包人课以项目专用合同条款中规定的违约金，并由发包人将其违约行为上报省级交通主管部</w:t>
      </w:r>
      <w:r>
        <w:rPr>
          <w:rFonts w:hint="eastAsia" w:ascii="宋体" w:hAnsi="宋体" w:eastAsia="宋体" w:cs="宋体"/>
          <w:color w:val="000000" w:themeColor="text1"/>
          <w:spacing w:val="8"/>
          <w:sz w:val="21"/>
          <w:szCs w:val="21"/>
          <w14:textFill>
            <w14:solidFill>
              <w14:schemeClr w14:val="tx1"/>
            </w14:solidFill>
          </w14:textFill>
        </w:rPr>
        <w:t>门，作为不良记录纳入公路建设市场信用信息管理系统。</w:t>
      </w:r>
    </w:p>
    <w:p w14:paraId="2BC6F55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22.2</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发包人违约</w:t>
      </w:r>
    </w:p>
    <w:p w14:paraId="2AE6F5B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22.2.4 解除合同后的付款</w:t>
      </w:r>
    </w:p>
    <w:p w14:paraId="7FE63C3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本项（2）</w:t>
      </w:r>
      <w:r>
        <w:rPr>
          <w:rFonts w:hint="eastAsia" w:ascii="宋体" w:hAnsi="宋体" w:eastAsia="宋体" w:cs="宋体"/>
          <w:color w:val="000000" w:themeColor="text1"/>
          <w:spacing w:val="-37"/>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目细化为：</w:t>
      </w:r>
    </w:p>
    <w:p w14:paraId="6D9DEDE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 w:firstLine="42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（2）承包人为该工程施工订购并已付款的材料、工程设备和其他物品的金额，发包人付款后，该材料、工程设备和其他物品归发包人所有；</w:t>
      </w:r>
    </w:p>
    <w:p w14:paraId="07AAAA4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23.索赔</w:t>
      </w:r>
    </w:p>
    <w:p w14:paraId="312000F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23.1</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承包人索赔的提出</w:t>
      </w:r>
    </w:p>
    <w:p w14:paraId="5BEC63D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本款第（4）项细化为：</w:t>
      </w:r>
    </w:p>
    <w:p w14:paraId="31E9AE4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155" w:firstLine="42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（4）在索赔事件影响结束后的 28 天内，承包人应向监理人递交最终索赔通知书，</w:t>
      </w:r>
      <w:r>
        <w:rPr>
          <w:rFonts w:hint="eastAsia" w:ascii="宋体" w:hAnsi="宋体" w:eastAsia="宋体" w:cs="宋体"/>
          <w:color w:val="000000" w:themeColor="text1"/>
          <w:spacing w:val="8"/>
          <w:sz w:val="21"/>
          <w:szCs w:val="21"/>
          <w14:textFill>
            <w14:solidFill>
              <w14:schemeClr w14:val="tx1"/>
            </w14:solidFill>
          </w14:textFill>
        </w:rPr>
        <w:t>说明最终</w:t>
      </w:r>
      <w:r>
        <w:rPr>
          <w:rFonts w:hint="eastAsia" w:ascii="宋体" w:hAnsi="宋体" w:eastAsia="宋体" w:cs="宋体"/>
          <w:color w:val="000000" w:themeColor="text1"/>
          <w:spacing w:val="9"/>
          <w:sz w:val="21"/>
          <w:szCs w:val="21"/>
          <w14:textFill>
            <w14:solidFill>
              <w14:schemeClr w14:val="tx1"/>
            </w14:solidFill>
          </w14:textFill>
        </w:rPr>
        <w:t>要求索赔的追加付款金额和（或）延长的工期，并附必要的记录和证明材料。</w:t>
      </w:r>
    </w:p>
    <w:p w14:paraId="3B69BDD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23.2</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b/>
          <w:bCs/>
          <w:color w:val="000000" w:themeColor="text1"/>
          <w:spacing w:val="6"/>
          <w:sz w:val="21"/>
          <w:szCs w:val="21"/>
          <w14:textFill>
            <w14:solidFill>
              <w14:schemeClr w14:val="tx1"/>
            </w14:solidFill>
          </w14:textFill>
        </w:rPr>
        <w:t>承包人索赔处理程序</w:t>
      </w:r>
    </w:p>
    <w:p w14:paraId="5DE90B5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本款第（2）项细化为：</w:t>
      </w:r>
    </w:p>
    <w:p w14:paraId="18D66BB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5" w:right="52" w:firstLine="425"/>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（2）监理人应按第 3.5 款商定或确定追加的付款和（或）延长的工期，</w:t>
      </w:r>
      <w:r>
        <w:rPr>
          <w:rFonts w:hint="eastAsia" w:ascii="宋体" w:hAnsi="宋体" w:eastAsia="宋体" w:cs="宋体"/>
          <w:color w:val="000000" w:themeColor="text1"/>
          <w:spacing w:val="8"/>
          <w:sz w:val="21"/>
          <w:szCs w:val="21"/>
          <w14:textFill>
            <w14:solidFill>
              <w14:schemeClr w14:val="tx1"/>
            </w14:solidFill>
          </w14:textFill>
        </w:rPr>
        <w:t>并在收到上述索赔通</w:t>
      </w:r>
      <w:r>
        <w:rPr>
          <w:rFonts w:hint="eastAsia" w:ascii="宋体" w:hAnsi="宋体" w:eastAsia="宋体" w:cs="宋体"/>
          <w:color w:val="000000" w:themeColor="text1"/>
          <w:spacing w:val="9"/>
          <w:sz w:val="21"/>
          <w:szCs w:val="21"/>
          <w14:textFill>
            <w14:solidFill>
              <w14:schemeClr w14:val="tx1"/>
            </w14:solidFill>
          </w14:textFill>
        </w:rPr>
        <w:t>知书或有关索赔的进一步证明材料后的 42 天内，将索赔处理结果报发包人批准后答复承包人。如</w:t>
      </w:r>
      <w:r>
        <w:rPr>
          <w:rFonts w:hint="eastAsia" w:ascii="宋体" w:hAnsi="宋体" w:eastAsia="宋体" w:cs="宋体"/>
          <w:color w:val="000000" w:themeColor="text1"/>
          <w:spacing w:val="10"/>
          <w:sz w:val="21"/>
          <w:szCs w:val="21"/>
          <w14:textFill>
            <w14:solidFill>
              <w14:schemeClr w14:val="tx1"/>
            </w14:solidFill>
          </w14:textFill>
        </w:rPr>
        <w:t>果承包人提出的索赔要求未能遵守第 23.1（2</w:t>
      </w:r>
      <w:r>
        <w:rPr>
          <w:rFonts w:hint="eastAsia" w:ascii="宋体" w:hAnsi="宋体" w:eastAsia="宋体" w:cs="宋体"/>
          <w:color w:val="000000" w:themeColor="text1"/>
          <w:spacing w:val="-1"/>
          <w:sz w:val="21"/>
          <w:szCs w:val="21"/>
          <w14:textFill>
            <w14:solidFill>
              <w14:schemeClr w14:val="tx1"/>
            </w14:solidFill>
          </w14:textFill>
        </w:rPr>
        <w:t>）～（</w:t>
      </w:r>
      <w:r>
        <w:rPr>
          <w:rFonts w:hint="eastAsia" w:ascii="宋体" w:hAnsi="宋体" w:eastAsia="宋体" w:cs="宋体"/>
          <w:color w:val="000000" w:themeColor="text1"/>
          <w:spacing w:val="9"/>
          <w:sz w:val="21"/>
          <w:szCs w:val="21"/>
          <w14:textFill>
            <w14:solidFill>
              <w14:schemeClr w14:val="tx1"/>
            </w14:solidFill>
          </w14:textFill>
        </w:rPr>
        <w:t>4）项规定，则承包人只限于索赔由监理人按当时记当予以核实的那部分款额外负担和（或）工期延长天数。</w:t>
      </w:r>
    </w:p>
    <w:p w14:paraId="5BE5C7E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24．争议的解决</w:t>
      </w:r>
    </w:p>
    <w:p w14:paraId="2F909DB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24.3</w:t>
      </w:r>
      <w:r>
        <w:rPr>
          <w:rFonts w:hint="eastAsia" w:ascii="宋体" w:hAnsi="宋体" w:eastAsia="宋体" w:cs="宋体"/>
          <w:color w:val="000000" w:themeColor="text1"/>
          <w:spacing w:val="18"/>
          <w:sz w:val="21"/>
          <w:szCs w:val="21"/>
          <w14:textFill>
            <w14:solidFill>
              <w14:schemeClr w14:val="tx1"/>
            </w14:solidFill>
          </w14:textFill>
        </w:rPr>
        <w:t xml:space="preserve"> </w:t>
      </w:r>
      <w:r>
        <w:rPr>
          <w:rFonts w:hint="eastAsia" w:ascii="宋体" w:hAnsi="宋体" w:eastAsia="宋体" w:cs="宋体"/>
          <w:b/>
          <w:bCs/>
          <w:color w:val="000000" w:themeColor="text1"/>
          <w:spacing w:val="3"/>
          <w:sz w:val="21"/>
          <w:szCs w:val="21"/>
          <w14:textFill>
            <w14:solidFill>
              <w14:schemeClr w14:val="tx1"/>
            </w14:solidFill>
          </w14:textFill>
        </w:rPr>
        <w:t>争议评审</w:t>
      </w:r>
    </w:p>
    <w:p w14:paraId="10F871F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第 24.3.1</w:t>
      </w:r>
      <w:r>
        <w:rPr>
          <w:rFonts w:hint="eastAsia" w:ascii="宋体" w:hAnsi="宋体" w:eastAsia="宋体" w:cs="宋体"/>
          <w:color w:val="000000" w:themeColor="text1"/>
          <w:spacing w:val="20"/>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项补充：</w:t>
      </w:r>
    </w:p>
    <w:p w14:paraId="472C9EF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52" w:firstLine="425"/>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争议评审组由</w:t>
      </w:r>
      <w:r>
        <w:rPr>
          <w:rFonts w:hint="eastAsia" w:ascii="宋体" w:hAnsi="宋体" w:eastAsia="宋体" w:cs="宋体"/>
          <w:color w:val="000000" w:themeColor="text1"/>
          <w:spacing w:val="-30"/>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3</w:t>
      </w:r>
      <w:r>
        <w:rPr>
          <w:rFonts w:hint="eastAsia" w:ascii="宋体" w:hAnsi="宋体" w:eastAsia="宋体" w:cs="宋体"/>
          <w:color w:val="000000" w:themeColor="text1"/>
          <w:spacing w:val="-39"/>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人或</w:t>
      </w:r>
      <w:r>
        <w:rPr>
          <w:rFonts w:hint="eastAsia" w:ascii="宋体" w:hAnsi="宋体" w:eastAsia="宋体" w:cs="宋体"/>
          <w:color w:val="000000" w:themeColor="text1"/>
          <w:spacing w:val="-32"/>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5</w:t>
      </w:r>
      <w:r>
        <w:rPr>
          <w:rFonts w:hint="eastAsia" w:ascii="宋体" w:hAnsi="宋体" w:eastAsia="宋体" w:cs="宋体"/>
          <w:color w:val="000000" w:themeColor="text1"/>
          <w:spacing w:val="-37"/>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人组成，专家的聘请方法可由发包人和承包人共同协商确定，亦可请政</w:t>
      </w:r>
      <w:r>
        <w:rPr>
          <w:rFonts w:hint="eastAsia" w:ascii="宋体" w:hAnsi="宋体" w:eastAsia="宋体" w:cs="宋体"/>
          <w:color w:val="000000" w:themeColor="text1"/>
          <w:spacing w:val="10"/>
          <w:sz w:val="21"/>
          <w:szCs w:val="21"/>
          <w14:textFill>
            <w14:solidFill>
              <w14:schemeClr w14:val="tx1"/>
            </w14:solidFill>
          </w14:textFill>
        </w:rPr>
        <w:t>府主管部门推荐或通过合同争议调解机构聘请，并经双方认同。争议评</w:t>
      </w:r>
      <w:r>
        <w:rPr>
          <w:rFonts w:hint="eastAsia" w:ascii="宋体" w:hAnsi="宋体" w:eastAsia="宋体" w:cs="宋体"/>
          <w:color w:val="000000" w:themeColor="text1"/>
          <w:spacing w:val="9"/>
          <w:sz w:val="21"/>
          <w:szCs w:val="21"/>
          <w14:textFill>
            <w14:solidFill>
              <w14:schemeClr w14:val="tx1"/>
            </w14:solidFill>
          </w14:textFill>
        </w:rPr>
        <w:t>审组成员应与合同双方均无利害关系，争议评审组的各项费用由发包人和承包人平均分担。</w:t>
      </w:r>
    </w:p>
    <w:p w14:paraId="5ABAE3F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本条补充第 24.4、第 24.5 款（适用于采用仲裁方式最终解决争议的项目</w:t>
      </w:r>
      <w:r>
        <w:rPr>
          <w:rFonts w:hint="eastAsia" w:ascii="宋体" w:hAnsi="宋体" w:eastAsia="宋体" w:cs="宋体"/>
          <w:color w:val="000000" w:themeColor="text1"/>
          <w:spacing w:val="4"/>
          <w:sz w:val="21"/>
          <w:szCs w:val="21"/>
          <w14:textFill>
            <w14:solidFill>
              <w14:schemeClr w14:val="tx1"/>
            </w14:solidFill>
          </w14:textFill>
        </w:rPr>
        <w:t>）：</w:t>
      </w:r>
    </w:p>
    <w:p w14:paraId="3C3942B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2"/>
          <w:sz w:val="21"/>
          <w:szCs w:val="21"/>
          <w14:textFill>
            <w14:solidFill>
              <w14:schemeClr w14:val="tx1"/>
            </w14:solidFill>
          </w14:textFill>
        </w:rPr>
        <w:t>24.4</w:t>
      </w:r>
      <w:r>
        <w:rPr>
          <w:rFonts w:hint="eastAsia" w:ascii="宋体" w:hAnsi="宋体" w:eastAsia="宋体" w:cs="宋体"/>
          <w:color w:val="000000" w:themeColor="text1"/>
          <w:spacing w:val="11"/>
          <w:sz w:val="21"/>
          <w:szCs w:val="21"/>
          <w14:textFill>
            <w14:solidFill>
              <w14:schemeClr w14:val="tx1"/>
            </w14:solidFill>
          </w14:textFill>
        </w:rPr>
        <w:t xml:space="preserve"> </w:t>
      </w:r>
      <w:r>
        <w:rPr>
          <w:rFonts w:hint="eastAsia" w:ascii="宋体" w:hAnsi="宋体" w:eastAsia="宋体" w:cs="宋体"/>
          <w:b/>
          <w:bCs/>
          <w:color w:val="000000" w:themeColor="text1"/>
          <w:spacing w:val="2"/>
          <w:sz w:val="21"/>
          <w:szCs w:val="21"/>
          <w14:textFill>
            <w14:solidFill>
              <w14:schemeClr w14:val="tx1"/>
            </w14:solidFill>
          </w14:textFill>
        </w:rPr>
        <w:t>仲裁</w:t>
      </w:r>
    </w:p>
    <w:p w14:paraId="2B2371C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right="155" w:firstLine="42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（1）对于未能友好解决或通过争议评审解决的争议，发包人或承包人任一方均有权提交给第</w:t>
      </w:r>
      <w:r>
        <w:rPr>
          <w:rFonts w:hint="eastAsia" w:ascii="宋体" w:hAnsi="宋体" w:eastAsia="宋体" w:cs="宋体"/>
          <w:color w:val="000000" w:themeColor="text1"/>
          <w:spacing w:val="7"/>
          <w:sz w:val="21"/>
          <w:szCs w:val="21"/>
          <w14:textFill>
            <w14:solidFill>
              <w14:schemeClr w14:val="tx1"/>
            </w14:solidFill>
          </w14:textFill>
        </w:rPr>
        <w:t>24.1 款约定的仲裁委员会仲裁。</w:t>
      </w:r>
    </w:p>
    <w:p w14:paraId="16244F1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（2）仲裁可在交工之前或之后进行，但发包人、监理人和承包人各自的义务不得因在工程实</w:t>
      </w:r>
      <w:r>
        <w:rPr>
          <w:rFonts w:hint="eastAsia" w:ascii="宋体" w:hAnsi="宋体" w:eastAsia="宋体" w:cs="宋体"/>
          <w:color w:val="000000" w:themeColor="text1"/>
          <w:spacing w:val="6"/>
          <w:sz w:val="21"/>
          <w:szCs w:val="21"/>
          <w14:textFill>
            <w14:solidFill>
              <w14:schemeClr w14:val="tx1"/>
            </w14:solidFill>
          </w14:textFill>
        </w:rPr>
        <w:t>施期间进行仲裁而有所改变。如果仲裁是在终止合同的情况下进行，则对合同工程应采取保护措施，</w:t>
      </w:r>
      <w:r>
        <w:rPr>
          <w:rFonts w:hint="eastAsia" w:ascii="宋体" w:hAnsi="宋体" w:eastAsia="宋体" w:cs="宋体"/>
          <w:color w:val="000000" w:themeColor="text1"/>
          <w:spacing w:val="8"/>
          <w:sz w:val="21"/>
          <w:szCs w:val="21"/>
          <w14:textFill>
            <w14:solidFill>
              <w14:schemeClr w14:val="tx1"/>
            </w14:solidFill>
          </w14:textFill>
        </w:rPr>
        <w:t>措施费由败诉方承担。</w:t>
      </w:r>
    </w:p>
    <w:p w14:paraId="0D856E9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（3）仲裁裁决是终局性的并对发包人和承包</w:t>
      </w:r>
      <w:r>
        <w:rPr>
          <w:rFonts w:hint="eastAsia" w:ascii="宋体" w:hAnsi="宋体" w:eastAsia="宋体" w:cs="宋体"/>
          <w:color w:val="000000" w:themeColor="text1"/>
          <w:spacing w:val="8"/>
          <w:sz w:val="21"/>
          <w:szCs w:val="21"/>
          <w14:textFill>
            <w14:solidFill>
              <w14:schemeClr w14:val="tx1"/>
            </w14:solidFill>
          </w14:textFill>
        </w:rPr>
        <w:t>人双方具有约束力。</w:t>
      </w:r>
    </w:p>
    <w:p w14:paraId="6315645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（4）全部仲裁费用应由败诉方承担；或按仲裁员会裁</w:t>
      </w:r>
      <w:r>
        <w:rPr>
          <w:rFonts w:hint="eastAsia" w:ascii="宋体" w:hAnsi="宋体" w:eastAsia="宋体" w:cs="宋体"/>
          <w:color w:val="000000" w:themeColor="text1"/>
          <w:spacing w:val="8"/>
          <w:sz w:val="21"/>
          <w:szCs w:val="21"/>
          <w14:textFill>
            <w14:solidFill>
              <w14:schemeClr w14:val="tx1"/>
            </w14:solidFill>
          </w14:textFill>
        </w:rPr>
        <w:t>决的比例分担。</w:t>
      </w:r>
    </w:p>
    <w:p w14:paraId="3DDDC99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24.5</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仲裁的执行</w:t>
      </w:r>
    </w:p>
    <w:p w14:paraId="6EF4137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（1）任何一方不履行仲裁机构的裁决的，对方可以向有管辖权的人民法院申请执行。</w:t>
      </w:r>
    </w:p>
    <w:p w14:paraId="51C4328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56"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（2）任何一方提出证据证明裁决有《中华人民共和国仲裁法》第五十八条规定情形之一的，</w:t>
      </w:r>
      <w:r>
        <w:rPr>
          <w:rFonts w:hint="eastAsia" w:ascii="宋体" w:hAnsi="宋体" w:eastAsia="宋体" w:cs="宋体"/>
          <w:color w:val="000000" w:themeColor="text1"/>
          <w:spacing w:val="10"/>
          <w:sz w:val="21"/>
          <w:szCs w:val="21"/>
          <w14:textFill>
            <w14:solidFill>
              <w14:schemeClr w14:val="tx1"/>
            </w14:solidFill>
          </w14:textFill>
        </w:rPr>
        <w:t>可以向仲裁委员会所在地的中级人民法院申请撤销裁决。人</w:t>
      </w:r>
      <w:r>
        <w:rPr>
          <w:rFonts w:hint="eastAsia" w:ascii="宋体" w:hAnsi="宋体" w:eastAsia="宋体" w:cs="宋体"/>
          <w:color w:val="000000" w:themeColor="text1"/>
          <w:spacing w:val="9"/>
          <w:sz w:val="21"/>
          <w:szCs w:val="21"/>
          <w14:textFill>
            <w14:solidFill>
              <w14:schemeClr w14:val="tx1"/>
            </w14:solidFill>
          </w14:textFill>
        </w:rPr>
        <w:t>民法院认定执行该裁决违背社会公共利</w:t>
      </w:r>
      <w:r>
        <w:rPr>
          <w:rFonts w:hint="eastAsia" w:ascii="宋体" w:hAnsi="宋体" w:eastAsia="宋体" w:cs="宋体"/>
          <w:color w:val="000000" w:themeColor="text1"/>
          <w:spacing w:val="10"/>
          <w:sz w:val="21"/>
          <w:szCs w:val="21"/>
          <w14:textFill>
            <w14:solidFill>
              <w14:schemeClr w14:val="tx1"/>
            </w14:solidFill>
          </w14:textFill>
        </w:rPr>
        <w:t>益的，裁定不予执行。仲裁裁决被人民法院裁定不予执行的</w:t>
      </w:r>
      <w:r>
        <w:rPr>
          <w:rFonts w:hint="eastAsia" w:ascii="宋体" w:hAnsi="宋体" w:eastAsia="宋体" w:cs="宋体"/>
          <w:color w:val="000000" w:themeColor="text1"/>
          <w:spacing w:val="9"/>
          <w:sz w:val="21"/>
          <w:szCs w:val="21"/>
          <w14:textFill>
            <w14:solidFill>
              <w14:schemeClr w14:val="tx1"/>
            </w14:solidFill>
          </w14:textFill>
        </w:rPr>
        <w:t>，当事人可以根据双方达成的书面仲裁</w:t>
      </w:r>
      <w:r>
        <w:rPr>
          <w:rFonts w:hint="eastAsia" w:ascii="宋体" w:hAnsi="宋体" w:eastAsia="宋体" w:cs="宋体"/>
          <w:color w:val="000000" w:themeColor="text1"/>
          <w:spacing w:val="8"/>
          <w:sz w:val="21"/>
          <w:szCs w:val="21"/>
          <w14:textFill>
            <w14:solidFill>
              <w14:schemeClr w14:val="tx1"/>
            </w14:solidFill>
          </w14:textFill>
        </w:rPr>
        <w:t>协议重新申请仲裁，也可以向人民法院起诉。</w:t>
      </w:r>
    </w:p>
    <w:p w14:paraId="207DDA53">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2A21262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375"/>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3"/>
          <w:sz w:val="21"/>
          <w:szCs w:val="21"/>
          <w14:textFill>
            <w14:solidFill>
              <w14:schemeClr w14:val="tx1"/>
            </w14:solidFill>
          </w14:textFill>
        </w:rPr>
        <w:t>B、项目专用合同条款</w:t>
      </w:r>
    </w:p>
    <w:p w14:paraId="693435E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说明：</w:t>
      </w:r>
    </w:p>
    <w:p w14:paraId="59B6C2F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9" w:firstLine="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1.招标人在根据《公路工程标准施工采购文件》编制项目采购文件中的“项</w:t>
      </w:r>
      <w:r>
        <w:rPr>
          <w:rFonts w:hint="eastAsia" w:ascii="宋体" w:hAnsi="宋体" w:eastAsia="宋体" w:cs="宋体"/>
          <w:color w:val="000000" w:themeColor="text1"/>
          <w:spacing w:val="10"/>
          <w:sz w:val="21"/>
          <w:szCs w:val="21"/>
          <w14:textFill>
            <w14:solidFill>
              <w14:schemeClr w14:val="tx1"/>
            </w14:solidFill>
          </w14:textFill>
        </w:rPr>
        <w:t>目专用合同条款</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10"/>
          <w:sz w:val="21"/>
          <w:szCs w:val="21"/>
          <w14:textFill>
            <w14:solidFill>
              <w14:schemeClr w14:val="tx1"/>
            </w14:solidFill>
          </w14:textFill>
        </w:rPr>
        <w:t>”</w:t>
      </w:r>
      <w:r>
        <w:rPr>
          <w:rFonts w:hint="eastAsia" w:ascii="宋体" w:hAnsi="宋体" w:eastAsia="宋体" w:cs="宋体"/>
          <w:color w:val="000000" w:themeColor="text1"/>
          <w:spacing w:val="8"/>
          <w:sz w:val="21"/>
          <w:szCs w:val="21"/>
          <w14:textFill>
            <w14:solidFill>
              <w14:schemeClr w14:val="tx1"/>
            </w14:solidFill>
          </w14:textFill>
        </w:rPr>
        <w:t>时，可根据招标项目的具体特点和实际需要，对“通用合同条款</w:t>
      </w:r>
      <w:r>
        <w:rPr>
          <w:rFonts w:hint="eastAsia" w:ascii="宋体" w:hAnsi="宋体" w:eastAsia="宋体" w:cs="宋体"/>
          <w:color w:val="000000" w:themeColor="text1"/>
          <w:spacing w:val="-56"/>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”及“公路工程专用合同条款</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”进行补充和细化，除“通用合同条款</w:t>
      </w:r>
      <w:r>
        <w:rPr>
          <w:rFonts w:hint="eastAsia" w:ascii="宋体" w:hAnsi="宋体" w:eastAsia="宋体" w:cs="宋体"/>
          <w:color w:val="000000" w:themeColor="text1"/>
          <w:spacing w:val="-59"/>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”明确“专用合同条款</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”可作出不同约定及“公路工程专用合同</w:t>
      </w:r>
      <w:r>
        <w:rPr>
          <w:rFonts w:hint="eastAsia" w:ascii="宋体" w:hAnsi="宋体" w:eastAsia="宋体" w:cs="宋体"/>
          <w:color w:val="000000" w:themeColor="text1"/>
          <w:spacing w:val="10"/>
          <w:sz w:val="21"/>
          <w:szCs w:val="21"/>
          <w14:textFill>
            <w14:solidFill>
              <w14:schemeClr w14:val="tx1"/>
            </w14:solidFill>
          </w14:textFill>
        </w:rPr>
        <w:t>条款</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10"/>
          <w:sz w:val="21"/>
          <w:szCs w:val="21"/>
          <w14:textFill>
            <w14:solidFill>
              <w14:schemeClr w14:val="tx1"/>
            </w14:solidFill>
          </w14:textFill>
        </w:rPr>
        <w:t>”明确“项目专用合同条款</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10"/>
          <w:sz w:val="21"/>
          <w:szCs w:val="21"/>
          <w14:textFill>
            <w14:solidFill>
              <w14:schemeClr w14:val="tx1"/>
            </w14:solidFill>
          </w14:textFill>
        </w:rPr>
        <w:t>”可作出不同约定外，补充和细化的内容不得与“通用合同条款</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10"/>
          <w:sz w:val="21"/>
          <w:szCs w:val="21"/>
          <w14:textFill>
            <w14:solidFill>
              <w14:schemeClr w14:val="tx1"/>
            </w14:solidFill>
          </w14:textFill>
        </w:rPr>
        <w:t>”</w:t>
      </w:r>
      <w:r>
        <w:rPr>
          <w:rFonts w:hint="eastAsia" w:ascii="宋体" w:hAnsi="宋体" w:eastAsia="宋体" w:cs="宋体"/>
          <w:color w:val="000000" w:themeColor="text1"/>
          <w:spacing w:val="9"/>
          <w:sz w:val="21"/>
          <w:szCs w:val="21"/>
          <w14:textFill>
            <w14:solidFill>
              <w14:schemeClr w14:val="tx1"/>
            </w14:solidFill>
          </w14:textFill>
        </w:rPr>
        <w:t>及“公路工程专用合同条款</w:t>
      </w:r>
      <w:r>
        <w:rPr>
          <w:rFonts w:hint="eastAsia" w:ascii="宋体" w:hAnsi="宋体" w:eastAsia="宋体" w:cs="宋体"/>
          <w:color w:val="000000" w:themeColor="text1"/>
          <w:spacing w:val="-53"/>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”强制性规定相抵触。同时，补充、细化的不同内容，不得违反法律、</w:t>
      </w:r>
      <w:r>
        <w:rPr>
          <w:rFonts w:hint="eastAsia" w:ascii="宋体" w:hAnsi="宋体" w:eastAsia="宋体" w:cs="宋体"/>
          <w:color w:val="000000" w:themeColor="text1"/>
          <w:spacing w:val="7"/>
          <w:sz w:val="21"/>
          <w:szCs w:val="21"/>
          <w14:textFill>
            <w14:solidFill>
              <w14:schemeClr w14:val="tx1"/>
            </w14:solidFill>
          </w14:textFill>
        </w:rPr>
        <w:t>行政法规的强制性规定和平等、</w:t>
      </w:r>
      <w:r>
        <w:rPr>
          <w:rFonts w:hint="eastAsia" w:ascii="宋体" w:hAnsi="宋体" w:eastAsia="宋体" w:cs="宋体"/>
          <w:color w:val="000000" w:themeColor="text1"/>
          <w:spacing w:val="-40"/>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自愿、公平和诚实信用原则。</w:t>
      </w:r>
    </w:p>
    <w:p w14:paraId="2504DB0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2.项目专用合同条款的编号应与通用合同条款和公路工程专用合同条款一致。</w:t>
      </w:r>
    </w:p>
    <w:p w14:paraId="42B01C9A">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3.项目专用合同条款可对下列内容进行补充和细化：</w:t>
      </w:r>
    </w:p>
    <w:p w14:paraId="0D963DC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34" w:firstLine="440"/>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（1）</w:t>
      </w:r>
      <w:r>
        <w:rPr>
          <w:rFonts w:hint="eastAsia" w:ascii="宋体" w:hAnsi="宋体" w:eastAsia="宋体" w:cs="宋体"/>
          <w:color w:val="000000" w:themeColor="text1"/>
          <w:spacing w:val="-79"/>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“通用合同条款</w:t>
      </w:r>
      <w:r>
        <w:rPr>
          <w:rFonts w:hint="eastAsia" w:ascii="宋体" w:hAnsi="宋体" w:eastAsia="宋体" w:cs="宋体"/>
          <w:color w:val="000000" w:themeColor="text1"/>
          <w:spacing w:val="-69"/>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”中明确指出“专用合同条款</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”可对</w:t>
      </w:r>
      <w:r>
        <w:rPr>
          <w:rFonts w:hint="eastAsia" w:ascii="宋体" w:hAnsi="宋体" w:eastAsia="宋体" w:cs="宋体"/>
          <w:color w:val="000000" w:themeColor="text1"/>
          <w:spacing w:val="6"/>
          <w:sz w:val="21"/>
          <w:szCs w:val="21"/>
          <w14:textFill>
            <w14:solidFill>
              <w14:schemeClr w14:val="tx1"/>
            </w14:solidFill>
          </w14:textFill>
        </w:rPr>
        <w:t>“通用合同条款</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”进行修改的内容</w:t>
      </w:r>
      <w:r>
        <w:rPr>
          <w:rFonts w:hint="eastAsia" w:ascii="宋体" w:hAnsi="宋体" w:eastAsia="宋体" w:cs="宋体"/>
          <w:color w:val="000000" w:themeColor="text1"/>
          <w:spacing w:val="4"/>
          <w:sz w:val="21"/>
          <w:szCs w:val="21"/>
          <w14:textFill>
            <w14:solidFill>
              <w14:schemeClr w14:val="tx1"/>
            </w14:solidFill>
          </w14:textFill>
        </w:rPr>
        <w:t>（在“通用合同条款</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”中用“应按合同约定</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”、“应按专用合同条款约定</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”“除合同另有约定外</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“除专用合同条款另有约定外</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”、“在专用合同条款中约定</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”等多种文字形式表达</w:t>
      </w:r>
      <w:r>
        <w:rPr>
          <w:rFonts w:hint="eastAsia" w:ascii="宋体" w:hAnsi="宋体" w:eastAsia="宋体" w:cs="宋体"/>
          <w:color w:val="000000" w:themeColor="text1"/>
          <w:spacing w:val="5"/>
          <w:sz w:val="21"/>
          <w:szCs w:val="21"/>
          <w14:textFill>
            <w14:solidFill>
              <w14:schemeClr w14:val="tx1"/>
            </w14:solidFill>
          </w14:textFill>
        </w:rPr>
        <w:t>）；</w:t>
      </w:r>
    </w:p>
    <w:p w14:paraId="06D1B5B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52" w:firstLine="440"/>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（2）</w:t>
      </w:r>
      <w:r>
        <w:rPr>
          <w:rFonts w:hint="eastAsia" w:ascii="宋体" w:hAnsi="宋体" w:eastAsia="宋体" w:cs="宋体"/>
          <w:color w:val="000000" w:themeColor="text1"/>
          <w:spacing w:val="-64"/>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“公路工程专用合同条款</w:t>
      </w:r>
      <w:r>
        <w:rPr>
          <w:rFonts w:hint="eastAsia" w:ascii="宋体" w:hAnsi="宋体" w:eastAsia="宋体" w:cs="宋体"/>
          <w:color w:val="000000" w:themeColor="text1"/>
          <w:spacing w:val="-69"/>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”中明确指出“项目专用合同条款</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”可对“公路工程专用合同</w:t>
      </w:r>
      <w:r>
        <w:rPr>
          <w:rFonts w:hint="eastAsia" w:ascii="宋体" w:hAnsi="宋体" w:eastAsia="宋体" w:cs="宋体"/>
          <w:color w:val="000000" w:themeColor="text1"/>
          <w:spacing w:val="8"/>
          <w:sz w:val="21"/>
          <w:szCs w:val="21"/>
          <w14:textFill>
            <w14:solidFill>
              <w14:schemeClr w14:val="tx1"/>
            </w14:solidFill>
          </w14:textFill>
        </w:rPr>
        <w:t>条款</w:t>
      </w:r>
      <w:r>
        <w:rPr>
          <w:rFonts w:hint="eastAsia" w:ascii="宋体" w:hAnsi="宋体" w:eastAsia="宋体" w:cs="宋体"/>
          <w:color w:val="000000" w:themeColor="text1"/>
          <w:spacing w:val="-55"/>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”进行修改的内容（在“公路工程专用合同条款</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”中用“除项目专用合同条款里有约定外</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“项目专用合同条款可能约定的</w:t>
      </w:r>
      <w:r>
        <w:rPr>
          <w:rFonts w:hint="eastAsia" w:ascii="宋体" w:hAnsi="宋体" w:eastAsia="宋体" w:cs="宋体"/>
          <w:color w:val="000000" w:themeColor="text1"/>
          <w:spacing w:val="-69"/>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”，“项目专用合同条</w:t>
      </w:r>
      <w:r>
        <w:rPr>
          <w:rFonts w:hint="eastAsia" w:ascii="宋体" w:hAnsi="宋体" w:eastAsia="宋体" w:cs="宋体"/>
          <w:color w:val="000000" w:themeColor="text1"/>
          <w:spacing w:val="6"/>
          <w:sz w:val="21"/>
          <w:szCs w:val="21"/>
          <w14:textFill>
            <w14:solidFill>
              <w14:schemeClr w14:val="tx1"/>
            </w14:solidFill>
          </w14:textFill>
        </w:rPr>
        <w:t>款约定的其他情形</w:t>
      </w:r>
      <w:r>
        <w:rPr>
          <w:rFonts w:hint="eastAsia" w:ascii="宋体" w:hAnsi="宋体" w:eastAsia="宋体" w:cs="宋体"/>
          <w:color w:val="000000" w:themeColor="text1"/>
          <w:spacing w:val="-72"/>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14:textFill>
            <w14:solidFill>
              <w14:schemeClr w14:val="tx1"/>
            </w14:solidFill>
          </w14:textFill>
        </w:rPr>
        <w:t>”等多种文字形式表达</w:t>
      </w:r>
      <w:r>
        <w:rPr>
          <w:rFonts w:hint="eastAsia" w:ascii="宋体" w:hAnsi="宋体" w:eastAsia="宋体" w:cs="宋体"/>
          <w:color w:val="000000" w:themeColor="text1"/>
          <w:spacing w:val="-29"/>
          <w:sz w:val="21"/>
          <w:szCs w:val="21"/>
          <w14:textFill>
            <w14:solidFill>
              <w14:schemeClr w14:val="tx1"/>
            </w14:solidFill>
          </w14:textFill>
        </w:rPr>
        <w:t>）；</w:t>
      </w:r>
    </w:p>
    <w:p w14:paraId="33B2087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（3）其他需要补充、细化的内容。</w:t>
      </w:r>
    </w:p>
    <w:p w14:paraId="5E419C49">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sectPr>
          <w:footerReference r:id="rId31" w:type="default"/>
          <w:pgSz w:w="11907" w:h="16840"/>
          <w:pgMar w:top="1431" w:right="1337" w:bottom="1048" w:left="1438" w:header="0" w:footer="885" w:gutter="0"/>
          <w:cols w:space="720" w:num="1"/>
        </w:sectPr>
      </w:pPr>
    </w:p>
    <w:p w14:paraId="60A6FF9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63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项目专用条款数据表</w:t>
      </w:r>
    </w:p>
    <w:p w14:paraId="7B035F21">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70" w:right="61" w:firstLine="4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说明：本数据表是项目专用合同条款中适用于本项目的信</w:t>
      </w:r>
      <w:r>
        <w:rPr>
          <w:rFonts w:hint="eastAsia" w:ascii="宋体" w:hAnsi="宋体" w:eastAsia="宋体" w:cs="宋体"/>
          <w:color w:val="000000" w:themeColor="text1"/>
          <w:spacing w:val="9"/>
          <w:sz w:val="21"/>
          <w:szCs w:val="21"/>
          <w14:textFill>
            <w14:solidFill>
              <w14:schemeClr w14:val="tx1"/>
            </w14:solidFill>
          </w14:textFill>
        </w:rPr>
        <w:t>息和数据的归纳与提示，是项目专用</w:t>
      </w:r>
      <w:r>
        <w:rPr>
          <w:rFonts w:hint="eastAsia" w:ascii="宋体" w:hAnsi="宋体" w:eastAsia="宋体" w:cs="宋体"/>
          <w:color w:val="000000" w:themeColor="text1"/>
          <w:spacing w:val="7"/>
          <w:sz w:val="21"/>
          <w:szCs w:val="21"/>
          <w14:textFill>
            <w14:solidFill>
              <w14:schemeClr w14:val="tx1"/>
            </w14:solidFill>
          </w14:textFill>
        </w:rPr>
        <w:t>合同条款的组成部分。</w:t>
      </w:r>
    </w:p>
    <w:tbl>
      <w:tblPr>
        <w:tblStyle w:val="255"/>
        <w:tblW w:w="91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1633"/>
        <w:gridCol w:w="6727"/>
      </w:tblGrid>
      <w:tr w14:paraId="3D597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784" w:type="dxa"/>
            <w:vAlign w:val="top"/>
          </w:tcPr>
          <w:p w14:paraId="61869944">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8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序号</w:t>
            </w:r>
          </w:p>
        </w:tc>
        <w:tc>
          <w:tcPr>
            <w:tcW w:w="1633" w:type="dxa"/>
            <w:vAlign w:val="top"/>
          </w:tcPr>
          <w:p w14:paraId="127300E4">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0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条款号</w:t>
            </w:r>
          </w:p>
        </w:tc>
        <w:tc>
          <w:tcPr>
            <w:tcW w:w="6727" w:type="dxa"/>
            <w:vAlign w:val="top"/>
          </w:tcPr>
          <w:p w14:paraId="70F05F20">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284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信息或数据</w:t>
            </w:r>
          </w:p>
        </w:tc>
      </w:tr>
      <w:tr w14:paraId="4A175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784" w:type="dxa"/>
            <w:vAlign w:val="top"/>
          </w:tcPr>
          <w:p w14:paraId="7F68536B">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6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position w:val="1"/>
                <w:sz w:val="21"/>
                <w:szCs w:val="21"/>
                <w14:textFill>
                  <w14:solidFill>
                    <w14:schemeClr w14:val="tx1"/>
                  </w14:solidFill>
                </w14:textFill>
              </w:rPr>
              <w:t>1</w:t>
            </w:r>
          </w:p>
        </w:tc>
        <w:tc>
          <w:tcPr>
            <w:tcW w:w="1633" w:type="dxa"/>
            <w:vAlign w:val="top"/>
          </w:tcPr>
          <w:p w14:paraId="08DB2DD1">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46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1.1.2.2</w:t>
            </w:r>
          </w:p>
        </w:tc>
        <w:tc>
          <w:tcPr>
            <w:tcW w:w="6727" w:type="dxa"/>
            <w:vAlign w:val="top"/>
          </w:tcPr>
          <w:p w14:paraId="0E398731">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发 包 人：贵港市港北区公路事业发展中心</w:t>
            </w:r>
          </w:p>
          <w:p w14:paraId="559FF2B6">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地 址：贵港市港北区金港大道</w:t>
            </w:r>
            <w:r>
              <w:rPr>
                <w:rFonts w:hint="eastAsia" w:ascii="宋体" w:hAnsi="宋体" w:eastAsia="宋体" w:cs="宋体"/>
                <w:color w:val="000000" w:themeColor="text1"/>
                <w:spacing w:val="-36"/>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904</w:t>
            </w:r>
            <w:r>
              <w:rPr>
                <w:rFonts w:hint="eastAsia" w:ascii="宋体" w:hAnsi="宋体" w:eastAsia="宋体" w:cs="宋体"/>
                <w:color w:val="000000" w:themeColor="text1"/>
                <w:spacing w:val="-36"/>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号   邮政编码：537100</w:t>
            </w:r>
          </w:p>
        </w:tc>
      </w:tr>
      <w:tr w14:paraId="79E2B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84" w:type="dxa"/>
            <w:vAlign w:val="top"/>
          </w:tcPr>
          <w:p w14:paraId="78D6A30F">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4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position w:val="1"/>
                <w:sz w:val="21"/>
                <w:szCs w:val="21"/>
                <w14:textFill>
                  <w14:solidFill>
                    <w14:schemeClr w14:val="tx1"/>
                  </w14:solidFill>
                </w14:textFill>
              </w:rPr>
              <w:t>2</w:t>
            </w:r>
          </w:p>
        </w:tc>
        <w:tc>
          <w:tcPr>
            <w:tcW w:w="1633" w:type="dxa"/>
            <w:vAlign w:val="top"/>
          </w:tcPr>
          <w:p w14:paraId="6472FD59">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46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1.1.2.6</w:t>
            </w:r>
          </w:p>
        </w:tc>
        <w:tc>
          <w:tcPr>
            <w:tcW w:w="6727" w:type="dxa"/>
            <w:vAlign w:val="top"/>
          </w:tcPr>
          <w:p w14:paraId="02ADFAB3">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监</w:t>
            </w:r>
            <w:r>
              <w:rPr>
                <w:rFonts w:hint="eastAsia" w:ascii="宋体" w:hAnsi="宋体" w:eastAsia="宋体" w:cs="宋体"/>
                <w:color w:val="000000" w:themeColor="text1"/>
                <w:spacing w:val="17"/>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理</w:t>
            </w:r>
            <w:r>
              <w:rPr>
                <w:rFonts w:hint="eastAsia" w:ascii="宋体" w:hAnsi="宋体" w:eastAsia="宋体" w:cs="宋体"/>
                <w:color w:val="000000" w:themeColor="text1"/>
                <w:spacing w:val="18"/>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人：待定</w:t>
            </w:r>
          </w:p>
          <w:p w14:paraId="37BF2FE8">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地 址：               邮政编码：</w:t>
            </w:r>
          </w:p>
        </w:tc>
      </w:tr>
      <w:tr w14:paraId="67D3D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588E1BDA">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4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position w:val="1"/>
                <w:sz w:val="21"/>
                <w:szCs w:val="21"/>
                <w14:textFill>
                  <w14:solidFill>
                    <w14:schemeClr w14:val="tx1"/>
                  </w14:solidFill>
                </w14:textFill>
              </w:rPr>
              <w:t>3</w:t>
            </w:r>
          </w:p>
        </w:tc>
        <w:tc>
          <w:tcPr>
            <w:tcW w:w="1633" w:type="dxa"/>
            <w:vAlign w:val="top"/>
          </w:tcPr>
          <w:p w14:paraId="088A14FD">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46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1.1.4.5</w:t>
            </w:r>
          </w:p>
        </w:tc>
        <w:tc>
          <w:tcPr>
            <w:tcW w:w="6727" w:type="dxa"/>
            <w:vAlign w:val="top"/>
          </w:tcPr>
          <w:p w14:paraId="2BE7E1FE">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缺陷责任期：</w:t>
            </w:r>
            <w:r>
              <w:rPr>
                <w:rFonts w:hint="eastAsia" w:ascii="宋体" w:hAnsi="宋体" w:eastAsia="宋体" w:cs="宋体"/>
                <w:color w:val="000000" w:themeColor="text1"/>
                <w:spacing w:val="-34"/>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自实际交工日期起计算</w:t>
            </w:r>
            <w:r>
              <w:rPr>
                <w:rFonts w:hint="eastAsia" w:ascii="宋体" w:hAnsi="宋体" w:eastAsia="宋体" w:cs="宋体"/>
                <w:color w:val="000000" w:themeColor="text1"/>
                <w:spacing w:val="32"/>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4"/>
                <w:sz w:val="21"/>
                <w:szCs w:val="21"/>
                <w:u w:val="single" w:color="auto"/>
                <w14:textFill>
                  <w14:solidFill>
                    <w14:schemeClr w14:val="tx1"/>
                  </w14:solidFill>
                </w14:textFill>
              </w:rPr>
              <w:t xml:space="preserve">1 </w:t>
            </w:r>
            <w:r>
              <w:rPr>
                <w:rFonts w:hint="eastAsia" w:ascii="宋体" w:hAnsi="宋体" w:eastAsia="宋体" w:cs="宋体"/>
                <w:color w:val="000000" w:themeColor="text1"/>
                <w:spacing w:val="4"/>
                <w:sz w:val="21"/>
                <w:szCs w:val="21"/>
                <w14:textFill>
                  <w14:solidFill>
                    <w14:schemeClr w14:val="tx1"/>
                  </w14:solidFill>
                </w14:textFill>
              </w:rPr>
              <w:t>年</w:t>
            </w:r>
          </w:p>
        </w:tc>
      </w:tr>
      <w:tr w14:paraId="11A75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84" w:type="dxa"/>
            <w:vAlign w:val="top"/>
          </w:tcPr>
          <w:p w14:paraId="3B249DF6">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4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position w:val="1"/>
                <w:sz w:val="21"/>
                <w:szCs w:val="21"/>
                <w14:textFill>
                  <w14:solidFill>
                    <w14:schemeClr w14:val="tx1"/>
                  </w14:solidFill>
                </w14:textFill>
              </w:rPr>
              <w:t>4</w:t>
            </w:r>
          </w:p>
        </w:tc>
        <w:tc>
          <w:tcPr>
            <w:tcW w:w="1633" w:type="dxa"/>
            <w:vAlign w:val="top"/>
          </w:tcPr>
          <w:p w14:paraId="434252AA">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7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position w:val="1"/>
                <w:sz w:val="21"/>
                <w:szCs w:val="21"/>
                <w14:textFill>
                  <w14:solidFill>
                    <w14:schemeClr w14:val="tx1"/>
                  </w14:solidFill>
                </w14:textFill>
              </w:rPr>
              <w:t>1.6.3</w:t>
            </w:r>
          </w:p>
        </w:tc>
        <w:tc>
          <w:tcPr>
            <w:tcW w:w="6727" w:type="dxa"/>
            <w:vAlign w:val="top"/>
          </w:tcPr>
          <w:p w14:paraId="1B8660BE">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5" w:right="108" w:firstLine="1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图纸需要修改和补充的，应由监理人取得发包人同意后，在该项工程或</w:t>
            </w:r>
            <w:r>
              <w:rPr>
                <w:rFonts w:hint="eastAsia" w:ascii="宋体" w:hAnsi="宋体" w:eastAsia="宋体" w:cs="宋体"/>
                <w:color w:val="000000" w:themeColor="text1"/>
                <w:spacing w:val="8"/>
                <w:sz w:val="21"/>
                <w:szCs w:val="21"/>
                <w14:textFill>
                  <w14:solidFill>
                    <w14:schemeClr w14:val="tx1"/>
                  </w14:solidFill>
                </w14:textFill>
              </w:rPr>
              <w:t>工程相应部位施工前</w:t>
            </w:r>
            <w:r>
              <w:rPr>
                <w:rFonts w:hint="eastAsia" w:ascii="宋体" w:hAnsi="宋体" w:eastAsia="宋体" w:cs="宋体"/>
                <w:color w:val="000000" w:themeColor="text1"/>
                <w:spacing w:val="8"/>
                <w:sz w:val="21"/>
                <w:szCs w:val="21"/>
                <w:u w:val="single" w:color="auto"/>
                <w14:textFill>
                  <w14:solidFill>
                    <w14:schemeClr w14:val="tx1"/>
                  </w14:solidFill>
                </w14:textFill>
              </w:rPr>
              <w:t xml:space="preserve"> 14 </w:t>
            </w:r>
            <w:r>
              <w:rPr>
                <w:rFonts w:hint="eastAsia" w:ascii="宋体" w:hAnsi="宋体" w:eastAsia="宋体" w:cs="宋体"/>
                <w:color w:val="000000" w:themeColor="text1"/>
                <w:spacing w:val="8"/>
                <w:sz w:val="21"/>
                <w:szCs w:val="21"/>
                <w14:textFill>
                  <w14:solidFill>
                    <w14:schemeClr w14:val="tx1"/>
                  </w14:solidFill>
                </w14:textFill>
              </w:rPr>
              <w:t>天签发图纸修改图给承包人</w:t>
            </w:r>
          </w:p>
        </w:tc>
      </w:tr>
      <w:tr w14:paraId="19F3A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784" w:type="dxa"/>
            <w:vAlign w:val="top"/>
          </w:tcPr>
          <w:p w14:paraId="7202428D">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3C2243FF">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49"/>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position w:val="1"/>
                <w:sz w:val="21"/>
                <w:szCs w:val="21"/>
                <w14:textFill>
                  <w14:solidFill>
                    <w14:schemeClr w14:val="tx1"/>
                  </w14:solidFill>
                </w14:textFill>
              </w:rPr>
              <w:t>5</w:t>
            </w:r>
          </w:p>
        </w:tc>
        <w:tc>
          <w:tcPr>
            <w:tcW w:w="1633" w:type="dxa"/>
            <w:vAlign w:val="top"/>
          </w:tcPr>
          <w:p w14:paraId="3DB4CF4B">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581CD695">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6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position w:val="1"/>
                <w:sz w:val="21"/>
                <w:szCs w:val="21"/>
                <w14:textFill>
                  <w14:solidFill>
                    <w14:schemeClr w14:val="tx1"/>
                  </w14:solidFill>
                </w14:textFill>
              </w:rPr>
              <w:t>3.1.1</w:t>
            </w:r>
          </w:p>
        </w:tc>
        <w:tc>
          <w:tcPr>
            <w:tcW w:w="6727" w:type="dxa"/>
            <w:vAlign w:val="top"/>
          </w:tcPr>
          <w:p w14:paraId="3EDC9DCA">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监理人在行使下列权利前需要经发包人事先批准：</w:t>
            </w:r>
          </w:p>
          <w:p w14:paraId="3C8E19F8">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2" w:right="108" w:firstLine="1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（6）根据第</w:t>
            </w:r>
            <w:r>
              <w:rPr>
                <w:rFonts w:hint="eastAsia" w:ascii="宋体" w:hAnsi="宋体" w:eastAsia="宋体" w:cs="宋体"/>
                <w:color w:val="000000" w:themeColor="text1"/>
                <w:spacing w:val="31"/>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15.3 款发出的变更指示，</w:t>
            </w:r>
            <w:r>
              <w:rPr>
                <w:rFonts w:hint="eastAsia" w:ascii="宋体" w:hAnsi="宋体" w:eastAsia="宋体" w:cs="宋体"/>
                <w:color w:val="000000" w:themeColor="text1"/>
                <w:spacing w:val="7"/>
                <w:sz w:val="21"/>
                <w:szCs w:val="21"/>
                <w14:textFill>
                  <w14:solidFill>
                    <w14:schemeClr w14:val="tx1"/>
                  </w14:solidFill>
                </w14:textFill>
              </w:rPr>
              <w:t>凡涉及工程变更费用的调整,均</w:t>
            </w:r>
            <w:r>
              <w:rPr>
                <w:rFonts w:hint="eastAsia" w:ascii="宋体" w:hAnsi="宋体" w:eastAsia="宋体" w:cs="宋体"/>
                <w:color w:val="000000" w:themeColor="text1"/>
                <w:spacing w:val="8"/>
                <w:sz w:val="21"/>
                <w:szCs w:val="21"/>
                <w14:textFill>
                  <w14:solidFill>
                    <w14:schemeClr w14:val="tx1"/>
                  </w14:solidFill>
                </w14:textFill>
              </w:rPr>
              <w:t>应先取得业主的书面批准。</w:t>
            </w:r>
          </w:p>
        </w:tc>
      </w:tr>
      <w:tr w14:paraId="087CD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0F7E296E">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4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position w:val="1"/>
                <w:sz w:val="21"/>
                <w:szCs w:val="21"/>
                <w14:textFill>
                  <w14:solidFill>
                    <w14:schemeClr w14:val="tx1"/>
                  </w14:solidFill>
                </w14:textFill>
              </w:rPr>
              <w:t>6</w:t>
            </w:r>
          </w:p>
        </w:tc>
        <w:tc>
          <w:tcPr>
            <w:tcW w:w="1633" w:type="dxa"/>
            <w:vAlign w:val="top"/>
          </w:tcPr>
          <w:p w14:paraId="0204CE22">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6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position w:val="1"/>
                <w:sz w:val="21"/>
                <w:szCs w:val="21"/>
                <w14:textFill>
                  <w14:solidFill>
                    <w14:schemeClr w14:val="tx1"/>
                  </w14:solidFill>
                </w14:textFill>
              </w:rPr>
              <w:t>5.2.4</w:t>
            </w:r>
          </w:p>
        </w:tc>
        <w:tc>
          <w:tcPr>
            <w:tcW w:w="6727" w:type="dxa"/>
            <w:vAlign w:val="top"/>
          </w:tcPr>
          <w:p w14:paraId="34C94AD5">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发包人是否提供材料或工程设备：</w:t>
            </w:r>
            <w:r>
              <w:rPr>
                <w:rFonts w:hint="eastAsia" w:ascii="宋体" w:hAnsi="宋体" w:eastAsia="宋体" w:cs="宋体"/>
                <w:color w:val="000000" w:themeColor="text1"/>
                <w:spacing w:val="9"/>
                <w:sz w:val="21"/>
                <w:szCs w:val="21"/>
                <w:u w:val="single" w:color="auto"/>
                <w14:textFill>
                  <w14:solidFill>
                    <w14:schemeClr w14:val="tx1"/>
                  </w14:solidFill>
                </w14:textFill>
              </w:rPr>
              <w:t>否</w:t>
            </w:r>
          </w:p>
        </w:tc>
      </w:tr>
      <w:tr w14:paraId="6F769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18AE3781">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5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position w:val="1"/>
                <w:sz w:val="21"/>
                <w:szCs w:val="21"/>
                <w14:textFill>
                  <w14:solidFill>
                    <w14:schemeClr w14:val="tx1"/>
                  </w14:solidFill>
                </w14:textFill>
              </w:rPr>
              <w:t>7</w:t>
            </w:r>
          </w:p>
        </w:tc>
        <w:tc>
          <w:tcPr>
            <w:tcW w:w="1633" w:type="dxa"/>
            <w:vAlign w:val="top"/>
          </w:tcPr>
          <w:p w14:paraId="64C24FB0">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66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6.2</w:t>
            </w:r>
          </w:p>
        </w:tc>
        <w:tc>
          <w:tcPr>
            <w:tcW w:w="6727" w:type="dxa"/>
            <w:vAlign w:val="top"/>
          </w:tcPr>
          <w:p w14:paraId="50E68EEA">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发包人是否提供施工设备和临时设施：</w:t>
            </w:r>
            <w:r>
              <w:rPr>
                <w:rFonts w:hint="eastAsia" w:ascii="宋体" w:hAnsi="宋体" w:eastAsia="宋体" w:cs="宋体"/>
                <w:color w:val="000000" w:themeColor="text1"/>
                <w:spacing w:val="9"/>
                <w:sz w:val="21"/>
                <w:szCs w:val="21"/>
                <w:u w:val="single" w:color="auto"/>
                <w14:textFill>
                  <w14:solidFill>
                    <w14:schemeClr w14:val="tx1"/>
                  </w14:solidFill>
                </w14:textFill>
              </w:rPr>
              <w:t>否</w:t>
            </w:r>
          </w:p>
        </w:tc>
      </w:tr>
      <w:tr w14:paraId="6F088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784" w:type="dxa"/>
            <w:vAlign w:val="top"/>
          </w:tcPr>
          <w:p w14:paraId="4DFBD94D">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5D273C7A">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0BE2297A">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4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position w:val="1"/>
                <w:sz w:val="21"/>
                <w:szCs w:val="21"/>
                <w14:textFill>
                  <w14:solidFill>
                    <w14:schemeClr w14:val="tx1"/>
                  </w14:solidFill>
                </w14:textFill>
              </w:rPr>
              <w:t>8</w:t>
            </w:r>
          </w:p>
        </w:tc>
        <w:tc>
          <w:tcPr>
            <w:tcW w:w="1633" w:type="dxa"/>
            <w:vAlign w:val="top"/>
          </w:tcPr>
          <w:p w14:paraId="4BB9E971">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03B1C8E6">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5A6B2408">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5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position w:val="1"/>
                <w:sz w:val="21"/>
                <w:szCs w:val="21"/>
                <w14:textFill>
                  <w14:solidFill>
                    <w14:schemeClr w14:val="tx1"/>
                  </w14:solidFill>
                </w14:textFill>
              </w:rPr>
              <w:t>8.1.1</w:t>
            </w:r>
          </w:p>
        </w:tc>
        <w:tc>
          <w:tcPr>
            <w:tcW w:w="6727" w:type="dxa"/>
            <w:vAlign w:val="top"/>
          </w:tcPr>
          <w:p w14:paraId="71E34030">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1" w:right="108" w:firstLine="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发包人提供测量基准点、基准线和水准点及其书面资料的期限：</w:t>
            </w:r>
            <w:r>
              <w:rPr>
                <w:rFonts w:hint="eastAsia" w:ascii="宋体" w:hAnsi="宋体" w:eastAsia="宋体" w:cs="宋体"/>
                <w:color w:val="000000" w:themeColor="text1"/>
                <w:spacing w:val="9"/>
                <w:sz w:val="21"/>
                <w:szCs w:val="21"/>
                <w:u w:val="single" w:color="auto"/>
                <w14:textFill>
                  <w14:solidFill>
                    <w14:schemeClr w14:val="tx1"/>
                  </w14:solidFill>
                </w14:textFill>
              </w:rPr>
              <w:t>承包人</w:t>
            </w:r>
            <w:r>
              <w:rPr>
                <w:rFonts w:hint="eastAsia" w:ascii="宋体" w:hAnsi="宋体" w:eastAsia="宋体" w:cs="宋体"/>
                <w:color w:val="000000" w:themeColor="text1"/>
                <w:spacing w:val="6"/>
                <w:sz w:val="21"/>
                <w:szCs w:val="21"/>
                <w:u w:val="single" w:color="auto"/>
                <w14:textFill>
                  <w14:solidFill>
                    <w14:schemeClr w14:val="tx1"/>
                  </w14:solidFill>
                </w14:textFill>
              </w:rPr>
              <w:t>在与建设单位签订合同协议书后的</w:t>
            </w:r>
            <w:r>
              <w:rPr>
                <w:rFonts w:hint="eastAsia" w:ascii="宋体" w:hAnsi="宋体" w:eastAsia="宋体" w:cs="宋体"/>
                <w:color w:val="000000" w:themeColor="text1"/>
                <w:spacing w:val="-6"/>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6"/>
                <w:sz w:val="21"/>
                <w:szCs w:val="21"/>
                <w:u w:val="single" w:color="auto"/>
                <w14:textFill>
                  <w14:solidFill>
                    <w14:schemeClr w14:val="tx1"/>
                  </w14:solidFill>
                </w14:textFill>
              </w:rPr>
              <w:t>14</w:t>
            </w:r>
            <w:r>
              <w:rPr>
                <w:rFonts w:hint="eastAsia" w:ascii="宋体" w:hAnsi="宋体" w:eastAsia="宋体" w:cs="宋体"/>
                <w:color w:val="000000" w:themeColor="text1"/>
                <w:spacing w:val="-34"/>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6"/>
                <w:sz w:val="21"/>
                <w:szCs w:val="21"/>
                <w:u w:val="single" w:color="auto"/>
                <w14:textFill>
                  <w14:solidFill>
                    <w14:schemeClr w14:val="tx1"/>
                  </w14:solidFill>
                </w14:textFill>
              </w:rPr>
              <w:t>天内。</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2CDC1FC8">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4" w:right="108" w:hanging="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承包人将施工控制网资料报送监理人审批的期</w:t>
            </w:r>
            <w:r>
              <w:rPr>
                <w:rFonts w:hint="eastAsia" w:ascii="宋体" w:hAnsi="宋体" w:eastAsia="宋体" w:cs="宋体"/>
                <w:color w:val="000000" w:themeColor="text1"/>
                <w:spacing w:val="9"/>
                <w:sz w:val="21"/>
                <w:szCs w:val="21"/>
                <w14:textFill>
                  <w14:solidFill>
                    <w14:schemeClr w14:val="tx1"/>
                  </w14:solidFill>
                </w14:textFill>
              </w:rPr>
              <w:t>限：</w:t>
            </w:r>
            <w:r>
              <w:rPr>
                <w:rFonts w:hint="eastAsia" w:ascii="宋体" w:hAnsi="宋体" w:eastAsia="宋体" w:cs="宋体"/>
                <w:color w:val="000000" w:themeColor="text1"/>
                <w:spacing w:val="9"/>
                <w:sz w:val="21"/>
                <w:szCs w:val="21"/>
                <w:u w:val="single" w:color="auto"/>
                <w14:textFill>
                  <w14:solidFill>
                    <w14:schemeClr w14:val="tx1"/>
                  </w14:solidFill>
                </w14:textFill>
              </w:rPr>
              <w:t>工程（单项工程）开</w:t>
            </w:r>
            <w:r>
              <w:rPr>
                <w:rFonts w:hint="eastAsia" w:ascii="宋体" w:hAnsi="宋体" w:eastAsia="宋体" w:cs="宋体"/>
                <w:color w:val="000000" w:themeColor="text1"/>
                <w:spacing w:val="-2"/>
                <w:sz w:val="21"/>
                <w:szCs w:val="21"/>
                <w:u w:val="single" w:color="auto"/>
                <w14:textFill>
                  <w14:solidFill>
                    <w14:schemeClr w14:val="tx1"/>
                  </w14:solidFill>
                </w14:textFill>
              </w:rPr>
              <w:t>工</w:t>
            </w:r>
            <w:r>
              <w:rPr>
                <w:rFonts w:hint="eastAsia" w:ascii="宋体" w:hAnsi="宋体" w:eastAsia="宋体" w:cs="宋体"/>
                <w:color w:val="000000" w:themeColor="text1"/>
                <w:spacing w:val="-33"/>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2"/>
                <w:sz w:val="21"/>
                <w:szCs w:val="21"/>
                <w:u w:val="single" w:color="auto"/>
                <w14:textFill>
                  <w14:solidFill>
                    <w14:schemeClr w14:val="tx1"/>
                  </w14:solidFill>
                </w14:textFill>
              </w:rPr>
              <w:t>7</w:t>
            </w:r>
            <w:r>
              <w:rPr>
                <w:rFonts w:hint="eastAsia" w:ascii="宋体" w:hAnsi="宋体" w:eastAsia="宋体" w:cs="宋体"/>
                <w:color w:val="000000" w:themeColor="text1"/>
                <w:spacing w:val="-33"/>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2"/>
                <w:sz w:val="21"/>
                <w:szCs w:val="21"/>
                <w:u w:val="single" w:color="auto"/>
                <w14:textFill>
                  <w14:solidFill>
                    <w14:schemeClr w14:val="tx1"/>
                  </w14:solidFill>
                </w14:textFill>
              </w:rPr>
              <w:t>天前</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tc>
      </w:tr>
      <w:tr w14:paraId="2FF83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564F2B14">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4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position w:val="1"/>
                <w:sz w:val="21"/>
                <w:szCs w:val="21"/>
                <w14:textFill>
                  <w14:solidFill>
                    <w14:schemeClr w14:val="tx1"/>
                  </w14:solidFill>
                </w14:textFill>
              </w:rPr>
              <w:t>9</w:t>
            </w:r>
          </w:p>
        </w:tc>
        <w:tc>
          <w:tcPr>
            <w:tcW w:w="1633" w:type="dxa"/>
            <w:vAlign w:val="top"/>
          </w:tcPr>
          <w:p w14:paraId="141E4669">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62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11.5</w:t>
            </w:r>
          </w:p>
        </w:tc>
        <w:tc>
          <w:tcPr>
            <w:tcW w:w="6727" w:type="dxa"/>
            <w:vAlign w:val="top"/>
          </w:tcPr>
          <w:p w14:paraId="4071D470">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逾期交工违约金：</w:t>
            </w:r>
            <w:r>
              <w:rPr>
                <w:rFonts w:hint="eastAsia" w:ascii="宋体" w:hAnsi="宋体" w:eastAsia="宋体" w:cs="宋体"/>
                <w:color w:val="000000" w:themeColor="text1"/>
                <w:spacing w:val="8"/>
                <w:sz w:val="21"/>
                <w:szCs w:val="21"/>
                <w:u w:val="single" w:color="auto"/>
                <w14:textFill>
                  <w14:solidFill>
                    <w14:schemeClr w14:val="tx1"/>
                  </w14:solidFill>
                </w14:textFill>
              </w:rPr>
              <w:t>每天为合同价格的 0.1‰</w:t>
            </w:r>
            <w:r>
              <w:rPr>
                <w:rFonts w:hint="eastAsia" w:ascii="宋体" w:hAnsi="宋体" w:eastAsia="宋体" w:cs="宋体"/>
                <w:color w:val="000000" w:themeColor="text1"/>
                <w:spacing w:val="8"/>
                <w:sz w:val="21"/>
                <w:szCs w:val="21"/>
                <w14:textFill>
                  <w14:solidFill>
                    <w14:schemeClr w14:val="tx1"/>
                  </w14:solidFill>
                </w14:textFill>
              </w:rPr>
              <w:t>天</w:t>
            </w:r>
          </w:p>
        </w:tc>
      </w:tr>
      <w:tr w14:paraId="0D266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4A68FCD8">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0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position w:val="1"/>
                <w:sz w:val="21"/>
                <w:szCs w:val="21"/>
                <w14:textFill>
                  <w14:solidFill>
                    <w14:schemeClr w14:val="tx1"/>
                  </w14:solidFill>
                </w14:textFill>
              </w:rPr>
              <w:t>10</w:t>
            </w:r>
          </w:p>
        </w:tc>
        <w:tc>
          <w:tcPr>
            <w:tcW w:w="1633" w:type="dxa"/>
            <w:vAlign w:val="top"/>
          </w:tcPr>
          <w:p w14:paraId="2EDCFCE1">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62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11.5</w:t>
            </w:r>
          </w:p>
        </w:tc>
        <w:tc>
          <w:tcPr>
            <w:tcW w:w="6727" w:type="dxa"/>
            <w:vAlign w:val="top"/>
          </w:tcPr>
          <w:p w14:paraId="4088EB80">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逾期交工违约金限额：合同价格的</w:t>
            </w:r>
            <w:r>
              <w:rPr>
                <w:rFonts w:hint="eastAsia" w:ascii="宋体" w:hAnsi="宋体" w:eastAsia="宋体" w:cs="宋体"/>
                <w:color w:val="000000" w:themeColor="text1"/>
                <w:spacing w:val="11"/>
                <w:sz w:val="21"/>
                <w:szCs w:val="21"/>
                <w:u w:val="single" w:color="auto"/>
                <w14:textFill>
                  <w14:solidFill>
                    <w14:schemeClr w14:val="tx1"/>
                  </w14:solidFill>
                </w14:textFill>
              </w:rPr>
              <w:t xml:space="preserve"> 2</w:t>
            </w:r>
            <w:r>
              <w:rPr>
                <w:rFonts w:hint="eastAsia" w:ascii="宋体" w:hAnsi="宋体" w:eastAsia="宋体" w:cs="宋体"/>
                <w:color w:val="000000" w:themeColor="text1"/>
                <w:spacing w:val="41"/>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11"/>
                <w:sz w:val="21"/>
                <w:szCs w:val="21"/>
                <w14:textFill>
                  <w14:solidFill>
                    <w14:schemeClr w14:val="tx1"/>
                  </w14:solidFill>
                </w14:textFill>
              </w:rPr>
              <w:t>%</w:t>
            </w:r>
          </w:p>
        </w:tc>
      </w:tr>
      <w:tr w14:paraId="61D446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708B06C7">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0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position w:val="1"/>
                <w:sz w:val="21"/>
                <w:szCs w:val="21"/>
                <w14:textFill>
                  <w14:solidFill>
                    <w14:schemeClr w14:val="tx1"/>
                  </w14:solidFill>
                </w14:textFill>
              </w:rPr>
              <w:t>11</w:t>
            </w:r>
          </w:p>
        </w:tc>
        <w:tc>
          <w:tcPr>
            <w:tcW w:w="1633" w:type="dxa"/>
            <w:vAlign w:val="top"/>
          </w:tcPr>
          <w:p w14:paraId="30CF593A">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62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11.6</w:t>
            </w:r>
          </w:p>
        </w:tc>
        <w:tc>
          <w:tcPr>
            <w:tcW w:w="6727" w:type="dxa"/>
            <w:vAlign w:val="top"/>
          </w:tcPr>
          <w:p w14:paraId="33DE2849">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提前交工的奖金：无</w:t>
            </w:r>
          </w:p>
        </w:tc>
      </w:tr>
      <w:tr w14:paraId="3EECEE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6AE4DCBE">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0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position w:val="1"/>
                <w:sz w:val="21"/>
                <w:szCs w:val="21"/>
                <w14:textFill>
                  <w14:solidFill>
                    <w14:schemeClr w14:val="tx1"/>
                  </w14:solidFill>
                </w14:textFill>
              </w:rPr>
              <w:t>12</w:t>
            </w:r>
          </w:p>
        </w:tc>
        <w:tc>
          <w:tcPr>
            <w:tcW w:w="1633" w:type="dxa"/>
            <w:vAlign w:val="top"/>
          </w:tcPr>
          <w:p w14:paraId="5F345BAF">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62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11.6</w:t>
            </w:r>
          </w:p>
        </w:tc>
        <w:tc>
          <w:tcPr>
            <w:tcW w:w="6727" w:type="dxa"/>
            <w:vAlign w:val="top"/>
          </w:tcPr>
          <w:p w14:paraId="785CF8EA">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提前交工的奖金限额：无</w:t>
            </w:r>
          </w:p>
        </w:tc>
      </w:tr>
      <w:tr w14:paraId="76DC0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71F8B1B3">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0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position w:val="1"/>
                <w:sz w:val="21"/>
                <w:szCs w:val="21"/>
                <w14:textFill>
                  <w14:solidFill>
                    <w14:schemeClr w14:val="tx1"/>
                  </w14:solidFill>
                </w14:textFill>
              </w:rPr>
              <w:t>13</w:t>
            </w:r>
          </w:p>
        </w:tc>
        <w:tc>
          <w:tcPr>
            <w:tcW w:w="1633" w:type="dxa"/>
            <w:vAlign w:val="top"/>
          </w:tcPr>
          <w:p w14:paraId="21DC7B71">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15.2.2</w:t>
            </w:r>
          </w:p>
        </w:tc>
        <w:tc>
          <w:tcPr>
            <w:tcW w:w="6727" w:type="dxa"/>
            <w:vAlign w:val="top"/>
          </w:tcPr>
          <w:p w14:paraId="34F863FD">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无</w:t>
            </w:r>
          </w:p>
        </w:tc>
      </w:tr>
      <w:tr w14:paraId="73954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477CAFBD">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0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position w:val="1"/>
                <w:sz w:val="21"/>
                <w:szCs w:val="21"/>
                <w14:textFill>
                  <w14:solidFill>
                    <w14:schemeClr w14:val="tx1"/>
                  </w14:solidFill>
                </w14:textFill>
              </w:rPr>
              <w:t>14</w:t>
            </w:r>
          </w:p>
        </w:tc>
        <w:tc>
          <w:tcPr>
            <w:tcW w:w="1633" w:type="dxa"/>
            <w:vAlign w:val="top"/>
          </w:tcPr>
          <w:p w14:paraId="59BFF8E3">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62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16.1</w:t>
            </w:r>
          </w:p>
        </w:tc>
        <w:tc>
          <w:tcPr>
            <w:tcW w:w="6727" w:type="dxa"/>
            <w:vAlign w:val="top"/>
          </w:tcPr>
          <w:p w14:paraId="47EAF973">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☑本项目不调价</w:t>
            </w:r>
          </w:p>
        </w:tc>
      </w:tr>
      <w:tr w14:paraId="68A0D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784" w:type="dxa"/>
            <w:vAlign w:val="top"/>
          </w:tcPr>
          <w:p w14:paraId="5B7C49FB">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0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position w:val="1"/>
                <w:sz w:val="21"/>
                <w:szCs w:val="21"/>
                <w14:textFill>
                  <w14:solidFill>
                    <w14:schemeClr w14:val="tx1"/>
                  </w14:solidFill>
                </w14:textFill>
              </w:rPr>
              <w:t>15</w:t>
            </w:r>
          </w:p>
        </w:tc>
        <w:tc>
          <w:tcPr>
            <w:tcW w:w="1633" w:type="dxa"/>
            <w:vAlign w:val="top"/>
          </w:tcPr>
          <w:p w14:paraId="26BE90E4">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17.2.1</w:t>
            </w:r>
          </w:p>
        </w:tc>
        <w:tc>
          <w:tcPr>
            <w:tcW w:w="6727" w:type="dxa"/>
            <w:vAlign w:val="top"/>
          </w:tcPr>
          <w:p w14:paraId="61727915">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开工预付款金额：</w:t>
            </w:r>
            <w:r>
              <w:rPr>
                <w:rFonts w:hint="eastAsia" w:ascii="宋体" w:hAnsi="宋体" w:eastAsia="宋体" w:cs="宋体"/>
                <w:color w:val="000000" w:themeColor="text1"/>
                <w:spacing w:val="9"/>
                <w:sz w:val="21"/>
                <w:szCs w:val="21"/>
                <w:u w:val="single" w:color="auto"/>
                <w14:textFill>
                  <w14:solidFill>
                    <w14:schemeClr w14:val="tx1"/>
                  </w14:solidFill>
                </w14:textFill>
              </w:rPr>
              <w:t>合同价的</w:t>
            </w:r>
            <w:r>
              <w:rPr>
                <w:rFonts w:hint="eastAsia" w:ascii="宋体" w:hAnsi="宋体" w:eastAsia="宋体" w:cs="宋体"/>
                <w:color w:val="000000" w:themeColor="text1"/>
                <w:spacing w:val="-32"/>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9"/>
                <w:sz w:val="21"/>
                <w:szCs w:val="21"/>
                <w:u w:val="single" w:color="auto"/>
                <w14:textFill>
                  <w14:solidFill>
                    <w14:schemeClr w14:val="tx1"/>
                  </w14:solidFill>
                </w14:textFill>
              </w:rPr>
              <w:t>30%（在签订合同时</w:t>
            </w:r>
            <w:r>
              <w:rPr>
                <w:rFonts w:hint="eastAsia" w:ascii="宋体" w:hAnsi="宋体" w:eastAsia="宋体" w:cs="宋体"/>
                <w:color w:val="000000" w:themeColor="text1"/>
                <w:spacing w:val="8"/>
                <w:sz w:val="21"/>
                <w:szCs w:val="21"/>
                <w:u w:val="single" w:color="auto"/>
                <w14:textFill>
                  <w14:solidFill>
                    <w14:schemeClr w14:val="tx1"/>
                  </w14:solidFill>
                </w14:textFill>
              </w:rPr>
              <w:t>，承包人明确表示无需</w:t>
            </w:r>
            <w:r>
              <w:rPr>
                <w:rFonts w:hint="eastAsia" w:ascii="宋体" w:hAnsi="宋体" w:eastAsia="宋体" w:cs="宋体"/>
                <w:color w:val="000000" w:themeColor="text1"/>
                <w:spacing w:val="9"/>
                <w:sz w:val="21"/>
                <w:szCs w:val="21"/>
                <w:u w:val="single" w:color="auto"/>
                <w14:textFill>
                  <w14:solidFill>
                    <w14:schemeClr w14:val="tx1"/>
                  </w14:solidFill>
                </w14:textFill>
              </w:rPr>
              <w:t>预付款或者主动要求降低预付款比例的，发包人人可不适用于预付款制</w:t>
            </w:r>
            <w:r>
              <w:rPr>
                <w:rFonts w:hint="eastAsia" w:ascii="宋体" w:hAnsi="宋体" w:eastAsia="宋体" w:cs="宋体"/>
                <w:color w:val="000000" w:themeColor="text1"/>
                <w:sz w:val="21"/>
                <w:szCs w:val="21"/>
                <w:u w:val="single" w:color="auto"/>
                <w14:textFill>
                  <w14:solidFill>
                    <w14:schemeClr w14:val="tx1"/>
                  </w14:solidFill>
                </w14:textFill>
              </w:rPr>
              <w:t>度）</w:t>
            </w:r>
            <w:r>
              <w:rPr>
                <w:rFonts w:hint="eastAsia" w:ascii="宋体" w:hAnsi="宋体" w:eastAsia="宋体" w:cs="宋体"/>
                <w:color w:val="000000" w:themeColor="text1"/>
                <w:spacing w:val="45"/>
                <w:sz w:val="21"/>
                <w:szCs w:val="21"/>
                <w:u w:val="single" w:color="auto"/>
                <w14:textFill>
                  <w14:solidFill>
                    <w14:schemeClr w14:val="tx1"/>
                  </w14:solidFill>
                </w14:textFill>
              </w:rPr>
              <w:t xml:space="preserve"> </w:t>
            </w:r>
            <w:r>
              <w:rPr>
                <w:rFonts w:hint="eastAsia" w:ascii="宋体" w:hAnsi="宋体" w:eastAsia="宋体" w:cs="宋体"/>
                <w:color w:val="000000" w:themeColor="text1"/>
                <w:sz w:val="21"/>
                <w:szCs w:val="21"/>
                <w:u w:val="single" w:color="auto"/>
                <w14:textFill>
                  <w14:solidFill>
                    <w14:schemeClr w14:val="tx1"/>
                  </w14:solidFill>
                </w14:textFill>
              </w:rPr>
              <w:t>。</w:t>
            </w:r>
          </w:p>
        </w:tc>
      </w:tr>
    </w:tbl>
    <w:p w14:paraId="5D07E458">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34A492ED">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sectPr>
          <w:footerReference r:id="rId32" w:type="default"/>
          <w:pgSz w:w="11907" w:h="16840"/>
          <w:pgMar w:top="1431" w:right="1379" w:bottom="1048" w:left="1378" w:header="0" w:footer="885" w:gutter="0"/>
          <w:cols w:space="720" w:num="1"/>
        </w:sectPr>
      </w:pPr>
    </w:p>
    <w:tbl>
      <w:tblPr>
        <w:tblStyle w:val="255"/>
        <w:tblW w:w="91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1633"/>
        <w:gridCol w:w="6727"/>
      </w:tblGrid>
      <w:tr w14:paraId="74B36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784" w:type="dxa"/>
            <w:vAlign w:val="top"/>
          </w:tcPr>
          <w:p w14:paraId="721657FF">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tc>
        <w:tc>
          <w:tcPr>
            <w:tcW w:w="1633" w:type="dxa"/>
            <w:vAlign w:val="top"/>
          </w:tcPr>
          <w:p w14:paraId="4F15A412">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tc>
        <w:tc>
          <w:tcPr>
            <w:tcW w:w="6727" w:type="dxa"/>
            <w:vAlign w:val="top"/>
          </w:tcPr>
          <w:p w14:paraId="03B1F4B2">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预付款的扣回：</w:t>
            </w:r>
            <w:r>
              <w:rPr>
                <w:rFonts w:hint="eastAsia" w:ascii="宋体" w:hAnsi="宋体" w:eastAsia="宋体" w:cs="宋体"/>
                <w:color w:val="000000" w:themeColor="text1"/>
                <w:spacing w:val="3"/>
                <w:sz w:val="21"/>
                <w:szCs w:val="21"/>
                <w:u w:val="single" w:color="auto"/>
                <w14:textFill>
                  <w14:solidFill>
                    <w14:schemeClr w14:val="tx1"/>
                  </w14:solidFill>
                </w14:textFill>
              </w:rPr>
              <w:t>在首次进度款中一次性扣回</w:t>
            </w:r>
            <w:r>
              <w:rPr>
                <w:rFonts w:hint="eastAsia" w:ascii="宋体" w:hAnsi="宋体" w:eastAsia="宋体" w:cs="宋体"/>
                <w:color w:val="000000" w:themeColor="text1"/>
                <w:spacing w:val="3"/>
                <w:sz w:val="21"/>
                <w:szCs w:val="21"/>
                <w14:textFill>
                  <w14:solidFill>
                    <w14:schemeClr w14:val="tx1"/>
                  </w14:solidFill>
                </w14:textFill>
              </w:rPr>
              <w:t>。</w:t>
            </w:r>
          </w:p>
        </w:tc>
      </w:tr>
      <w:tr w14:paraId="634D7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117F664B">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0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position w:val="1"/>
                <w:sz w:val="21"/>
                <w:szCs w:val="21"/>
                <w14:textFill>
                  <w14:solidFill>
                    <w14:schemeClr w14:val="tx1"/>
                  </w14:solidFill>
                </w14:textFill>
              </w:rPr>
              <w:t>16</w:t>
            </w:r>
          </w:p>
        </w:tc>
        <w:tc>
          <w:tcPr>
            <w:tcW w:w="1633" w:type="dxa"/>
            <w:vAlign w:val="top"/>
          </w:tcPr>
          <w:p w14:paraId="6B53A3C7">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17.2.1</w:t>
            </w:r>
          </w:p>
        </w:tc>
        <w:tc>
          <w:tcPr>
            <w:tcW w:w="6727" w:type="dxa"/>
            <w:vAlign w:val="top"/>
          </w:tcPr>
          <w:p w14:paraId="175163B0">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材料、设备预付款比例：无</w:t>
            </w:r>
          </w:p>
        </w:tc>
      </w:tr>
      <w:tr w14:paraId="082C8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45623A8C">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0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position w:val="1"/>
                <w:sz w:val="21"/>
                <w:szCs w:val="21"/>
                <w14:textFill>
                  <w14:solidFill>
                    <w14:schemeClr w14:val="tx1"/>
                  </w14:solidFill>
                </w14:textFill>
              </w:rPr>
              <w:t>17</w:t>
            </w:r>
          </w:p>
        </w:tc>
        <w:tc>
          <w:tcPr>
            <w:tcW w:w="1633" w:type="dxa"/>
            <w:vAlign w:val="top"/>
          </w:tcPr>
          <w:p w14:paraId="10233B98">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17.3.2</w:t>
            </w:r>
          </w:p>
        </w:tc>
        <w:tc>
          <w:tcPr>
            <w:tcW w:w="6727" w:type="dxa"/>
            <w:vAlign w:val="top"/>
          </w:tcPr>
          <w:p w14:paraId="0BC70CF0">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承包人在每个付款周期末向监理人提交进度付款申请单的份数：</w:t>
            </w:r>
            <w:r>
              <w:rPr>
                <w:rFonts w:hint="eastAsia" w:ascii="宋体" w:hAnsi="宋体" w:eastAsia="宋体" w:cs="宋体"/>
                <w:color w:val="000000" w:themeColor="text1"/>
                <w:spacing w:val="9"/>
                <w:sz w:val="21"/>
                <w:szCs w:val="21"/>
                <w:u w:val="single" w:color="auto"/>
                <w14:textFill>
                  <w14:solidFill>
                    <w14:schemeClr w14:val="tx1"/>
                  </w14:solidFill>
                </w14:textFill>
              </w:rPr>
              <w:t xml:space="preserve"> 4 </w:t>
            </w:r>
            <w:r>
              <w:rPr>
                <w:rFonts w:hint="eastAsia" w:ascii="宋体" w:hAnsi="宋体" w:eastAsia="宋体" w:cs="宋体"/>
                <w:color w:val="000000" w:themeColor="text1"/>
                <w:spacing w:val="9"/>
                <w:sz w:val="21"/>
                <w:szCs w:val="21"/>
                <w14:textFill>
                  <w14:solidFill>
                    <w14:schemeClr w14:val="tx1"/>
                  </w14:solidFill>
                </w14:textFill>
              </w:rPr>
              <w:t>份</w:t>
            </w:r>
          </w:p>
        </w:tc>
      </w:tr>
      <w:tr w14:paraId="0658F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76BFE1CE">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0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position w:val="1"/>
                <w:sz w:val="21"/>
                <w:szCs w:val="21"/>
                <w14:textFill>
                  <w14:solidFill>
                    <w14:schemeClr w14:val="tx1"/>
                  </w14:solidFill>
                </w14:textFill>
              </w:rPr>
              <w:t>18</w:t>
            </w:r>
          </w:p>
        </w:tc>
        <w:tc>
          <w:tcPr>
            <w:tcW w:w="1633" w:type="dxa"/>
            <w:vAlign w:val="top"/>
          </w:tcPr>
          <w:p w14:paraId="1FFCD88D">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25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17.3.3（1）</w:t>
            </w:r>
          </w:p>
        </w:tc>
        <w:tc>
          <w:tcPr>
            <w:tcW w:w="6727" w:type="dxa"/>
            <w:vAlign w:val="top"/>
          </w:tcPr>
          <w:p w14:paraId="6701EC75">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进度付款证书最低限额：按工程进度支付</w:t>
            </w:r>
          </w:p>
        </w:tc>
      </w:tr>
      <w:tr w14:paraId="61525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50252FA9">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30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position w:val="1"/>
                <w:sz w:val="21"/>
                <w:szCs w:val="21"/>
                <w14:textFill>
                  <w14:solidFill>
                    <w14:schemeClr w14:val="tx1"/>
                  </w14:solidFill>
                </w14:textFill>
              </w:rPr>
              <w:t>19</w:t>
            </w:r>
          </w:p>
        </w:tc>
        <w:tc>
          <w:tcPr>
            <w:tcW w:w="1633" w:type="dxa"/>
            <w:vAlign w:val="top"/>
          </w:tcPr>
          <w:p w14:paraId="38AB31E4">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258"/>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17.3.3（2）</w:t>
            </w:r>
          </w:p>
        </w:tc>
        <w:tc>
          <w:tcPr>
            <w:tcW w:w="6727" w:type="dxa"/>
            <w:vAlign w:val="top"/>
          </w:tcPr>
          <w:p w14:paraId="110093FF">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逾期付款违约金的利率：</w:t>
            </w:r>
            <w:r>
              <w:rPr>
                <w:rFonts w:hint="eastAsia" w:ascii="宋体" w:hAnsi="宋体" w:eastAsia="宋体" w:cs="宋体"/>
                <w:color w:val="000000" w:themeColor="text1"/>
                <w:spacing w:val="7"/>
                <w:sz w:val="21"/>
                <w:szCs w:val="21"/>
                <w:u w:val="single" w:color="auto"/>
                <w14:textFill>
                  <w14:solidFill>
                    <w14:schemeClr w14:val="tx1"/>
                  </w14:solidFill>
                </w14:textFill>
              </w:rPr>
              <w:t xml:space="preserve">  /  </w:t>
            </w:r>
            <w:r>
              <w:rPr>
                <w:rFonts w:hint="eastAsia" w:ascii="宋体" w:hAnsi="宋体" w:eastAsia="宋体" w:cs="宋体"/>
                <w:color w:val="000000" w:themeColor="text1"/>
                <w:spacing w:val="-81"/>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‰/天</w:t>
            </w:r>
          </w:p>
        </w:tc>
      </w:tr>
      <w:tr w14:paraId="126B7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784" w:type="dxa"/>
            <w:vAlign w:val="top"/>
          </w:tcPr>
          <w:p w14:paraId="123C0DEB">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6688D4A2">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29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20</w:t>
            </w:r>
          </w:p>
        </w:tc>
        <w:tc>
          <w:tcPr>
            <w:tcW w:w="1633" w:type="dxa"/>
            <w:vAlign w:val="top"/>
          </w:tcPr>
          <w:p w14:paraId="4503D495">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281A4DBE">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17.4.1</w:t>
            </w:r>
          </w:p>
        </w:tc>
        <w:tc>
          <w:tcPr>
            <w:tcW w:w="6727" w:type="dxa"/>
            <w:vAlign w:val="top"/>
          </w:tcPr>
          <w:p w14:paraId="4BF6A7D8">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质量保证金限额：</w:t>
            </w:r>
            <w:r>
              <w:rPr>
                <w:rFonts w:hint="eastAsia" w:ascii="宋体" w:hAnsi="宋体" w:eastAsia="宋体" w:cs="宋体"/>
                <w:color w:val="000000" w:themeColor="text1"/>
                <w:spacing w:val="7"/>
                <w:sz w:val="21"/>
                <w:szCs w:val="21"/>
                <w:u w:val="single" w:color="auto"/>
                <w14:textFill>
                  <w14:solidFill>
                    <w14:schemeClr w14:val="tx1"/>
                  </w14:solidFill>
                </w14:textFill>
              </w:rPr>
              <w:t xml:space="preserve">  3 </w:t>
            </w:r>
            <w:r>
              <w:rPr>
                <w:rFonts w:hint="eastAsia" w:ascii="宋体" w:hAnsi="宋体" w:eastAsia="宋体" w:cs="宋体"/>
                <w:color w:val="000000" w:themeColor="text1"/>
                <w:spacing w:val="7"/>
                <w:sz w:val="21"/>
                <w:szCs w:val="21"/>
                <w14:textFill>
                  <w14:solidFill>
                    <w14:schemeClr w14:val="tx1"/>
                  </w14:solidFill>
                </w14:textFill>
              </w:rPr>
              <w:t>%合同价格</w:t>
            </w:r>
          </w:p>
          <w:p w14:paraId="46AC8298">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3"/>
              <w:textAlignment w:val="baseline"/>
              <w:outlineLvl w:val="1"/>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质量保证金是否计付利息：否</w:t>
            </w:r>
          </w:p>
        </w:tc>
      </w:tr>
      <w:tr w14:paraId="729FD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784" w:type="dxa"/>
            <w:vAlign w:val="top"/>
          </w:tcPr>
          <w:p w14:paraId="42DA258A">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29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21</w:t>
            </w:r>
          </w:p>
        </w:tc>
        <w:tc>
          <w:tcPr>
            <w:tcW w:w="1633" w:type="dxa"/>
            <w:vAlign w:val="top"/>
          </w:tcPr>
          <w:p w14:paraId="33F0AC37">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17.5.1</w:t>
            </w:r>
          </w:p>
        </w:tc>
        <w:tc>
          <w:tcPr>
            <w:tcW w:w="6727" w:type="dxa"/>
            <w:vAlign w:val="top"/>
          </w:tcPr>
          <w:p w14:paraId="096408AC">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2" w:right="10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承包人向监理人提交交工付款申请单（包括相关证明材料）的份数：</w:t>
            </w:r>
            <w:r>
              <w:rPr>
                <w:rFonts w:hint="eastAsia" w:ascii="宋体" w:hAnsi="宋体" w:eastAsia="宋体" w:cs="宋体"/>
                <w:color w:val="000000" w:themeColor="text1"/>
                <w:spacing w:val="6"/>
                <w:sz w:val="21"/>
                <w:szCs w:val="21"/>
                <w:u w:val="single" w:color="auto"/>
                <w14:textFill>
                  <w14:solidFill>
                    <w14:schemeClr w14:val="tx1"/>
                  </w14:solidFill>
                </w14:textFill>
              </w:rPr>
              <w:t xml:space="preserve">  4</w:t>
            </w:r>
            <w:r>
              <w:rPr>
                <w:rFonts w:hint="eastAsia" w:ascii="宋体" w:hAnsi="宋体" w:eastAsia="宋体" w:cs="宋体"/>
                <w:color w:val="000000" w:themeColor="text1"/>
                <w:sz w:val="21"/>
                <w:szCs w:val="21"/>
                <w14:textFill>
                  <w14:solidFill>
                    <w14:schemeClr w14:val="tx1"/>
                  </w14:solidFill>
                </w14:textFill>
              </w:rPr>
              <w:t>份</w:t>
            </w:r>
          </w:p>
        </w:tc>
      </w:tr>
      <w:tr w14:paraId="4B1D9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84" w:type="dxa"/>
            <w:vAlign w:val="top"/>
          </w:tcPr>
          <w:p w14:paraId="44EB88B0">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29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22</w:t>
            </w:r>
          </w:p>
        </w:tc>
        <w:tc>
          <w:tcPr>
            <w:tcW w:w="1633" w:type="dxa"/>
            <w:vAlign w:val="top"/>
          </w:tcPr>
          <w:p w14:paraId="51540688">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17.6.1</w:t>
            </w:r>
          </w:p>
        </w:tc>
        <w:tc>
          <w:tcPr>
            <w:tcW w:w="6727" w:type="dxa"/>
            <w:vAlign w:val="top"/>
          </w:tcPr>
          <w:p w14:paraId="21F26077">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2" w:right="10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承包人向监理人提交最终结清申请单（包括相关证明材料）的份数：</w:t>
            </w:r>
            <w:r>
              <w:rPr>
                <w:rFonts w:hint="eastAsia" w:ascii="宋体" w:hAnsi="宋体" w:eastAsia="宋体" w:cs="宋体"/>
                <w:color w:val="000000" w:themeColor="text1"/>
                <w:spacing w:val="6"/>
                <w:sz w:val="21"/>
                <w:szCs w:val="21"/>
                <w:u w:val="single" w:color="auto"/>
                <w14:textFill>
                  <w14:solidFill>
                    <w14:schemeClr w14:val="tx1"/>
                  </w14:solidFill>
                </w14:textFill>
              </w:rPr>
              <w:t xml:space="preserve">  4</w:t>
            </w:r>
            <w:r>
              <w:rPr>
                <w:rFonts w:hint="eastAsia" w:ascii="宋体" w:hAnsi="宋体" w:eastAsia="宋体" w:cs="宋体"/>
                <w:color w:val="000000" w:themeColor="text1"/>
                <w:sz w:val="21"/>
                <w:szCs w:val="21"/>
                <w14:textFill>
                  <w14:solidFill>
                    <w14:schemeClr w14:val="tx1"/>
                  </w14:solidFill>
                </w14:textFill>
              </w:rPr>
              <w:t>份</w:t>
            </w:r>
          </w:p>
        </w:tc>
      </w:tr>
      <w:tr w14:paraId="04FCC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04B0C134">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29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23</w:t>
            </w:r>
          </w:p>
        </w:tc>
        <w:tc>
          <w:tcPr>
            <w:tcW w:w="1633" w:type="dxa"/>
            <w:vAlign w:val="top"/>
          </w:tcPr>
          <w:p w14:paraId="3EADFA2D">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62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18.2</w:t>
            </w:r>
          </w:p>
        </w:tc>
        <w:tc>
          <w:tcPr>
            <w:tcW w:w="6727" w:type="dxa"/>
            <w:vAlign w:val="top"/>
          </w:tcPr>
          <w:p w14:paraId="3210E7EE">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竣工资料的份数：</w:t>
            </w:r>
            <w:r>
              <w:rPr>
                <w:rFonts w:hint="eastAsia" w:ascii="宋体" w:hAnsi="宋体" w:eastAsia="宋体" w:cs="宋体"/>
                <w:color w:val="000000" w:themeColor="text1"/>
                <w:spacing w:val="7"/>
                <w:sz w:val="21"/>
                <w:szCs w:val="21"/>
                <w:u w:val="single" w:color="auto"/>
                <w14:textFill>
                  <w14:solidFill>
                    <w14:schemeClr w14:val="tx1"/>
                  </w14:solidFill>
                </w14:textFill>
              </w:rPr>
              <w:t xml:space="preserve"> 6  </w:t>
            </w:r>
            <w:r>
              <w:rPr>
                <w:rFonts w:hint="eastAsia" w:ascii="宋体" w:hAnsi="宋体" w:eastAsia="宋体" w:cs="宋体"/>
                <w:color w:val="000000" w:themeColor="text1"/>
                <w:spacing w:val="-92"/>
                <w:sz w:val="21"/>
                <w:szCs w:val="21"/>
                <w14:textFill>
                  <w14:solidFill>
                    <w14:schemeClr w14:val="tx1"/>
                  </w14:solidFill>
                </w14:textFill>
              </w:rPr>
              <w:t xml:space="preserve"> </w:t>
            </w:r>
            <w:r>
              <w:rPr>
                <w:rFonts w:hint="eastAsia" w:ascii="宋体" w:hAnsi="宋体" w:eastAsia="宋体" w:cs="宋体"/>
                <w:color w:val="000000" w:themeColor="text1"/>
                <w:spacing w:val="7"/>
                <w:sz w:val="21"/>
                <w:szCs w:val="21"/>
                <w14:textFill>
                  <w14:solidFill>
                    <w14:schemeClr w14:val="tx1"/>
                  </w14:solidFill>
                </w14:textFill>
              </w:rPr>
              <w:t>份</w:t>
            </w:r>
          </w:p>
        </w:tc>
      </w:tr>
      <w:tr w14:paraId="618BB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84" w:type="dxa"/>
            <w:vAlign w:val="top"/>
          </w:tcPr>
          <w:p w14:paraId="72B107CC">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29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24</w:t>
            </w:r>
          </w:p>
        </w:tc>
        <w:tc>
          <w:tcPr>
            <w:tcW w:w="1633" w:type="dxa"/>
            <w:vAlign w:val="top"/>
          </w:tcPr>
          <w:p w14:paraId="7CD68123">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18.5.1</w:t>
            </w:r>
          </w:p>
        </w:tc>
        <w:tc>
          <w:tcPr>
            <w:tcW w:w="6727" w:type="dxa"/>
            <w:vAlign w:val="top"/>
          </w:tcPr>
          <w:p w14:paraId="633BE820">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单位工程或工程设备是否需投入施工期运行：</w:t>
            </w:r>
            <w:r>
              <w:rPr>
                <w:rFonts w:hint="eastAsia" w:ascii="宋体" w:hAnsi="宋体" w:eastAsia="宋体" w:cs="宋体"/>
                <w:color w:val="000000" w:themeColor="text1"/>
                <w:spacing w:val="9"/>
                <w:sz w:val="21"/>
                <w:szCs w:val="21"/>
                <w:u w:val="single" w:color="auto"/>
                <w14:textFill>
                  <w14:solidFill>
                    <w14:schemeClr w14:val="tx1"/>
                  </w14:solidFill>
                </w14:textFill>
              </w:rPr>
              <w:t>否</w:t>
            </w:r>
          </w:p>
          <w:p w14:paraId="4C1CB7C6">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本项目需要在施工期间维持交通畅通</w:t>
            </w:r>
          </w:p>
        </w:tc>
      </w:tr>
      <w:tr w14:paraId="2730D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3CB4D06E">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29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25</w:t>
            </w:r>
          </w:p>
        </w:tc>
        <w:tc>
          <w:tcPr>
            <w:tcW w:w="1633" w:type="dxa"/>
            <w:vAlign w:val="top"/>
          </w:tcPr>
          <w:p w14:paraId="6F999AE1">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18.6.1</w:t>
            </w:r>
          </w:p>
        </w:tc>
        <w:tc>
          <w:tcPr>
            <w:tcW w:w="6727" w:type="dxa"/>
            <w:vAlign w:val="top"/>
          </w:tcPr>
          <w:p w14:paraId="6D6AD0F6">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本工程及工程设备是否进行试运行：</w:t>
            </w:r>
            <w:r>
              <w:rPr>
                <w:rFonts w:hint="eastAsia" w:ascii="宋体" w:hAnsi="宋体" w:eastAsia="宋体" w:cs="宋体"/>
                <w:color w:val="000000" w:themeColor="text1"/>
                <w:spacing w:val="9"/>
                <w:sz w:val="21"/>
                <w:szCs w:val="21"/>
                <w:u w:val="single" w:color="auto"/>
                <w14:textFill>
                  <w14:solidFill>
                    <w14:schemeClr w14:val="tx1"/>
                  </w14:solidFill>
                </w14:textFill>
              </w:rPr>
              <w:t>否</w:t>
            </w:r>
          </w:p>
        </w:tc>
      </w:tr>
      <w:tr w14:paraId="2C7E9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66DD65C4">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29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26</w:t>
            </w:r>
          </w:p>
        </w:tc>
        <w:tc>
          <w:tcPr>
            <w:tcW w:w="1633" w:type="dxa"/>
            <w:vAlign w:val="top"/>
          </w:tcPr>
          <w:p w14:paraId="45294E02">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62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19.7</w:t>
            </w:r>
          </w:p>
        </w:tc>
        <w:tc>
          <w:tcPr>
            <w:tcW w:w="6727" w:type="dxa"/>
            <w:vAlign w:val="top"/>
          </w:tcPr>
          <w:p w14:paraId="623D56C8">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保修期：</w:t>
            </w:r>
            <w:r>
              <w:rPr>
                <w:rFonts w:hint="eastAsia" w:ascii="宋体" w:hAnsi="宋体" w:eastAsia="宋体" w:cs="宋体"/>
                <w:color w:val="000000" w:themeColor="text1"/>
                <w:spacing w:val="-37"/>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自实际交工日期起计算</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2 </w:t>
            </w:r>
            <w:r>
              <w:rPr>
                <w:rFonts w:hint="eastAsia" w:ascii="宋体" w:hAnsi="宋体" w:eastAsia="宋体" w:cs="宋体"/>
                <w:color w:val="000000" w:themeColor="text1"/>
                <w:spacing w:val="5"/>
                <w:sz w:val="21"/>
                <w:szCs w:val="21"/>
                <w14:textFill>
                  <w14:solidFill>
                    <w14:schemeClr w14:val="tx1"/>
                  </w14:solidFill>
                </w14:textFill>
              </w:rPr>
              <w:t>年</w:t>
            </w:r>
          </w:p>
        </w:tc>
      </w:tr>
      <w:tr w14:paraId="3B3D0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784" w:type="dxa"/>
            <w:vAlign w:val="top"/>
          </w:tcPr>
          <w:p w14:paraId="629ADF41">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29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27</w:t>
            </w:r>
          </w:p>
        </w:tc>
        <w:tc>
          <w:tcPr>
            <w:tcW w:w="1633" w:type="dxa"/>
            <w:vAlign w:val="top"/>
          </w:tcPr>
          <w:p w14:paraId="0606F8F6">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61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position w:val="1"/>
                <w:sz w:val="21"/>
                <w:szCs w:val="21"/>
                <w14:textFill>
                  <w14:solidFill>
                    <w14:schemeClr w14:val="tx1"/>
                  </w14:solidFill>
                </w14:textFill>
              </w:rPr>
              <w:t>20.1</w:t>
            </w:r>
          </w:p>
        </w:tc>
        <w:tc>
          <w:tcPr>
            <w:tcW w:w="6727" w:type="dxa"/>
            <w:vAlign w:val="top"/>
          </w:tcPr>
          <w:p w14:paraId="744DE5F4">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建筑工程一切险的保险费率：按国家有关规定确定</w:t>
            </w:r>
          </w:p>
        </w:tc>
      </w:tr>
      <w:tr w14:paraId="677D5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784" w:type="dxa"/>
            <w:vAlign w:val="top"/>
          </w:tcPr>
          <w:p w14:paraId="51781D46">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2F017B69">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29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28</w:t>
            </w:r>
          </w:p>
        </w:tc>
        <w:tc>
          <w:tcPr>
            <w:tcW w:w="1633" w:type="dxa"/>
            <w:vAlign w:val="top"/>
          </w:tcPr>
          <w:p w14:paraId="4DFFE81C">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54767FBE">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50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position w:val="1"/>
                <w:sz w:val="21"/>
                <w:szCs w:val="21"/>
                <w14:textFill>
                  <w14:solidFill>
                    <w14:schemeClr w14:val="tx1"/>
                  </w14:solidFill>
                </w14:textFill>
              </w:rPr>
              <w:t>20.4.2</w:t>
            </w:r>
          </w:p>
        </w:tc>
        <w:tc>
          <w:tcPr>
            <w:tcW w:w="6727" w:type="dxa"/>
            <w:vAlign w:val="top"/>
          </w:tcPr>
          <w:p w14:paraId="7212F46B">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2" w:right="108"/>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第三者责任险由承包人以承包人与项目法人的</w:t>
            </w:r>
            <w:r>
              <w:rPr>
                <w:rFonts w:hint="eastAsia" w:ascii="宋体" w:hAnsi="宋体" w:eastAsia="宋体" w:cs="宋体"/>
                <w:color w:val="000000" w:themeColor="text1"/>
                <w:spacing w:val="9"/>
                <w:sz w:val="21"/>
                <w:szCs w:val="21"/>
                <w14:textFill>
                  <w14:solidFill>
                    <w14:schemeClr w14:val="tx1"/>
                  </w14:solidFill>
                </w14:textFill>
              </w:rPr>
              <w:t>名义联名投保，保险费由</w:t>
            </w:r>
            <w:r>
              <w:rPr>
                <w:rFonts w:hint="eastAsia" w:ascii="宋体" w:hAnsi="宋体" w:eastAsia="宋体" w:cs="宋体"/>
                <w:color w:val="000000" w:themeColor="text1"/>
                <w:spacing w:val="10"/>
                <w:sz w:val="21"/>
                <w:szCs w:val="21"/>
                <w14:textFill>
                  <w14:solidFill>
                    <w14:schemeClr w14:val="tx1"/>
                  </w14:solidFill>
                </w14:textFill>
              </w:rPr>
              <w:t>承包人承担并支付，投标人应在所报的单价或</w:t>
            </w:r>
            <w:r>
              <w:rPr>
                <w:rFonts w:hint="eastAsia" w:ascii="宋体" w:hAnsi="宋体" w:eastAsia="宋体" w:cs="宋体"/>
                <w:color w:val="000000" w:themeColor="text1"/>
                <w:spacing w:val="9"/>
                <w:sz w:val="21"/>
                <w:szCs w:val="21"/>
                <w14:textFill>
                  <w14:solidFill>
                    <w14:schemeClr w14:val="tx1"/>
                  </w14:solidFill>
                </w14:textFill>
              </w:rPr>
              <w:t>总额价中对该保险费予以</w:t>
            </w:r>
            <w:r>
              <w:rPr>
                <w:rFonts w:hint="eastAsia" w:ascii="宋体" w:hAnsi="宋体" w:eastAsia="宋体" w:cs="宋体"/>
                <w:color w:val="000000" w:themeColor="text1"/>
                <w:spacing w:val="8"/>
                <w:sz w:val="21"/>
                <w:szCs w:val="21"/>
                <w14:textFill>
                  <w14:solidFill>
                    <w14:schemeClr w14:val="tx1"/>
                  </w14:solidFill>
                </w14:textFill>
              </w:rPr>
              <w:t>考虑，项目法人不单独进行计量与支付。</w:t>
            </w:r>
          </w:p>
        </w:tc>
      </w:tr>
      <w:tr w14:paraId="7D8F3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784" w:type="dxa"/>
            <w:vAlign w:val="top"/>
          </w:tcPr>
          <w:p w14:paraId="76B2BFFD">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29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position w:val="1"/>
                <w:sz w:val="21"/>
                <w:szCs w:val="21"/>
                <w14:textFill>
                  <w14:solidFill>
                    <w14:schemeClr w14:val="tx1"/>
                  </w14:solidFill>
                </w14:textFill>
              </w:rPr>
              <w:t>29</w:t>
            </w:r>
          </w:p>
        </w:tc>
        <w:tc>
          <w:tcPr>
            <w:tcW w:w="1633" w:type="dxa"/>
            <w:vAlign w:val="top"/>
          </w:tcPr>
          <w:p w14:paraId="3EB92A46">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61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position w:val="1"/>
                <w:sz w:val="21"/>
                <w:szCs w:val="21"/>
                <w14:textFill>
                  <w14:solidFill>
                    <w14:schemeClr w14:val="tx1"/>
                  </w14:solidFill>
                </w14:textFill>
              </w:rPr>
              <w:t>24.1</w:t>
            </w:r>
          </w:p>
        </w:tc>
        <w:tc>
          <w:tcPr>
            <w:tcW w:w="6727" w:type="dxa"/>
            <w:vAlign w:val="top"/>
          </w:tcPr>
          <w:p w14:paraId="6C963DFE">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争议的最终解决方式：</w:t>
            </w:r>
            <w:r>
              <w:rPr>
                <w:rFonts w:hint="eastAsia" w:ascii="宋体" w:hAnsi="宋体" w:eastAsia="宋体" w:cs="宋体"/>
                <w:color w:val="000000" w:themeColor="text1"/>
                <w:spacing w:val="8"/>
                <w:sz w:val="21"/>
                <w:szCs w:val="21"/>
                <w:u w:val="single" w:color="auto"/>
                <w14:textFill>
                  <w14:solidFill>
                    <w14:schemeClr w14:val="tx1"/>
                  </w14:solidFill>
                </w14:textFill>
              </w:rPr>
              <w:t>诉讼</w:t>
            </w:r>
            <w:r>
              <w:rPr>
                <w:rFonts w:hint="eastAsia" w:ascii="宋体" w:hAnsi="宋体" w:eastAsia="宋体" w:cs="宋体"/>
                <w:color w:val="000000" w:themeColor="text1"/>
                <w:spacing w:val="4"/>
                <w:sz w:val="21"/>
                <w:szCs w:val="21"/>
                <w:u w:val="single" w:color="auto"/>
                <w14:textFill>
                  <w14:solidFill>
                    <w14:schemeClr w14:val="tx1"/>
                  </w14:solidFill>
                </w14:textFill>
              </w:rPr>
              <w:t xml:space="preserve">  </w:t>
            </w:r>
          </w:p>
          <w:p w14:paraId="6EDCE733">
            <w:pPr>
              <w:pStyle w:val="254"/>
              <w:keepNext w:val="0"/>
              <w:keepLines w:val="0"/>
              <w:pageBreakBefore w:val="0"/>
              <w:widowControl/>
              <w:kinsoku w:val="0"/>
              <w:wordWrap/>
              <w:overflowPunct/>
              <w:topLinePunct w:val="0"/>
              <w:autoSpaceDE w:val="0"/>
              <w:autoSpaceDN w:val="0"/>
              <w:bidi w:val="0"/>
              <w:adjustRightInd w:val="0"/>
              <w:snapToGrid w:val="0"/>
              <w:spacing w:line="400" w:lineRule="exact"/>
              <w:ind w:left="116"/>
              <w:textAlignment w:val="baseline"/>
              <w:outlineLvl w:val="2"/>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如采用仲裁，仲裁委员会名称：贵港仲裁委员会</w:t>
            </w:r>
          </w:p>
        </w:tc>
      </w:tr>
    </w:tbl>
    <w:p w14:paraId="509B84DD">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pPr>
    </w:p>
    <w:p w14:paraId="746BC056">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1"/>
          <w:szCs w:val="21"/>
          <w14:textFill>
            <w14:solidFill>
              <w14:schemeClr w14:val="tx1"/>
            </w14:solidFill>
          </w14:textFill>
        </w:rPr>
        <w:sectPr>
          <w:footerReference r:id="rId33" w:type="default"/>
          <w:pgSz w:w="11907" w:h="16840"/>
          <w:pgMar w:top="1431" w:right="1379" w:bottom="1048" w:left="1378" w:header="0" w:footer="885" w:gutter="0"/>
          <w:cols w:space="720" w:num="1"/>
        </w:sectPr>
      </w:pPr>
    </w:p>
    <w:p w14:paraId="76F3F38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49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项目专用合同条款</w:t>
      </w:r>
    </w:p>
    <w:p w14:paraId="4C86F69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1" w:right="457" w:firstLine="421"/>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说明：本部分所列的项目专用合同条款是对“公路工程</w:t>
      </w:r>
      <w:r>
        <w:rPr>
          <w:rFonts w:hint="eastAsia" w:ascii="宋体" w:hAnsi="宋体" w:eastAsia="宋体" w:cs="宋体"/>
          <w:color w:val="000000" w:themeColor="text1"/>
          <w:spacing w:val="9"/>
          <w:sz w:val="21"/>
          <w:szCs w:val="21"/>
          <w14:textFill>
            <w14:solidFill>
              <w14:schemeClr w14:val="tx1"/>
            </w14:solidFill>
          </w14:textFill>
        </w:rPr>
        <w:t>专用合同条款</w:t>
      </w:r>
      <w:r>
        <w:rPr>
          <w:rFonts w:hint="eastAsia" w:ascii="宋体" w:hAnsi="宋体" w:eastAsia="宋体" w:cs="宋体"/>
          <w:color w:val="000000" w:themeColor="text1"/>
          <w:spacing w:val="-69"/>
          <w:sz w:val="21"/>
          <w:szCs w:val="21"/>
          <w14:textFill>
            <w14:solidFill>
              <w14:schemeClr w14:val="tx1"/>
            </w14:solidFill>
          </w14:textFill>
        </w:rPr>
        <w:t xml:space="preserve"> </w:t>
      </w:r>
      <w:r>
        <w:rPr>
          <w:rFonts w:hint="eastAsia" w:ascii="宋体" w:hAnsi="宋体" w:eastAsia="宋体" w:cs="宋体"/>
          <w:color w:val="000000" w:themeColor="text1"/>
          <w:spacing w:val="9"/>
          <w:sz w:val="21"/>
          <w:szCs w:val="21"/>
          <w14:textFill>
            <w14:solidFill>
              <w14:schemeClr w14:val="tx1"/>
            </w14:solidFill>
          </w14:textFill>
        </w:rPr>
        <w:t>”中规定必须在项目</w:t>
      </w:r>
      <w:r>
        <w:rPr>
          <w:rFonts w:hint="eastAsia" w:ascii="宋体" w:hAnsi="宋体" w:eastAsia="宋体" w:cs="宋体"/>
          <w:color w:val="000000" w:themeColor="text1"/>
          <w:spacing w:val="8"/>
          <w:sz w:val="21"/>
          <w:szCs w:val="21"/>
          <w14:textFill>
            <w14:solidFill>
              <w14:schemeClr w14:val="tx1"/>
            </w14:solidFill>
          </w14:textFill>
        </w:rPr>
        <w:t>专用合同条款中明确的内容的集中，招标人编制的“项目专用合同条款</w:t>
      </w:r>
      <w:r>
        <w:rPr>
          <w:rFonts w:hint="eastAsia" w:ascii="宋体" w:hAnsi="宋体" w:eastAsia="宋体" w:cs="宋体"/>
          <w:color w:val="000000" w:themeColor="text1"/>
          <w:spacing w:val="-70"/>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w:t>
      </w:r>
      <w:r>
        <w:rPr>
          <w:rFonts w:hint="eastAsia" w:ascii="宋体" w:hAnsi="宋体" w:eastAsia="宋体" w:cs="宋体"/>
          <w:color w:val="000000" w:themeColor="text1"/>
          <w:spacing w:val="-26"/>
          <w:sz w:val="21"/>
          <w:szCs w:val="21"/>
          <w14:textFill>
            <w14:solidFill>
              <w14:schemeClr w14:val="tx1"/>
            </w14:solidFill>
          </w14:textFill>
        </w:rPr>
        <w:t xml:space="preserve"> </w:t>
      </w:r>
      <w:r>
        <w:rPr>
          <w:rFonts w:hint="eastAsia" w:ascii="宋体" w:hAnsi="宋体" w:eastAsia="宋体" w:cs="宋体"/>
          <w:color w:val="000000" w:themeColor="text1"/>
          <w:spacing w:val="8"/>
          <w:sz w:val="21"/>
          <w:szCs w:val="21"/>
          <w14:textFill>
            <w14:solidFill>
              <w14:schemeClr w14:val="tx1"/>
            </w14:solidFill>
          </w14:textFill>
        </w:rPr>
        <w:t>不限于本</w:t>
      </w:r>
      <w:r>
        <w:rPr>
          <w:rFonts w:hint="eastAsia" w:ascii="宋体" w:hAnsi="宋体" w:eastAsia="宋体" w:cs="宋体"/>
          <w:color w:val="000000" w:themeColor="text1"/>
          <w:spacing w:val="7"/>
          <w:sz w:val="21"/>
          <w:szCs w:val="21"/>
          <w14:textFill>
            <w14:solidFill>
              <w14:schemeClr w14:val="tx1"/>
            </w14:solidFill>
          </w14:textFill>
        </w:rPr>
        <w:t>部分所列内</w:t>
      </w:r>
      <w:r>
        <w:rPr>
          <w:rFonts w:hint="eastAsia" w:ascii="宋体" w:hAnsi="宋体" w:eastAsia="宋体" w:cs="宋体"/>
          <w:color w:val="000000" w:themeColor="text1"/>
          <w:sz w:val="21"/>
          <w:szCs w:val="21"/>
          <w14:textFill>
            <w14:solidFill>
              <w14:schemeClr w14:val="tx1"/>
            </w14:solidFill>
          </w14:textFill>
        </w:rPr>
        <w:t>容。</w:t>
      </w:r>
    </w:p>
    <w:p w14:paraId="564B687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outlineLvl w:val="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4.1</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b/>
          <w:bCs/>
          <w:color w:val="000000" w:themeColor="text1"/>
          <w:spacing w:val="6"/>
          <w:sz w:val="21"/>
          <w:szCs w:val="21"/>
          <w14:textFill>
            <w14:solidFill>
              <w14:schemeClr w14:val="tx1"/>
            </w14:solidFill>
          </w14:textFill>
        </w:rPr>
        <w:t>承包人的一般义务</w:t>
      </w:r>
    </w:p>
    <w:p w14:paraId="6394637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4.1.10 其他义务</w:t>
      </w:r>
    </w:p>
    <w:p w14:paraId="78146B1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5" w:firstLine="42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（4）承包人应履行的其他义务：</w:t>
      </w:r>
      <w:r>
        <w:rPr>
          <w:rFonts w:hint="eastAsia" w:ascii="宋体" w:hAnsi="宋体" w:eastAsia="宋体" w:cs="宋体"/>
          <w:color w:val="000000" w:themeColor="text1"/>
          <w:spacing w:val="9"/>
          <w:sz w:val="21"/>
          <w:szCs w:val="21"/>
          <w:u w:val="single" w:color="auto"/>
          <w14:textFill>
            <w14:solidFill>
              <w14:schemeClr w14:val="tx1"/>
            </w14:solidFill>
          </w14:textFill>
        </w:rPr>
        <w:t>承包人应</w:t>
      </w:r>
      <w:r>
        <w:rPr>
          <w:rFonts w:hint="eastAsia" w:ascii="宋体" w:hAnsi="宋体" w:eastAsia="宋体" w:cs="宋体"/>
          <w:color w:val="000000" w:themeColor="text1"/>
          <w:spacing w:val="8"/>
          <w:sz w:val="21"/>
          <w:szCs w:val="21"/>
          <w:u w:val="single" w:color="auto"/>
          <w14:textFill>
            <w14:solidFill>
              <w14:schemeClr w14:val="tx1"/>
            </w14:solidFill>
          </w14:textFill>
        </w:rPr>
        <w:t>加强质量、进度、安全生产、文明施工、环境保护、交通通畅、合同履行等管理</w:t>
      </w:r>
    </w:p>
    <w:p w14:paraId="49BE12D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4.11不利物质条件</w:t>
      </w:r>
    </w:p>
    <w:p w14:paraId="0B3F40AC">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904"/>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4.11.1不利物质条件的范围：</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4"/>
          <w:sz w:val="21"/>
          <w:szCs w:val="21"/>
          <w:u w:val="single" w:color="auto"/>
          <w14:textFill>
            <w14:solidFill>
              <w14:schemeClr w14:val="tx1"/>
            </w14:solidFill>
          </w14:textFill>
        </w:rPr>
        <w:t xml:space="preserve">                   </w:t>
      </w:r>
    </w:p>
    <w:p w14:paraId="38E02C8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10.1合同进度计划</w:t>
      </w:r>
    </w:p>
    <w:p w14:paraId="3C2A95C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承包人编制施工方案的内容：</w:t>
      </w:r>
    </w:p>
    <w:p w14:paraId="13AE4D5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70" w:firstLine="420"/>
        <w:jc w:val="both"/>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u w:val="single" w:color="auto"/>
          <w14:textFill>
            <w14:solidFill>
              <w14:schemeClr w14:val="tx1"/>
            </w14:solidFill>
          </w14:textFill>
        </w:rPr>
        <w:t>承包人应在签订合同协议书后7天内，向监理人提交2份其格式和内容符合监理人规定的工程进</w:t>
      </w:r>
      <w:r>
        <w:rPr>
          <w:rFonts w:hint="eastAsia" w:ascii="宋体" w:hAnsi="宋体" w:eastAsia="宋体" w:cs="宋体"/>
          <w:color w:val="000000" w:themeColor="text1"/>
          <w:spacing w:val="10"/>
          <w:sz w:val="21"/>
          <w:szCs w:val="21"/>
          <w:u w:val="single" w:color="auto"/>
          <w14:textFill>
            <w14:solidFill>
              <w14:schemeClr w14:val="tx1"/>
            </w14:solidFill>
          </w14:textFill>
        </w:rPr>
        <w:t>度计划，以及为完成该计划而建议采用的实施性的施工安排和施</w:t>
      </w:r>
      <w:r>
        <w:rPr>
          <w:rFonts w:hint="eastAsia" w:ascii="宋体" w:hAnsi="宋体" w:eastAsia="宋体" w:cs="宋体"/>
          <w:color w:val="000000" w:themeColor="text1"/>
          <w:spacing w:val="9"/>
          <w:sz w:val="21"/>
          <w:szCs w:val="21"/>
          <w:u w:val="single" w:color="auto"/>
          <w14:textFill>
            <w14:solidFill>
              <w14:schemeClr w14:val="tx1"/>
            </w14:solidFill>
          </w14:textFill>
        </w:rPr>
        <w:t>工方案的说明。监理人应在收到该</w:t>
      </w:r>
      <w:r>
        <w:rPr>
          <w:rFonts w:hint="eastAsia" w:ascii="宋体" w:hAnsi="宋体" w:eastAsia="宋体" w:cs="宋体"/>
          <w:color w:val="000000" w:themeColor="text1"/>
          <w:spacing w:val="10"/>
          <w:sz w:val="21"/>
          <w:szCs w:val="21"/>
          <w:u w:val="single" w:color="auto"/>
          <w14:textFill>
            <w14:solidFill>
              <w14:schemeClr w14:val="tx1"/>
            </w14:solidFill>
          </w14:textFill>
        </w:rPr>
        <w:t>计划后7天内审查同意或提出修改意见，否则该进度计划视为</w:t>
      </w:r>
      <w:r>
        <w:rPr>
          <w:rFonts w:hint="eastAsia" w:ascii="宋体" w:hAnsi="宋体" w:eastAsia="宋体" w:cs="宋体"/>
          <w:color w:val="000000" w:themeColor="text1"/>
          <w:spacing w:val="9"/>
          <w:sz w:val="21"/>
          <w:szCs w:val="21"/>
          <w:u w:val="single" w:color="auto"/>
          <w14:textFill>
            <w14:solidFill>
              <w14:schemeClr w14:val="tx1"/>
            </w14:solidFill>
          </w14:textFill>
        </w:rPr>
        <w:t>已得到批准。经监理人批准的施工进</w:t>
      </w:r>
      <w:r>
        <w:rPr>
          <w:rFonts w:hint="eastAsia" w:ascii="宋体" w:hAnsi="宋体" w:eastAsia="宋体" w:cs="宋体"/>
          <w:color w:val="000000" w:themeColor="text1"/>
          <w:spacing w:val="10"/>
          <w:sz w:val="21"/>
          <w:szCs w:val="21"/>
          <w:u w:val="single" w:color="auto"/>
          <w14:textFill>
            <w14:solidFill>
              <w14:schemeClr w14:val="tx1"/>
            </w14:solidFill>
          </w14:textFill>
        </w:rPr>
        <w:t>度计划称为合同进度计划，是控制合同工程进度的依据。工程进</w:t>
      </w:r>
      <w:r>
        <w:rPr>
          <w:rFonts w:hint="eastAsia" w:ascii="宋体" w:hAnsi="宋体" w:eastAsia="宋体" w:cs="宋体"/>
          <w:color w:val="000000" w:themeColor="text1"/>
          <w:spacing w:val="9"/>
          <w:sz w:val="21"/>
          <w:szCs w:val="21"/>
          <w:u w:val="single" w:color="auto"/>
          <w14:textFill>
            <w14:solidFill>
              <w14:schemeClr w14:val="tx1"/>
            </w14:solidFill>
          </w14:textFill>
        </w:rPr>
        <w:t>度计划应按照关键线路网络图和主要工作横道图两种形式分别绘制，并应包括每月预计完成的工作量和形象进度</w:t>
      </w:r>
      <w:r>
        <w:rPr>
          <w:rFonts w:hint="eastAsia" w:ascii="宋体" w:hAnsi="宋体" w:eastAsia="宋体" w:cs="宋体"/>
          <w:color w:val="000000" w:themeColor="text1"/>
          <w:spacing w:val="9"/>
          <w:sz w:val="21"/>
          <w:szCs w:val="21"/>
          <w14:textFill>
            <w14:solidFill>
              <w14:schemeClr w14:val="tx1"/>
            </w14:solidFill>
          </w14:textFill>
        </w:rPr>
        <w:t>。</w:t>
      </w:r>
    </w:p>
    <w:p w14:paraId="305B844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11.4</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异常恶劣的气候条件</w:t>
      </w:r>
    </w:p>
    <w:p w14:paraId="28E62DB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 w:right="68" w:firstLine="42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异常恶劣的气候条件的范围：</w:t>
      </w:r>
      <w:r>
        <w:rPr>
          <w:rFonts w:hint="eastAsia" w:ascii="宋体" w:hAnsi="宋体" w:eastAsia="宋体" w:cs="宋体"/>
          <w:color w:val="000000" w:themeColor="text1"/>
          <w:spacing w:val="8"/>
          <w:sz w:val="21"/>
          <w:szCs w:val="21"/>
          <w:u w:val="single" w:color="auto"/>
          <w14:textFill>
            <w14:solidFill>
              <w14:schemeClr w14:val="tx1"/>
            </w14:solidFill>
          </w14:textFill>
        </w:rPr>
        <w:t>对本项目而言，指发生烈度7度（含7度）</w:t>
      </w:r>
      <w:r>
        <w:rPr>
          <w:rFonts w:hint="eastAsia" w:ascii="宋体" w:hAnsi="宋体" w:eastAsia="宋体" w:cs="宋体"/>
          <w:color w:val="000000" w:themeColor="text1"/>
          <w:spacing w:val="-42"/>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8"/>
          <w:sz w:val="21"/>
          <w:szCs w:val="21"/>
          <w:u w:val="single" w:color="auto"/>
          <w14:textFill>
            <w14:solidFill>
              <w14:schemeClr w14:val="tx1"/>
            </w14:solidFill>
          </w14:textFill>
        </w:rPr>
        <w:t>以上地震、龙卷风、施</w:t>
      </w:r>
      <w:r>
        <w:rPr>
          <w:rFonts w:hint="eastAsia" w:ascii="宋体" w:hAnsi="宋体" w:eastAsia="宋体" w:cs="宋体"/>
          <w:color w:val="000000" w:themeColor="text1"/>
          <w:spacing w:val="10"/>
          <w:sz w:val="21"/>
          <w:szCs w:val="21"/>
          <w:u w:val="single" w:color="auto"/>
          <w14:textFill>
            <w14:solidFill>
              <w14:schemeClr w14:val="tx1"/>
            </w14:solidFill>
          </w14:textFill>
        </w:rPr>
        <w:t>工场地受淹超过发包人提供的设计图纸指明的设计洪水水位引起的延误的情况。</w:t>
      </w:r>
    </w:p>
    <w:p w14:paraId="571434F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12.1承包人暂停施工的责任</w:t>
      </w:r>
    </w:p>
    <w:p w14:paraId="4ACA495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12.1 （6）</w:t>
      </w:r>
      <w:r>
        <w:rPr>
          <w:rFonts w:hint="eastAsia" w:ascii="宋体" w:hAnsi="宋体" w:eastAsia="宋体" w:cs="宋体"/>
          <w:color w:val="000000" w:themeColor="text1"/>
          <w:spacing w:val="-47"/>
          <w:sz w:val="21"/>
          <w:szCs w:val="21"/>
          <w14:textFill>
            <w14:solidFill>
              <w14:schemeClr w14:val="tx1"/>
            </w14:solidFill>
          </w14:textFill>
        </w:rPr>
        <w:t xml:space="preserve"> </w:t>
      </w:r>
      <w:r>
        <w:rPr>
          <w:rFonts w:hint="eastAsia" w:ascii="宋体" w:hAnsi="宋体" w:eastAsia="宋体" w:cs="宋体"/>
          <w:color w:val="000000" w:themeColor="text1"/>
          <w:spacing w:val="5"/>
          <w:sz w:val="21"/>
          <w:szCs w:val="21"/>
          <w14:textFill>
            <w14:solidFill>
              <w14:schemeClr w14:val="tx1"/>
            </w14:solidFill>
          </w14:textFill>
        </w:rPr>
        <w:t>由承包人承担的其他暂停施工：</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734854B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1"/>
          <w:sz w:val="21"/>
          <w:szCs w:val="21"/>
          <w14:textFill>
            <w14:solidFill>
              <w14:schemeClr w14:val="tx1"/>
            </w14:solidFill>
          </w14:textFill>
        </w:rPr>
        <w:t>16.1</w:t>
      </w:r>
      <w:r>
        <w:rPr>
          <w:rFonts w:hint="eastAsia" w:ascii="宋体" w:hAnsi="宋体" w:eastAsia="宋体" w:cs="宋体"/>
          <w:color w:val="000000" w:themeColor="text1"/>
          <w:spacing w:val="21"/>
          <w:sz w:val="21"/>
          <w:szCs w:val="21"/>
          <w14:textFill>
            <w14:solidFill>
              <w14:schemeClr w14:val="tx1"/>
            </w14:solidFill>
          </w14:textFill>
        </w:rPr>
        <w:t xml:space="preserve"> </w:t>
      </w:r>
      <w:r>
        <w:rPr>
          <w:rFonts w:hint="eastAsia" w:ascii="宋体" w:hAnsi="宋体" w:eastAsia="宋体" w:cs="宋体"/>
          <w:b/>
          <w:bCs/>
          <w:color w:val="000000" w:themeColor="text1"/>
          <w:spacing w:val="1"/>
          <w:sz w:val="21"/>
          <w:szCs w:val="21"/>
          <w14:textFill>
            <w14:solidFill>
              <w14:schemeClr w14:val="tx1"/>
            </w14:solidFill>
          </w14:textFill>
        </w:rPr>
        <w:t>承包方式</w:t>
      </w:r>
    </w:p>
    <w:p w14:paraId="4CFF4B2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8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sz w:val="21"/>
          <w:szCs w:val="21"/>
          <w14:textFill>
            <w14:solidFill>
              <w14:schemeClr w14:val="tx1"/>
            </w14:solidFill>
          </w14:textFill>
        </w:rPr>
        <w:t>承包方式为：</w:t>
      </w:r>
      <w:r>
        <w:rPr>
          <w:rFonts w:hint="eastAsia" w:ascii="宋体" w:hAnsi="宋体" w:eastAsia="宋体" w:cs="宋体"/>
          <w:color w:val="000000" w:themeColor="text1"/>
          <w:spacing w:val="10"/>
          <w:sz w:val="21"/>
          <w:szCs w:val="21"/>
          <w:u w:val="single" w:color="auto"/>
          <w14:textFill>
            <w14:solidFill>
              <w14:schemeClr w14:val="tx1"/>
            </w14:solidFill>
          </w14:textFill>
        </w:rPr>
        <w:t xml:space="preserve"> 本工程采用固定综合单价合同，最终结算总价以实际发生的工程量结算。</w:t>
      </w:r>
    </w:p>
    <w:p w14:paraId="56E18CAF">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4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1"/>
          <w:sz w:val="21"/>
          <w:szCs w:val="21"/>
          <w14:textFill>
            <w14:solidFill>
              <w14:schemeClr w14:val="tx1"/>
            </w14:solidFill>
          </w14:textFill>
        </w:rPr>
        <w:t>17.1计量</w:t>
      </w:r>
    </w:p>
    <w:p w14:paraId="047E87C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92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17.1.5 本项目工程量清单中总额价子目的支付原则和支付进度</w:t>
      </w:r>
      <w:r>
        <w:rPr>
          <w:rFonts w:hint="eastAsia" w:ascii="宋体" w:hAnsi="宋体" w:eastAsia="宋体" w:cs="宋体"/>
          <w:color w:val="000000" w:themeColor="text1"/>
          <w:spacing w:val="5"/>
          <w:sz w:val="21"/>
          <w:szCs w:val="21"/>
          <w14:textFill>
            <w14:solidFill>
              <w14:schemeClr w14:val="tx1"/>
            </w14:solidFill>
          </w14:textFill>
        </w:rPr>
        <w:t>：</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p>
    <w:p w14:paraId="531451FD">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0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17.2</w:t>
      </w:r>
      <w:r>
        <w:rPr>
          <w:rFonts w:hint="eastAsia" w:ascii="宋体" w:hAnsi="宋体" w:eastAsia="宋体" w:cs="宋体"/>
          <w:color w:val="000000" w:themeColor="text1"/>
          <w:spacing w:val="20"/>
          <w:sz w:val="21"/>
          <w:szCs w:val="21"/>
          <w14:textFill>
            <w14:solidFill>
              <w14:schemeClr w14:val="tx1"/>
            </w14:solidFill>
          </w14:textFill>
        </w:rPr>
        <w:t xml:space="preserve"> </w:t>
      </w:r>
      <w:r>
        <w:rPr>
          <w:rFonts w:hint="eastAsia" w:ascii="宋体" w:hAnsi="宋体" w:eastAsia="宋体" w:cs="宋体"/>
          <w:b/>
          <w:bCs/>
          <w:color w:val="000000" w:themeColor="text1"/>
          <w:sz w:val="21"/>
          <w:szCs w:val="21"/>
          <w14:textFill>
            <w14:solidFill>
              <w14:schemeClr w14:val="tx1"/>
            </w14:solidFill>
          </w14:textFill>
        </w:rPr>
        <w:t>预付款</w:t>
      </w:r>
    </w:p>
    <w:p w14:paraId="397FFFC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 w:right="121" w:firstLine="43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8"/>
          <w:sz w:val="21"/>
          <w:szCs w:val="21"/>
          <w14:textFill>
            <w14:solidFill>
              <w14:schemeClr w14:val="tx1"/>
            </w14:solidFill>
          </w14:textFill>
        </w:rPr>
        <w:t>17.2.1 本项目预付款约定为</w:t>
      </w:r>
      <w:r>
        <w:rPr>
          <w:rFonts w:hint="eastAsia" w:ascii="宋体" w:hAnsi="宋体" w:eastAsia="宋体" w:cs="宋体"/>
          <w:color w:val="000000" w:themeColor="text1"/>
          <w:spacing w:val="8"/>
          <w:sz w:val="21"/>
          <w:szCs w:val="21"/>
          <w:u w:val="single" w:color="auto"/>
          <w14:textFill>
            <w14:solidFill>
              <w14:schemeClr w14:val="tx1"/>
            </w14:solidFill>
          </w14:textFill>
        </w:rPr>
        <w:t>合同价款的</w:t>
      </w:r>
      <w:r>
        <w:rPr>
          <w:rFonts w:hint="eastAsia" w:ascii="宋体" w:hAnsi="宋体" w:eastAsia="宋体" w:cs="宋体"/>
          <w:color w:val="000000" w:themeColor="text1"/>
          <w:spacing w:val="-3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8"/>
          <w:sz w:val="21"/>
          <w:szCs w:val="21"/>
          <w:u w:val="single" w:color="auto"/>
          <w14:textFill>
            <w14:solidFill>
              <w14:schemeClr w14:val="tx1"/>
            </w14:solidFill>
          </w14:textFill>
        </w:rPr>
        <w:t>30% （在签订合同时，承包人明确表示无需</w:t>
      </w:r>
      <w:r>
        <w:rPr>
          <w:rFonts w:hint="eastAsia" w:ascii="宋体" w:hAnsi="宋体" w:eastAsia="宋体" w:cs="宋体"/>
          <w:color w:val="000000" w:themeColor="text1"/>
          <w:spacing w:val="7"/>
          <w:sz w:val="21"/>
          <w:szCs w:val="21"/>
          <w:u w:val="single" w:color="auto"/>
          <w14:textFill>
            <w14:solidFill>
              <w14:schemeClr w14:val="tx1"/>
            </w14:solidFill>
          </w14:textFill>
        </w:rPr>
        <w:t>预付款或</w:t>
      </w:r>
      <w:r>
        <w:rPr>
          <w:rFonts w:hint="eastAsia" w:ascii="宋体" w:hAnsi="宋体" w:eastAsia="宋体" w:cs="宋体"/>
          <w:color w:val="000000" w:themeColor="text1"/>
          <w:spacing w:val="9"/>
          <w:sz w:val="21"/>
          <w:szCs w:val="21"/>
          <w:u w:val="single" w:color="auto"/>
          <w14:textFill>
            <w14:solidFill>
              <w14:schemeClr w14:val="tx1"/>
            </w14:solidFill>
          </w14:textFill>
        </w:rPr>
        <w:t>者主动要求降低预付款比例的，发包人人可不适用于预付款</w:t>
      </w:r>
      <w:r>
        <w:rPr>
          <w:rFonts w:hint="eastAsia" w:ascii="宋体" w:hAnsi="宋体" w:eastAsia="宋体" w:cs="宋体"/>
          <w:color w:val="000000" w:themeColor="text1"/>
          <w:spacing w:val="8"/>
          <w:sz w:val="21"/>
          <w:szCs w:val="21"/>
          <w:u w:val="single" w:color="auto"/>
          <w14:textFill>
            <w14:solidFill>
              <w14:schemeClr w14:val="tx1"/>
            </w14:solidFill>
          </w14:textFill>
        </w:rPr>
        <w:t>制度）</w:t>
      </w:r>
      <w:r>
        <w:rPr>
          <w:rFonts w:hint="eastAsia" w:ascii="宋体" w:hAnsi="宋体" w:eastAsia="宋体" w:cs="宋体"/>
          <w:color w:val="000000" w:themeColor="text1"/>
          <w:spacing w:val="8"/>
          <w:sz w:val="21"/>
          <w:szCs w:val="21"/>
          <w14:textFill>
            <w14:solidFill>
              <w14:schemeClr w14:val="tx1"/>
            </w14:solidFill>
          </w14:textFill>
        </w:rPr>
        <w:t>。</w:t>
      </w:r>
    </w:p>
    <w:p w14:paraId="4FBE983B">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7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17.2.2 预付款的扣回：</w:t>
      </w:r>
      <w:r>
        <w:rPr>
          <w:rFonts w:hint="eastAsia" w:ascii="宋体" w:hAnsi="宋体" w:eastAsia="宋体" w:cs="宋体"/>
          <w:color w:val="000000" w:themeColor="text1"/>
          <w:spacing w:val="7"/>
          <w:sz w:val="21"/>
          <w:szCs w:val="21"/>
          <w:u w:val="single" w:color="auto"/>
          <w14:textFill>
            <w14:solidFill>
              <w14:schemeClr w14:val="tx1"/>
            </w14:solidFill>
          </w14:textFill>
        </w:rPr>
        <w:t>在首次进度款中一次性扣回</w:t>
      </w:r>
      <w:r>
        <w:rPr>
          <w:rFonts w:hint="eastAsia" w:ascii="宋体" w:hAnsi="宋体" w:eastAsia="宋体" w:cs="宋体"/>
          <w:color w:val="000000" w:themeColor="text1"/>
          <w:spacing w:val="7"/>
          <w:sz w:val="21"/>
          <w:szCs w:val="21"/>
          <w14:textFill>
            <w14:solidFill>
              <w14:schemeClr w14:val="tx1"/>
            </w14:solidFill>
          </w14:textFill>
        </w:rPr>
        <w:t>。</w:t>
      </w:r>
    </w:p>
    <w:p w14:paraId="5EF2B15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95"/>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17.3</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工程进度付款</w:t>
      </w:r>
    </w:p>
    <w:p w14:paraId="30737D5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73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17.3.3 进度款支付时间</w:t>
      </w:r>
    </w:p>
    <w:p w14:paraId="52CCF2A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10" w:firstLine="448" w:firstLineChars="200"/>
        <w:jc w:val="both"/>
        <w:textAlignment w:val="baseline"/>
        <w:rPr>
          <w:rFonts w:hint="eastAsia" w:ascii="宋体" w:hAnsi="宋体" w:eastAsia="宋体" w:cs="宋体"/>
          <w:color w:val="000000" w:themeColor="text1"/>
          <w:spacing w:val="7"/>
          <w:sz w:val="21"/>
          <w:szCs w:val="21"/>
          <w:u w:val="single"/>
          <w14:textFill>
            <w14:solidFill>
              <w14:schemeClr w14:val="tx1"/>
            </w14:solidFill>
          </w14:textFill>
        </w:rPr>
      </w:pPr>
      <w:r>
        <w:rPr>
          <w:rFonts w:hint="eastAsia" w:ascii="宋体" w:hAnsi="宋体" w:eastAsia="宋体" w:cs="宋体"/>
          <w:color w:val="000000" w:themeColor="text1"/>
          <w:spacing w:val="7"/>
          <w:sz w:val="21"/>
          <w:szCs w:val="21"/>
          <w:u w:val="single"/>
          <w14:textFill>
            <w14:solidFill>
              <w14:schemeClr w14:val="tx1"/>
            </w14:solidFill>
          </w14:textFill>
        </w:rPr>
        <w:t>(1)根据桂人社发(2019)30 号文件要求:实行农民工工资保障金三方监管，并办理农民工工资保障金三方监管手续。(2)本工程约定预付款为合同价款的 30%（在签订合同时，承包人明确表示无需预付款或者主动要求降低预付款比例的，发包人人可不适用于预付款制度）。 (3)承包人可以按工程进度完成的工程数量向发包人申请进度款，申请进度款按发包人审定工程量的 80%支付，剩余 20%待工程竣工验收合格并经审计部门审定后，方可申请支付至审计审定价的100%；质量保证金待工程质量保修期(一年)满后，无质量问题一次性返还(无息)【开工前承包人按合同价的 3%向发包人缴纳工程质量保证金，保证金缴存港北财政局归集账户(贵港市港北区财政局623657503796中行港北支行，备注 :港北区交通运输局XXX 建设工程)]，质量保证金待工程质量保修期(1年)满后，无质量问题时一次性无息返还。</w:t>
      </w:r>
    </w:p>
    <w:p w14:paraId="15289DC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310" w:firstLine="448" w:firstLineChars="20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17.3.5 农民工工资保证金的缴存时间：</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60C769E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73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农民工工资保证金的缴存金额：</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34EECF78">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73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农民工工资保证金的扣留条件：</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637C2C96">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731"/>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农民工工资保证金的返还时间：</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5A267E7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8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21.1</w:t>
      </w:r>
      <w:r>
        <w:rPr>
          <w:rFonts w:hint="eastAsia" w:ascii="宋体" w:hAnsi="宋体" w:eastAsia="宋体" w:cs="宋体"/>
          <w:color w:val="000000" w:themeColor="text1"/>
          <w:spacing w:val="5"/>
          <w:sz w:val="21"/>
          <w:szCs w:val="21"/>
          <w14:textFill>
            <w14:solidFill>
              <w14:schemeClr w14:val="tx1"/>
            </w14:solidFill>
          </w14:textFill>
        </w:rPr>
        <w:t xml:space="preserve"> </w:t>
      </w:r>
      <w:r>
        <w:rPr>
          <w:rFonts w:hint="eastAsia" w:ascii="宋体" w:hAnsi="宋体" w:eastAsia="宋体" w:cs="宋体"/>
          <w:b/>
          <w:bCs/>
          <w:color w:val="000000" w:themeColor="text1"/>
          <w:spacing w:val="5"/>
          <w:sz w:val="21"/>
          <w:szCs w:val="21"/>
          <w14:textFill>
            <w14:solidFill>
              <w14:schemeClr w14:val="tx1"/>
            </w14:solidFill>
          </w14:textFill>
        </w:rPr>
        <w:t>不可抗力的确认</w:t>
      </w:r>
    </w:p>
    <w:p w14:paraId="68DFF497">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717"/>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21.1.1 （6）不可抗力的其他情形：</w:t>
      </w:r>
      <w:r>
        <w:rPr>
          <w:rFonts w:hint="eastAsia" w:ascii="宋体" w:hAnsi="宋体" w:eastAsia="宋体" w:cs="宋体"/>
          <w:color w:val="000000" w:themeColor="text1"/>
          <w:spacing w:val="5"/>
          <w:sz w:val="21"/>
          <w:szCs w:val="21"/>
          <w:u w:val="single" w:color="auto"/>
          <w14:textFill>
            <w14:solidFill>
              <w14:schemeClr w14:val="tx1"/>
            </w14:solidFill>
          </w14:textFill>
        </w:rPr>
        <w:t xml:space="preserve">                                         </w:t>
      </w:r>
    </w:p>
    <w:p w14:paraId="73E930D9">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8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22.1</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承包人违约</w:t>
      </w:r>
    </w:p>
    <w:p w14:paraId="345BBB5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6" w:right="445" w:firstLine="486"/>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当承包人发生第22.1.1项约定的违约情况时，发包人有权向承包</w:t>
      </w:r>
      <w:r>
        <w:rPr>
          <w:rFonts w:hint="eastAsia" w:ascii="宋体" w:hAnsi="宋体" w:eastAsia="宋体" w:cs="宋体"/>
          <w:color w:val="000000" w:themeColor="text1"/>
          <w:spacing w:val="8"/>
          <w:sz w:val="21"/>
          <w:szCs w:val="21"/>
          <w14:textFill>
            <w14:solidFill>
              <w14:schemeClr w14:val="tx1"/>
            </w14:solidFill>
          </w14:textFill>
        </w:rPr>
        <w:t>人课以违约金，具体约定如</w:t>
      </w:r>
      <w:r>
        <w:rPr>
          <w:rFonts w:hint="eastAsia" w:ascii="宋体" w:hAnsi="宋体" w:eastAsia="宋体" w:cs="宋体"/>
          <w:color w:val="000000" w:themeColor="text1"/>
          <w:spacing w:val="2"/>
          <w:sz w:val="21"/>
          <w:szCs w:val="21"/>
          <w14:textFill>
            <w14:solidFill>
              <w14:schemeClr w14:val="tx1"/>
            </w14:solidFill>
          </w14:textFill>
        </w:rPr>
        <w:t>下：</w:t>
      </w:r>
      <w:r>
        <w:rPr>
          <w:rFonts w:hint="eastAsia" w:ascii="宋体" w:hAnsi="宋体" w:eastAsia="宋体" w:cs="宋体"/>
          <w:color w:val="000000" w:themeColor="text1"/>
          <w:sz w:val="21"/>
          <w:szCs w:val="21"/>
          <w:u w:val="single" w:color="auto"/>
          <w14:textFill>
            <w14:solidFill>
              <w14:schemeClr w14:val="tx1"/>
            </w14:solidFill>
          </w14:textFill>
        </w:rPr>
        <w:t xml:space="preserve">                           </w:t>
      </w:r>
    </w:p>
    <w:p w14:paraId="183EF720">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8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4"/>
          <w:sz w:val="21"/>
          <w:szCs w:val="21"/>
          <w14:textFill>
            <w14:solidFill>
              <w14:schemeClr w14:val="tx1"/>
            </w14:solidFill>
          </w14:textFill>
        </w:rPr>
        <w:t>22.2</w:t>
      </w:r>
      <w:r>
        <w:rPr>
          <w:rFonts w:hint="eastAsia" w:ascii="宋体" w:hAnsi="宋体" w:eastAsia="宋体" w:cs="宋体"/>
          <w:color w:val="000000" w:themeColor="text1"/>
          <w:spacing w:val="4"/>
          <w:sz w:val="21"/>
          <w:szCs w:val="21"/>
          <w14:textFill>
            <w14:solidFill>
              <w14:schemeClr w14:val="tx1"/>
            </w14:solidFill>
          </w14:textFill>
        </w:rPr>
        <w:t xml:space="preserve"> </w:t>
      </w:r>
      <w:r>
        <w:rPr>
          <w:rFonts w:hint="eastAsia" w:ascii="宋体" w:hAnsi="宋体" w:eastAsia="宋体" w:cs="宋体"/>
          <w:b/>
          <w:bCs/>
          <w:color w:val="000000" w:themeColor="text1"/>
          <w:spacing w:val="4"/>
          <w:sz w:val="21"/>
          <w:szCs w:val="21"/>
          <w14:textFill>
            <w14:solidFill>
              <w14:schemeClr w14:val="tx1"/>
            </w14:solidFill>
          </w14:textFill>
        </w:rPr>
        <w:t>发包人违约</w:t>
      </w:r>
    </w:p>
    <w:p w14:paraId="394B26B3">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right="329" w:firstLine="483"/>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发包人无正当理由不按时返还履约保证金、质量保证金或农民工工资保证金的，发包人应向承</w:t>
      </w:r>
      <w:r>
        <w:rPr>
          <w:rFonts w:hint="eastAsia" w:ascii="宋体" w:hAnsi="宋体" w:eastAsia="宋体" w:cs="宋体"/>
          <w:color w:val="000000" w:themeColor="text1"/>
          <w:spacing w:val="9"/>
          <w:sz w:val="21"/>
          <w:szCs w:val="21"/>
          <w14:textFill>
            <w14:solidFill>
              <w14:schemeClr w14:val="tx1"/>
            </w14:solidFill>
          </w14:textFill>
        </w:rPr>
        <w:t>包人支付的违约金如下：</w:t>
      </w:r>
      <w:r>
        <w:rPr>
          <w:rFonts w:hint="eastAsia" w:ascii="宋体" w:hAnsi="宋体" w:eastAsia="宋体" w:cs="宋体"/>
          <w:color w:val="000000" w:themeColor="text1"/>
          <w:spacing w:val="9"/>
          <w:sz w:val="21"/>
          <w:szCs w:val="21"/>
          <w:u w:val="single" w:color="auto"/>
          <w14:textFill>
            <w14:solidFill>
              <w14:schemeClr w14:val="tx1"/>
            </w14:solidFill>
          </w14:textFill>
        </w:rPr>
        <w:t>每天按应返还未返还金额的万分之四支付违约金给承包人</w:t>
      </w:r>
      <w:r>
        <w:rPr>
          <w:rFonts w:hint="eastAsia" w:ascii="宋体" w:hAnsi="宋体" w:eastAsia="宋体" w:cs="宋体"/>
          <w:color w:val="000000" w:themeColor="text1"/>
          <w:spacing w:val="9"/>
          <w:sz w:val="21"/>
          <w:szCs w:val="21"/>
          <w14:textFill>
            <w14:solidFill>
              <w14:schemeClr w14:val="tx1"/>
            </w14:solidFill>
          </w14:textFill>
        </w:rPr>
        <w:t>。</w:t>
      </w:r>
    </w:p>
    <w:p w14:paraId="53D0FD94">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82"/>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23.工程项目审计</w:t>
      </w:r>
    </w:p>
    <w:p w14:paraId="44DA3B82">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297" w:right="44" w:firstLine="480"/>
        <w:textAlignment w:val="baseline"/>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u w:val="single" w:color="auto"/>
          <w14:textFill>
            <w14:solidFill>
              <w14:schemeClr w14:val="tx1"/>
            </w14:solidFill>
          </w14:textFill>
        </w:rPr>
        <w:t>发包人收到承包人递交的结算资料之日起</w:t>
      </w:r>
      <w:r>
        <w:rPr>
          <w:rFonts w:hint="eastAsia" w:ascii="宋体" w:hAnsi="宋体" w:eastAsia="宋体" w:cs="宋体"/>
          <w:color w:val="000000" w:themeColor="text1"/>
          <w:spacing w:val="-35"/>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9"/>
          <w:sz w:val="21"/>
          <w:szCs w:val="21"/>
          <w:u w:val="single" w:color="auto"/>
          <w14:textFill>
            <w14:solidFill>
              <w14:schemeClr w14:val="tx1"/>
            </w14:solidFill>
          </w14:textFill>
        </w:rPr>
        <w:t>60</w:t>
      </w:r>
      <w:r>
        <w:rPr>
          <w:rFonts w:hint="eastAsia" w:ascii="宋体" w:hAnsi="宋体" w:eastAsia="宋体" w:cs="宋体"/>
          <w:color w:val="000000" w:themeColor="text1"/>
          <w:spacing w:val="-36"/>
          <w:sz w:val="21"/>
          <w:szCs w:val="21"/>
          <w:u w:val="single" w:color="auto"/>
          <w14:textFill>
            <w14:solidFill>
              <w14:schemeClr w14:val="tx1"/>
            </w14:solidFill>
          </w14:textFill>
        </w:rPr>
        <w:t xml:space="preserve"> </w:t>
      </w:r>
      <w:r>
        <w:rPr>
          <w:rFonts w:hint="eastAsia" w:ascii="宋体" w:hAnsi="宋体" w:eastAsia="宋体" w:cs="宋体"/>
          <w:color w:val="000000" w:themeColor="text1"/>
          <w:spacing w:val="9"/>
          <w:sz w:val="21"/>
          <w:szCs w:val="21"/>
          <w:u w:val="single" w:color="auto"/>
          <w14:textFill>
            <w14:solidFill>
              <w14:schemeClr w14:val="tx1"/>
            </w14:solidFill>
          </w14:textFill>
        </w:rPr>
        <w:t>天内进行核实，并给予确认或</w:t>
      </w:r>
      <w:r>
        <w:rPr>
          <w:rFonts w:hint="eastAsia" w:ascii="宋体" w:hAnsi="宋体" w:eastAsia="宋体" w:cs="宋体"/>
          <w:color w:val="000000" w:themeColor="text1"/>
          <w:spacing w:val="8"/>
          <w:sz w:val="21"/>
          <w:szCs w:val="21"/>
          <w:u w:val="single" w:color="auto"/>
          <w14:textFill>
            <w14:solidFill>
              <w14:schemeClr w14:val="tx1"/>
            </w14:solidFill>
          </w14:textFill>
        </w:rPr>
        <w:t>提出修改意见，逾</w:t>
      </w:r>
      <w:r>
        <w:rPr>
          <w:rFonts w:hint="eastAsia" w:ascii="宋体" w:hAnsi="宋体" w:eastAsia="宋体" w:cs="宋体"/>
          <w:color w:val="000000" w:themeColor="text1"/>
          <w:spacing w:val="9"/>
          <w:sz w:val="21"/>
          <w:szCs w:val="21"/>
          <w:u w:val="single" w:color="auto"/>
          <w14:textFill>
            <w14:solidFill>
              <w14:schemeClr w14:val="tx1"/>
            </w14:solidFill>
          </w14:textFill>
        </w:rPr>
        <w:t>期又不能提出异议的，视为已认可承包人递交的结算书</w:t>
      </w:r>
      <w:r>
        <w:rPr>
          <w:rFonts w:hint="eastAsia" w:ascii="宋体" w:hAnsi="宋体" w:eastAsia="宋体" w:cs="宋体"/>
          <w:color w:val="000000" w:themeColor="text1"/>
          <w:spacing w:val="9"/>
          <w:sz w:val="21"/>
          <w:szCs w:val="21"/>
          <w14:textFill>
            <w14:solidFill>
              <w14:schemeClr w14:val="tx1"/>
            </w14:solidFill>
          </w14:textFill>
        </w:rPr>
        <w:t>。</w:t>
      </w:r>
    </w:p>
    <w:p w14:paraId="3E7428FE">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000000" w:themeColor="text1"/>
          <w14:textFill>
            <w14:solidFill>
              <w14:schemeClr w14:val="tx1"/>
            </w14:solidFill>
          </w14:textFill>
        </w:rPr>
        <w:sectPr>
          <w:footerReference r:id="rId34" w:type="default"/>
          <w:pgSz w:w="11907" w:h="16840"/>
          <w:pgMar w:top="1431" w:right="1439" w:bottom="1048" w:left="1152" w:header="0" w:footer="885" w:gutter="0"/>
          <w:cols w:space="720" w:num="1"/>
        </w:sectPr>
      </w:pPr>
    </w:p>
    <w:p w14:paraId="35D7DBF2">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14:textFill>
            <w14:solidFill>
              <w14:schemeClr w14:val="tx1"/>
            </w14:solidFill>
          </w14:textFill>
        </w:rPr>
      </w:pPr>
    </w:p>
    <w:p w14:paraId="46E0A915">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14:textFill>
            <w14:solidFill>
              <w14:schemeClr w14:val="tx1"/>
            </w14:solidFill>
          </w14:textFill>
        </w:rPr>
      </w:pPr>
    </w:p>
    <w:p w14:paraId="592E49E9">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14:textFill>
            <w14:solidFill>
              <w14:schemeClr w14:val="tx1"/>
            </w14:solidFill>
          </w14:textFill>
        </w:rPr>
      </w:pPr>
    </w:p>
    <w:p w14:paraId="5B2ACE3F">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14:textFill>
            <w14:solidFill>
              <w14:schemeClr w14:val="tx1"/>
            </w14:solidFill>
          </w14:textFill>
        </w:rPr>
      </w:pPr>
    </w:p>
    <w:p w14:paraId="5CF7F305">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left="4272"/>
        <w:textAlignment w:val="baseline"/>
        <w:rPr>
          <w:color w:val="000000" w:themeColor="text1"/>
          <w:sz w:val="24"/>
          <w:szCs w:val="24"/>
          <w14:textFill>
            <w14:solidFill>
              <w14:schemeClr w14:val="tx1"/>
            </w14:solidFill>
          </w14:textFill>
        </w:rPr>
      </w:pPr>
      <w:r>
        <w:rPr>
          <w:b/>
          <w:bCs/>
          <w:color w:val="000000" w:themeColor="text1"/>
          <w:spacing w:val="-5"/>
          <w:sz w:val="24"/>
          <w:szCs w:val="24"/>
          <w14:textFill>
            <w14:solidFill>
              <w14:schemeClr w14:val="tx1"/>
            </w14:solidFill>
          </w14:textFill>
        </w:rPr>
        <w:t>技术规范</w:t>
      </w:r>
    </w:p>
    <w:p w14:paraId="4A9D9D87">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000000" w:themeColor="text1"/>
          <w:sz w:val="21"/>
          <w14:textFill>
            <w14:solidFill>
              <w14:schemeClr w14:val="tx1"/>
            </w14:solidFill>
          </w14:textFill>
        </w:rPr>
      </w:pPr>
    </w:p>
    <w:p w14:paraId="6A306F4E">
      <w:pPr>
        <w:pStyle w:val="18"/>
        <w:keepNext w:val="0"/>
        <w:keepLines w:val="0"/>
        <w:pageBreakBefore w:val="0"/>
        <w:widowControl/>
        <w:kinsoku w:val="0"/>
        <w:wordWrap/>
        <w:overflowPunct/>
        <w:topLinePunct w:val="0"/>
        <w:autoSpaceDE w:val="0"/>
        <w:autoSpaceDN w:val="0"/>
        <w:bidi w:val="0"/>
        <w:adjustRightInd w:val="0"/>
        <w:snapToGrid w:val="0"/>
        <w:spacing w:line="400" w:lineRule="exact"/>
        <w:ind w:firstLine="480"/>
        <w:textAlignment w:val="baseline"/>
        <w:rPr>
          <w:color w:val="000000" w:themeColor="text1"/>
          <w:sz w:val="24"/>
          <w:szCs w:val="24"/>
          <w14:textFill>
            <w14:solidFill>
              <w14:schemeClr w14:val="tx1"/>
            </w14:solidFill>
          </w14:textFill>
        </w:rPr>
      </w:pPr>
      <w:r>
        <w:rPr>
          <w:color w:val="000000" w:themeColor="text1"/>
          <w:spacing w:val="-9"/>
          <w:sz w:val="24"/>
          <w:szCs w:val="24"/>
          <w14:textFill>
            <w14:solidFill>
              <w14:schemeClr w14:val="tx1"/>
            </w14:solidFill>
          </w14:textFill>
        </w:rPr>
        <w:t>技术规范各条款见中华人民共和国交通运输部《公路工程国内招标文件范本》（2009</w:t>
      </w:r>
      <w:r>
        <w:rPr>
          <w:color w:val="000000" w:themeColor="text1"/>
          <w:spacing w:val="-1"/>
          <w:sz w:val="24"/>
          <w:szCs w:val="24"/>
          <w14:textFill>
            <w14:solidFill>
              <w14:schemeClr w14:val="tx1"/>
            </w14:solidFill>
          </w14:textFill>
        </w:rPr>
        <w:t>年版）第三卷第 5 篇中符合本招标工程的相应条款</w:t>
      </w:r>
    </w:p>
    <w:p w14:paraId="412C3D61">
      <w:pPr>
        <w:tabs>
          <w:tab w:val="left" w:pos="6227"/>
        </w:tabs>
        <w:bidi w:val="0"/>
        <w:jc w:val="left"/>
        <w:rPr>
          <w:rFonts w:hint="eastAsia" w:eastAsia="宋体"/>
          <w:color w:val="000000" w:themeColor="text1"/>
          <w:highlight w:val="none"/>
          <w:lang w:eastAsia="zh-CN"/>
          <w14:textFill>
            <w14:solidFill>
              <w14:schemeClr w14:val="tx1"/>
            </w14:solidFill>
          </w14:textFill>
        </w:rPr>
      </w:pPr>
    </w:p>
    <w:sectPr>
      <w:headerReference r:id="rId36" w:type="first"/>
      <w:footerReference r:id="rId38" w:type="first"/>
      <w:headerReference r:id="rId35" w:type="default"/>
      <w:footerReference r:id="rId37" w:type="default"/>
      <w:pgSz w:w="11906" w:h="16838"/>
      <w:pgMar w:top="1440" w:right="1440" w:bottom="1440"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348F831-0054-4D90-947A-18845C908DCB}"/>
  </w:font>
  <w:font w:name="黑体">
    <w:panose1 w:val="02010609060101010101"/>
    <w:charset w:val="86"/>
    <w:family w:val="auto"/>
    <w:pitch w:val="default"/>
    <w:sig w:usb0="800002BF" w:usb1="38CF7CFA" w:usb2="00000016" w:usb3="00000000" w:csb0="00040001" w:csb1="00000000"/>
    <w:embedRegular r:id="rId2" w:fontKey="{A4AC7627-93AC-42A7-A99E-572CCE7FCA07}"/>
  </w:font>
  <w:font w:name="Courier New">
    <w:panose1 w:val="02070309020205020404"/>
    <w:charset w:val="01"/>
    <w:family w:val="modern"/>
    <w:pitch w:val="default"/>
    <w:sig w:usb0="E0002EFF" w:usb1="C0007843" w:usb2="00000009" w:usb3="00000000" w:csb0="400001FF" w:csb1="FFFF0000"/>
    <w:embedRegular r:id="rId3" w:fontKey="{7921E8BB-AA2D-442F-963A-53FF423FAE2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531618B1-469D-4605-A862-68ECF44E4232}"/>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5" w:fontKey="{D0A1A021-D00D-4C41-9CB2-071C03266E48}"/>
  </w:font>
  <w:font w:name="仿宋">
    <w:panose1 w:val="02010609060101010101"/>
    <w:charset w:val="86"/>
    <w:family w:val="modern"/>
    <w:pitch w:val="default"/>
    <w:sig w:usb0="800002BF" w:usb1="38CF7CFA" w:usb2="00000016" w:usb3="00000000" w:csb0="00040001" w:csb1="00000000"/>
    <w:embedRegular r:id="rId6" w:fontKey="{E4A8ECE3-AAD3-4090-A3F6-61C3746D7921}"/>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宋体正文">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embedRegular r:id="rId7" w:fontKey="{C3E86C6E-5251-4049-B63A-76E7B4FB29CD}"/>
  </w:font>
  <w:font w:name="华文新魏">
    <w:panose1 w:val="02010800040101010101"/>
    <w:charset w:val="86"/>
    <w:family w:val="auto"/>
    <w:pitch w:val="default"/>
    <w:sig w:usb0="00000001" w:usb1="080F0000" w:usb2="00000000" w:usb3="00000000" w:csb0="00040000" w:csb1="00000000"/>
    <w:embedRegular r:id="rId8" w:fontKey="{8002CD4A-9FD3-44C5-AB6B-11EA8C1578EB}"/>
  </w:font>
  <w:font w:name="楷体_GB2312">
    <w:altName w:val="楷体"/>
    <w:panose1 w:val="02010609030101010101"/>
    <w:charset w:val="86"/>
    <w:family w:val="modern"/>
    <w:pitch w:val="default"/>
    <w:sig w:usb0="00000000" w:usb1="00000000" w:usb2="00000010" w:usb3="00000000" w:csb0="00040000" w:csb1="00000000"/>
    <w:embedRegular r:id="rId9" w:fontKey="{94D36301-699A-413B-8AD6-7B91869F7C90}"/>
  </w:font>
  <w:font w:name="楷体">
    <w:panose1 w:val="02010609060101010101"/>
    <w:charset w:val="86"/>
    <w:family w:val="auto"/>
    <w:pitch w:val="default"/>
    <w:sig w:usb0="800002BF" w:usb1="38CF7CFA" w:usb2="00000016" w:usb3="00000000" w:csb0="00040001" w:csb1="00000000"/>
  </w:font>
  <w:font w:name="WPSEMBED15">
    <w:panose1 w:val="03000509000000000000"/>
    <w:charset w:val="86"/>
    <w:family w:val="auto"/>
    <w:pitch w:val="default"/>
    <w:sig w:usb0="00000001" w:usb1="080E0000" w:usb2="00000000" w:usb3="00000000" w:csb0="00040000" w:csb1="00000000"/>
  </w:font>
  <w:font w:name="WPSEMBED16">
    <w:panose1 w:val="02010800040101010101"/>
    <w:charset w:val="86"/>
    <w:family w:val="auto"/>
    <w:pitch w:val="default"/>
    <w:sig w:usb0="00000001" w:usb1="080F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028A4">
    <w:pPr>
      <w:pStyle w:val="30"/>
      <w:tabs>
        <w:tab w:val="center" w:pos="4439"/>
        <w:tab w:val="clear" w:pos="4153"/>
      </w:tabs>
      <w:jc w:val="both"/>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CD4D4">
                          <w:pPr>
                            <w:pStyle w:val="3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0CCD4D4">
                    <w:pPr>
                      <w:pStyle w:val="30"/>
                    </w:pPr>
                    <w:r>
                      <w:fldChar w:fldCharType="begin"/>
                    </w:r>
                    <w:r>
                      <w:instrText xml:space="preserve"> PAGE  \* MERGEFORMAT </w:instrText>
                    </w:r>
                    <w:r>
                      <w:fldChar w:fldCharType="separate"/>
                    </w:r>
                    <w:r>
                      <w:t>0</w:t>
                    </w:r>
                    <w:r>
                      <w:fldChar w:fldCharType="end"/>
                    </w:r>
                  </w:p>
                </w:txbxContent>
              </v:textbox>
            </v:shape>
          </w:pict>
        </mc:Fallback>
      </mc:AlternateContent>
    </w:r>
  </w:p>
  <w:p w14:paraId="2FC01DDD">
    <w:pPr>
      <w:pStyle w:val="3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5E901">
    <w:pPr>
      <w:spacing w:line="1" w:lineRule="exac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ge">
                <wp:posOffset>9999345</wp:posOffset>
              </wp:positionV>
              <wp:extent cx="304800" cy="7937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4B5558AD">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5408;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a/Q3UAAAACQEAAA8AAAAAAAAAAQAgAAAAIgAAAGRycy9k&#10;b3ducmV2LnhtbFBLAQIUABQAAAAIAIdO4kCF3p3mzQEAAJoDAAAOAAAAAAAAAAEAIAAAACMBAABk&#10;cnMvZTJvRG9jLnhtbFBLBQYAAAAABgAGAFkBAABiBQAAAAA=&#10;">
              <v:fill on="f" focussize="0,0"/>
              <v:stroke on="f"/>
              <v:imagedata o:title=""/>
              <o:lock v:ext="edit" aspectratio="f"/>
              <v:textbox inset="0mm,0mm,0mm,0mm" style="mso-fit-shape-to-text:t;">
                <w:txbxContent>
                  <w:p w14:paraId="4B5558AD">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95D42">
    <w:pPr>
      <w:spacing w:line="1" w:lineRule="exact"/>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5FFC7C">
                          <w:pPr>
                            <w:pStyle w:val="30"/>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SNzGcMBAACP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5dvKXHc4sTPP3+cfz2eH74T&#10;9KFAfYAa8+4CZqbhvR9wbWY/oDPzHlS0+YuMCMZR3tNFXjkkIvKj1XK1qjAkMDZfEJ89PQ8R0gfp&#10;LclGQyPOr8jKj58gjalzSq7m/K02pszQuL8ciJk9LPc+9pitNOyGidDOtyfk0+PoG+pw0ykxHx0q&#10;m7dkNuJs7CYj14Dw7pCwcOkno45QUzGcU2E07VRehD/vJevpP9r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pI3MZwwEAAI8DAAAOAAAAAAAAAAEAIAAAAB4BAABkcnMvZTJvRG9jLnhtbFBL&#10;BQYAAAAABgAGAFkBAABTBQAAAAA=&#10;">
              <v:fill on="f" focussize="0,0"/>
              <v:stroke on="f"/>
              <v:imagedata o:title=""/>
              <o:lock v:ext="edit" aspectratio="f"/>
              <v:textbox inset="0mm,0mm,0mm,0mm" style="mso-fit-shape-to-text:t;">
                <w:txbxContent>
                  <w:p w14:paraId="485FFC7C">
                    <w:pPr>
                      <w:pStyle w:val="30"/>
                    </w:pPr>
                    <w:r>
                      <w:rPr>
                        <w:rFonts w:hint="eastAsia"/>
                      </w:rPr>
                      <w:fldChar w:fldCharType="begin"/>
                    </w:r>
                    <w:r>
                      <w:rPr>
                        <w:rFonts w:hint="eastAsia"/>
                      </w:rPr>
                      <w:instrText xml:space="preserve"> PAGE  \* MERGEFORMAT </w:instrText>
                    </w:r>
                    <w:r>
                      <w:rPr>
                        <w:rFonts w:hint="eastAsia"/>
                      </w:rPr>
                      <w:fldChar w:fldCharType="separate"/>
                    </w:r>
                    <w:r>
                      <w:t>109</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FB5A9">
    <w:pPr>
      <w:spacing w:line="1" w:lineRule="exac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ge">
                <wp:posOffset>9999345</wp:posOffset>
              </wp:positionV>
              <wp:extent cx="304800" cy="79375"/>
              <wp:effectExtent l="0" t="0" r="0" b="0"/>
              <wp:wrapNone/>
              <wp:docPr id="381" name="文本框 381"/>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16F04C37">
                          <w:pPr>
                            <w:pStyle w:val="193"/>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4384;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a/Q3UAAAACQEAAA8AAAAAAAAAAQAgAAAAIgAAAGRycy9k&#10;b3ducmV2LnhtbFBLAQIUABQAAAAIAIdO4kCT1gY4zQEAAJwDAAAOAAAAAAAAAAEAIAAAACMBAABk&#10;cnMvZTJvRG9jLnhtbFBLBQYAAAAABgAGAFkBAABiBQAAAAA=&#10;">
              <v:fill on="f" focussize="0,0"/>
              <v:stroke on="f"/>
              <v:imagedata o:title=""/>
              <o:lock v:ext="edit" aspectratio="f"/>
              <v:textbox inset="0mm,0mm,0mm,0mm" style="mso-fit-shape-to-text:t;">
                <w:txbxContent>
                  <w:p w14:paraId="16F04C37">
                    <w:pPr>
                      <w:pStyle w:val="193"/>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FD044">
    <w:pPr>
      <w:spacing w:line="176" w:lineRule="auto"/>
      <w:ind w:left="41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2C647">
                          <w:pPr>
                            <w:pStyle w:val="30"/>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102C647">
                    <w:pPr>
                      <w:pStyle w:val="30"/>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02A52">
    <w:pPr>
      <w:spacing w:line="173" w:lineRule="auto"/>
      <w:ind w:left="408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57</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F5DA3">
    <w:pPr>
      <w:spacing w:line="176"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60</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CB56A">
    <w:pPr>
      <w:spacing w:line="176" w:lineRule="auto"/>
      <w:ind w:left="442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A8C43">
    <w:pPr>
      <w:spacing w:line="176" w:lineRule="auto"/>
      <w:ind w:left="442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66</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872E1">
    <w:pPr>
      <w:spacing w:line="176" w:lineRule="auto"/>
      <w:ind w:left="442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67</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2034E">
    <w:pPr>
      <w:spacing w:line="176" w:lineRule="auto"/>
      <w:ind w:left="441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14534">
    <w:pPr>
      <w:pStyle w:val="30"/>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FC8446"/>
                      </w:txbxContent>
                    </wps:txbx>
                    <wps:bodyPr wrap="none" lIns="0" tIns="0" rIns="0" bIns="0" upright="1">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llOorLAQAAnAMAAA4AAAAAAAAAAQAgAAAAHgEAAGRycy9lMm9E&#10;b2MueG1sUEsFBgAAAAAGAAYAWQEAAFsFAAAAAA==&#10;">
              <v:fill on="f" focussize="0,0"/>
              <v:stroke on="f"/>
              <v:imagedata o:title=""/>
              <o:lock v:ext="edit" aspectratio="f"/>
              <v:textbox inset="0mm,0mm,0mm,0mm" style="mso-fit-shape-to-text:t;">
                <w:txbxContent>
                  <w:p w14:paraId="1BFC8446"/>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8B957">
    <w:pPr>
      <w:spacing w:line="176" w:lineRule="auto"/>
      <w:ind w:left="440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4F4DA">
    <w:pPr>
      <w:spacing w:line="176" w:lineRule="auto"/>
      <w:ind w:left="4460"/>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l02</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353B8">
    <w:pPr>
      <w:spacing w:line="176" w:lineRule="auto"/>
      <w:ind w:left="446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70B18">
    <w:pPr>
      <w:spacing w:line="176" w:lineRule="auto"/>
      <w:ind w:left="468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l05</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20FFE">
    <w:pPr>
      <w:pStyle w:val="3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9620B">
                          <w:pPr>
                            <w:pStyle w:val="30"/>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22F9620B">
                    <w:pPr>
                      <w:pStyle w:val="30"/>
                    </w:pPr>
                    <w:r>
                      <w:fldChar w:fldCharType="begin"/>
                    </w:r>
                    <w:r>
                      <w:instrText xml:space="preserve"> PAGE  \* MERGEFORMAT </w:instrText>
                    </w:r>
                    <w:r>
                      <w:fldChar w:fldCharType="separate"/>
                    </w:r>
                    <w:r>
                      <w:t>71</w:t>
                    </w:r>
                    <w:r>
                      <w:fldChar w:fldCharType="end"/>
                    </w:r>
                  </w:p>
                </w:txbxContent>
              </v:textbox>
            </v:shape>
          </w:pict>
        </mc:Fallback>
      </mc:AlternateContent>
    </w:r>
  </w:p>
  <w:p w14:paraId="6253848B">
    <w:pPr>
      <w:pStyle w:val="30"/>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A6EA0">
    <w:pPr>
      <w:pStyle w:val="3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8C9CD1">
                          <w:pPr>
                            <w:pStyle w:val="30"/>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428C9CD1">
                    <w:pPr>
                      <w:pStyle w:val="30"/>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B5AF0">
    <w:pPr>
      <w:pStyle w:val="30"/>
      <w:tabs>
        <w:tab w:val="center" w:pos="4439"/>
        <w:tab w:val="clear" w:pos="4153"/>
      </w:tabs>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496504">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2496504">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640DC52D">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5CA87">
    <w:pPr>
      <w:pStyle w:val="30"/>
      <w:tabs>
        <w:tab w:val="center" w:pos="4439"/>
        <w:tab w:val="clear" w:pos="4153"/>
      </w:tabs>
      <w:jc w:val="both"/>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89A0C">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8989A0C">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795ECCD4">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ADBA4">
    <w:pPr>
      <w:spacing w:line="1" w:lineRule="exact"/>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00ABCE">
                          <w:pPr>
                            <w:pStyle w:val="30"/>
                          </w:pPr>
                          <w:r>
                            <w:rPr>
                              <w:rFonts w:hint="eastAsia"/>
                            </w:rPr>
                            <w:fldChar w:fldCharType="begin"/>
                          </w:r>
                          <w:r>
                            <w:rPr>
                              <w:rFonts w:hint="eastAsia"/>
                            </w:rPr>
                            <w:instrText xml:space="preserve"> PAGE  \* MERGEFORMAT </w:instrText>
                          </w:r>
                          <w:r>
                            <w:rPr>
                              <w:rFonts w:hint="eastAsia"/>
                            </w:rPr>
                            <w:fldChar w:fldCharType="separate"/>
                          </w:r>
                          <w:r>
                            <w:t>105</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jv2scIBAACP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xcA8KbQ8LCpZ+MOkJNxXBOhdG0U3kR/ryXrKf/aPM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479rHCAQAAjwMAAA4AAAAAAAAAAQAgAAAAHgEAAGRycy9lMm9Eb2MueG1sUEsF&#10;BgAAAAAGAAYAWQEAAFIFAAAAAA==&#10;">
              <v:fill on="f" focussize="0,0"/>
              <v:stroke on="f"/>
              <v:imagedata o:title=""/>
              <o:lock v:ext="edit" aspectratio="f"/>
              <v:textbox inset="0mm,0mm,0mm,0mm" style="mso-fit-shape-to-text:t;">
                <w:txbxContent>
                  <w:p w14:paraId="2300ABCE">
                    <w:pPr>
                      <w:pStyle w:val="30"/>
                    </w:pPr>
                    <w:r>
                      <w:rPr>
                        <w:rFonts w:hint="eastAsia"/>
                      </w:rPr>
                      <w:fldChar w:fldCharType="begin"/>
                    </w:r>
                    <w:r>
                      <w:rPr>
                        <w:rFonts w:hint="eastAsia"/>
                      </w:rPr>
                      <w:instrText xml:space="preserve"> PAGE  \* MERGEFORMAT </w:instrText>
                    </w:r>
                    <w:r>
                      <w:rPr>
                        <w:rFonts w:hint="eastAsia"/>
                      </w:rPr>
                      <w:fldChar w:fldCharType="separate"/>
                    </w:r>
                    <w:r>
                      <w:t>105</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938FC">
    <w:pPr>
      <w:spacing w:line="1" w:lineRule="exact"/>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ge">
                <wp:posOffset>9999345</wp:posOffset>
              </wp:positionV>
              <wp:extent cx="304800" cy="7937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70C092F9">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7456;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FS+/cXMAQAAmgMAAA4AAAAAAAAAAQAgAAAAIwEAAGRy&#10;cy9lMm9Eb2MueG1sUEsFBgAAAAAGAAYAWQEAAGEFAAAAAA==&#10;">
              <v:fill on="f" focussize="0,0"/>
              <v:stroke on="f"/>
              <v:imagedata o:title=""/>
              <o:lock v:ext="edit" aspectratio="f"/>
              <v:textbox inset="0mm,0mm,0mm,0mm" style="mso-fit-shape-to-text:t;">
                <w:txbxContent>
                  <w:p w14:paraId="70C092F9">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1C1D1">
    <w:pPr>
      <w:spacing w:line="1" w:lineRule="exact"/>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6BCC8E">
                          <w:pPr>
                            <w:pStyle w:val="30"/>
                          </w:pPr>
                          <w:r>
                            <w:rPr>
                              <w:rFonts w:hint="eastAsia"/>
                            </w:rPr>
                            <w:fldChar w:fldCharType="begin"/>
                          </w:r>
                          <w:r>
                            <w:rPr>
                              <w:rFonts w:hint="eastAsia"/>
                            </w:rPr>
                            <w:instrText xml:space="preserve"> PAGE  \* MERGEFORMAT </w:instrText>
                          </w:r>
                          <w:r>
                            <w:rPr>
                              <w:rFonts w:hint="eastAsia"/>
                            </w:rPr>
                            <w:fldChar w:fldCharType="separate"/>
                          </w:r>
                          <w:r>
                            <w:t>106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e1Juc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FtQ5coieMWJ37++eP868/593eC&#10;PhSoD1Bj3l3AzDR88AOuzewHdGbeg4o2f5ERwThinS7yyiERkR+tlqtVhSGBsfmC+OzpeYiQPkpv&#10;STYaGnF+RVZ+/AxpTJ1TcjXnb7UxZYbG/eVAzOxhufexx2ylYTdMhHa+PSGfHkffUIebTon55FBZ&#10;7C/NRpyN3WTkGhDeHxIWLv1k1BFqKoZzKoymncqL8Pxesp7+o80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ntSbnCAQAAjwMAAA4AAAAAAAAAAQAgAAAAHgEAAGRycy9lMm9Eb2MueG1sUEsF&#10;BgAAAAAGAAYAWQEAAFIFAAAAAA==&#10;">
              <v:fill on="f" focussize="0,0"/>
              <v:stroke on="f"/>
              <v:imagedata o:title=""/>
              <o:lock v:ext="edit" aspectratio="f"/>
              <v:textbox inset="0mm,0mm,0mm,0mm" style="mso-fit-shape-to-text:t;">
                <w:txbxContent>
                  <w:p w14:paraId="4D6BCC8E">
                    <w:pPr>
                      <w:pStyle w:val="30"/>
                    </w:pPr>
                    <w:r>
                      <w:rPr>
                        <w:rFonts w:hint="eastAsia"/>
                      </w:rPr>
                      <w:fldChar w:fldCharType="begin"/>
                    </w:r>
                    <w:r>
                      <w:rPr>
                        <w:rFonts w:hint="eastAsia"/>
                      </w:rPr>
                      <w:instrText xml:space="preserve"> PAGE  \* MERGEFORMAT </w:instrText>
                    </w:r>
                    <w:r>
                      <w:rPr>
                        <w:rFonts w:hint="eastAsia"/>
                      </w:rPr>
                      <w:fldChar w:fldCharType="separate"/>
                    </w:r>
                    <w:r>
                      <w:t>106</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77199">
    <w:pPr>
      <w:spacing w:line="1" w:lineRule="exact"/>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ge">
                <wp:posOffset>9999345</wp:posOffset>
              </wp:positionV>
              <wp:extent cx="304800" cy="79375"/>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304800" cy="79375"/>
                      </a:xfrm>
                      <a:prstGeom prst="rect">
                        <a:avLst/>
                      </a:prstGeom>
                      <a:noFill/>
                      <a:ln>
                        <a:noFill/>
                      </a:ln>
                      <a:effectLst/>
                    </wps:spPr>
                    <wps:txbx>
                      <w:txbxContent>
                        <w:p w14:paraId="24F83324">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a:spAutoFit/>
                    </wps:bodyPr>
                  </wps:wsp>
                </a:graphicData>
              </a:graphic>
            </wp:anchor>
          </w:drawing>
        </mc:Choice>
        <mc:Fallback>
          <w:pict>
            <v:shape id="_x0000_s1026" o:spid="_x0000_s1026" o:spt="202" type="#_x0000_t202" style="position:absolute;left:0pt;margin-top:787.35pt;height:6.25pt;width:24pt;mso-position-horizontal:center;mso-position-horizontal-relative:margin;mso-position-vertical-relative:page;mso-wrap-style:none;z-index:251666432;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BwN9TnMAQAAmgMAAA4AAAAAAAAAAQAgAAAAIwEAAGRy&#10;cy9lMm9Eb2MueG1sUEsFBgAAAAAGAAYAWQEAAGEFAAAAAA==&#10;">
              <v:fill on="f" focussize="0,0"/>
              <v:stroke on="f"/>
              <v:imagedata o:title=""/>
              <o:lock v:ext="edit" aspectratio="f"/>
              <v:textbox inset="0mm,0mm,0mm,0mm" style="mso-fit-shape-to-text:t;">
                <w:txbxContent>
                  <w:p w14:paraId="24F83324">
                    <w:pPr>
                      <w:pStyle w:val="193"/>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4D92B">
    <w:pPr>
      <w:spacing w:line="1" w:lineRule="exact"/>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9F5030">
                          <w:pPr>
                            <w:pStyle w:val="30"/>
                          </w:pPr>
                          <w:r>
                            <w:rPr>
                              <w:rFonts w:hint="eastAsia"/>
                            </w:rPr>
                            <w:fldChar w:fldCharType="begin"/>
                          </w:r>
                          <w:r>
                            <w:rPr>
                              <w:rFonts w:hint="eastAsia"/>
                            </w:rPr>
                            <w:instrText xml:space="preserve"> PAGE  \* MERGEFORMAT </w:instrText>
                          </w:r>
                          <w:r>
                            <w:rPr>
                              <w:rFonts w:hint="eastAsia"/>
                            </w:rPr>
                            <w:fldChar w:fldCharType="separate"/>
                          </w:r>
                          <w:r>
                            <w:t>108</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g0GZ8M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FtQ5e3lDhuceLnp8fzj1/nn98J&#10;+lCgPkCNeQ8BM9Pwzg+4NrMf0Jl5Dyra/EVGBOMo7+kirxwSEfnRarlaVRgSGJsviM+en4cI6b30&#10;lmSjoRHnV2Tlx4+QxtQ5JVdz/l4bU2Zo3F8OxMwelnsfe8xWGnbDRGjn2xPy6XH0DXW46ZSYDw6V&#10;zVsyG3E2dpORa0B4e0hYuPSTUUeoqRjOqTCadiovwp/3kvX8H2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yDQZnwwEAAI8DAAAOAAAAAAAAAAEAIAAAAB4BAABkcnMvZTJvRG9jLnhtbFBL&#10;BQYAAAAABgAGAFkBAABTBQAAAAA=&#10;">
              <v:fill on="f" focussize="0,0"/>
              <v:stroke on="f"/>
              <v:imagedata o:title=""/>
              <o:lock v:ext="edit" aspectratio="f"/>
              <v:textbox inset="0mm,0mm,0mm,0mm" style="mso-fit-shape-to-text:t;">
                <w:txbxContent>
                  <w:p w14:paraId="159F5030">
                    <w:pPr>
                      <w:pStyle w:val="30"/>
                    </w:pPr>
                    <w:r>
                      <w:rPr>
                        <w:rFonts w:hint="eastAsia"/>
                      </w:rPr>
                      <w:fldChar w:fldCharType="begin"/>
                    </w:r>
                    <w:r>
                      <w:rPr>
                        <w:rFonts w:hint="eastAsia"/>
                      </w:rPr>
                      <w:instrText xml:space="preserve"> PAGE  \* MERGEFORMAT </w:instrText>
                    </w:r>
                    <w:r>
                      <w:rPr>
                        <w:rFonts w:hint="eastAsia"/>
                      </w:rPr>
                      <w:fldChar w:fldCharType="separate"/>
                    </w:r>
                    <w:r>
                      <w:t>108</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70616">
    <w:pPr>
      <w:pStyle w:val="31"/>
    </w:pPr>
  </w:p>
  <w:p w14:paraId="58CC6B18">
    <w:pPr>
      <w:pStyle w:val="31"/>
      <w:pBdr>
        <w:bottom w:val="none" w:color="auto" w:sz="0"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0C8C1">
    <w:pPr>
      <w:pStyle w:val="31"/>
      <w:pBdr>
        <w:bottom w:val="none" w:color="auto" w:sz="0" w:space="1"/>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C0433">
    <w:pPr>
      <w:pStyle w:val="31"/>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08A2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D329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E3FA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C8EB0"/>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2F7B9"/>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4ADD0"/>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A2A08"/>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3A07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29FA5"/>
    <w:multiLevelType w:val="multilevel"/>
    <w:tmpl w:val="90529FA5"/>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E4F3CE07"/>
    <w:multiLevelType w:val="singleLevel"/>
    <w:tmpl w:val="E4F3CE07"/>
    <w:lvl w:ilvl="0" w:tentative="0">
      <w:start w:val="8"/>
      <w:numFmt w:val="decimal"/>
      <w:suff w:val="nothing"/>
      <w:lvlText w:val="（%1）"/>
      <w:lvlJc w:val="left"/>
    </w:lvl>
  </w:abstractNum>
  <w:abstractNum w:abstractNumId="2">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lY2U2ZDZiZGE4ZjQ2YjFkZTAwM2I5NTlkOTUwMjgifQ=="/>
  </w:docVars>
  <w:rsids>
    <w:rsidRoot w:val="00F34B14"/>
    <w:rsid w:val="000002E0"/>
    <w:rsid w:val="00000672"/>
    <w:rsid w:val="00000C53"/>
    <w:rsid w:val="00000E69"/>
    <w:rsid w:val="00000FD7"/>
    <w:rsid w:val="00001013"/>
    <w:rsid w:val="00001245"/>
    <w:rsid w:val="00001799"/>
    <w:rsid w:val="00001AF2"/>
    <w:rsid w:val="00001ECA"/>
    <w:rsid w:val="00002480"/>
    <w:rsid w:val="00002D29"/>
    <w:rsid w:val="00003B93"/>
    <w:rsid w:val="00003BBA"/>
    <w:rsid w:val="0000474D"/>
    <w:rsid w:val="0000529E"/>
    <w:rsid w:val="000057F8"/>
    <w:rsid w:val="00005FDF"/>
    <w:rsid w:val="0000644A"/>
    <w:rsid w:val="00006D8A"/>
    <w:rsid w:val="00007081"/>
    <w:rsid w:val="000070B3"/>
    <w:rsid w:val="000076B8"/>
    <w:rsid w:val="000109DC"/>
    <w:rsid w:val="00010D39"/>
    <w:rsid w:val="0001172C"/>
    <w:rsid w:val="00011BC9"/>
    <w:rsid w:val="00012854"/>
    <w:rsid w:val="00012D72"/>
    <w:rsid w:val="00012EA6"/>
    <w:rsid w:val="00013359"/>
    <w:rsid w:val="000139CF"/>
    <w:rsid w:val="00013AA4"/>
    <w:rsid w:val="00013DFE"/>
    <w:rsid w:val="000141EA"/>
    <w:rsid w:val="00014EFE"/>
    <w:rsid w:val="00015111"/>
    <w:rsid w:val="0001657F"/>
    <w:rsid w:val="00016ABC"/>
    <w:rsid w:val="000177DB"/>
    <w:rsid w:val="000179C9"/>
    <w:rsid w:val="00017CCC"/>
    <w:rsid w:val="00020227"/>
    <w:rsid w:val="00020263"/>
    <w:rsid w:val="00020455"/>
    <w:rsid w:val="00020813"/>
    <w:rsid w:val="000215D0"/>
    <w:rsid w:val="00021F52"/>
    <w:rsid w:val="00021FCF"/>
    <w:rsid w:val="000220B2"/>
    <w:rsid w:val="0002264C"/>
    <w:rsid w:val="00022731"/>
    <w:rsid w:val="00022792"/>
    <w:rsid w:val="00023287"/>
    <w:rsid w:val="00024463"/>
    <w:rsid w:val="00025461"/>
    <w:rsid w:val="00025636"/>
    <w:rsid w:val="00025E36"/>
    <w:rsid w:val="000260F7"/>
    <w:rsid w:val="00026855"/>
    <w:rsid w:val="00026886"/>
    <w:rsid w:val="0002754F"/>
    <w:rsid w:val="0002785D"/>
    <w:rsid w:val="000307BE"/>
    <w:rsid w:val="00032633"/>
    <w:rsid w:val="000329E0"/>
    <w:rsid w:val="000336D0"/>
    <w:rsid w:val="000352E9"/>
    <w:rsid w:val="00035494"/>
    <w:rsid w:val="00035ECF"/>
    <w:rsid w:val="00036125"/>
    <w:rsid w:val="00036A07"/>
    <w:rsid w:val="0003780B"/>
    <w:rsid w:val="00037C41"/>
    <w:rsid w:val="00040571"/>
    <w:rsid w:val="00040973"/>
    <w:rsid w:val="0004156E"/>
    <w:rsid w:val="00041713"/>
    <w:rsid w:val="0004212E"/>
    <w:rsid w:val="00042B32"/>
    <w:rsid w:val="00042EE8"/>
    <w:rsid w:val="000439AA"/>
    <w:rsid w:val="0004440C"/>
    <w:rsid w:val="00046B5E"/>
    <w:rsid w:val="000470CB"/>
    <w:rsid w:val="000506DE"/>
    <w:rsid w:val="000509D9"/>
    <w:rsid w:val="00051006"/>
    <w:rsid w:val="00051165"/>
    <w:rsid w:val="000512AF"/>
    <w:rsid w:val="00051ACB"/>
    <w:rsid w:val="000533E7"/>
    <w:rsid w:val="0005360A"/>
    <w:rsid w:val="00053B29"/>
    <w:rsid w:val="00054B4B"/>
    <w:rsid w:val="000550E8"/>
    <w:rsid w:val="00055519"/>
    <w:rsid w:val="00055D41"/>
    <w:rsid w:val="00056EF6"/>
    <w:rsid w:val="000575CF"/>
    <w:rsid w:val="00057CD6"/>
    <w:rsid w:val="00060D7F"/>
    <w:rsid w:val="00060DCE"/>
    <w:rsid w:val="000610E3"/>
    <w:rsid w:val="000614F3"/>
    <w:rsid w:val="00061A1B"/>
    <w:rsid w:val="000623B4"/>
    <w:rsid w:val="00062405"/>
    <w:rsid w:val="00062EC2"/>
    <w:rsid w:val="000634A7"/>
    <w:rsid w:val="00063B0B"/>
    <w:rsid w:val="00063B48"/>
    <w:rsid w:val="00063F81"/>
    <w:rsid w:val="00064847"/>
    <w:rsid w:val="00065E08"/>
    <w:rsid w:val="00065E2D"/>
    <w:rsid w:val="00066AD9"/>
    <w:rsid w:val="00066D2E"/>
    <w:rsid w:val="000673E2"/>
    <w:rsid w:val="00067EF1"/>
    <w:rsid w:val="00070378"/>
    <w:rsid w:val="0007037E"/>
    <w:rsid w:val="0007063F"/>
    <w:rsid w:val="000707FD"/>
    <w:rsid w:val="00070949"/>
    <w:rsid w:val="000711E4"/>
    <w:rsid w:val="00071E9B"/>
    <w:rsid w:val="000720A1"/>
    <w:rsid w:val="000724D9"/>
    <w:rsid w:val="00072AED"/>
    <w:rsid w:val="00073F47"/>
    <w:rsid w:val="0007492F"/>
    <w:rsid w:val="00074BC7"/>
    <w:rsid w:val="00074ED8"/>
    <w:rsid w:val="00075B7E"/>
    <w:rsid w:val="00076D70"/>
    <w:rsid w:val="00077ACA"/>
    <w:rsid w:val="00077C70"/>
    <w:rsid w:val="000813B5"/>
    <w:rsid w:val="0008191E"/>
    <w:rsid w:val="00081BA3"/>
    <w:rsid w:val="00081D2E"/>
    <w:rsid w:val="00081F89"/>
    <w:rsid w:val="00082619"/>
    <w:rsid w:val="00082D02"/>
    <w:rsid w:val="00083542"/>
    <w:rsid w:val="0008381A"/>
    <w:rsid w:val="00083871"/>
    <w:rsid w:val="00083B91"/>
    <w:rsid w:val="0008473C"/>
    <w:rsid w:val="0008520B"/>
    <w:rsid w:val="000857DE"/>
    <w:rsid w:val="000860BD"/>
    <w:rsid w:val="000871B8"/>
    <w:rsid w:val="00087B0A"/>
    <w:rsid w:val="000916DA"/>
    <w:rsid w:val="00091AAB"/>
    <w:rsid w:val="00092442"/>
    <w:rsid w:val="000929EF"/>
    <w:rsid w:val="00092C26"/>
    <w:rsid w:val="000933BE"/>
    <w:rsid w:val="00094428"/>
    <w:rsid w:val="000944FC"/>
    <w:rsid w:val="0009560F"/>
    <w:rsid w:val="0009588E"/>
    <w:rsid w:val="000959EE"/>
    <w:rsid w:val="00096C2E"/>
    <w:rsid w:val="00096DB9"/>
    <w:rsid w:val="00097183"/>
    <w:rsid w:val="000972CB"/>
    <w:rsid w:val="00097608"/>
    <w:rsid w:val="000A0556"/>
    <w:rsid w:val="000A0F35"/>
    <w:rsid w:val="000A1175"/>
    <w:rsid w:val="000A13F3"/>
    <w:rsid w:val="000A165B"/>
    <w:rsid w:val="000A1963"/>
    <w:rsid w:val="000A1C18"/>
    <w:rsid w:val="000A23B1"/>
    <w:rsid w:val="000A2818"/>
    <w:rsid w:val="000A2B0E"/>
    <w:rsid w:val="000A3095"/>
    <w:rsid w:val="000A398F"/>
    <w:rsid w:val="000A448C"/>
    <w:rsid w:val="000A4E26"/>
    <w:rsid w:val="000A509C"/>
    <w:rsid w:val="000A54A7"/>
    <w:rsid w:val="000A5A17"/>
    <w:rsid w:val="000A6007"/>
    <w:rsid w:val="000A6564"/>
    <w:rsid w:val="000A65A6"/>
    <w:rsid w:val="000A70E3"/>
    <w:rsid w:val="000A7275"/>
    <w:rsid w:val="000A7408"/>
    <w:rsid w:val="000A744E"/>
    <w:rsid w:val="000A7A12"/>
    <w:rsid w:val="000A7A72"/>
    <w:rsid w:val="000B0FE0"/>
    <w:rsid w:val="000B1202"/>
    <w:rsid w:val="000B12FF"/>
    <w:rsid w:val="000B1801"/>
    <w:rsid w:val="000B1A08"/>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79FC"/>
    <w:rsid w:val="000B7E0A"/>
    <w:rsid w:val="000C144E"/>
    <w:rsid w:val="000C1679"/>
    <w:rsid w:val="000C190E"/>
    <w:rsid w:val="000C1953"/>
    <w:rsid w:val="000C1BFE"/>
    <w:rsid w:val="000C1EE3"/>
    <w:rsid w:val="000C3AE7"/>
    <w:rsid w:val="000C3CC9"/>
    <w:rsid w:val="000C3DBC"/>
    <w:rsid w:val="000C47F7"/>
    <w:rsid w:val="000C5823"/>
    <w:rsid w:val="000C59C6"/>
    <w:rsid w:val="000C6DE4"/>
    <w:rsid w:val="000C7202"/>
    <w:rsid w:val="000C7432"/>
    <w:rsid w:val="000C7926"/>
    <w:rsid w:val="000D0A89"/>
    <w:rsid w:val="000D10F1"/>
    <w:rsid w:val="000D1389"/>
    <w:rsid w:val="000D1798"/>
    <w:rsid w:val="000D2626"/>
    <w:rsid w:val="000D264F"/>
    <w:rsid w:val="000D2CD3"/>
    <w:rsid w:val="000D3C99"/>
    <w:rsid w:val="000D4016"/>
    <w:rsid w:val="000D411D"/>
    <w:rsid w:val="000D4589"/>
    <w:rsid w:val="000D4809"/>
    <w:rsid w:val="000D4FB6"/>
    <w:rsid w:val="000D5C29"/>
    <w:rsid w:val="000D6F6B"/>
    <w:rsid w:val="000D73DD"/>
    <w:rsid w:val="000E02E8"/>
    <w:rsid w:val="000E112F"/>
    <w:rsid w:val="000E1C38"/>
    <w:rsid w:val="000E1C51"/>
    <w:rsid w:val="000E1D3E"/>
    <w:rsid w:val="000E28AB"/>
    <w:rsid w:val="000E2E3E"/>
    <w:rsid w:val="000E3583"/>
    <w:rsid w:val="000E3AF0"/>
    <w:rsid w:val="000E3EBD"/>
    <w:rsid w:val="000E43EC"/>
    <w:rsid w:val="000E4DC7"/>
    <w:rsid w:val="000E4E04"/>
    <w:rsid w:val="000E592E"/>
    <w:rsid w:val="000E693B"/>
    <w:rsid w:val="000E6D5C"/>
    <w:rsid w:val="000E6EC9"/>
    <w:rsid w:val="000E70B4"/>
    <w:rsid w:val="000E7B62"/>
    <w:rsid w:val="000E7EDC"/>
    <w:rsid w:val="000F06E0"/>
    <w:rsid w:val="000F085D"/>
    <w:rsid w:val="000F0E1E"/>
    <w:rsid w:val="000F1129"/>
    <w:rsid w:val="000F1A1B"/>
    <w:rsid w:val="000F2A95"/>
    <w:rsid w:val="000F2BB7"/>
    <w:rsid w:val="000F3281"/>
    <w:rsid w:val="000F32FD"/>
    <w:rsid w:val="000F3733"/>
    <w:rsid w:val="000F5B2B"/>
    <w:rsid w:val="000F5F8B"/>
    <w:rsid w:val="000F6153"/>
    <w:rsid w:val="000F64AA"/>
    <w:rsid w:val="000F675E"/>
    <w:rsid w:val="000F6C7B"/>
    <w:rsid w:val="000F73AD"/>
    <w:rsid w:val="000F7AF4"/>
    <w:rsid w:val="000F7C33"/>
    <w:rsid w:val="000F7F0C"/>
    <w:rsid w:val="001004D6"/>
    <w:rsid w:val="00101D1B"/>
    <w:rsid w:val="00101E8E"/>
    <w:rsid w:val="00102676"/>
    <w:rsid w:val="00103646"/>
    <w:rsid w:val="00103918"/>
    <w:rsid w:val="00104897"/>
    <w:rsid w:val="00104E88"/>
    <w:rsid w:val="00104EDE"/>
    <w:rsid w:val="00104F54"/>
    <w:rsid w:val="00105992"/>
    <w:rsid w:val="00105CDA"/>
    <w:rsid w:val="00105F97"/>
    <w:rsid w:val="00106BEE"/>
    <w:rsid w:val="0010711C"/>
    <w:rsid w:val="00107368"/>
    <w:rsid w:val="001078E7"/>
    <w:rsid w:val="00107BDF"/>
    <w:rsid w:val="00107C74"/>
    <w:rsid w:val="0011091C"/>
    <w:rsid w:val="00111266"/>
    <w:rsid w:val="001112EB"/>
    <w:rsid w:val="00111FD1"/>
    <w:rsid w:val="0011247D"/>
    <w:rsid w:val="0011351F"/>
    <w:rsid w:val="00113678"/>
    <w:rsid w:val="00113A7D"/>
    <w:rsid w:val="00113C3E"/>
    <w:rsid w:val="00115375"/>
    <w:rsid w:val="001157F8"/>
    <w:rsid w:val="00115E11"/>
    <w:rsid w:val="00115EEE"/>
    <w:rsid w:val="00115F56"/>
    <w:rsid w:val="001164ED"/>
    <w:rsid w:val="00116CA9"/>
    <w:rsid w:val="00116F38"/>
    <w:rsid w:val="001170A4"/>
    <w:rsid w:val="00117AE7"/>
    <w:rsid w:val="00117B85"/>
    <w:rsid w:val="00117CBD"/>
    <w:rsid w:val="0012006A"/>
    <w:rsid w:val="00121979"/>
    <w:rsid w:val="00122064"/>
    <w:rsid w:val="0012301B"/>
    <w:rsid w:val="00123428"/>
    <w:rsid w:val="00124341"/>
    <w:rsid w:val="00124492"/>
    <w:rsid w:val="00124B12"/>
    <w:rsid w:val="001250A0"/>
    <w:rsid w:val="001263B8"/>
    <w:rsid w:val="0012647A"/>
    <w:rsid w:val="00130217"/>
    <w:rsid w:val="00130641"/>
    <w:rsid w:val="00130783"/>
    <w:rsid w:val="00130A47"/>
    <w:rsid w:val="00130FB0"/>
    <w:rsid w:val="00132B47"/>
    <w:rsid w:val="00132DDA"/>
    <w:rsid w:val="0013346C"/>
    <w:rsid w:val="001337F8"/>
    <w:rsid w:val="001341B2"/>
    <w:rsid w:val="001348B4"/>
    <w:rsid w:val="00134B1F"/>
    <w:rsid w:val="0013506E"/>
    <w:rsid w:val="001351CB"/>
    <w:rsid w:val="00135530"/>
    <w:rsid w:val="00135947"/>
    <w:rsid w:val="001359A2"/>
    <w:rsid w:val="00135F92"/>
    <w:rsid w:val="00136020"/>
    <w:rsid w:val="00136445"/>
    <w:rsid w:val="00136965"/>
    <w:rsid w:val="00136A9C"/>
    <w:rsid w:val="00137389"/>
    <w:rsid w:val="00140132"/>
    <w:rsid w:val="00141455"/>
    <w:rsid w:val="0014190C"/>
    <w:rsid w:val="00141C9C"/>
    <w:rsid w:val="0014277F"/>
    <w:rsid w:val="00142AD2"/>
    <w:rsid w:val="001434BE"/>
    <w:rsid w:val="00143AAD"/>
    <w:rsid w:val="00144050"/>
    <w:rsid w:val="00144369"/>
    <w:rsid w:val="00144398"/>
    <w:rsid w:val="0014479F"/>
    <w:rsid w:val="001452B4"/>
    <w:rsid w:val="00145320"/>
    <w:rsid w:val="00145B3E"/>
    <w:rsid w:val="001476D3"/>
    <w:rsid w:val="001509CF"/>
    <w:rsid w:val="00150D1D"/>
    <w:rsid w:val="0015150F"/>
    <w:rsid w:val="001525AA"/>
    <w:rsid w:val="00152A87"/>
    <w:rsid w:val="00152AC1"/>
    <w:rsid w:val="00153A84"/>
    <w:rsid w:val="00153BB5"/>
    <w:rsid w:val="00154518"/>
    <w:rsid w:val="001556B8"/>
    <w:rsid w:val="00156359"/>
    <w:rsid w:val="00156DD6"/>
    <w:rsid w:val="00160238"/>
    <w:rsid w:val="0016086E"/>
    <w:rsid w:val="001609B9"/>
    <w:rsid w:val="00160D0C"/>
    <w:rsid w:val="00160DD1"/>
    <w:rsid w:val="00161172"/>
    <w:rsid w:val="00161998"/>
    <w:rsid w:val="00161E65"/>
    <w:rsid w:val="00161F0E"/>
    <w:rsid w:val="00162597"/>
    <w:rsid w:val="001629AF"/>
    <w:rsid w:val="001629FD"/>
    <w:rsid w:val="0016428A"/>
    <w:rsid w:val="001646D5"/>
    <w:rsid w:val="001647C9"/>
    <w:rsid w:val="00165627"/>
    <w:rsid w:val="001661A3"/>
    <w:rsid w:val="00166E81"/>
    <w:rsid w:val="00167226"/>
    <w:rsid w:val="0016782B"/>
    <w:rsid w:val="0016784D"/>
    <w:rsid w:val="00167853"/>
    <w:rsid w:val="00167887"/>
    <w:rsid w:val="00170613"/>
    <w:rsid w:val="00170F0C"/>
    <w:rsid w:val="00171319"/>
    <w:rsid w:val="0017267A"/>
    <w:rsid w:val="00172CA8"/>
    <w:rsid w:val="00173256"/>
    <w:rsid w:val="00173B0E"/>
    <w:rsid w:val="00173E03"/>
    <w:rsid w:val="0017405A"/>
    <w:rsid w:val="0017461E"/>
    <w:rsid w:val="00174704"/>
    <w:rsid w:val="0017512C"/>
    <w:rsid w:val="001756AF"/>
    <w:rsid w:val="0017586A"/>
    <w:rsid w:val="00175BA6"/>
    <w:rsid w:val="00175C6F"/>
    <w:rsid w:val="00176CA7"/>
    <w:rsid w:val="00176D0C"/>
    <w:rsid w:val="00176F8E"/>
    <w:rsid w:val="0017789A"/>
    <w:rsid w:val="001778C5"/>
    <w:rsid w:val="00177C07"/>
    <w:rsid w:val="00177E56"/>
    <w:rsid w:val="00177F0A"/>
    <w:rsid w:val="0018090D"/>
    <w:rsid w:val="00180DA0"/>
    <w:rsid w:val="00181813"/>
    <w:rsid w:val="00181EAD"/>
    <w:rsid w:val="00182862"/>
    <w:rsid w:val="00183EED"/>
    <w:rsid w:val="00184111"/>
    <w:rsid w:val="00184F57"/>
    <w:rsid w:val="00185091"/>
    <w:rsid w:val="00185544"/>
    <w:rsid w:val="00185617"/>
    <w:rsid w:val="00186FE1"/>
    <w:rsid w:val="00187A14"/>
    <w:rsid w:val="00190D50"/>
    <w:rsid w:val="00191177"/>
    <w:rsid w:val="0019171E"/>
    <w:rsid w:val="00192368"/>
    <w:rsid w:val="001923A0"/>
    <w:rsid w:val="0019270F"/>
    <w:rsid w:val="001928B1"/>
    <w:rsid w:val="00192C38"/>
    <w:rsid w:val="00192CA1"/>
    <w:rsid w:val="00193537"/>
    <w:rsid w:val="00193808"/>
    <w:rsid w:val="00193846"/>
    <w:rsid w:val="00195424"/>
    <w:rsid w:val="001955FF"/>
    <w:rsid w:val="001972F8"/>
    <w:rsid w:val="00197EDD"/>
    <w:rsid w:val="001A02B3"/>
    <w:rsid w:val="001A04BB"/>
    <w:rsid w:val="001A06CC"/>
    <w:rsid w:val="001A0889"/>
    <w:rsid w:val="001A08D0"/>
    <w:rsid w:val="001A1B39"/>
    <w:rsid w:val="001A1D4A"/>
    <w:rsid w:val="001A2120"/>
    <w:rsid w:val="001A28C6"/>
    <w:rsid w:val="001A2E69"/>
    <w:rsid w:val="001A3C34"/>
    <w:rsid w:val="001A3EDE"/>
    <w:rsid w:val="001A41CD"/>
    <w:rsid w:val="001A4222"/>
    <w:rsid w:val="001A4235"/>
    <w:rsid w:val="001A43BE"/>
    <w:rsid w:val="001A48B2"/>
    <w:rsid w:val="001A4CFA"/>
    <w:rsid w:val="001A50EA"/>
    <w:rsid w:val="001A55A9"/>
    <w:rsid w:val="001A5BAA"/>
    <w:rsid w:val="001A5E24"/>
    <w:rsid w:val="001A661D"/>
    <w:rsid w:val="001A6795"/>
    <w:rsid w:val="001A6B27"/>
    <w:rsid w:val="001A6D8B"/>
    <w:rsid w:val="001A6DAA"/>
    <w:rsid w:val="001A7717"/>
    <w:rsid w:val="001A793A"/>
    <w:rsid w:val="001B0464"/>
    <w:rsid w:val="001B125A"/>
    <w:rsid w:val="001B1EBA"/>
    <w:rsid w:val="001B2142"/>
    <w:rsid w:val="001B2F2B"/>
    <w:rsid w:val="001B327A"/>
    <w:rsid w:val="001B35DE"/>
    <w:rsid w:val="001B3A13"/>
    <w:rsid w:val="001B3F5C"/>
    <w:rsid w:val="001B57C9"/>
    <w:rsid w:val="001B59FF"/>
    <w:rsid w:val="001B5D13"/>
    <w:rsid w:val="001B6512"/>
    <w:rsid w:val="001B65D7"/>
    <w:rsid w:val="001B6752"/>
    <w:rsid w:val="001B6768"/>
    <w:rsid w:val="001B6F1F"/>
    <w:rsid w:val="001B7ECC"/>
    <w:rsid w:val="001C025B"/>
    <w:rsid w:val="001C059D"/>
    <w:rsid w:val="001C115F"/>
    <w:rsid w:val="001C1DED"/>
    <w:rsid w:val="001C1EAB"/>
    <w:rsid w:val="001C25A7"/>
    <w:rsid w:val="001C2775"/>
    <w:rsid w:val="001C2A1D"/>
    <w:rsid w:val="001C318C"/>
    <w:rsid w:val="001C35C4"/>
    <w:rsid w:val="001C4287"/>
    <w:rsid w:val="001C4479"/>
    <w:rsid w:val="001C4F79"/>
    <w:rsid w:val="001C5190"/>
    <w:rsid w:val="001C5C56"/>
    <w:rsid w:val="001C6081"/>
    <w:rsid w:val="001C6B56"/>
    <w:rsid w:val="001C7284"/>
    <w:rsid w:val="001C73EB"/>
    <w:rsid w:val="001C7781"/>
    <w:rsid w:val="001C7B48"/>
    <w:rsid w:val="001D0CFB"/>
    <w:rsid w:val="001D108A"/>
    <w:rsid w:val="001D1A0D"/>
    <w:rsid w:val="001D1DD1"/>
    <w:rsid w:val="001D23DA"/>
    <w:rsid w:val="001D267C"/>
    <w:rsid w:val="001D2F77"/>
    <w:rsid w:val="001D343C"/>
    <w:rsid w:val="001D56E2"/>
    <w:rsid w:val="001D58A1"/>
    <w:rsid w:val="001D58C2"/>
    <w:rsid w:val="001D5A8A"/>
    <w:rsid w:val="001D5B64"/>
    <w:rsid w:val="001D61CA"/>
    <w:rsid w:val="001D654A"/>
    <w:rsid w:val="001D6E87"/>
    <w:rsid w:val="001D735E"/>
    <w:rsid w:val="001D73C8"/>
    <w:rsid w:val="001D7BC6"/>
    <w:rsid w:val="001E129E"/>
    <w:rsid w:val="001E175C"/>
    <w:rsid w:val="001E1B0E"/>
    <w:rsid w:val="001E2C2D"/>
    <w:rsid w:val="001E308A"/>
    <w:rsid w:val="001E38EC"/>
    <w:rsid w:val="001E3B63"/>
    <w:rsid w:val="001E57B2"/>
    <w:rsid w:val="001E5A94"/>
    <w:rsid w:val="001E5CBB"/>
    <w:rsid w:val="001E5CDC"/>
    <w:rsid w:val="001E6CE9"/>
    <w:rsid w:val="001F05D4"/>
    <w:rsid w:val="001F13FD"/>
    <w:rsid w:val="001F2A2E"/>
    <w:rsid w:val="001F3180"/>
    <w:rsid w:val="001F3356"/>
    <w:rsid w:val="001F3A99"/>
    <w:rsid w:val="001F3C63"/>
    <w:rsid w:val="001F4141"/>
    <w:rsid w:val="001F4460"/>
    <w:rsid w:val="001F4833"/>
    <w:rsid w:val="001F608E"/>
    <w:rsid w:val="001F6C96"/>
    <w:rsid w:val="001F711A"/>
    <w:rsid w:val="001F75B0"/>
    <w:rsid w:val="001F7CBE"/>
    <w:rsid w:val="0020057C"/>
    <w:rsid w:val="0020083C"/>
    <w:rsid w:val="00200CE5"/>
    <w:rsid w:val="00200F7C"/>
    <w:rsid w:val="002014DB"/>
    <w:rsid w:val="0020150B"/>
    <w:rsid w:val="00201E12"/>
    <w:rsid w:val="00202295"/>
    <w:rsid w:val="002033B5"/>
    <w:rsid w:val="0020382C"/>
    <w:rsid w:val="002042E9"/>
    <w:rsid w:val="0020437A"/>
    <w:rsid w:val="0020454C"/>
    <w:rsid w:val="00204740"/>
    <w:rsid w:val="00205129"/>
    <w:rsid w:val="002051C5"/>
    <w:rsid w:val="0020521F"/>
    <w:rsid w:val="0020532C"/>
    <w:rsid w:val="00206AE8"/>
    <w:rsid w:val="002114C7"/>
    <w:rsid w:val="00211A7B"/>
    <w:rsid w:val="0021302C"/>
    <w:rsid w:val="002139F1"/>
    <w:rsid w:val="00213B1C"/>
    <w:rsid w:val="00213F1E"/>
    <w:rsid w:val="00214202"/>
    <w:rsid w:val="002148E3"/>
    <w:rsid w:val="00214C1A"/>
    <w:rsid w:val="0021515F"/>
    <w:rsid w:val="0021552D"/>
    <w:rsid w:val="002156AE"/>
    <w:rsid w:val="0021577B"/>
    <w:rsid w:val="00215DC7"/>
    <w:rsid w:val="00215E99"/>
    <w:rsid w:val="00216BB8"/>
    <w:rsid w:val="00217B07"/>
    <w:rsid w:val="00217C26"/>
    <w:rsid w:val="00220043"/>
    <w:rsid w:val="0022054D"/>
    <w:rsid w:val="00220578"/>
    <w:rsid w:val="0022107B"/>
    <w:rsid w:val="002223EB"/>
    <w:rsid w:val="00223DDB"/>
    <w:rsid w:val="00223FA4"/>
    <w:rsid w:val="00223FB0"/>
    <w:rsid w:val="0022405A"/>
    <w:rsid w:val="00224067"/>
    <w:rsid w:val="0022421C"/>
    <w:rsid w:val="0022454F"/>
    <w:rsid w:val="00224C4A"/>
    <w:rsid w:val="00224E83"/>
    <w:rsid w:val="00225664"/>
    <w:rsid w:val="00225F84"/>
    <w:rsid w:val="0022663D"/>
    <w:rsid w:val="00226995"/>
    <w:rsid w:val="0022755B"/>
    <w:rsid w:val="00227C56"/>
    <w:rsid w:val="00227F2D"/>
    <w:rsid w:val="00227F52"/>
    <w:rsid w:val="00231851"/>
    <w:rsid w:val="002319FB"/>
    <w:rsid w:val="00231B89"/>
    <w:rsid w:val="00231F11"/>
    <w:rsid w:val="00231F5E"/>
    <w:rsid w:val="00233395"/>
    <w:rsid w:val="002336C6"/>
    <w:rsid w:val="002346B4"/>
    <w:rsid w:val="00234F6E"/>
    <w:rsid w:val="002351FA"/>
    <w:rsid w:val="002355BE"/>
    <w:rsid w:val="002358EA"/>
    <w:rsid w:val="0023609B"/>
    <w:rsid w:val="00236578"/>
    <w:rsid w:val="00236A10"/>
    <w:rsid w:val="00236DE9"/>
    <w:rsid w:val="00237342"/>
    <w:rsid w:val="00237D5A"/>
    <w:rsid w:val="002407BA"/>
    <w:rsid w:val="00240922"/>
    <w:rsid w:val="00240D75"/>
    <w:rsid w:val="00240F92"/>
    <w:rsid w:val="00241288"/>
    <w:rsid w:val="002412E4"/>
    <w:rsid w:val="002415AE"/>
    <w:rsid w:val="00241B38"/>
    <w:rsid w:val="00241BC7"/>
    <w:rsid w:val="00241D3C"/>
    <w:rsid w:val="00242109"/>
    <w:rsid w:val="00242B6B"/>
    <w:rsid w:val="00242D96"/>
    <w:rsid w:val="00243189"/>
    <w:rsid w:val="002439AB"/>
    <w:rsid w:val="00243AF3"/>
    <w:rsid w:val="00243C19"/>
    <w:rsid w:val="00244308"/>
    <w:rsid w:val="002448E7"/>
    <w:rsid w:val="00244AE8"/>
    <w:rsid w:val="00244DC9"/>
    <w:rsid w:val="00244EF3"/>
    <w:rsid w:val="0024531F"/>
    <w:rsid w:val="00245587"/>
    <w:rsid w:val="00245F2B"/>
    <w:rsid w:val="002460E2"/>
    <w:rsid w:val="002466CD"/>
    <w:rsid w:val="0024729B"/>
    <w:rsid w:val="00247F3A"/>
    <w:rsid w:val="00250122"/>
    <w:rsid w:val="0025024D"/>
    <w:rsid w:val="00250755"/>
    <w:rsid w:val="00251043"/>
    <w:rsid w:val="00251C4A"/>
    <w:rsid w:val="0025271C"/>
    <w:rsid w:val="0025277A"/>
    <w:rsid w:val="002533CD"/>
    <w:rsid w:val="002535EA"/>
    <w:rsid w:val="00253A8A"/>
    <w:rsid w:val="00254EAB"/>
    <w:rsid w:val="002557AF"/>
    <w:rsid w:val="0025589C"/>
    <w:rsid w:val="00255B62"/>
    <w:rsid w:val="002566B1"/>
    <w:rsid w:val="002575E3"/>
    <w:rsid w:val="00257A74"/>
    <w:rsid w:val="00257C5D"/>
    <w:rsid w:val="002603C1"/>
    <w:rsid w:val="002609A1"/>
    <w:rsid w:val="002612B1"/>
    <w:rsid w:val="00261997"/>
    <w:rsid w:val="00262B14"/>
    <w:rsid w:val="002632A7"/>
    <w:rsid w:val="00265A12"/>
    <w:rsid w:val="00266165"/>
    <w:rsid w:val="00266F2C"/>
    <w:rsid w:val="00267DAF"/>
    <w:rsid w:val="00270122"/>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F6B"/>
    <w:rsid w:val="002807B0"/>
    <w:rsid w:val="00281B9B"/>
    <w:rsid w:val="0028282C"/>
    <w:rsid w:val="00282D56"/>
    <w:rsid w:val="002835B0"/>
    <w:rsid w:val="00283C74"/>
    <w:rsid w:val="0028407E"/>
    <w:rsid w:val="0028410F"/>
    <w:rsid w:val="00284572"/>
    <w:rsid w:val="002850AA"/>
    <w:rsid w:val="00285221"/>
    <w:rsid w:val="002854B2"/>
    <w:rsid w:val="0028592F"/>
    <w:rsid w:val="00286FB5"/>
    <w:rsid w:val="00287763"/>
    <w:rsid w:val="00290606"/>
    <w:rsid w:val="002908D0"/>
    <w:rsid w:val="002909B2"/>
    <w:rsid w:val="00291D6D"/>
    <w:rsid w:val="00291FF1"/>
    <w:rsid w:val="00292AA2"/>
    <w:rsid w:val="00293361"/>
    <w:rsid w:val="00294F10"/>
    <w:rsid w:val="002952B1"/>
    <w:rsid w:val="002956E5"/>
    <w:rsid w:val="00295D11"/>
    <w:rsid w:val="00296FB6"/>
    <w:rsid w:val="0029724C"/>
    <w:rsid w:val="002A0001"/>
    <w:rsid w:val="002A0BD9"/>
    <w:rsid w:val="002A0BDB"/>
    <w:rsid w:val="002A0C3A"/>
    <w:rsid w:val="002A0DF8"/>
    <w:rsid w:val="002A0F1C"/>
    <w:rsid w:val="002A1130"/>
    <w:rsid w:val="002A1880"/>
    <w:rsid w:val="002A23B7"/>
    <w:rsid w:val="002A3950"/>
    <w:rsid w:val="002A3A57"/>
    <w:rsid w:val="002A4320"/>
    <w:rsid w:val="002A4B4F"/>
    <w:rsid w:val="002A57A8"/>
    <w:rsid w:val="002A5D75"/>
    <w:rsid w:val="002A6DEF"/>
    <w:rsid w:val="002A739E"/>
    <w:rsid w:val="002A770B"/>
    <w:rsid w:val="002B013E"/>
    <w:rsid w:val="002B058D"/>
    <w:rsid w:val="002B0C16"/>
    <w:rsid w:val="002B1E01"/>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DC4"/>
    <w:rsid w:val="002C03AE"/>
    <w:rsid w:val="002C0C1C"/>
    <w:rsid w:val="002C10A7"/>
    <w:rsid w:val="002C1190"/>
    <w:rsid w:val="002C2CC9"/>
    <w:rsid w:val="002C41BF"/>
    <w:rsid w:val="002C5023"/>
    <w:rsid w:val="002C5424"/>
    <w:rsid w:val="002C54C2"/>
    <w:rsid w:val="002C5D34"/>
    <w:rsid w:val="002C60BB"/>
    <w:rsid w:val="002C661A"/>
    <w:rsid w:val="002D06EE"/>
    <w:rsid w:val="002D073E"/>
    <w:rsid w:val="002D0A40"/>
    <w:rsid w:val="002D0D6F"/>
    <w:rsid w:val="002D1E81"/>
    <w:rsid w:val="002D25FC"/>
    <w:rsid w:val="002D4AC6"/>
    <w:rsid w:val="002D4F21"/>
    <w:rsid w:val="002D59BF"/>
    <w:rsid w:val="002D5BF5"/>
    <w:rsid w:val="002D5EE8"/>
    <w:rsid w:val="002D63F6"/>
    <w:rsid w:val="002D7360"/>
    <w:rsid w:val="002D750C"/>
    <w:rsid w:val="002D7648"/>
    <w:rsid w:val="002D7C80"/>
    <w:rsid w:val="002E109C"/>
    <w:rsid w:val="002E193E"/>
    <w:rsid w:val="002E1A94"/>
    <w:rsid w:val="002E1D55"/>
    <w:rsid w:val="002E26C4"/>
    <w:rsid w:val="002E2734"/>
    <w:rsid w:val="002E2AA6"/>
    <w:rsid w:val="002E30A5"/>
    <w:rsid w:val="002E47E4"/>
    <w:rsid w:val="002E4BF9"/>
    <w:rsid w:val="002E4D61"/>
    <w:rsid w:val="002E68A7"/>
    <w:rsid w:val="002E6E6C"/>
    <w:rsid w:val="002F016E"/>
    <w:rsid w:val="002F020D"/>
    <w:rsid w:val="002F03FD"/>
    <w:rsid w:val="002F0522"/>
    <w:rsid w:val="002F0BFA"/>
    <w:rsid w:val="002F16DD"/>
    <w:rsid w:val="002F199D"/>
    <w:rsid w:val="002F213C"/>
    <w:rsid w:val="002F2453"/>
    <w:rsid w:val="002F2607"/>
    <w:rsid w:val="002F352D"/>
    <w:rsid w:val="002F381E"/>
    <w:rsid w:val="002F3C58"/>
    <w:rsid w:val="002F4084"/>
    <w:rsid w:val="002F4A08"/>
    <w:rsid w:val="002F4ADB"/>
    <w:rsid w:val="002F531E"/>
    <w:rsid w:val="002F548D"/>
    <w:rsid w:val="002F54FB"/>
    <w:rsid w:val="002F5ACC"/>
    <w:rsid w:val="002F704B"/>
    <w:rsid w:val="002F72C3"/>
    <w:rsid w:val="002F768C"/>
    <w:rsid w:val="002F7D1E"/>
    <w:rsid w:val="002F7E89"/>
    <w:rsid w:val="00300201"/>
    <w:rsid w:val="0030025A"/>
    <w:rsid w:val="0030052F"/>
    <w:rsid w:val="00302EFC"/>
    <w:rsid w:val="00303243"/>
    <w:rsid w:val="00303BCC"/>
    <w:rsid w:val="00303F2B"/>
    <w:rsid w:val="00303F8D"/>
    <w:rsid w:val="0030572D"/>
    <w:rsid w:val="0030586A"/>
    <w:rsid w:val="00305A5E"/>
    <w:rsid w:val="00305CE1"/>
    <w:rsid w:val="0030622D"/>
    <w:rsid w:val="00306811"/>
    <w:rsid w:val="00306F32"/>
    <w:rsid w:val="003074C5"/>
    <w:rsid w:val="00307A3C"/>
    <w:rsid w:val="00307FA4"/>
    <w:rsid w:val="00310290"/>
    <w:rsid w:val="003103B1"/>
    <w:rsid w:val="00310CC1"/>
    <w:rsid w:val="003118A8"/>
    <w:rsid w:val="00312504"/>
    <w:rsid w:val="00312B89"/>
    <w:rsid w:val="00313026"/>
    <w:rsid w:val="00313913"/>
    <w:rsid w:val="00313DAA"/>
    <w:rsid w:val="0031421F"/>
    <w:rsid w:val="0031466A"/>
    <w:rsid w:val="00314B31"/>
    <w:rsid w:val="003151F4"/>
    <w:rsid w:val="00315569"/>
    <w:rsid w:val="00315A0F"/>
    <w:rsid w:val="00315A65"/>
    <w:rsid w:val="003165D7"/>
    <w:rsid w:val="0031666B"/>
    <w:rsid w:val="00316ABE"/>
    <w:rsid w:val="00317601"/>
    <w:rsid w:val="00317BA7"/>
    <w:rsid w:val="00317EB1"/>
    <w:rsid w:val="00320BE2"/>
    <w:rsid w:val="00321886"/>
    <w:rsid w:val="00321EDC"/>
    <w:rsid w:val="003222CC"/>
    <w:rsid w:val="003226AC"/>
    <w:rsid w:val="0032273E"/>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30C9"/>
    <w:rsid w:val="0033364C"/>
    <w:rsid w:val="00334415"/>
    <w:rsid w:val="00334E31"/>
    <w:rsid w:val="00335EA1"/>
    <w:rsid w:val="0033691E"/>
    <w:rsid w:val="00336A6A"/>
    <w:rsid w:val="00336CCB"/>
    <w:rsid w:val="003411D1"/>
    <w:rsid w:val="003416BA"/>
    <w:rsid w:val="003418E8"/>
    <w:rsid w:val="00342148"/>
    <w:rsid w:val="00342658"/>
    <w:rsid w:val="003427BE"/>
    <w:rsid w:val="00342F55"/>
    <w:rsid w:val="00342F99"/>
    <w:rsid w:val="00343AEA"/>
    <w:rsid w:val="00344D99"/>
    <w:rsid w:val="0034575A"/>
    <w:rsid w:val="00345F1D"/>
    <w:rsid w:val="00345F57"/>
    <w:rsid w:val="00350458"/>
    <w:rsid w:val="00350E6C"/>
    <w:rsid w:val="0035153C"/>
    <w:rsid w:val="003518A6"/>
    <w:rsid w:val="00351E7F"/>
    <w:rsid w:val="00352953"/>
    <w:rsid w:val="00353D91"/>
    <w:rsid w:val="00354062"/>
    <w:rsid w:val="0035459E"/>
    <w:rsid w:val="00354AE9"/>
    <w:rsid w:val="00355527"/>
    <w:rsid w:val="00355C0D"/>
    <w:rsid w:val="003560A6"/>
    <w:rsid w:val="003566A9"/>
    <w:rsid w:val="00356988"/>
    <w:rsid w:val="003569D3"/>
    <w:rsid w:val="00356CE9"/>
    <w:rsid w:val="00356DEB"/>
    <w:rsid w:val="003570BB"/>
    <w:rsid w:val="00357128"/>
    <w:rsid w:val="0035755E"/>
    <w:rsid w:val="00357A80"/>
    <w:rsid w:val="00360116"/>
    <w:rsid w:val="00361441"/>
    <w:rsid w:val="00361B8B"/>
    <w:rsid w:val="00363F39"/>
    <w:rsid w:val="003640FC"/>
    <w:rsid w:val="0036445C"/>
    <w:rsid w:val="00364627"/>
    <w:rsid w:val="00364AB0"/>
    <w:rsid w:val="00364D71"/>
    <w:rsid w:val="003651E5"/>
    <w:rsid w:val="003667B0"/>
    <w:rsid w:val="003667DD"/>
    <w:rsid w:val="00366B48"/>
    <w:rsid w:val="00366D71"/>
    <w:rsid w:val="003674FB"/>
    <w:rsid w:val="00367764"/>
    <w:rsid w:val="00370316"/>
    <w:rsid w:val="00370DC7"/>
    <w:rsid w:val="003713D7"/>
    <w:rsid w:val="003714AC"/>
    <w:rsid w:val="00371CBD"/>
    <w:rsid w:val="00371F20"/>
    <w:rsid w:val="003721E3"/>
    <w:rsid w:val="00372B98"/>
    <w:rsid w:val="00372D93"/>
    <w:rsid w:val="003737B7"/>
    <w:rsid w:val="003740A0"/>
    <w:rsid w:val="003740CC"/>
    <w:rsid w:val="003745F4"/>
    <w:rsid w:val="0037491A"/>
    <w:rsid w:val="00374E79"/>
    <w:rsid w:val="0037529A"/>
    <w:rsid w:val="00375388"/>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BBE"/>
    <w:rsid w:val="00380EA3"/>
    <w:rsid w:val="00381243"/>
    <w:rsid w:val="00381B1B"/>
    <w:rsid w:val="00381D70"/>
    <w:rsid w:val="0038235E"/>
    <w:rsid w:val="0038260A"/>
    <w:rsid w:val="003829D0"/>
    <w:rsid w:val="0038326A"/>
    <w:rsid w:val="0038444F"/>
    <w:rsid w:val="00384BB9"/>
    <w:rsid w:val="003861F0"/>
    <w:rsid w:val="00387051"/>
    <w:rsid w:val="003876F0"/>
    <w:rsid w:val="00387ECF"/>
    <w:rsid w:val="003901EA"/>
    <w:rsid w:val="0039021B"/>
    <w:rsid w:val="00390353"/>
    <w:rsid w:val="00390429"/>
    <w:rsid w:val="003906A0"/>
    <w:rsid w:val="00391413"/>
    <w:rsid w:val="003923D5"/>
    <w:rsid w:val="003931AF"/>
    <w:rsid w:val="0039338D"/>
    <w:rsid w:val="0039366C"/>
    <w:rsid w:val="00393EC8"/>
    <w:rsid w:val="00395E42"/>
    <w:rsid w:val="00396409"/>
    <w:rsid w:val="00396A2D"/>
    <w:rsid w:val="00396FC3"/>
    <w:rsid w:val="0039779B"/>
    <w:rsid w:val="003A13E2"/>
    <w:rsid w:val="003A1431"/>
    <w:rsid w:val="003A1A94"/>
    <w:rsid w:val="003A1FF5"/>
    <w:rsid w:val="003A204E"/>
    <w:rsid w:val="003A2B19"/>
    <w:rsid w:val="003A2D25"/>
    <w:rsid w:val="003A2DB1"/>
    <w:rsid w:val="003A5101"/>
    <w:rsid w:val="003A5728"/>
    <w:rsid w:val="003A60E7"/>
    <w:rsid w:val="003A6AE2"/>
    <w:rsid w:val="003A7092"/>
    <w:rsid w:val="003A72A1"/>
    <w:rsid w:val="003A7302"/>
    <w:rsid w:val="003A7611"/>
    <w:rsid w:val="003A7A46"/>
    <w:rsid w:val="003A7D1F"/>
    <w:rsid w:val="003B0B6A"/>
    <w:rsid w:val="003B0C41"/>
    <w:rsid w:val="003B22F7"/>
    <w:rsid w:val="003B2518"/>
    <w:rsid w:val="003B29CF"/>
    <w:rsid w:val="003B2A86"/>
    <w:rsid w:val="003B3A90"/>
    <w:rsid w:val="003B3D01"/>
    <w:rsid w:val="003B534F"/>
    <w:rsid w:val="003B7A79"/>
    <w:rsid w:val="003C0FE1"/>
    <w:rsid w:val="003C151A"/>
    <w:rsid w:val="003C1D27"/>
    <w:rsid w:val="003C33A0"/>
    <w:rsid w:val="003C350C"/>
    <w:rsid w:val="003C3733"/>
    <w:rsid w:val="003C3903"/>
    <w:rsid w:val="003C3BA0"/>
    <w:rsid w:val="003C4580"/>
    <w:rsid w:val="003C51C0"/>
    <w:rsid w:val="003C5C5E"/>
    <w:rsid w:val="003C65D3"/>
    <w:rsid w:val="003C6692"/>
    <w:rsid w:val="003C6746"/>
    <w:rsid w:val="003C7555"/>
    <w:rsid w:val="003C7898"/>
    <w:rsid w:val="003D0FF5"/>
    <w:rsid w:val="003D11A3"/>
    <w:rsid w:val="003D1537"/>
    <w:rsid w:val="003D183C"/>
    <w:rsid w:val="003D2D1B"/>
    <w:rsid w:val="003D307D"/>
    <w:rsid w:val="003D3558"/>
    <w:rsid w:val="003D36C0"/>
    <w:rsid w:val="003D40E5"/>
    <w:rsid w:val="003D48C7"/>
    <w:rsid w:val="003D4C27"/>
    <w:rsid w:val="003D7109"/>
    <w:rsid w:val="003D7CE8"/>
    <w:rsid w:val="003E04C3"/>
    <w:rsid w:val="003E0514"/>
    <w:rsid w:val="003E0BAA"/>
    <w:rsid w:val="003E1032"/>
    <w:rsid w:val="003E1904"/>
    <w:rsid w:val="003E285E"/>
    <w:rsid w:val="003E2BD8"/>
    <w:rsid w:val="003E3124"/>
    <w:rsid w:val="003E3300"/>
    <w:rsid w:val="003E3BC7"/>
    <w:rsid w:val="003E43D3"/>
    <w:rsid w:val="003E48E1"/>
    <w:rsid w:val="003E50F4"/>
    <w:rsid w:val="003E59BB"/>
    <w:rsid w:val="003E6225"/>
    <w:rsid w:val="003E65AC"/>
    <w:rsid w:val="003E66AE"/>
    <w:rsid w:val="003E6CFE"/>
    <w:rsid w:val="003E72B9"/>
    <w:rsid w:val="003E7612"/>
    <w:rsid w:val="003E7ED4"/>
    <w:rsid w:val="003F0187"/>
    <w:rsid w:val="003F0CAA"/>
    <w:rsid w:val="003F0E52"/>
    <w:rsid w:val="003F0F6B"/>
    <w:rsid w:val="003F1FC6"/>
    <w:rsid w:val="003F1FE3"/>
    <w:rsid w:val="003F2112"/>
    <w:rsid w:val="003F2359"/>
    <w:rsid w:val="003F2457"/>
    <w:rsid w:val="003F3232"/>
    <w:rsid w:val="003F359A"/>
    <w:rsid w:val="003F3793"/>
    <w:rsid w:val="003F3865"/>
    <w:rsid w:val="003F38AC"/>
    <w:rsid w:val="003F3D55"/>
    <w:rsid w:val="003F44E2"/>
    <w:rsid w:val="003F4632"/>
    <w:rsid w:val="003F47BA"/>
    <w:rsid w:val="003F49F3"/>
    <w:rsid w:val="003F4FE6"/>
    <w:rsid w:val="003F5638"/>
    <w:rsid w:val="003F6617"/>
    <w:rsid w:val="003F7F36"/>
    <w:rsid w:val="00400A58"/>
    <w:rsid w:val="00402332"/>
    <w:rsid w:val="004025C2"/>
    <w:rsid w:val="0040298D"/>
    <w:rsid w:val="00403195"/>
    <w:rsid w:val="004033A9"/>
    <w:rsid w:val="00403E55"/>
    <w:rsid w:val="0040407C"/>
    <w:rsid w:val="0040416C"/>
    <w:rsid w:val="004041CA"/>
    <w:rsid w:val="004044B4"/>
    <w:rsid w:val="00404681"/>
    <w:rsid w:val="004048F9"/>
    <w:rsid w:val="00404A80"/>
    <w:rsid w:val="00405445"/>
    <w:rsid w:val="00405AC1"/>
    <w:rsid w:val="00406923"/>
    <w:rsid w:val="0040763D"/>
    <w:rsid w:val="0041038E"/>
    <w:rsid w:val="00410D17"/>
    <w:rsid w:val="0041183A"/>
    <w:rsid w:val="00412656"/>
    <w:rsid w:val="00412AA9"/>
    <w:rsid w:val="00413442"/>
    <w:rsid w:val="00413821"/>
    <w:rsid w:val="00413BA5"/>
    <w:rsid w:val="004141A3"/>
    <w:rsid w:val="00414909"/>
    <w:rsid w:val="0041582F"/>
    <w:rsid w:val="00415AC9"/>
    <w:rsid w:val="00415CF3"/>
    <w:rsid w:val="00416112"/>
    <w:rsid w:val="004167AD"/>
    <w:rsid w:val="0041716A"/>
    <w:rsid w:val="00417A18"/>
    <w:rsid w:val="00417AE0"/>
    <w:rsid w:val="00417BAA"/>
    <w:rsid w:val="0042042B"/>
    <w:rsid w:val="00420B45"/>
    <w:rsid w:val="00420D7A"/>
    <w:rsid w:val="00421257"/>
    <w:rsid w:val="004219E9"/>
    <w:rsid w:val="00422193"/>
    <w:rsid w:val="004223DE"/>
    <w:rsid w:val="00422645"/>
    <w:rsid w:val="00422A10"/>
    <w:rsid w:val="00424D17"/>
    <w:rsid w:val="004259FC"/>
    <w:rsid w:val="00425DFD"/>
    <w:rsid w:val="00425EA9"/>
    <w:rsid w:val="004263A3"/>
    <w:rsid w:val="0042711B"/>
    <w:rsid w:val="00427713"/>
    <w:rsid w:val="00427C77"/>
    <w:rsid w:val="00427CCC"/>
    <w:rsid w:val="0043013A"/>
    <w:rsid w:val="00430421"/>
    <w:rsid w:val="00430A36"/>
    <w:rsid w:val="00430B4F"/>
    <w:rsid w:val="00431084"/>
    <w:rsid w:val="004310D7"/>
    <w:rsid w:val="0043180D"/>
    <w:rsid w:val="004322D6"/>
    <w:rsid w:val="00432589"/>
    <w:rsid w:val="00432A94"/>
    <w:rsid w:val="00432C95"/>
    <w:rsid w:val="00433827"/>
    <w:rsid w:val="00433A40"/>
    <w:rsid w:val="00434B70"/>
    <w:rsid w:val="004355EF"/>
    <w:rsid w:val="004360C8"/>
    <w:rsid w:val="00436823"/>
    <w:rsid w:val="004371D5"/>
    <w:rsid w:val="0043773F"/>
    <w:rsid w:val="00437FBF"/>
    <w:rsid w:val="0044006B"/>
    <w:rsid w:val="0044033F"/>
    <w:rsid w:val="00440576"/>
    <w:rsid w:val="00440630"/>
    <w:rsid w:val="00440E07"/>
    <w:rsid w:val="0044142F"/>
    <w:rsid w:val="00441BFE"/>
    <w:rsid w:val="00441F0F"/>
    <w:rsid w:val="00442965"/>
    <w:rsid w:val="004432B6"/>
    <w:rsid w:val="00444157"/>
    <w:rsid w:val="0044417C"/>
    <w:rsid w:val="00444DB3"/>
    <w:rsid w:val="00445617"/>
    <w:rsid w:val="00445A2F"/>
    <w:rsid w:val="0044680A"/>
    <w:rsid w:val="0044684E"/>
    <w:rsid w:val="00446F22"/>
    <w:rsid w:val="0045019F"/>
    <w:rsid w:val="004503A4"/>
    <w:rsid w:val="00450555"/>
    <w:rsid w:val="004506FA"/>
    <w:rsid w:val="00450DC6"/>
    <w:rsid w:val="004516A5"/>
    <w:rsid w:val="00451E9C"/>
    <w:rsid w:val="00452145"/>
    <w:rsid w:val="004522D0"/>
    <w:rsid w:val="0045280F"/>
    <w:rsid w:val="00452E73"/>
    <w:rsid w:val="004535AE"/>
    <w:rsid w:val="00453C53"/>
    <w:rsid w:val="0045444D"/>
    <w:rsid w:val="0045463A"/>
    <w:rsid w:val="00454AC9"/>
    <w:rsid w:val="00455050"/>
    <w:rsid w:val="004554A3"/>
    <w:rsid w:val="00455626"/>
    <w:rsid w:val="00455A6E"/>
    <w:rsid w:val="00455EAD"/>
    <w:rsid w:val="004578EB"/>
    <w:rsid w:val="00457F74"/>
    <w:rsid w:val="004604D5"/>
    <w:rsid w:val="004605C6"/>
    <w:rsid w:val="00460697"/>
    <w:rsid w:val="0046117B"/>
    <w:rsid w:val="00461FC2"/>
    <w:rsid w:val="004632B9"/>
    <w:rsid w:val="00464AB7"/>
    <w:rsid w:val="00465DE5"/>
    <w:rsid w:val="00466103"/>
    <w:rsid w:val="00467A83"/>
    <w:rsid w:val="00467EF8"/>
    <w:rsid w:val="00470006"/>
    <w:rsid w:val="00470611"/>
    <w:rsid w:val="00470848"/>
    <w:rsid w:val="00471AC3"/>
    <w:rsid w:val="00472429"/>
    <w:rsid w:val="004725E5"/>
    <w:rsid w:val="00472751"/>
    <w:rsid w:val="00473128"/>
    <w:rsid w:val="004748A5"/>
    <w:rsid w:val="00475078"/>
    <w:rsid w:val="00475767"/>
    <w:rsid w:val="004779A0"/>
    <w:rsid w:val="00477F17"/>
    <w:rsid w:val="00480363"/>
    <w:rsid w:val="004808E3"/>
    <w:rsid w:val="00481016"/>
    <w:rsid w:val="0048204C"/>
    <w:rsid w:val="004821BB"/>
    <w:rsid w:val="0048237A"/>
    <w:rsid w:val="004826FE"/>
    <w:rsid w:val="004827D5"/>
    <w:rsid w:val="00482AF2"/>
    <w:rsid w:val="004830C9"/>
    <w:rsid w:val="00483347"/>
    <w:rsid w:val="00483E2E"/>
    <w:rsid w:val="00484B69"/>
    <w:rsid w:val="00484FA9"/>
    <w:rsid w:val="00485406"/>
    <w:rsid w:val="0048590F"/>
    <w:rsid w:val="004864D4"/>
    <w:rsid w:val="00486D60"/>
    <w:rsid w:val="00486DBC"/>
    <w:rsid w:val="00491FA1"/>
    <w:rsid w:val="004920B4"/>
    <w:rsid w:val="00492A25"/>
    <w:rsid w:val="004938A3"/>
    <w:rsid w:val="004950A6"/>
    <w:rsid w:val="0049558B"/>
    <w:rsid w:val="00496350"/>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EDE"/>
    <w:rsid w:val="004B0D93"/>
    <w:rsid w:val="004B19C8"/>
    <w:rsid w:val="004B1FA4"/>
    <w:rsid w:val="004B29AC"/>
    <w:rsid w:val="004B35DF"/>
    <w:rsid w:val="004B3627"/>
    <w:rsid w:val="004B3837"/>
    <w:rsid w:val="004B4922"/>
    <w:rsid w:val="004B57DF"/>
    <w:rsid w:val="004B5976"/>
    <w:rsid w:val="004B6141"/>
    <w:rsid w:val="004B6E54"/>
    <w:rsid w:val="004B722E"/>
    <w:rsid w:val="004B72E8"/>
    <w:rsid w:val="004B771A"/>
    <w:rsid w:val="004C01A5"/>
    <w:rsid w:val="004C0412"/>
    <w:rsid w:val="004C0882"/>
    <w:rsid w:val="004C16CC"/>
    <w:rsid w:val="004C2138"/>
    <w:rsid w:val="004C2B69"/>
    <w:rsid w:val="004C302E"/>
    <w:rsid w:val="004C3940"/>
    <w:rsid w:val="004C51FD"/>
    <w:rsid w:val="004C5ED7"/>
    <w:rsid w:val="004C65A8"/>
    <w:rsid w:val="004C6689"/>
    <w:rsid w:val="004C6BF3"/>
    <w:rsid w:val="004C7408"/>
    <w:rsid w:val="004C7850"/>
    <w:rsid w:val="004D139A"/>
    <w:rsid w:val="004D14DC"/>
    <w:rsid w:val="004D17C6"/>
    <w:rsid w:val="004D2858"/>
    <w:rsid w:val="004D2E49"/>
    <w:rsid w:val="004D35BA"/>
    <w:rsid w:val="004D38E5"/>
    <w:rsid w:val="004D3A48"/>
    <w:rsid w:val="004D3C5A"/>
    <w:rsid w:val="004D449A"/>
    <w:rsid w:val="004D4701"/>
    <w:rsid w:val="004D47C7"/>
    <w:rsid w:val="004D4B2B"/>
    <w:rsid w:val="004D4F35"/>
    <w:rsid w:val="004D51EE"/>
    <w:rsid w:val="004D5C03"/>
    <w:rsid w:val="004D5D45"/>
    <w:rsid w:val="004D618D"/>
    <w:rsid w:val="004D62A9"/>
    <w:rsid w:val="004D6FC3"/>
    <w:rsid w:val="004D7476"/>
    <w:rsid w:val="004D7716"/>
    <w:rsid w:val="004E0306"/>
    <w:rsid w:val="004E0572"/>
    <w:rsid w:val="004E1641"/>
    <w:rsid w:val="004E1818"/>
    <w:rsid w:val="004E1990"/>
    <w:rsid w:val="004E2186"/>
    <w:rsid w:val="004E25A8"/>
    <w:rsid w:val="004E2B53"/>
    <w:rsid w:val="004E3930"/>
    <w:rsid w:val="004E3A23"/>
    <w:rsid w:val="004E3ED9"/>
    <w:rsid w:val="004E4961"/>
    <w:rsid w:val="004E5866"/>
    <w:rsid w:val="004E6097"/>
    <w:rsid w:val="004E61EF"/>
    <w:rsid w:val="004E63C6"/>
    <w:rsid w:val="004E6805"/>
    <w:rsid w:val="004E76A7"/>
    <w:rsid w:val="004E7B03"/>
    <w:rsid w:val="004E7F95"/>
    <w:rsid w:val="004F0064"/>
    <w:rsid w:val="004F06AC"/>
    <w:rsid w:val="004F0E50"/>
    <w:rsid w:val="004F1D2A"/>
    <w:rsid w:val="004F243F"/>
    <w:rsid w:val="004F252C"/>
    <w:rsid w:val="004F36A3"/>
    <w:rsid w:val="004F3E0C"/>
    <w:rsid w:val="004F4308"/>
    <w:rsid w:val="004F4892"/>
    <w:rsid w:val="004F4D2C"/>
    <w:rsid w:val="004F5C3B"/>
    <w:rsid w:val="004F5DA0"/>
    <w:rsid w:val="004F7160"/>
    <w:rsid w:val="004F7D84"/>
    <w:rsid w:val="00500258"/>
    <w:rsid w:val="00500B2D"/>
    <w:rsid w:val="0050130B"/>
    <w:rsid w:val="00501A99"/>
    <w:rsid w:val="00502456"/>
    <w:rsid w:val="00503180"/>
    <w:rsid w:val="005038A4"/>
    <w:rsid w:val="00504C56"/>
    <w:rsid w:val="00504CD4"/>
    <w:rsid w:val="0050524B"/>
    <w:rsid w:val="00505450"/>
    <w:rsid w:val="00505FC6"/>
    <w:rsid w:val="00506DA6"/>
    <w:rsid w:val="00507170"/>
    <w:rsid w:val="005100B7"/>
    <w:rsid w:val="005105DE"/>
    <w:rsid w:val="005113C9"/>
    <w:rsid w:val="00512050"/>
    <w:rsid w:val="00512055"/>
    <w:rsid w:val="0051280C"/>
    <w:rsid w:val="00512842"/>
    <w:rsid w:val="005128BE"/>
    <w:rsid w:val="0051356F"/>
    <w:rsid w:val="00513E7C"/>
    <w:rsid w:val="005140BB"/>
    <w:rsid w:val="00514FBE"/>
    <w:rsid w:val="00514FD9"/>
    <w:rsid w:val="0051550A"/>
    <w:rsid w:val="00515E31"/>
    <w:rsid w:val="0051608F"/>
    <w:rsid w:val="00516480"/>
    <w:rsid w:val="00520EF8"/>
    <w:rsid w:val="005210F7"/>
    <w:rsid w:val="00521753"/>
    <w:rsid w:val="00521C64"/>
    <w:rsid w:val="0052239D"/>
    <w:rsid w:val="005224EE"/>
    <w:rsid w:val="00522879"/>
    <w:rsid w:val="00522FFE"/>
    <w:rsid w:val="0052363A"/>
    <w:rsid w:val="00523BB1"/>
    <w:rsid w:val="005241A0"/>
    <w:rsid w:val="00524B23"/>
    <w:rsid w:val="0052511C"/>
    <w:rsid w:val="00525235"/>
    <w:rsid w:val="0052570E"/>
    <w:rsid w:val="005260CD"/>
    <w:rsid w:val="00526265"/>
    <w:rsid w:val="00526332"/>
    <w:rsid w:val="0052655D"/>
    <w:rsid w:val="005265E0"/>
    <w:rsid w:val="00526BC3"/>
    <w:rsid w:val="00530064"/>
    <w:rsid w:val="00530440"/>
    <w:rsid w:val="00530FF0"/>
    <w:rsid w:val="005313CA"/>
    <w:rsid w:val="00531761"/>
    <w:rsid w:val="0053248F"/>
    <w:rsid w:val="005327AB"/>
    <w:rsid w:val="00532F9C"/>
    <w:rsid w:val="00533055"/>
    <w:rsid w:val="0053332A"/>
    <w:rsid w:val="0053358A"/>
    <w:rsid w:val="00534668"/>
    <w:rsid w:val="005348CA"/>
    <w:rsid w:val="00534DDD"/>
    <w:rsid w:val="00535291"/>
    <w:rsid w:val="00535A94"/>
    <w:rsid w:val="00537874"/>
    <w:rsid w:val="0053795F"/>
    <w:rsid w:val="00537D3D"/>
    <w:rsid w:val="00540511"/>
    <w:rsid w:val="00540578"/>
    <w:rsid w:val="00540808"/>
    <w:rsid w:val="0054080E"/>
    <w:rsid w:val="00540D1A"/>
    <w:rsid w:val="00540DE5"/>
    <w:rsid w:val="00540EA1"/>
    <w:rsid w:val="00541E5A"/>
    <w:rsid w:val="00542769"/>
    <w:rsid w:val="00543066"/>
    <w:rsid w:val="0054358E"/>
    <w:rsid w:val="00543AF4"/>
    <w:rsid w:val="00543CD2"/>
    <w:rsid w:val="00543F53"/>
    <w:rsid w:val="00544191"/>
    <w:rsid w:val="0054440C"/>
    <w:rsid w:val="005448EC"/>
    <w:rsid w:val="00544C0A"/>
    <w:rsid w:val="00544F39"/>
    <w:rsid w:val="005452DC"/>
    <w:rsid w:val="005457FB"/>
    <w:rsid w:val="00545C5B"/>
    <w:rsid w:val="00546521"/>
    <w:rsid w:val="00546B96"/>
    <w:rsid w:val="00546F90"/>
    <w:rsid w:val="005477F7"/>
    <w:rsid w:val="00547EFB"/>
    <w:rsid w:val="00550186"/>
    <w:rsid w:val="00550192"/>
    <w:rsid w:val="00550BD9"/>
    <w:rsid w:val="0055175F"/>
    <w:rsid w:val="005522F2"/>
    <w:rsid w:val="005531DF"/>
    <w:rsid w:val="00553874"/>
    <w:rsid w:val="00553DCE"/>
    <w:rsid w:val="005541E0"/>
    <w:rsid w:val="005543B3"/>
    <w:rsid w:val="00554577"/>
    <w:rsid w:val="005545A1"/>
    <w:rsid w:val="00554AD8"/>
    <w:rsid w:val="00554F78"/>
    <w:rsid w:val="00555DA1"/>
    <w:rsid w:val="005562FB"/>
    <w:rsid w:val="00556731"/>
    <w:rsid w:val="00556BF7"/>
    <w:rsid w:val="00556E53"/>
    <w:rsid w:val="00557F60"/>
    <w:rsid w:val="00560D81"/>
    <w:rsid w:val="00561730"/>
    <w:rsid w:val="00561B97"/>
    <w:rsid w:val="00562149"/>
    <w:rsid w:val="0056248C"/>
    <w:rsid w:val="005640EB"/>
    <w:rsid w:val="0056530C"/>
    <w:rsid w:val="00565559"/>
    <w:rsid w:val="005662E1"/>
    <w:rsid w:val="005666A4"/>
    <w:rsid w:val="00567B5D"/>
    <w:rsid w:val="00570593"/>
    <w:rsid w:val="00570757"/>
    <w:rsid w:val="0057257D"/>
    <w:rsid w:val="00573293"/>
    <w:rsid w:val="00573733"/>
    <w:rsid w:val="00573E08"/>
    <w:rsid w:val="00573F8B"/>
    <w:rsid w:val="005743E0"/>
    <w:rsid w:val="00574554"/>
    <w:rsid w:val="00574E06"/>
    <w:rsid w:val="005751BB"/>
    <w:rsid w:val="00575713"/>
    <w:rsid w:val="00576089"/>
    <w:rsid w:val="005764B1"/>
    <w:rsid w:val="00576852"/>
    <w:rsid w:val="00576D06"/>
    <w:rsid w:val="005779E4"/>
    <w:rsid w:val="00580B89"/>
    <w:rsid w:val="00580EC7"/>
    <w:rsid w:val="00581EA9"/>
    <w:rsid w:val="0058289C"/>
    <w:rsid w:val="005836C7"/>
    <w:rsid w:val="0058408E"/>
    <w:rsid w:val="005844C3"/>
    <w:rsid w:val="005847D9"/>
    <w:rsid w:val="00585374"/>
    <w:rsid w:val="005854CA"/>
    <w:rsid w:val="00585FAB"/>
    <w:rsid w:val="0058607D"/>
    <w:rsid w:val="00590B77"/>
    <w:rsid w:val="00590D9A"/>
    <w:rsid w:val="005913A3"/>
    <w:rsid w:val="00591A5A"/>
    <w:rsid w:val="00592C40"/>
    <w:rsid w:val="00593B28"/>
    <w:rsid w:val="005940D4"/>
    <w:rsid w:val="00594A7B"/>
    <w:rsid w:val="0059580B"/>
    <w:rsid w:val="0059580E"/>
    <w:rsid w:val="00595D90"/>
    <w:rsid w:val="00596A6F"/>
    <w:rsid w:val="00596D11"/>
    <w:rsid w:val="00596FCE"/>
    <w:rsid w:val="005A0300"/>
    <w:rsid w:val="005A11BC"/>
    <w:rsid w:val="005A1525"/>
    <w:rsid w:val="005A183A"/>
    <w:rsid w:val="005A188D"/>
    <w:rsid w:val="005A1E17"/>
    <w:rsid w:val="005A252B"/>
    <w:rsid w:val="005A2A8F"/>
    <w:rsid w:val="005A3008"/>
    <w:rsid w:val="005A3204"/>
    <w:rsid w:val="005A3341"/>
    <w:rsid w:val="005A3C3D"/>
    <w:rsid w:val="005A46EC"/>
    <w:rsid w:val="005A5EAE"/>
    <w:rsid w:val="005A5EB8"/>
    <w:rsid w:val="005A6407"/>
    <w:rsid w:val="005A726C"/>
    <w:rsid w:val="005A79CF"/>
    <w:rsid w:val="005A7DDF"/>
    <w:rsid w:val="005B05D8"/>
    <w:rsid w:val="005B07EC"/>
    <w:rsid w:val="005B21B0"/>
    <w:rsid w:val="005B2B11"/>
    <w:rsid w:val="005B32A4"/>
    <w:rsid w:val="005B3371"/>
    <w:rsid w:val="005B338D"/>
    <w:rsid w:val="005B33A1"/>
    <w:rsid w:val="005B3852"/>
    <w:rsid w:val="005B3BAF"/>
    <w:rsid w:val="005B43D5"/>
    <w:rsid w:val="005B4470"/>
    <w:rsid w:val="005B4DA3"/>
    <w:rsid w:val="005B5BEE"/>
    <w:rsid w:val="005B6AA9"/>
    <w:rsid w:val="005B77D2"/>
    <w:rsid w:val="005B7BDA"/>
    <w:rsid w:val="005C0195"/>
    <w:rsid w:val="005C019B"/>
    <w:rsid w:val="005C08D0"/>
    <w:rsid w:val="005C15A1"/>
    <w:rsid w:val="005C1AED"/>
    <w:rsid w:val="005C1FCB"/>
    <w:rsid w:val="005C2136"/>
    <w:rsid w:val="005C30F5"/>
    <w:rsid w:val="005C3571"/>
    <w:rsid w:val="005C3840"/>
    <w:rsid w:val="005C51A5"/>
    <w:rsid w:val="005C557A"/>
    <w:rsid w:val="005C566F"/>
    <w:rsid w:val="005C5B5C"/>
    <w:rsid w:val="005C5BF5"/>
    <w:rsid w:val="005C5C47"/>
    <w:rsid w:val="005C5D2D"/>
    <w:rsid w:val="005C61DD"/>
    <w:rsid w:val="005C6438"/>
    <w:rsid w:val="005C6B8B"/>
    <w:rsid w:val="005C727F"/>
    <w:rsid w:val="005D02E3"/>
    <w:rsid w:val="005D1F34"/>
    <w:rsid w:val="005D2679"/>
    <w:rsid w:val="005D2C1F"/>
    <w:rsid w:val="005D34B2"/>
    <w:rsid w:val="005D3B54"/>
    <w:rsid w:val="005D3E28"/>
    <w:rsid w:val="005D40CD"/>
    <w:rsid w:val="005D6B59"/>
    <w:rsid w:val="005D6C52"/>
    <w:rsid w:val="005D71C3"/>
    <w:rsid w:val="005D74D2"/>
    <w:rsid w:val="005D784B"/>
    <w:rsid w:val="005D7B90"/>
    <w:rsid w:val="005E00AF"/>
    <w:rsid w:val="005E0298"/>
    <w:rsid w:val="005E03E4"/>
    <w:rsid w:val="005E0454"/>
    <w:rsid w:val="005E05F6"/>
    <w:rsid w:val="005E19CF"/>
    <w:rsid w:val="005E1B9D"/>
    <w:rsid w:val="005E1BDA"/>
    <w:rsid w:val="005E1FE5"/>
    <w:rsid w:val="005E2442"/>
    <w:rsid w:val="005E2768"/>
    <w:rsid w:val="005E3111"/>
    <w:rsid w:val="005E3CA0"/>
    <w:rsid w:val="005E3D25"/>
    <w:rsid w:val="005E3F85"/>
    <w:rsid w:val="005E4A5F"/>
    <w:rsid w:val="005E4D86"/>
    <w:rsid w:val="005E516A"/>
    <w:rsid w:val="005E57B0"/>
    <w:rsid w:val="005E5A0F"/>
    <w:rsid w:val="005E5B01"/>
    <w:rsid w:val="005E648D"/>
    <w:rsid w:val="005E6D3B"/>
    <w:rsid w:val="005E7EDD"/>
    <w:rsid w:val="005F009E"/>
    <w:rsid w:val="005F06A3"/>
    <w:rsid w:val="005F0BF9"/>
    <w:rsid w:val="005F0DF1"/>
    <w:rsid w:val="005F1516"/>
    <w:rsid w:val="005F1A6F"/>
    <w:rsid w:val="005F229E"/>
    <w:rsid w:val="005F2564"/>
    <w:rsid w:val="005F3822"/>
    <w:rsid w:val="005F4635"/>
    <w:rsid w:val="005F4900"/>
    <w:rsid w:val="005F4E52"/>
    <w:rsid w:val="005F5466"/>
    <w:rsid w:val="005F6D58"/>
    <w:rsid w:val="005F7060"/>
    <w:rsid w:val="005F7383"/>
    <w:rsid w:val="0060058E"/>
    <w:rsid w:val="00602A3C"/>
    <w:rsid w:val="00602A60"/>
    <w:rsid w:val="00603EFD"/>
    <w:rsid w:val="0060475B"/>
    <w:rsid w:val="00604BED"/>
    <w:rsid w:val="00604FB6"/>
    <w:rsid w:val="00605387"/>
    <w:rsid w:val="00606302"/>
    <w:rsid w:val="006076FD"/>
    <w:rsid w:val="006107B1"/>
    <w:rsid w:val="00610811"/>
    <w:rsid w:val="0061143F"/>
    <w:rsid w:val="006114D8"/>
    <w:rsid w:val="00611800"/>
    <w:rsid w:val="00613553"/>
    <w:rsid w:val="00613601"/>
    <w:rsid w:val="00613791"/>
    <w:rsid w:val="006143F9"/>
    <w:rsid w:val="00614CD4"/>
    <w:rsid w:val="006150D6"/>
    <w:rsid w:val="00615245"/>
    <w:rsid w:val="0061526D"/>
    <w:rsid w:val="0061590D"/>
    <w:rsid w:val="00615C84"/>
    <w:rsid w:val="00617EEE"/>
    <w:rsid w:val="00620A1F"/>
    <w:rsid w:val="0062169D"/>
    <w:rsid w:val="00621737"/>
    <w:rsid w:val="0062181E"/>
    <w:rsid w:val="0062197C"/>
    <w:rsid w:val="0062211B"/>
    <w:rsid w:val="0062227E"/>
    <w:rsid w:val="00622BB7"/>
    <w:rsid w:val="00622C1E"/>
    <w:rsid w:val="00623389"/>
    <w:rsid w:val="00623DAA"/>
    <w:rsid w:val="00623FAF"/>
    <w:rsid w:val="00624B3E"/>
    <w:rsid w:val="0062578C"/>
    <w:rsid w:val="00625A24"/>
    <w:rsid w:val="00625D6D"/>
    <w:rsid w:val="006265C4"/>
    <w:rsid w:val="0062678A"/>
    <w:rsid w:val="00626AF1"/>
    <w:rsid w:val="00626FCA"/>
    <w:rsid w:val="006270AF"/>
    <w:rsid w:val="00632F83"/>
    <w:rsid w:val="00634367"/>
    <w:rsid w:val="006364D7"/>
    <w:rsid w:val="00636554"/>
    <w:rsid w:val="006367E9"/>
    <w:rsid w:val="00636CE3"/>
    <w:rsid w:val="00640082"/>
    <w:rsid w:val="00640291"/>
    <w:rsid w:val="00640EFE"/>
    <w:rsid w:val="00641D6D"/>
    <w:rsid w:val="00641FAC"/>
    <w:rsid w:val="00643664"/>
    <w:rsid w:val="00643CAA"/>
    <w:rsid w:val="00644F16"/>
    <w:rsid w:val="006455EB"/>
    <w:rsid w:val="006456C2"/>
    <w:rsid w:val="00645A65"/>
    <w:rsid w:val="00646959"/>
    <w:rsid w:val="006477F0"/>
    <w:rsid w:val="006478E4"/>
    <w:rsid w:val="00647FD1"/>
    <w:rsid w:val="006509EA"/>
    <w:rsid w:val="0065171A"/>
    <w:rsid w:val="00652680"/>
    <w:rsid w:val="00653CDE"/>
    <w:rsid w:val="00653EDB"/>
    <w:rsid w:val="00654585"/>
    <w:rsid w:val="006548E4"/>
    <w:rsid w:val="00654AC8"/>
    <w:rsid w:val="0065566E"/>
    <w:rsid w:val="00655999"/>
    <w:rsid w:val="00655AB6"/>
    <w:rsid w:val="00655E2B"/>
    <w:rsid w:val="00655EFA"/>
    <w:rsid w:val="00656061"/>
    <w:rsid w:val="00656281"/>
    <w:rsid w:val="0065636A"/>
    <w:rsid w:val="00657003"/>
    <w:rsid w:val="00657CE2"/>
    <w:rsid w:val="00660238"/>
    <w:rsid w:val="006602EF"/>
    <w:rsid w:val="00661277"/>
    <w:rsid w:val="006619E0"/>
    <w:rsid w:val="00663FEA"/>
    <w:rsid w:val="00664803"/>
    <w:rsid w:val="00664934"/>
    <w:rsid w:val="00664D53"/>
    <w:rsid w:val="00664EB7"/>
    <w:rsid w:val="006657C5"/>
    <w:rsid w:val="00665D75"/>
    <w:rsid w:val="00666186"/>
    <w:rsid w:val="006661A4"/>
    <w:rsid w:val="00666AC0"/>
    <w:rsid w:val="006670E0"/>
    <w:rsid w:val="006671B8"/>
    <w:rsid w:val="00667275"/>
    <w:rsid w:val="00667532"/>
    <w:rsid w:val="0066783E"/>
    <w:rsid w:val="00667E53"/>
    <w:rsid w:val="006711C4"/>
    <w:rsid w:val="006713AB"/>
    <w:rsid w:val="00672680"/>
    <w:rsid w:val="00672CA5"/>
    <w:rsid w:val="00673711"/>
    <w:rsid w:val="00673CDA"/>
    <w:rsid w:val="00673F82"/>
    <w:rsid w:val="00674F74"/>
    <w:rsid w:val="0067508F"/>
    <w:rsid w:val="00676B25"/>
    <w:rsid w:val="00677576"/>
    <w:rsid w:val="0068051E"/>
    <w:rsid w:val="00680B9D"/>
    <w:rsid w:val="00680DF1"/>
    <w:rsid w:val="00681F13"/>
    <w:rsid w:val="0068231C"/>
    <w:rsid w:val="00682344"/>
    <w:rsid w:val="00682C87"/>
    <w:rsid w:val="00682F28"/>
    <w:rsid w:val="00683515"/>
    <w:rsid w:val="00684842"/>
    <w:rsid w:val="006856CA"/>
    <w:rsid w:val="006859AA"/>
    <w:rsid w:val="00685BD6"/>
    <w:rsid w:val="00686A20"/>
    <w:rsid w:val="00687116"/>
    <w:rsid w:val="006872D2"/>
    <w:rsid w:val="006878A6"/>
    <w:rsid w:val="00687D5F"/>
    <w:rsid w:val="00687F2E"/>
    <w:rsid w:val="00690437"/>
    <w:rsid w:val="00690623"/>
    <w:rsid w:val="00690DC3"/>
    <w:rsid w:val="00690E65"/>
    <w:rsid w:val="00691147"/>
    <w:rsid w:val="006911B7"/>
    <w:rsid w:val="00691387"/>
    <w:rsid w:val="006915C2"/>
    <w:rsid w:val="0069188E"/>
    <w:rsid w:val="00691974"/>
    <w:rsid w:val="00691F98"/>
    <w:rsid w:val="00692584"/>
    <w:rsid w:val="00692BF6"/>
    <w:rsid w:val="00692CE6"/>
    <w:rsid w:val="00693186"/>
    <w:rsid w:val="00693381"/>
    <w:rsid w:val="00693B6C"/>
    <w:rsid w:val="006942AE"/>
    <w:rsid w:val="0069464B"/>
    <w:rsid w:val="006947A1"/>
    <w:rsid w:val="00695421"/>
    <w:rsid w:val="00696A9C"/>
    <w:rsid w:val="00697BD3"/>
    <w:rsid w:val="00697DFA"/>
    <w:rsid w:val="006A16D5"/>
    <w:rsid w:val="006A1772"/>
    <w:rsid w:val="006A1780"/>
    <w:rsid w:val="006A21DD"/>
    <w:rsid w:val="006A26C6"/>
    <w:rsid w:val="006A3302"/>
    <w:rsid w:val="006A34AF"/>
    <w:rsid w:val="006A38DA"/>
    <w:rsid w:val="006A3B28"/>
    <w:rsid w:val="006A47DC"/>
    <w:rsid w:val="006A4A4B"/>
    <w:rsid w:val="006A4FEE"/>
    <w:rsid w:val="006A5522"/>
    <w:rsid w:val="006A5549"/>
    <w:rsid w:val="006A6574"/>
    <w:rsid w:val="006A703E"/>
    <w:rsid w:val="006A7BE3"/>
    <w:rsid w:val="006A7D32"/>
    <w:rsid w:val="006A7E1A"/>
    <w:rsid w:val="006B01D1"/>
    <w:rsid w:val="006B0DF4"/>
    <w:rsid w:val="006B16EA"/>
    <w:rsid w:val="006B1780"/>
    <w:rsid w:val="006B1B60"/>
    <w:rsid w:val="006B21DC"/>
    <w:rsid w:val="006B224E"/>
    <w:rsid w:val="006B25FA"/>
    <w:rsid w:val="006B376E"/>
    <w:rsid w:val="006B4589"/>
    <w:rsid w:val="006B5157"/>
    <w:rsid w:val="006B610E"/>
    <w:rsid w:val="006B6805"/>
    <w:rsid w:val="006B6C07"/>
    <w:rsid w:val="006B6DE0"/>
    <w:rsid w:val="006B6FAA"/>
    <w:rsid w:val="006B723D"/>
    <w:rsid w:val="006C1337"/>
    <w:rsid w:val="006C16C3"/>
    <w:rsid w:val="006C1FA6"/>
    <w:rsid w:val="006C2187"/>
    <w:rsid w:val="006C27D9"/>
    <w:rsid w:val="006C32F4"/>
    <w:rsid w:val="006C3C54"/>
    <w:rsid w:val="006C3CA5"/>
    <w:rsid w:val="006C3CAA"/>
    <w:rsid w:val="006C4B6B"/>
    <w:rsid w:val="006C4CE1"/>
    <w:rsid w:val="006C4F9F"/>
    <w:rsid w:val="006C54B1"/>
    <w:rsid w:val="006C71A2"/>
    <w:rsid w:val="006C73EC"/>
    <w:rsid w:val="006D0997"/>
    <w:rsid w:val="006D0C1D"/>
    <w:rsid w:val="006D1BB1"/>
    <w:rsid w:val="006D28F3"/>
    <w:rsid w:val="006D2E9D"/>
    <w:rsid w:val="006D3AE2"/>
    <w:rsid w:val="006D3B48"/>
    <w:rsid w:val="006D4305"/>
    <w:rsid w:val="006D4A4E"/>
    <w:rsid w:val="006D4C42"/>
    <w:rsid w:val="006D5067"/>
    <w:rsid w:val="006D5389"/>
    <w:rsid w:val="006D53A2"/>
    <w:rsid w:val="006D5809"/>
    <w:rsid w:val="006D607E"/>
    <w:rsid w:val="006D6E12"/>
    <w:rsid w:val="006D70CB"/>
    <w:rsid w:val="006D715C"/>
    <w:rsid w:val="006D7363"/>
    <w:rsid w:val="006D774E"/>
    <w:rsid w:val="006D7F08"/>
    <w:rsid w:val="006E0754"/>
    <w:rsid w:val="006E1481"/>
    <w:rsid w:val="006E2668"/>
    <w:rsid w:val="006E2C88"/>
    <w:rsid w:val="006E2D39"/>
    <w:rsid w:val="006E2FE9"/>
    <w:rsid w:val="006E32B0"/>
    <w:rsid w:val="006E348E"/>
    <w:rsid w:val="006E396A"/>
    <w:rsid w:val="006E3D63"/>
    <w:rsid w:val="006E58BF"/>
    <w:rsid w:val="006E5CE6"/>
    <w:rsid w:val="006E5DD8"/>
    <w:rsid w:val="006E5EA1"/>
    <w:rsid w:val="006E6BE5"/>
    <w:rsid w:val="006E6DEE"/>
    <w:rsid w:val="006E6F44"/>
    <w:rsid w:val="006E7D4B"/>
    <w:rsid w:val="006E7ED6"/>
    <w:rsid w:val="006F018A"/>
    <w:rsid w:val="006F0760"/>
    <w:rsid w:val="006F0D30"/>
    <w:rsid w:val="006F11E2"/>
    <w:rsid w:val="006F1A50"/>
    <w:rsid w:val="006F1A67"/>
    <w:rsid w:val="006F2574"/>
    <w:rsid w:val="006F3231"/>
    <w:rsid w:val="006F3DE3"/>
    <w:rsid w:val="006F4787"/>
    <w:rsid w:val="006F57E6"/>
    <w:rsid w:val="006F61D8"/>
    <w:rsid w:val="006F62B7"/>
    <w:rsid w:val="006F63E7"/>
    <w:rsid w:val="006F6716"/>
    <w:rsid w:val="006F70BC"/>
    <w:rsid w:val="006F726C"/>
    <w:rsid w:val="006F7A22"/>
    <w:rsid w:val="006F7E7C"/>
    <w:rsid w:val="0070174E"/>
    <w:rsid w:val="007018DB"/>
    <w:rsid w:val="00701DE6"/>
    <w:rsid w:val="00702740"/>
    <w:rsid w:val="007028E3"/>
    <w:rsid w:val="00703407"/>
    <w:rsid w:val="0070381B"/>
    <w:rsid w:val="00706759"/>
    <w:rsid w:val="007076B6"/>
    <w:rsid w:val="0070796C"/>
    <w:rsid w:val="007109BB"/>
    <w:rsid w:val="00710EBF"/>
    <w:rsid w:val="007110B8"/>
    <w:rsid w:val="0071209F"/>
    <w:rsid w:val="007123F0"/>
    <w:rsid w:val="007125A2"/>
    <w:rsid w:val="00712A68"/>
    <w:rsid w:val="00713DD9"/>
    <w:rsid w:val="00713F79"/>
    <w:rsid w:val="007148A8"/>
    <w:rsid w:val="00714A29"/>
    <w:rsid w:val="00715C70"/>
    <w:rsid w:val="00715E44"/>
    <w:rsid w:val="007164B0"/>
    <w:rsid w:val="00716AC8"/>
    <w:rsid w:val="00716C8B"/>
    <w:rsid w:val="00716E54"/>
    <w:rsid w:val="00717280"/>
    <w:rsid w:val="0072033C"/>
    <w:rsid w:val="00720B1B"/>
    <w:rsid w:val="00721062"/>
    <w:rsid w:val="00721D3D"/>
    <w:rsid w:val="00721E5D"/>
    <w:rsid w:val="007229D4"/>
    <w:rsid w:val="00722C8F"/>
    <w:rsid w:val="00722E35"/>
    <w:rsid w:val="007230F8"/>
    <w:rsid w:val="007233F4"/>
    <w:rsid w:val="007235E3"/>
    <w:rsid w:val="0072381D"/>
    <w:rsid w:val="00724044"/>
    <w:rsid w:val="00724120"/>
    <w:rsid w:val="007243F2"/>
    <w:rsid w:val="007248D3"/>
    <w:rsid w:val="00724DF8"/>
    <w:rsid w:val="00725137"/>
    <w:rsid w:val="00725378"/>
    <w:rsid w:val="00725C31"/>
    <w:rsid w:val="00727795"/>
    <w:rsid w:val="00727A43"/>
    <w:rsid w:val="00727DBF"/>
    <w:rsid w:val="00727FF2"/>
    <w:rsid w:val="00727FFD"/>
    <w:rsid w:val="00730550"/>
    <w:rsid w:val="00730C2A"/>
    <w:rsid w:val="00730DF1"/>
    <w:rsid w:val="00731125"/>
    <w:rsid w:val="00731434"/>
    <w:rsid w:val="00731E59"/>
    <w:rsid w:val="007323E0"/>
    <w:rsid w:val="00732911"/>
    <w:rsid w:val="00733721"/>
    <w:rsid w:val="00733DE2"/>
    <w:rsid w:val="00734142"/>
    <w:rsid w:val="00734358"/>
    <w:rsid w:val="007352EA"/>
    <w:rsid w:val="007362CC"/>
    <w:rsid w:val="0073792F"/>
    <w:rsid w:val="00740C81"/>
    <w:rsid w:val="00740DA6"/>
    <w:rsid w:val="0074197B"/>
    <w:rsid w:val="00741B4B"/>
    <w:rsid w:val="00741D1E"/>
    <w:rsid w:val="00741DD6"/>
    <w:rsid w:val="00741EE2"/>
    <w:rsid w:val="0074207F"/>
    <w:rsid w:val="00742118"/>
    <w:rsid w:val="00742367"/>
    <w:rsid w:val="00742EAA"/>
    <w:rsid w:val="00743360"/>
    <w:rsid w:val="00743818"/>
    <w:rsid w:val="00743857"/>
    <w:rsid w:val="0074411D"/>
    <w:rsid w:val="007441FB"/>
    <w:rsid w:val="007444D7"/>
    <w:rsid w:val="00744517"/>
    <w:rsid w:val="0074522A"/>
    <w:rsid w:val="00745D90"/>
    <w:rsid w:val="007465D3"/>
    <w:rsid w:val="00746AED"/>
    <w:rsid w:val="00747295"/>
    <w:rsid w:val="00747346"/>
    <w:rsid w:val="00747829"/>
    <w:rsid w:val="0074789C"/>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106D"/>
    <w:rsid w:val="007623FB"/>
    <w:rsid w:val="00762517"/>
    <w:rsid w:val="00763240"/>
    <w:rsid w:val="0076376A"/>
    <w:rsid w:val="007643A1"/>
    <w:rsid w:val="007648AD"/>
    <w:rsid w:val="0076504E"/>
    <w:rsid w:val="0076767E"/>
    <w:rsid w:val="00767BFD"/>
    <w:rsid w:val="00767EA0"/>
    <w:rsid w:val="0077068F"/>
    <w:rsid w:val="00771EDF"/>
    <w:rsid w:val="00772530"/>
    <w:rsid w:val="00772A90"/>
    <w:rsid w:val="00772F8D"/>
    <w:rsid w:val="00773916"/>
    <w:rsid w:val="0077408D"/>
    <w:rsid w:val="00774270"/>
    <w:rsid w:val="007743F6"/>
    <w:rsid w:val="00775679"/>
    <w:rsid w:val="0077574F"/>
    <w:rsid w:val="00775823"/>
    <w:rsid w:val="00776206"/>
    <w:rsid w:val="00777153"/>
    <w:rsid w:val="007777CC"/>
    <w:rsid w:val="00777B32"/>
    <w:rsid w:val="0078051E"/>
    <w:rsid w:val="00780A3E"/>
    <w:rsid w:val="00781089"/>
    <w:rsid w:val="00781CB6"/>
    <w:rsid w:val="007838F3"/>
    <w:rsid w:val="0078419B"/>
    <w:rsid w:val="00785612"/>
    <w:rsid w:val="007856FE"/>
    <w:rsid w:val="00785F46"/>
    <w:rsid w:val="007865F4"/>
    <w:rsid w:val="00786D5C"/>
    <w:rsid w:val="00786E96"/>
    <w:rsid w:val="00787BB6"/>
    <w:rsid w:val="00787DFF"/>
    <w:rsid w:val="00787F93"/>
    <w:rsid w:val="00791E6D"/>
    <w:rsid w:val="00791EB5"/>
    <w:rsid w:val="00792377"/>
    <w:rsid w:val="0079343F"/>
    <w:rsid w:val="00793696"/>
    <w:rsid w:val="00793F13"/>
    <w:rsid w:val="007955DA"/>
    <w:rsid w:val="00796F65"/>
    <w:rsid w:val="007A11C2"/>
    <w:rsid w:val="007A1781"/>
    <w:rsid w:val="007A18BB"/>
    <w:rsid w:val="007A2489"/>
    <w:rsid w:val="007A2725"/>
    <w:rsid w:val="007A27DD"/>
    <w:rsid w:val="007A3B68"/>
    <w:rsid w:val="007A41BF"/>
    <w:rsid w:val="007A490A"/>
    <w:rsid w:val="007A7289"/>
    <w:rsid w:val="007A7B95"/>
    <w:rsid w:val="007B0297"/>
    <w:rsid w:val="007B02FA"/>
    <w:rsid w:val="007B0F53"/>
    <w:rsid w:val="007B110A"/>
    <w:rsid w:val="007B1A4D"/>
    <w:rsid w:val="007B2027"/>
    <w:rsid w:val="007B21AE"/>
    <w:rsid w:val="007B2570"/>
    <w:rsid w:val="007B3113"/>
    <w:rsid w:val="007B3304"/>
    <w:rsid w:val="007B3BF0"/>
    <w:rsid w:val="007B6927"/>
    <w:rsid w:val="007B6B18"/>
    <w:rsid w:val="007B7490"/>
    <w:rsid w:val="007B7867"/>
    <w:rsid w:val="007B7C61"/>
    <w:rsid w:val="007C00B9"/>
    <w:rsid w:val="007C0525"/>
    <w:rsid w:val="007C06DB"/>
    <w:rsid w:val="007C13F7"/>
    <w:rsid w:val="007C1D77"/>
    <w:rsid w:val="007C218D"/>
    <w:rsid w:val="007C2590"/>
    <w:rsid w:val="007C2D28"/>
    <w:rsid w:val="007C3E22"/>
    <w:rsid w:val="007C58C1"/>
    <w:rsid w:val="007C5B39"/>
    <w:rsid w:val="007C6218"/>
    <w:rsid w:val="007C6484"/>
    <w:rsid w:val="007C67C6"/>
    <w:rsid w:val="007C78BE"/>
    <w:rsid w:val="007C7A5D"/>
    <w:rsid w:val="007C7E59"/>
    <w:rsid w:val="007D0476"/>
    <w:rsid w:val="007D0B91"/>
    <w:rsid w:val="007D0FE7"/>
    <w:rsid w:val="007D1197"/>
    <w:rsid w:val="007D1452"/>
    <w:rsid w:val="007D1563"/>
    <w:rsid w:val="007D26DC"/>
    <w:rsid w:val="007D3DCB"/>
    <w:rsid w:val="007D4601"/>
    <w:rsid w:val="007D460C"/>
    <w:rsid w:val="007D4996"/>
    <w:rsid w:val="007D4AD3"/>
    <w:rsid w:val="007D4E63"/>
    <w:rsid w:val="007D5C58"/>
    <w:rsid w:val="007D5D19"/>
    <w:rsid w:val="007D5FDC"/>
    <w:rsid w:val="007D6176"/>
    <w:rsid w:val="007D641C"/>
    <w:rsid w:val="007D69CD"/>
    <w:rsid w:val="007D6D68"/>
    <w:rsid w:val="007D7A0D"/>
    <w:rsid w:val="007E066C"/>
    <w:rsid w:val="007E194F"/>
    <w:rsid w:val="007E201B"/>
    <w:rsid w:val="007E250B"/>
    <w:rsid w:val="007E2EE9"/>
    <w:rsid w:val="007E32DA"/>
    <w:rsid w:val="007E4998"/>
    <w:rsid w:val="007E4A9C"/>
    <w:rsid w:val="007E5248"/>
    <w:rsid w:val="007E5C4F"/>
    <w:rsid w:val="007E6914"/>
    <w:rsid w:val="007E7F78"/>
    <w:rsid w:val="007F0179"/>
    <w:rsid w:val="007F0FF8"/>
    <w:rsid w:val="007F148A"/>
    <w:rsid w:val="007F2640"/>
    <w:rsid w:val="007F2C13"/>
    <w:rsid w:val="007F2CEC"/>
    <w:rsid w:val="007F2ED1"/>
    <w:rsid w:val="007F3435"/>
    <w:rsid w:val="007F505D"/>
    <w:rsid w:val="007F531B"/>
    <w:rsid w:val="007F54CF"/>
    <w:rsid w:val="007F55DE"/>
    <w:rsid w:val="007F5BAC"/>
    <w:rsid w:val="007F6153"/>
    <w:rsid w:val="007F623B"/>
    <w:rsid w:val="007F6BB6"/>
    <w:rsid w:val="007F718F"/>
    <w:rsid w:val="007F762D"/>
    <w:rsid w:val="007F78F0"/>
    <w:rsid w:val="007F78FF"/>
    <w:rsid w:val="008001C5"/>
    <w:rsid w:val="00800F6C"/>
    <w:rsid w:val="00801065"/>
    <w:rsid w:val="00802C0B"/>
    <w:rsid w:val="00804206"/>
    <w:rsid w:val="00805040"/>
    <w:rsid w:val="008051FC"/>
    <w:rsid w:val="008055A9"/>
    <w:rsid w:val="008056C4"/>
    <w:rsid w:val="008057FD"/>
    <w:rsid w:val="00805D8B"/>
    <w:rsid w:val="00806C33"/>
    <w:rsid w:val="0081010F"/>
    <w:rsid w:val="00810BB6"/>
    <w:rsid w:val="00810E8E"/>
    <w:rsid w:val="00812C44"/>
    <w:rsid w:val="008135E1"/>
    <w:rsid w:val="00813779"/>
    <w:rsid w:val="00813792"/>
    <w:rsid w:val="00813AA2"/>
    <w:rsid w:val="00813E26"/>
    <w:rsid w:val="00814321"/>
    <w:rsid w:val="0081481D"/>
    <w:rsid w:val="00814BE8"/>
    <w:rsid w:val="00814CFB"/>
    <w:rsid w:val="00814D94"/>
    <w:rsid w:val="00814F6E"/>
    <w:rsid w:val="00815B84"/>
    <w:rsid w:val="00816342"/>
    <w:rsid w:val="008166F6"/>
    <w:rsid w:val="00816BE9"/>
    <w:rsid w:val="00817D10"/>
    <w:rsid w:val="00821191"/>
    <w:rsid w:val="00822518"/>
    <w:rsid w:val="008226F5"/>
    <w:rsid w:val="00823FC6"/>
    <w:rsid w:val="00824306"/>
    <w:rsid w:val="00824B1F"/>
    <w:rsid w:val="00825C74"/>
    <w:rsid w:val="00825CFA"/>
    <w:rsid w:val="00825F10"/>
    <w:rsid w:val="00826AB9"/>
    <w:rsid w:val="00826E0E"/>
    <w:rsid w:val="00827D11"/>
    <w:rsid w:val="00827E0F"/>
    <w:rsid w:val="00827F6E"/>
    <w:rsid w:val="0083077E"/>
    <w:rsid w:val="00830E66"/>
    <w:rsid w:val="0083115B"/>
    <w:rsid w:val="00831758"/>
    <w:rsid w:val="008317D9"/>
    <w:rsid w:val="00831AEC"/>
    <w:rsid w:val="0083279F"/>
    <w:rsid w:val="00832CE9"/>
    <w:rsid w:val="008334DB"/>
    <w:rsid w:val="00833B7F"/>
    <w:rsid w:val="00833B82"/>
    <w:rsid w:val="00833E8E"/>
    <w:rsid w:val="00834906"/>
    <w:rsid w:val="00836075"/>
    <w:rsid w:val="00836417"/>
    <w:rsid w:val="00836BC6"/>
    <w:rsid w:val="00836D47"/>
    <w:rsid w:val="00837526"/>
    <w:rsid w:val="008407A7"/>
    <w:rsid w:val="0084146E"/>
    <w:rsid w:val="00842275"/>
    <w:rsid w:val="0084322B"/>
    <w:rsid w:val="008433A0"/>
    <w:rsid w:val="00843F81"/>
    <w:rsid w:val="00844087"/>
    <w:rsid w:val="008448F1"/>
    <w:rsid w:val="0084519E"/>
    <w:rsid w:val="00845CAE"/>
    <w:rsid w:val="008462C5"/>
    <w:rsid w:val="008462FA"/>
    <w:rsid w:val="00846370"/>
    <w:rsid w:val="00846873"/>
    <w:rsid w:val="00846D33"/>
    <w:rsid w:val="00847366"/>
    <w:rsid w:val="00847544"/>
    <w:rsid w:val="008477E7"/>
    <w:rsid w:val="00847C2B"/>
    <w:rsid w:val="00850272"/>
    <w:rsid w:val="008506B9"/>
    <w:rsid w:val="0085086F"/>
    <w:rsid w:val="00850B42"/>
    <w:rsid w:val="00851822"/>
    <w:rsid w:val="00851C16"/>
    <w:rsid w:val="008532BF"/>
    <w:rsid w:val="008539B2"/>
    <w:rsid w:val="00853BF4"/>
    <w:rsid w:val="00854294"/>
    <w:rsid w:val="00854295"/>
    <w:rsid w:val="008545CE"/>
    <w:rsid w:val="0085572E"/>
    <w:rsid w:val="0085788B"/>
    <w:rsid w:val="00857A9E"/>
    <w:rsid w:val="00857D1F"/>
    <w:rsid w:val="00857DE2"/>
    <w:rsid w:val="0086003D"/>
    <w:rsid w:val="00861D63"/>
    <w:rsid w:val="0086358C"/>
    <w:rsid w:val="00863A8E"/>
    <w:rsid w:val="0086407F"/>
    <w:rsid w:val="008644DD"/>
    <w:rsid w:val="008645E3"/>
    <w:rsid w:val="0086486A"/>
    <w:rsid w:val="00864E79"/>
    <w:rsid w:val="00864EC0"/>
    <w:rsid w:val="0086572B"/>
    <w:rsid w:val="00866615"/>
    <w:rsid w:val="0086661F"/>
    <w:rsid w:val="00866A0D"/>
    <w:rsid w:val="00866DB5"/>
    <w:rsid w:val="0086701D"/>
    <w:rsid w:val="0086702B"/>
    <w:rsid w:val="008672E2"/>
    <w:rsid w:val="0086784E"/>
    <w:rsid w:val="0087110C"/>
    <w:rsid w:val="0087121C"/>
    <w:rsid w:val="00871FD2"/>
    <w:rsid w:val="00872084"/>
    <w:rsid w:val="00872827"/>
    <w:rsid w:val="00872A32"/>
    <w:rsid w:val="00873653"/>
    <w:rsid w:val="00874911"/>
    <w:rsid w:val="008754E4"/>
    <w:rsid w:val="00875AAD"/>
    <w:rsid w:val="00876EAE"/>
    <w:rsid w:val="00877305"/>
    <w:rsid w:val="00877983"/>
    <w:rsid w:val="00880106"/>
    <w:rsid w:val="00880F95"/>
    <w:rsid w:val="00881EE2"/>
    <w:rsid w:val="00882910"/>
    <w:rsid w:val="00882B44"/>
    <w:rsid w:val="008838AD"/>
    <w:rsid w:val="00885381"/>
    <w:rsid w:val="0088572B"/>
    <w:rsid w:val="00885BC9"/>
    <w:rsid w:val="008864B3"/>
    <w:rsid w:val="008865E5"/>
    <w:rsid w:val="0088682F"/>
    <w:rsid w:val="008871B0"/>
    <w:rsid w:val="008905A6"/>
    <w:rsid w:val="00890B57"/>
    <w:rsid w:val="008916BA"/>
    <w:rsid w:val="0089217C"/>
    <w:rsid w:val="00892476"/>
    <w:rsid w:val="00892790"/>
    <w:rsid w:val="00893671"/>
    <w:rsid w:val="0089445B"/>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3BB1"/>
    <w:rsid w:val="008A40D3"/>
    <w:rsid w:val="008A413F"/>
    <w:rsid w:val="008A451F"/>
    <w:rsid w:val="008A469C"/>
    <w:rsid w:val="008A50FB"/>
    <w:rsid w:val="008A51D1"/>
    <w:rsid w:val="008A5C90"/>
    <w:rsid w:val="008A5DCE"/>
    <w:rsid w:val="008A75D3"/>
    <w:rsid w:val="008A7F09"/>
    <w:rsid w:val="008B05DD"/>
    <w:rsid w:val="008B07B8"/>
    <w:rsid w:val="008B17E8"/>
    <w:rsid w:val="008B2C45"/>
    <w:rsid w:val="008B2E7C"/>
    <w:rsid w:val="008B399A"/>
    <w:rsid w:val="008B45F0"/>
    <w:rsid w:val="008B4A7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6118"/>
    <w:rsid w:val="008C6341"/>
    <w:rsid w:val="008C653D"/>
    <w:rsid w:val="008C731F"/>
    <w:rsid w:val="008C74D9"/>
    <w:rsid w:val="008D2050"/>
    <w:rsid w:val="008D2D79"/>
    <w:rsid w:val="008D35CA"/>
    <w:rsid w:val="008D3B2D"/>
    <w:rsid w:val="008D58D9"/>
    <w:rsid w:val="008D5AD4"/>
    <w:rsid w:val="008D5E4E"/>
    <w:rsid w:val="008D5E9D"/>
    <w:rsid w:val="008D5F65"/>
    <w:rsid w:val="008D695E"/>
    <w:rsid w:val="008D6DD5"/>
    <w:rsid w:val="008D6E59"/>
    <w:rsid w:val="008D7155"/>
    <w:rsid w:val="008D76E0"/>
    <w:rsid w:val="008E079C"/>
    <w:rsid w:val="008E0B29"/>
    <w:rsid w:val="008E141A"/>
    <w:rsid w:val="008E1A44"/>
    <w:rsid w:val="008E2859"/>
    <w:rsid w:val="008E28E6"/>
    <w:rsid w:val="008E2C57"/>
    <w:rsid w:val="008E3232"/>
    <w:rsid w:val="008E3674"/>
    <w:rsid w:val="008E3B6C"/>
    <w:rsid w:val="008E3DE7"/>
    <w:rsid w:val="008E5227"/>
    <w:rsid w:val="008E562C"/>
    <w:rsid w:val="008E5FB9"/>
    <w:rsid w:val="008E6540"/>
    <w:rsid w:val="008E6A1C"/>
    <w:rsid w:val="008E6FBE"/>
    <w:rsid w:val="008E77D4"/>
    <w:rsid w:val="008E7ADD"/>
    <w:rsid w:val="008F091F"/>
    <w:rsid w:val="008F1548"/>
    <w:rsid w:val="008F17B2"/>
    <w:rsid w:val="008F22B3"/>
    <w:rsid w:val="008F2335"/>
    <w:rsid w:val="008F357B"/>
    <w:rsid w:val="008F366E"/>
    <w:rsid w:val="008F3B56"/>
    <w:rsid w:val="008F44CA"/>
    <w:rsid w:val="008F49D3"/>
    <w:rsid w:val="008F5B69"/>
    <w:rsid w:val="008F6519"/>
    <w:rsid w:val="008F6F4C"/>
    <w:rsid w:val="008F7012"/>
    <w:rsid w:val="008F7ADA"/>
    <w:rsid w:val="008F7B17"/>
    <w:rsid w:val="00900042"/>
    <w:rsid w:val="0090034B"/>
    <w:rsid w:val="0090087C"/>
    <w:rsid w:val="00900D2F"/>
    <w:rsid w:val="00901121"/>
    <w:rsid w:val="00901B50"/>
    <w:rsid w:val="00902323"/>
    <w:rsid w:val="00902623"/>
    <w:rsid w:val="00902A67"/>
    <w:rsid w:val="00902C5E"/>
    <w:rsid w:val="00904BE4"/>
    <w:rsid w:val="0090504A"/>
    <w:rsid w:val="009051F5"/>
    <w:rsid w:val="00905221"/>
    <w:rsid w:val="0090530B"/>
    <w:rsid w:val="00905664"/>
    <w:rsid w:val="00905A7C"/>
    <w:rsid w:val="00905D7E"/>
    <w:rsid w:val="00906080"/>
    <w:rsid w:val="00907037"/>
    <w:rsid w:val="00907259"/>
    <w:rsid w:val="00907929"/>
    <w:rsid w:val="00910577"/>
    <w:rsid w:val="00910C5D"/>
    <w:rsid w:val="0091112C"/>
    <w:rsid w:val="009113F2"/>
    <w:rsid w:val="0091160A"/>
    <w:rsid w:val="00912A06"/>
    <w:rsid w:val="00912E04"/>
    <w:rsid w:val="00913258"/>
    <w:rsid w:val="00913851"/>
    <w:rsid w:val="00913BB0"/>
    <w:rsid w:val="0091456C"/>
    <w:rsid w:val="00914C58"/>
    <w:rsid w:val="00914D78"/>
    <w:rsid w:val="009151FC"/>
    <w:rsid w:val="009153D3"/>
    <w:rsid w:val="0091564D"/>
    <w:rsid w:val="009156DA"/>
    <w:rsid w:val="00915774"/>
    <w:rsid w:val="00915A90"/>
    <w:rsid w:val="00916BC5"/>
    <w:rsid w:val="0091726A"/>
    <w:rsid w:val="00917C01"/>
    <w:rsid w:val="00920184"/>
    <w:rsid w:val="00920421"/>
    <w:rsid w:val="00920EA4"/>
    <w:rsid w:val="00921792"/>
    <w:rsid w:val="00921B8E"/>
    <w:rsid w:val="00921BEA"/>
    <w:rsid w:val="009227BE"/>
    <w:rsid w:val="009238FD"/>
    <w:rsid w:val="00923998"/>
    <w:rsid w:val="00923DB4"/>
    <w:rsid w:val="0092420B"/>
    <w:rsid w:val="0092430E"/>
    <w:rsid w:val="00924451"/>
    <w:rsid w:val="00926112"/>
    <w:rsid w:val="0092625F"/>
    <w:rsid w:val="00926B28"/>
    <w:rsid w:val="00926D9C"/>
    <w:rsid w:val="00927028"/>
    <w:rsid w:val="0092734A"/>
    <w:rsid w:val="00927763"/>
    <w:rsid w:val="00927A2D"/>
    <w:rsid w:val="00927B37"/>
    <w:rsid w:val="009314B1"/>
    <w:rsid w:val="009321B1"/>
    <w:rsid w:val="009327F0"/>
    <w:rsid w:val="00932A42"/>
    <w:rsid w:val="00932ED7"/>
    <w:rsid w:val="0093422D"/>
    <w:rsid w:val="0093483B"/>
    <w:rsid w:val="00934CF9"/>
    <w:rsid w:val="00934DD7"/>
    <w:rsid w:val="00934F9C"/>
    <w:rsid w:val="00934FEB"/>
    <w:rsid w:val="00935CB2"/>
    <w:rsid w:val="009369A9"/>
    <w:rsid w:val="00936CF7"/>
    <w:rsid w:val="00937783"/>
    <w:rsid w:val="00937EAD"/>
    <w:rsid w:val="00937F28"/>
    <w:rsid w:val="00940FE1"/>
    <w:rsid w:val="0094117A"/>
    <w:rsid w:val="00941474"/>
    <w:rsid w:val="00942306"/>
    <w:rsid w:val="009424B8"/>
    <w:rsid w:val="0094286B"/>
    <w:rsid w:val="009432E2"/>
    <w:rsid w:val="00944668"/>
    <w:rsid w:val="00944DC6"/>
    <w:rsid w:val="00945829"/>
    <w:rsid w:val="009458B0"/>
    <w:rsid w:val="00945B52"/>
    <w:rsid w:val="00945B7A"/>
    <w:rsid w:val="00945F05"/>
    <w:rsid w:val="00945FE0"/>
    <w:rsid w:val="00946348"/>
    <w:rsid w:val="00946B10"/>
    <w:rsid w:val="00947224"/>
    <w:rsid w:val="00947797"/>
    <w:rsid w:val="009478A2"/>
    <w:rsid w:val="00947942"/>
    <w:rsid w:val="00950181"/>
    <w:rsid w:val="00950865"/>
    <w:rsid w:val="00952190"/>
    <w:rsid w:val="009533BD"/>
    <w:rsid w:val="009536FB"/>
    <w:rsid w:val="00953808"/>
    <w:rsid w:val="009539A6"/>
    <w:rsid w:val="00954032"/>
    <w:rsid w:val="00954537"/>
    <w:rsid w:val="0095472D"/>
    <w:rsid w:val="00954F0F"/>
    <w:rsid w:val="00955342"/>
    <w:rsid w:val="00955D57"/>
    <w:rsid w:val="00955FBB"/>
    <w:rsid w:val="0095694B"/>
    <w:rsid w:val="00956BD5"/>
    <w:rsid w:val="00956D84"/>
    <w:rsid w:val="009577B5"/>
    <w:rsid w:val="00957D66"/>
    <w:rsid w:val="009608E6"/>
    <w:rsid w:val="00960F57"/>
    <w:rsid w:val="00961669"/>
    <w:rsid w:val="00961C90"/>
    <w:rsid w:val="00962A26"/>
    <w:rsid w:val="00963429"/>
    <w:rsid w:val="00965443"/>
    <w:rsid w:val="00965954"/>
    <w:rsid w:val="00965A21"/>
    <w:rsid w:val="00965E55"/>
    <w:rsid w:val="0096608E"/>
    <w:rsid w:val="00966522"/>
    <w:rsid w:val="00966926"/>
    <w:rsid w:val="00966C33"/>
    <w:rsid w:val="009678D3"/>
    <w:rsid w:val="00970F18"/>
    <w:rsid w:val="00971CF1"/>
    <w:rsid w:val="00971F5D"/>
    <w:rsid w:val="009721E9"/>
    <w:rsid w:val="009722B5"/>
    <w:rsid w:val="00973772"/>
    <w:rsid w:val="0097560A"/>
    <w:rsid w:val="00975E1E"/>
    <w:rsid w:val="00975E70"/>
    <w:rsid w:val="009761DE"/>
    <w:rsid w:val="009766FA"/>
    <w:rsid w:val="00977944"/>
    <w:rsid w:val="00977CD6"/>
    <w:rsid w:val="0098048B"/>
    <w:rsid w:val="00980908"/>
    <w:rsid w:val="00980DF9"/>
    <w:rsid w:val="00981CD8"/>
    <w:rsid w:val="0098243D"/>
    <w:rsid w:val="00982C19"/>
    <w:rsid w:val="00982D26"/>
    <w:rsid w:val="00983B6E"/>
    <w:rsid w:val="00983FE5"/>
    <w:rsid w:val="00984544"/>
    <w:rsid w:val="009849E9"/>
    <w:rsid w:val="00984AFF"/>
    <w:rsid w:val="00985048"/>
    <w:rsid w:val="009855AC"/>
    <w:rsid w:val="009859E4"/>
    <w:rsid w:val="00985D7F"/>
    <w:rsid w:val="00987812"/>
    <w:rsid w:val="00987AF7"/>
    <w:rsid w:val="00990225"/>
    <w:rsid w:val="00991307"/>
    <w:rsid w:val="00991FAA"/>
    <w:rsid w:val="00992A13"/>
    <w:rsid w:val="00993DB1"/>
    <w:rsid w:val="00994AAD"/>
    <w:rsid w:val="00995150"/>
    <w:rsid w:val="00995D67"/>
    <w:rsid w:val="00997613"/>
    <w:rsid w:val="009978D7"/>
    <w:rsid w:val="009A013B"/>
    <w:rsid w:val="009A02F4"/>
    <w:rsid w:val="009A06BF"/>
    <w:rsid w:val="009A0D17"/>
    <w:rsid w:val="009A2494"/>
    <w:rsid w:val="009A32B1"/>
    <w:rsid w:val="009A33A3"/>
    <w:rsid w:val="009A36F2"/>
    <w:rsid w:val="009A40C3"/>
    <w:rsid w:val="009A40D5"/>
    <w:rsid w:val="009A5155"/>
    <w:rsid w:val="009A5268"/>
    <w:rsid w:val="009A57D0"/>
    <w:rsid w:val="009A6559"/>
    <w:rsid w:val="009A68FC"/>
    <w:rsid w:val="009A6CE4"/>
    <w:rsid w:val="009A7514"/>
    <w:rsid w:val="009A7665"/>
    <w:rsid w:val="009A7E7A"/>
    <w:rsid w:val="009B0925"/>
    <w:rsid w:val="009B0A9C"/>
    <w:rsid w:val="009B1584"/>
    <w:rsid w:val="009B18F0"/>
    <w:rsid w:val="009B1F4C"/>
    <w:rsid w:val="009B2203"/>
    <w:rsid w:val="009B2471"/>
    <w:rsid w:val="009B314F"/>
    <w:rsid w:val="009B3F1D"/>
    <w:rsid w:val="009B439C"/>
    <w:rsid w:val="009B49A1"/>
    <w:rsid w:val="009B4A6C"/>
    <w:rsid w:val="009B4DA8"/>
    <w:rsid w:val="009B4FA6"/>
    <w:rsid w:val="009B519A"/>
    <w:rsid w:val="009B620C"/>
    <w:rsid w:val="009B6454"/>
    <w:rsid w:val="009B6753"/>
    <w:rsid w:val="009B676C"/>
    <w:rsid w:val="009B6A26"/>
    <w:rsid w:val="009C079D"/>
    <w:rsid w:val="009C0C12"/>
    <w:rsid w:val="009C0D70"/>
    <w:rsid w:val="009C1282"/>
    <w:rsid w:val="009C13D1"/>
    <w:rsid w:val="009C2913"/>
    <w:rsid w:val="009C2BD4"/>
    <w:rsid w:val="009C334C"/>
    <w:rsid w:val="009C5314"/>
    <w:rsid w:val="009C5AFE"/>
    <w:rsid w:val="009C6606"/>
    <w:rsid w:val="009C6CE5"/>
    <w:rsid w:val="009C6D50"/>
    <w:rsid w:val="009C7278"/>
    <w:rsid w:val="009C72B2"/>
    <w:rsid w:val="009C7547"/>
    <w:rsid w:val="009C7862"/>
    <w:rsid w:val="009D05EC"/>
    <w:rsid w:val="009D18D4"/>
    <w:rsid w:val="009D1FCF"/>
    <w:rsid w:val="009D2F60"/>
    <w:rsid w:val="009D3A2E"/>
    <w:rsid w:val="009D4C2E"/>
    <w:rsid w:val="009D5ADE"/>
    <w:rsid w:val="009D5BAC"/>
    <w:rsid w:val="009D5C56"/>
    <w:rsid w:val="009D6265"/>
    <w:rsid w:val="009D64BD"/>
    <w:rsid w:val="009D6CB1"/>
    <w:rsid w:val="009E0286"/>
    <w:rsid w:val="009E153F"/>
    <w:rsid w:val="009E18C5"/>
    <w:rsid w:val="009E2B98"/>
    <w:rsid w:val="009E3104"/>
    <w:rsid w:val="009E322A"/>
    <w:rsid w:val="009E3483"/>
    <w:rsid w:val="009E393E"/>
    <w:rsid w:val="009E444E"/>
    <w:rsid w:val="009E454D"/>
    <w:rsid w:val="009E4968"/>
    <w:rsid w:val="009E496A"/>
    <w:rsid w:val="009E663C"/>
    <w:rsid w:val="009E684A"/>
    <w:rsid w:val="009E6BB1"/>
    <w:rsid w:val="009E6E14"/>
    <w:rsid w:val="009E794A"/>
    <w:rsid w:val="009E7C14"/>
    <w:rsid w:val="009F0261"/>
    <w:rsid w:val="009F0494"/>
    <w:rsid w:val="009F0CD9"/>
    <w:rsid w:val="009F110A"/>
    <w:rsid w:val="009F1A79"/>
    <w:rsid w:val="009F1F57"/>
    <w:rsid w:val="009F2DDD"/>
    <w:rsid w:val="009F3447"/>
    <w:rsid w:val="009F65F4"/>
    <w:rsid w:val="009F6763"/>
    <w:rsid w:val="009F676B"/>
    <w:rsid w:val="009F6D2D"/>
    <w:rsid w:val="009F6D54"/>
    <w:rsid w:val="00A004DF"/>
    <w:rsid w:val="00A00FD5"/>
    <w:rsid w:val="00A012C0"/>
    <w:rsid w:val="00A019A8"/>
    <w:rsid w:val="00A01B03"/>
    <w:rsid w:val="00A01B89"/>
    <w:rsid w:val="00A02C66"/>
    <w:rsid w:val="00A02C84"/>
    <w:rsid w:val="00A03842"/>
    <w:rsid w:val="00A04394"/>
    <w:rsid w:val="00A0464C"/>
    <w:rsid w:val="00A050BB"/>
    <w:rsid w:val="00A05128"/>
    <w:rsid w:val="00A0521B"/>
    <w:rsid w:val="00A054E0"/>
    <w:rsid w:val="00A05D91"/>
    <w:rsid w:val="00A0740B"/>
    <w:rsid w:val="00A07ED3"/>
    <w:rsid w:val="00A10162"/>
    <w:rsid w:val="00A10CA8"/>
    <w:rsid w:val="00A10D5A"/>
    <w:rsid w:val="00A11042"/>
    <w:rsid w:val="00A12579"/>
    <w:rsid w:val="00A12CDC"/>
    <w:rsid w:val="00A12E1D"/>
    <w:rsid w:val="00A133D8"/>
    <w:rsid w:val="00A13553"/>
    <w:rsid w:val="00A13F58"/>
    <w:rsid w:val="00A14382"/>
    <w:rsid w:val="00A14754"/>
    <w:rsid w:val="00A15480"/>
    <w:rsid w:val="00A15655"/>
    <w:rsid w:val="00A160B0"/>
    <w:rsid w:val="00A1740C"/>
    <w:rsid w:val="00A17904"/>
    <w:rsid w:val="00A20069"/>
    <w:rsid w:val="00A2244D"/>
    <w:rsid w:val="00A2253D"/>
    <w:rsid w:val="00A2267F"/>
    <w:rsid w:val="00A22CDB"/>
    <w:rsid w:val="00A247B8"/>
    <w:rsid w:val="00A2495A"/>
    <w:rsid w:val="00A24C7A"/>
    <w:rsid w:val="00A24D8F"/>
    <w:rsid w:val="00A25366"/>
    <w:rsid w:val="00A25B8B"/>
    <w:rsid w:val="00A2689F"/>
    <w:rsid w:val="00A26ECA"/>
    <w:rsid w:val="00A272C6"/>
    <w:rsid w:val="00A27461"/>
    <w:rsid w:val="00A27AE5"/>
    <w:rsid w:val="00A27D67"/>
    <w:rsid w:val="00A30ABC"/>
    <w:rsid w:val="00A320F4"/>
    <w:rsid w:val="00A3265A"/>
    <w:rsid w:val="00A3267D"/>
    <w:rsid w:val="00A33B74"/>
    <w:rsid w:val="00A3467F"/>
    <w:rsid w:val="00A34B4C"/>
    <w:rsid w:val="00A35030"/>
    <w:rsid w:val="00A3551A"/>
    <w:rsid w:val="00A36015"/>
    <w:rsid w:val="00A366A0"/>
    <w:rsid w:val="00A36952"/>
    <w:rsid w:val="00A37209"/>
    <w:rsid w:val="00A37381"/>
    <w:rsid w:val="00A37584"/>
    <w:rsid w:val="00A376E8"/>
    <w:rsid w:val="00A37F8E"/>
    <w:rsid w:val="00A4103C"/>
    <w:rsid w:val="00A411DA"/>
    <w:rsid w:val="00A41537"/>
    <w:rsid w:val="00A41678"/>
    <w:rsid w:val="00A41737"/>
    <w:rsid w:val="00A42B8F"/>
    <w:rsid w:val="00A42D8E"/>
    <w:rsid w:val="00A43254"/>
    <w:rsid w:val="00A43896"/>
    <w:rsid w:val="00A43951"/>
    <w:rsid w:val="00A43A26"/>
    <w:rsid w:val="00A447A0"/>
    <w:rsid w:val="00A4505E"/>
    <w:rsid w:val="00A459F5"/>
    <w:rsid w:val="00A45FC0"/>
    <w:rsid w:val="00A468C7"/>
    <w:rsid w:val="00A46B74"/>
    <w:rsid w:val="00A47BF7"/>
    <w:rsid w:val="00A47ECC"/>
    <w:rsid w:val="00A50171"/>
    <w:rsid w:val="00A50418"/>
    <w:rsid w:val="00A504FA"/>
    <w:rsid w:val="00A5102E"/>
    <w:rsid w:val="00A5132E"/>
    <w:rsid w:val="00A51375"/>
    <w:rsid w:val="00A51533"/>
    <w:rsid w:val="00A516D4"/>
    <w:rsid w:val="00A531D4"/>
    <w:rsid w:val="00A53622"/>
    <w:rsid w:val="00A53736"/>
    <w:rsid w:val="00A54572"/>
    <w:rsid w:val="00A558B0"/>
    <w:rsid w:val="00A559D8"/>
    <w:rsid w:val="00A56671"/>
    <w:rsid w:val="00A575B8"/>
    <w:rsid w:val="00A6020A"/>
    <w:rsid w:val="00A60CE7"/>
    <w:rsid w:val="00A60CF8"/>
    <w:rsid w:val="00A619BB"/>
    <w:rsid w:val="00A61C60"/>
    <w:rsid w:val="00A61ECB"/>
    <w:rsid w:val="00A63FE9"/>
    <w:rsid w:val="00A6410C"/>
    <w:rsid w:val="00A64337"/>
    <w:rsid w:val="00A647B1"/>
    <w:rsid w:val="00A64DEF"/>
    <w:rsid w:val="00A65311"/>
    <w:rsid w:val="00A654D2"/>
    <w:rsid w:val="00A665DF"/>
    <w:rsid w:val="00A673F1"/>
    <w:rsid w:val="00A674DB"/>
    <w:rsid w:val="00A675A4"/>
    <w:rsid w:val="00A67625"/>
    <w:rsid w:val="00A67FCC"/>
    <w:rsid w:val="00A70AA5"/>
    <w:rsid w:val="00A70C03"/>
    <w:rsid w:val="00A71256"/>
    <w:rsid w:val="00A7147C"/>
    <w:rsid w:val="00A71CB8"/>
    <w:rsid w:val="00A7217B"/>
    <w:rsid w:val="00A722D7"/>
    <w:rsid w:val="00A723A3"/>
    <w:rsid w:val="00A73861"/>
    <w:rsid w:val="00A739A6"/>
    <w:rsid w:val="00A73C97"/>
    <w:rsid w:val="00A740ED"/>
    <w:rsid w:val="00A74C29"/>
    <w:rsid w:val="00A74C62"/>
    <w:rsid w:val="00A75A70"/>
    <w:rsid w:val="00A75EF9"/>
    <w:rsid w:val="00A7642C"/>
    <w:rsid w:val="00A7657C"/>
    <w:rsid w:val="00A76B5E"/>
    <w:rsid w:val="00A76E4E"/>
    <w:rsid w:val="00A80A5D"/>
    <w:rsid w:val="00A81D86"/>
    <w:rsid w:val="00A81ECA"/>
    <w:rsid w:val="00A82764"/>
    <w:rsid w:val="00A8311C"/>
    <w:rsid w:val="00A835D0"/>
    <w:rsid w:val="00A83821"/>
    <w:rsid w:val="00A84150"/>
    <w:rsid w:val="00A84761"/>
    <w:rsid w:val="00A84C5F"/>
    <w:rsid w:val="00A85240"/>
    <w:rsid w:val="00A85930"/>
    <w:rsid w:val="00A863F7"/>
    <w:rsid w:val="00A86604"/>
    <w:rsid w:val="00A86ACC"/>
    <w:rsid w:val="00A87519"/>
    <w:rsid w:val="00A90213"/>
    <w:rsid w:val="00A90870"/>
    <w:rsid w:val="00A9246D"/>
    <w:rsid w:val="00A92CCA"/>
    <w:rsid w:val="00A93BD0"/>
    <w:rsid w:val="00A93CC2"/>
    <w:rsid w:val="00A94D4B"/>
    <w:rsid w:val="00A956AC"/>
    <w:rsid w:val="00A95A90"/>
    <w:rsid w:val="00A974CC"/>
    <w:rsid w:val="00A97EE7"/>
    <w:rsid w:val="00A97FC3"/>
    <w:rsid w:val="00AA0A68"/>
    <w:rsid w:val="00AA1F34"/>
    <w:rsid w:val="00AA2001"/>
    <w:rsid w:val="00AA2B5C"/>
    <w:rsid w:val="00AA32D2"/>
    <w:rsid w:val="00AA33AA"/>
    <w:rsid w:val="00AA3B8B"/>
    <w:rsid w:val="00AA4016"/>
    <w:rsid w:val="00AA4C1F"/>
    <w:rsid w:val="00AA5328"/>
    <w:rsid w:val="00AA5393"/>
    <w:rsid w:val="00AA63D4"/>
    <w:rsid w:val="00AB03FD"/>
    <w:rsid w:val="00AB09B8"/>
    <w:rsid w:val="00AB13F6"/>
    <w:rsid w:val="00AB199F"/>
    <w:rsid w:val="00AB1C40"/>
    <w:rsid w:val="00AB2000"/>
    <w:rsid w:val="00AB21CC"/>
    <w:rsid w:val="00AB2C06"/>
    <w:rsid w:val="00AB38CB"/>
    <w:rsid w:val="00AB3BEC"/>
    <w:rsid w:val="00AB4080"/>
    <w:rsid w:val="00AB44E4"/>
    <w:rsid w:val="00AB4AEB"/>
    <w:rsid w:val="00AB4E5F"/>
    <w:rsid w:val="00AB5352"/>
    <w:rsid w:val="00AB544D"/>
    <w:rsid w:val="00AB56AE"/>
    <w:rsid w:val="00AB62D5"/>
    <w:rsid w:val="00AB65B5"/>
    <w:rsid w:val="00AB6DCD"/>
    <w:rsid w:val="00AB6EE0"/>
    <w:rsid w:val="00AB7D43"/>
    <w:rsid w:val="00AC17A2"/>
    <w:rsid w:val="00AC3096"/>
    <w:rsid w:val="00AC33F3"/>
    <w:rsid w:val="00AC40B7"/>
    <w:rsid w:val="00AC531F"/>
    <w:rsid w:val="00AC5B36"/>
    <w:rsid w:val="00AC6377"/>
    <w:rsid w:val="00AC651A"/>
    <w:rsid w:val="00AC66A4"/>
    <w:rsid w:val="00AC6CB1"/>
    <w:rsid w:val="00AC75E9"/>
    <w:rsid w:val="00AC7D6D"/>
    <w:rsid w:val="00AC7D76"/>
    <w:rsid w:val="00AD0091"/>
    <w:rsid w:val="00AD04C1"/>
    <w:rsid w:val="00AD1119"/>
    <w:rsid w:val="00AD1315"/>
    <w:rsid w:val="00AD23EF"/>
    <w:rsid w:val="00AD2662"/>
    <w:rsid w:val="00AD307B"/>
    <w:rsid w:val="00AD36D2"/>
    <w:rsid w:val="00AD3992"/>
    <w:rsid w:val="00AD3CB9"/>
    <w:rsid w:val="00AD4014"/>
    <w:rsid w:val="00AD41B3"/>
    <w:rsid w:val="00AD5721"/>
    <w:rsid w:val="00AD69F0"/>
    <w:rsid w:val="00AD7127"/>
    <w:rsid w:val="00AD730C"/>
    <w:rsid w:val="00AD7A01"/>
    <w:rsid w:val="00AE0F90"/>
    <w:rsid w:val="00AE123A"/>
    <w:rsid w:val="00AE1539"/>
    <w:rsid w:val="00AE1EC8"/>
    <w:rsid w:val="00AE28A7"/>
    <w:rsid w:val="00AE2A98"/>
    <w:rsid w:val="00AE2CF2"/>
    <w:rsid w:val="00AE2F19"/>
    <w:rsid w:val="00AE3012"/>
    <w:rsid w:val="00AE3297"/>
    <w:rsid w:val="00AE33A6"/>
    <w:rsid w:val="00AE3513"/>
    <w:rsid w:val="00AE3729"/>
    <w:rsid w:val="00AE3C81"/>
    <w:rsid w:val="00AE4A3E"/>
    <w:rsid w:val="00AE4CCE"/>
    <w:rsid w:val="00AE5C6A"/>
    <w:rsid w:val="00AE7058"/>
    <w:rsid w:val="00AE7280"/>
    <w:rsid w:val="00AE7B5F"/>
    <w:rsid w:val="00AF01FA"/>
    <w:rsid w:val="00AF033A"/>
    <w:rsid w:val="00AF118E"/>
    <w:rsid w:val="00AF1658"/>
    <w:rsid w:val="00AF1699"/>
    <w:rsid w:val="00AF18D1"/>
    <w:rsid w:val="00AF1BA4"/>
    <w:rsid w:val="00AF1FD3"/>
    <w:rsid w:val="00AF20F1"/>
    <w:rsid w:val="00AF2910"/>
    <w:rsid w:val="00AF34B8"/>
    <w:rsid w:val="00AF3896"/>
    <w:rsid w:val="00AF39C9"/>
    <w:rsid w:val="00AF3F97"/>
    <w:rsid w:val="00AF3FC2"/>
    <w:rsid w:val="00AF4DEC"/>
    <w:rsid w:val="00AF6454"/>
    <w:rsid w:val="00AF6B57"/>
    <w:rsid w:val="00B003FF"/>
    <w:rsid w:val="00B0098A"/>
    <w:rsid w:val="00B00A5F"/>
    <w:rsid w:val="00B029B8"/>
    <w:rsid w:val="00B02F60"/>
    <w:rsid w:val="00B02F94"/>
    <w:rsid w:val="00B032B8"/>
    <w:rsid w:val="00B0396A"/>
    <w:rsid w:val="00B04721"/>
    <w:rsid w:val="00B04B15"/>
    <w:rsid w:val="00B04B46"/>
    <w:rsid w:val="00B0534D"/>
    <w:rsid w:val="00B05685"/>
    <w:rsid w:val="00B05F9F"/>
    <w:rsid w:val="00B06070"/>
    <w:rsid w:val="00B06368"/>
    <w:rsid w:val="00B068DA"/>
    <w:rsid w:val="00B06A00"/>
    <w:rsid w:val="00B06FC6"/>
    <w:rsid w:val="00B0710D"/>
    <w:rsid w:val="00B074C9"/>
    <w:rsid w:val="00B07A70"/>
    <w:rsid w:val="00B07D9D"/>
    <w:rsid w:val="00B11AE5"/>
    <w:rsid w:val="00B12263"/>
    <w:rsid w:val="00B12FE6"/>
    <w:rsid w:val="00B1303F"/>
    <w:rsid w:val="00B1364A"/>
    <w:rsid w:val="00B13859"/>
    <w:rsid w:val="00B13EC9"/>
    <w:rsid w:val="00B14319"/>
    <w:rsid w:val="00B14A06"/>
    <w:rsid w:val="00B158E1"/>
    <w:rsid w:val="00B16715"/>
    <w:rsid w:val="00B16FFA"/>
    <w:rsid w:val="00B1768E"/>
    <w:rsid w:val="00B17910"/>
    <w:rsid w:val="00B20F18"/>
    <w:rsid w:val="00B21516"/>
    <w:rsid w:val="00B219D9"/>
    <w:rsid w:val="00B21A37"/>
    <w:rsid w:val="00B21D23"/>
    <w:rsid w:val="00B21F62"/>
    <w:rsid w:val="00B223A4"/>
    <w:rsid w:val="00B22CE0"/>
    <w:rsid w:val="00B232BF"/>
    <w:rsid w:val="00B23738"/>
    <w:rsid w:val="00B23BEF"/>
    <w:rsid w:val="00B247BB"/>
    <w:rsid w:val="00B2504A"/>
    <w:rsid w:val="00B25EE6"/>
    <w:rsid w:val="00B3115A"/>
    <w:rsid w:val="00B3178B"/>
    <w:rsid w:val="00B31825"/>
    <w:rsid w:val="00B31A5C"/>
    <w:rsid w:val="00B32265"/>
    <w:rsid w:val="00B3276D"/>
    <w:rsid w:val="00B33331"/>
    <w:rsid w:val="00B333C8"/>
    <w:rsid w:val="00B33B06"/>
    <w:rsid w:val="00B33C19"/>
    <w:rsid w:val="00B3462E"/>
    <w:rsid w:val="00B35A15"/>
    <w:rsid w:val="00B35B45"/>
    <w:rsid w:val="00B36165"/>
    <w:rsid w:val="00B36A99"/>
    <w:rsid w:val="00B37395"/>
    <w:rsid w:val="00B40C29"/>
    <w:rsid w:val="00B42264"/>
    <w:rsid w:val="00B434B2"/>
    <w:rsid w:val="00B43B9E"/>
    <w:rsid w:val="00B43D45"/>
    <w:rsid w:val="00B459AF"/>
    <w:rsid w:val="00B468F2"/>
    <w:rsid w:val="00B469DE"/>
    <w:rsid w:val="00B47286"/>
    <w:rsid w:val="00B47EB4"/>
    <w:rsid w:val="00B50234"/>
    <w:rsid w:val="00B5052F"/>
    <w:rsid w:val="00B510C1"/>
    <w:rsid w:val="00B51641"/>
    <w:rsid w:val="00B51BF4"/>
    <w:rsid w:val="00B52279"/>
    <w:rsid w:val="00B522D7"/>
    <w:rsid w:val="00B527AD"/>
    <w:rsid w:val="00B52C68"/>
    <w:rsid w:val="00B5372B"/>
    <w:rsid w:val="00B542FE"/>
    <w:rsid w:val="00B54360"/>
    <w:rsid w:val="00B5546D"/>
    <w:rsid w:val="00B55A1B"/>
    <w:rsid w:val="00B561DB"/>
    <w:rsid w:val="00B5645C"/>
    <w:rsid w:val="00B56DF9"/>
    <w:rsid w:val="00B56E80"/>
    <w:rsid w:val="00B571F1"/>
    <w:rsid w:val="00B600BD"/>
    <w:rsid w:val="00B6085B"/>
    <w:rsid w:val="00B60E4E"/>
    <w:rsid w:val="00B61274"/>
    <w:rsid w:val="00B61DCE"/>
    <w:rsid w:val="00B62172"/>
    <w:rsid w:val="00B62188"/>
    <w:rsid w:val="00B621D6"/>
    <w:rsid w:val="00B622E3"/>
    <w:rsid w:val="00B62F79"/>
    <w:rsid w:val="00B62F82"/>
    <w:rsid w:val="00B63028"/>
    <w:rsid w:val="00B6306A"/>
    <w:rsid w:val="00B635E3"/>
    <w:rsid w:val="00B64B9A"/>
    <w:rsid w:val="00B662FF"/>
    <w:rsid w:val="00B665B8"/>
    <w:rsid w:val="00B665F6"/>
    <w:rsid w:val="00B66679"/>
    <w:rsid w:val="00B70145"/>
    <w:rsid w:val="00B701C9"/>
    <w:rsid w:val="00B707BE"/>
    <w:rsid w:val="00B710AD"/>
    <w:rsid w:val="00B71A92"/>
    <w:rsid w:val="00B721D8"/>
    <w:rsid w:val="00B730CA"/>
    <w:rsid w:val="00B732EA"/>
    <w:rsid w:val="00B73747"/>
    <w:rsid w:val="00B747C5"/>
    <w:rsid w:val="00B74F2F"/>
    <w:rsid w:val="00B753ED"/>
    <w:rsid w:val="00B7665F"/>
    <w:rsid w:val="00B769BC"/>
    <w:rsid w:val="00B770F7"/>
    <w:rsid w:val="00B77349"/>
    <w:rsid w:val="00B7761E"/>
    <w:rsid w:val="00B80A3D"/>
    <w:rsid w:val="00B80B04"/>
    <w:rsid w:val="00B821E4"/>
    <w:rsid w:val="00B823E0"/>
    <w:rsid w:val="00B8260D"/>
    <w:rsid w:val="00B8286F"/>
    <w:rsid w:val="00B82B78"/>
    <w:rsid w:val="00B82FD9"/>
    <w:rsid w:val="00B845B4"/>
    <w:rsid w:val="00B84662"/>
    <w:rsid w:val="00B84C74"/>
    <w:rsid w:val="00B84CE9"/>
    <w:rsid w:val="00B84F6E"/>
    <w:rsid w:val="00B85191"/>
    <w:rsid w:val="00B85412"/>
    <w:rsid w:val="00B858A1"/>
    <w:rsid w:val="00B85FEC"/>
    <w:rsid w:val="00B864A3"/>
    <w:rsid w:val="00B86C2A"/>
    <w:rsid w:val="00B8711B"/>
    <w:rsid w:val="00B87575"/>
    <w:rsid w:val="00B902A5"/>
    <w:rsid w:val="00B90420"/>
    <w:rsid w:val="00B90848"/>
    <w:rsid w:val="00B91146"/>
    <w:rsid w:val="00B913E4"/>
    <w:rsid w:val="00B91DB9"/>
    <w:rsid w:val="00B91FF3"/>
    <w:rsid w:val="00B925F8"/>
    <w:rsid w:val="00B9330A"/>
    <w:rsid w:val="00B93EFE"/>
    <w:rsid w:val="00B944B9"/>
    <w:rsid w:val="00B94956"/>
    <w:rsid w:val="00B94C7F"/>
    <w:rsid w:val="00B94E93"/>
    <w:rsid w:val="00B956B5"/>
    <w:rsid w:val="00B95956"/>
    <w:rsid w:val="00B96DF2"/>
    <w:rsid w:val="00B96E18"/>
    <w:rsid w:val="00B96F5A"/>
    <w:rsid w:val="00B97AF7"/>
    <w:rsid w:val="00BA02CF"/>
    <w:rsid w:val="00BA0A69"/>
    <w:rsid w:val="00BA0B39"/>
    <w:rsid w:val="00BA0CB2"/>
    <w:rsid w:val="00BA0E26"/>
    <w:rsid w:val="00BA138B"/>
    <w:rsid w:val="00BA2471"/>
    <w:rsid w:val="00BA305B"/>
    <w:rsid w:val="00BA31BF"/>
    <w:rsid w:val="00BA3C0F"/>
    <w:rsid w:val="00BA3FC7"/>
    <w:rsid w:val="00BA478B"/>
    <w:rsid w:val="00BA5224"/>
    <w:rsid w:val="00BA575E"/>
    <w:rsid w:val="00BA67B1"/>
    <w:rsid w:val="00BA756D"/>
    <w:rsid w:val="00BA76B7"/>
    <w:rsid w:val="00BA7E3B"/>
    <w:rsid w:val="00BB078D"/>
    <w:rsid w:val="00BB079C"/>
    <w:rsid w:val="00BB0D7A"/>
    <w:rsid w:val="00BB10E1"/>
    <w:rsid w:val="00BB2471"/>
    <w:rsid w:val="00BB3035"/>
    <w:rsid w:val="00BB39C1"/>
    <w:rsid w:val="00BB3DF5"/>
    <w:rsid w:val="00BB3EA7"/>
    <w:rsid w:val="00BB45BC"/>
    <w:rsid w:val="00BB5D16"/>
    <w:rsid w:val="00BB6180"/>
    <w:rsid w:val="00BB69DC"/>
    <w:rsid w:val="00BB69E6"/>
    <w:rsid w:val="00BB7323"/>
    <w:rsid w:val="00BB73CA"/>
    <w:rsid w:val="00BB7BE5"/>
    <w:rsid w:val="00BB7C6D"/>
    <w:rsid w:val="00BC08BD"/>
    <w:rsid w:val="00BC1002"/>
    <w:rsid w:val="00BC11E8"/>
    <w:rsid w:val="00BC1418"/>
    <w:rsid w:val="00BC1786"/>
    <w:rsid w:val="00BC1B7A"/>
    <w:rsid w:val="00BC2C17"/>
    <w:rsid w:val="00BC3149"/>
    <w:rsid w:val="00BC3ACD"/>
    <w:rsid w:val="00BC3B20"/>
    <w:rsid w:val="00BC3EE4"/>
    <w:rsid w:val="00BC577D"/>
    <w:rsid w:val="00BC588C"/>
    <w:rsid w:val="00BC6E73"/>
    <w:rsid w:val="00BC74D3"/>
    <w:rsid w:val="00BD0014"/>
    <w:rsid w:val="00BD01D8"/>
    <w:rsid w:val="00BD255F"/>
    <w:rsid w:val="00BD2895"/>
    <w:rsid w:val="00BD4236"/>
    <w:rsid w:val="00BD4400"/>
    <w:rsid w:val="00BD483B"/>
    <w:rsid w:val="00BD4FBA"/>
    <w:rsid w:val="00BD51F9"/>
    <w:rsid w:val="00BD5BD8"/>
    <w:rsid w:val="00BD5CD4"/>
    <w:rsid w:val="00BD65D9"/>
    <w:rsid w:val="00BD6922"/>
    <w:rsid w:val="00BD6DF3"/>
    <w:rsid w:val="00BD6E09"/>
    <w:rsid w:val="00BD6EF9"/>
    <w:rsid w:val="00BD71A6"/>
    <w:rsid w:val="00BE045C"/>
    <w:rsid w:val="00BE0ACB"/>
    <w:rsid w:val="00BE11F3"/>
    <w:rsid w:val="00BE2260"/>
    <w:rsid w:val="00BE2826"/>
    <w:rsid w:val="00BE2F75"/>
    <w:rsid w:val="00BE3917"/>
    <w:rsid w:val="00BE3D7E"/>
    <w:rsid w:val="00BE4A76"/>
    <w:rsid w:val="00BE4E87"/>
    <w:rsid w:val="00BE50FD"/>
    <w:rsid w:val="00BE51CA"/>
    <w:rsid w:val="00BE537F"/>
    <w:rsid w:val="00BE5D77"/>
    <w:rsid w:val="00BE630A"/>
    <w:rsid w:val="00BE638C"/>
    <w:rsid w:val="00BE6914"/>
    <w:rsid w:val="00BE6D47"/>
    <w:rsid w:val="00BE6F9B"/>
    <w:rsid w:val="00BE6FBF"/>
    <w:rsid w:val="00BE7032"/>
    <w:rsid w:val="00BE7330"/>
    <w:rsid w:val="00BE77A7"/>
    <w:rsid w:val="00BF01C5"/>
    <w:rsid w:val="00BF061A"/>
    <w:rsid w:val="00BF066A"/>
    <w:rsid w:val="00BF14CC"/>
    <w:rsid w:val="00BF1821"/>
    <w:rsid w:val="00BF22E9"/>
    <w:rsid w:val="00BF4342"/>
    <w:rsid w:val="00BF4704"/>
    <w:rsid w:val="00BF4FFC"/>
    <w:rsid w:val="00BF5050"/>
    <w:rsid w:val="00BF50D1"/>
    <w:rsid w:val="00BF5422"/>
    <w:rsid w:val="00BF59B1"/>
    <w:rsid w:val="00BF5C4D"/>
    <w:rsid w:val="00BF6625"/>
    <w:rsid w:val="00BF6A78"/>
    <w:rsid w:val="00BF7695"/>
    <w:rsid w:val="00BF775D"/>
    <w:rsid w:val="00BF79B4"/>
    <w:rsid w:val="00BF7C61"/>
    <w:rsid w:val="00C00366"/>
    <w:rsid w:val="00C01427"/>
    <w:rsid w:val="00C014C7"/>
    <w:rsid w:val="00C031CF"/>
    <w:rsid w:val="00C047AB"/>
    <w:rsid w:val="00C058AF"/>
    <w:rsid w:val="00C075B6"/>
    <w:rsid w:val="00C07F6F"/>
    <w:rsid w:val="00C10027"/>
    <w:rsid w:val="00C124C1"/>
    <w:rsid w:val="00C128AE"/>
    <w:rsid w:val="00C12BA8"/>
    <w:rsid w:val="00C13094"/>
    <w:rsid w:val="00C136D6"/>
    <w:rsid w:val="00C13D5B"/>
    <w:rsid w:val="00C141D7"/>
    <w:rsid w:val="00C1711B"/>
    <w:rsid w:val="00C17AE2"/>
    <w:rsid w:val="00C20140"/>
    <w:rsid w:val="00C20CD6"/>
    <w:rsid w:val="00C20F27"/>
    <w:rsid w:val="00C215CF"/>
    <w:rsid w:val="00C21A89"/>
    <w:rsid w:val="00C21C6D"/>
    <w:rsid w:val="00C2244B"/>
    <w:rsid w:val="00C22711"/>
    <w:rsid w:val="00C2280A"/>
    <w:rsid w:val="00C22B0D"/>
    <w:rsid w:val="00C22BFF"/>
    <w:rsid w:val="00C23522"/>
    <w:rsid w:val="00C23581"/>
    <w:rsid w:val="00C23E71"/>
    <w:rsid w:val="00C24015"/>
    <w:rsid w:val="00C240C1"/>
    <w:rsid w:val="00C244A1"/>
    <w:rsid w:val="00C24AED"/>
    <w:rsid w:val="00C250D0"/>
    <w:rsid w:val="00C252AC"/>
    <w:rsid w:val="00C25C0F"/>
    <w:rsid w:val="00C26567"/>
    <w:rsid w:val="00C26923"/>
    <w:rsid w:val="00C271C9"/>
    <w:rsid w:val="00C27214"/>
    <w:rsid w:val="00C27597"/>
    <w:rsid w:val="00C27E5E"/>
    <w:rsid w:val="00C30382"/>
    <w:rsid w:val="00C30772"/>
    <w:rsid w:val="00C30D6F"/>
    <w:rsid w:val="00C31063"/>
    <w:rsid w:val="00C31492"/>
    <w:rsid w:val="00C31B7E"/>
    <w:rsid w:val="00C320E8"/>
    <w:rsid w:val="00C322D1"/>
    <w:rsid w:val="00C3242A"/>
    <w:rsid w:val="00C33201"/>
    <w:rsid w:val="00C3328B"/>
    <w:rsid w:val="00C33A39"/>
    <w:rsid w:val="00C33F55"/>
    <w:rsid w:val="00C34619"/>
    <w:rsid w:val="00C348D9"/>
    <w:rsid w:val="00C35D01"/>
    <w:rsid w:val="00C360B3"/>
    <w:rsid w:val="00C36451"/>
    <w:rsid w:val="00C365EA"/>
    <w:rsid w:val="00C367F0"/>
    <w:rsid w:val="00C36B11"/>
    <w:rsid w:val="00C37027"/>
    <w:rsid w:val="00C373BF"/>
    <w:rsid w:val="00C37B15"/>
    <w:rsid w:val="00C37B19"/>
    <w:rsid w:val="00C41349"/>
    <w:rsid w:val="00C413CB"/>
    <w:rsid w:val="00C41558"/>
    <w:rsid w:val="00C42752"/>
    <w:rsid w:val="00C42973"/>
    <w:rsid w:val="00C43426"/>
    <w:rsid w:val="00C46124"/>
    <w:rsid w:val="00C46A3D"/>
    <w:rsid w:val="00C46B95"/>
    <w:rsid w:val="00C4712A"/>
    <w:rsid w:val="00C5001E"/>
    <w:rsid w:val="00C5034F"/>
    <w:rsid w:val="00C50830"/>
    <w:rsid w:val="00C52479"/>
    <w:rsid w:val="00C5266E"/>
    <w:rsid w:val="00C52C59"/>
    <w:rsid w:val="00C5349E"/>
    <w:rsid w:val="00C539FF"/>
    <w:rsid w:val="00C54215"/>
    <w:rsid w:val="00C544BD"/>
    <w:rsid w:val="00C54D3D"/>
    <w:rsid w:val="00C55A30"/>
    <w:rsid w:val="00C55C20"/>
    <w:rsid w:val="00C55E1C"/>
    <w:rsid w:val="00C56076"/>
    <w:rsid w:val="00C56384"/>
    <w:rsid w:val="00C567E9"/>
    <w:rsid w:val="00C57B6E"/>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68A1"/>
    <w:rsid w:val="00C67223"/>
    <w:rsid w:val="00C707B8"/>
    <w:rsid w:val="00C712AC"/>
    <w:rsid w:val="00C7158C"/>
    <w:rsid w:val="00C71C15"/>
    <w:rsid w:val="00C71F3D"/>
    <w:rsid w:val="00C72F53"/>
    <w:rsid w:val="00C74035"/>
    <w:rsid w:val="00C748EA"/>
    <w:rsid w:val="00C76FB0"/>
    <w:rsid w:val="00C77818"/>
    <w:rsid w:val="00C77F7D"/>
    <w:rsid w:val="00C8063F"/>
    <w:rsid w:val="00C81282"/>
    <w:rsid w:val="00C8155F"/>
    <w:rsid w:val="00C8198D"/>
    <w:rsid w:val="00C81F1D"/>
    <w:rsid w:val="00C82167"/>
    <w:rsid w:val="00C827B4"/>
    <w:rsid w:val="00C83214"/>
    <w:rsid w:val="00C8329F"/>
    <w:rsid w:val="00C84E65"/>
    <w:rsid w:val="00C84F8A"/>
    <w:rsid w:val="00C85BA4"/>
    <w:rsid w:val="00C8618F"/>
    <w:rsid w:val="00C8625D"/>
    <w:rsid w:val="00C865AD"/>
    <w:rsid w:val="00C86612"/>
    <w:rsid w:val="00C86E42"/>
    <w:rsid w:val="00C87402"/>
    <w:rsid w:val="00C90372"/>
    <w:rsid w:val="00C9041F"/>
    <w:rsid w:val="00C9166B"/>
    <w:rsid w:val="00C91945"/>
    <w:rsid w:val="00C91A45"/>
    <w:rsid w:val="00C91BA5"/>
    <w:rsid w:val="00C91FB4"/>
    <w:rsid w:val="00C92150"/>
    <w:rsid w:val="00C92328"/>
    <w:rsid w:val="00C9292F"/>
    <w:rsid w:val="00C92D42"/>
    <w:rsid w:val="00C938C2"/>
    <w:rsid w:val="00C9397B"/>
    <w:rsid w:val="00C93F8A"/>
    <w:rsid w:val="00C94EA1"/>
    <w:rsid w:val="00C95745"/>
    <w:rsid w:val="00C95902"/>
    <w:rsid w:val="00C95999"/>
    <w:rsid w:val="00C962E3"/>
    <w:rsid w:val="00C978E2"/>
    <w:rsid w:val="00C97997"/>
    <w:rsid w:val="00CA10A2"/>
    <w:rsid w:val="00CA1D83"/>
    <w:rsid w:val="00CA1FEB"/>
    <w:rsid w:val="00CA25C0"/>
    <w:rsid w:val="00CA2BFB"/>
    <w:rsid w:val="00CA3451"/>
    <w:rsid w:val="00CA35C6"/>
    <w:rsid w:val="00CA4948"/>
    <w:rsid w:val="00CA52F9"/>
    <w:rsid w:val="00CA5368"/>
    <w:rsid w:val="00CA547B"/>
    <w:rsid w:val="00CA568B"/>
    <w:rsid w:val="00CA573A"/>
    <w:rsid w:val="00CA5C58"/>
    <w:rsid w:val="00CA7656"/>
    <w:rsid w:val="00CA7FB0"/>
    <w:rsid w:val="00CB0CC1"/>
    <w:rsid w:val="00CB160B"/>
    <w:rsid w:val="00CB19D7"/>
    <w:rsid w:val="00CB19FE"/>
    <w:rsid w:val="00CB1C3F"/>
    <w:rsid w:val="00CB2364"/>
    <w:rsid w:val="00CB2FEE"/>
    <w:rsid w:val="00CB304C"/>
    <w:rsid w:val="00CB3933"/>
    <w:rsid w:val="00CB5010"/>
    <w:rsid w:val="00CB53E8"/>
    <w:rsid w:val="00CB594A"/>
    <w:rsid w:val="00CB5CB2"/>
    <w:rsid w:val="00CB6808"/>
    <w:rsid w:val="00CB6979"/>
    <w:rsid w:val="00CB7A04"/>
    <w:rsid w:val="00CB7DDE"/>
    <w:rsid w:val="00CC0A3D"/>
    <w:rsid w:val="00CC2FF0"/>
    <w:rsid w:val="00CC33E4"/>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C4E"/>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34F"/>
    <w:rsid w:val="00CD5DAD"/>
    <w:rsid w:val="00CD5FFB"/>
    <w:rsid w:val="00CD72C5"/>
    <w:rsid w:val="00CD79A7"/>
    <w:rsid w:val="00CD7FAD"/>
    <w:rsid w:val="00CE0789"/>
    <w:rsid w:val="00CE0E8D"/>
    <w:rsid w:val="00CE1A03"/>
    <w:rsid w:val="00CE2346"/>
    <w:rsid w:val="00CE25B2"/>
    <w:rsid w:val="00CE3529"/>
    <w:rsid w:val="00CE35C8"/>
    <w:rsid w:val="00CE3962"/>
    <w:rsid w:val="00CE43FA"/>
    <w:rsid w:val="00CE4D0A"/>
    <w:rsid w:val="00CE4D1A"/>
    <w:rsid w:val="00CE4E8A"/>
    <w:rsid w:val="00CE5105"/>
    <w:rsid w:val="00CE5525"/>
    <w:rsid w:val="00CE56BD"/>
    <w:rsid w:val="00CE5EC0"/>
    <w:rsid w:val="00CE652D"/>
    <w:rsid w:val="00CE68AD"/>
    <w:rsid w:val="00CE6BA5"/>
    <w:rsid w:val="00CE6F15"/>
    <w:rsid w:val="00CE6F9F"/>
    <w:rsid w:val="00CE781A"/>
    <w:rsid w:val="00CE7B08"/>
    <w:rsid w:val="00CE7B7A"/>
    <w:rsid w:val="00CE7D52"/>
    <w:rsid w:val="00CF0AAA"/>
    <w:rsid w:val="00CF0AB7"/>
    <w:rsid w:val="00CF1D74"/>
    <w:rsid w:val="00CF2A26"/>
    <w:rsid w:val="00CF2BE2"/>
    <w:rsid w:val="00CF34B5"/>
    <w:rsid w:val="00CF371A"/>
    <w:rsid w:val="00CF37C2"/>
    <w:rsid w:val="00CF3DE4"/>
    <w:rsid w:val="00CF3DEB"/>
    <w:rsid w:val="00CF55F9"/>
    <w:rsid w:val="00CF578D"/>
    <w:rsid w:val="00CF7074"/>
    <w:rsid w:val="00CF7495"/>
    <w:rsid w:val="00CF76D6"/>
    <w:rsid w:val="00D0110B"/>
    <w:rsid w:val="00D01CF9"/>
    <w:rsid w:val="00D021E8"/>
    <w:rsid w:val="00D0334D"/>
    <w:rsid w:val="00D0374D"/>
    <w:rsid w:val="00D06312"/>
    <w:rsid w:val="00D06D7B"/>
    <w:rsid w:val="00D06DA5"/>
    <w:rsid w:val="00D07191"/>
    <w:rsid w:val="00D07319"/>
    <w:rsid w:val="00D07B2C"/>
    <w:rsid w:val="00D07F1D"/>
    <w:rsid w:val="00D10558"/>
    <w:rsid w:val="00D10EE8"/>
    <w:rsid w:val="00D11140"/>
    <w:rsid w:val="00D11739"/>
    <w:rsid w:val="00D119A6"/>
    <w:rsid w:val="00D11D4D"/>
    <w:rsid w:val="00D11DB1"/>
    <w:rsid w:val="00D126DC"/>
    <w:rsid w:val="00D12B03"/>
    <w:rsid w:val="00D13E70"/>
    <w:rsid w:val="00D13EE7"/>
    <w:rsid w:val="00D147BE"/>
    <w:rsid w:val="00D148A0"/>
    <w:rsid w:val="00D15ECD"/>
    <w:rsid w:val="00D15FCD"/>
    <w:rsid w:val="00D16C58"/>
    <w:rsid w:val="00D17019"/>
    <w:rsid w:val="00D1705A"/>
    <w:rsid w:val="00D17ABA"/>
    <w:rsid w:val="00D17FC8"/>
    <w:rsid w:val="00D2015B"/>
    <w:rsid w:val="00D207E7"/>
    <w:rsid w:val="00D20B44"/>
    <w:rsid w:val="00D21168"/>
    <w:rsid w:val="00D21C3A"/>
    <w:rsid w:val="00D2224A"/>
    <w:rsid w:val="00D2385D"/>
    <w:rsid w:val="00D23FF4"/>
    <w:rsid w:val="00D2438C"/>
    <w:rsid w:val="00D2585A"/>
    <w:rsid w:val="00D2586F"/>
    <w:rsid w:val="00D25920"/>
    <w:rsid w:val="00D259B0"/>
    <w:rsid w:val="00D259C2"/>
    <w:rsid w:val="00D26C3F"/>
    <w:rsid w:val="00D27185"/>
    <w:rsid w:val="00D27DD3"/>
    <w:rsid w:val="00D27FF3"/>
    <w:rsid w:val="00D3028A"/>
    <w:rsid w:val="00D30E98"/>
    <w:rsid w:val="00D3125C"/>
    <w:rsid w:val="00D33488"/>
    <w:rsid w:val="00D33AB3"/>
    <w:rsid w:val="00D33F24"/>
    <w:rsid w:val="00D34160"/>
    <w:rsid w:val="00D346B8"/>
    <w:rsid w:val="00D34DCA"/>
    <w:rsid w:val="00D35AC8"/>
    <w:rsid w:val="00D36F87"/>
    <w:rsid w:val="00D37DF9"/>
    <w:rsid w:val="00D37E4E"/>
    <w:rsid w:val="00D417D8"/>
    <w:rsid w:val="00D41F78"/>
    <w:rsid w:val="00D42ABC"/>
    <w:rsid w:val="00D42E6C"/>
    <w:rsid w:val="00D4351C"/>
    <w:rsid w:val="00D43B80"/>
    <w:rsid w:val="00D44988"/>
    <w:rsid w:val="00D45B4C"/>
    <w:rsid w:val="00D45BA4"/>
    <w:rsid w:val="00D471AF"/>
    <w:rsid w:val="00D471E2"/>
    <w:rsid w:val="00D4724F"/>
    <w:rsid w:val="00D50252"/>
    <w:rsid w:val="00D50519"/>
    <w:rsid w:val="00D50702"/>
    <w:rsid w:val="00D50779"/>
    <w:rsid w:val="00D50AA9"/>
    <w:rsid w:val="00D51195"/>
    <w:rsid w:val="00D51601"/>
    <w:rsid w:val="00D51ECB"/>
    <w:rsid w:val="00D520DE"/>
    <w:rsid w:val="00D5264C"/>
    <w:rsid w:val="00D52BBC"/>
    <w:rsid w:val="00D537FE"/>
    <w:rsid w:val="00D53CC9"/>
    <w:rsid w:val="00D54A6A"/>
    <w:rsid w:val="00D54B8F"/>
    <w:rsid w:val="00D55848"/>
    <w:rsid w:val="00D55951"/>
    <w:rsid w:val="00D559F0"/>
    <w:rsid w:val="00D5650F"/>
    <w:rsid w:val="00D56594"/>
    <w:rsid w:val="00D57EB6"/>
    <w:rsid w:val="00D608C0"/>
    <w:rsid w:val="00D60D6D"/>
    <w:rsid w:val="00D6128C"/>
    <w:rsid w:val="00D63B22"/>
    <w:rsid w:val="00D6487F"/>
    <w:rsid w:val="00D66009"/>
    <w:rsid w:val="00D66D8B"/>
    <w:rsid w:val="00D671B2"/>
    <w:rsid w:val="00D70849"/>
    <w:rsid w:val="00D70DFA"/>
    <w:rsid w:val="00D72297"/>
    <w:rsid w:val="00D72A1C"/>
    <w:rsid w:val="00D7308F"/>
    <w:rsid w:val="00D7313E"/>
    <w:rsid w:val="00D73396"/>
    <w:rsid w:val="00D73580"/>
    <w:rsid w:val="00D73802"/>
    <w:rsid w:val="00D73883"/>
    <w:rsid w:val="00D73C2C"/>
    <w:rsid w:val="00D73D52"/>
    <w:rsid w:val="00D73E70"/>
    <w:rsid w:val="00D745E7"/>
    <w:rsid w:val="00D75FDA"/>
    <w:rsid w:val="00D774ED"/>
    <w:rsid w:val="00D776AD"/>
    <w:rsid w:val="00D777C3"/>
    <w:rsid w:val="00D7797C"/>
    <w:rsid w:val="00D77C44"/>
    <w:rsid w:val="00D77F88"/>
    <w:rsid w:val="00D81AFA"/>
    <w:rsid w:val="00D81EAA"/>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5892"/>
    <w:rsid w:val="00D86D47"/>
    <w:rsid w:val="00D8710C"/>
    <w:rsid w:val="00D873C6"/>
    <w:rsid w:val="00D87819"/>
    <w:rsid w:val="00D878A3"/>
    <w:rsid w:val="00D9074A"/>
    <w:rsid w:val="00D9099E"/>
    <w:rsid w:val="00D9193A"/>
    <w:rsid w:val="00D91D05"/>
    <w:rsid w:val="00D923B2"/>
    <w:rsid w:val="00D92463"/>
    <w:rsid w:val="00D927B5"/>
    <w:rsid w:val="00D92981"/>
    <w:rsid w:val="00D92C81"/>
    <w:rsid w:val="00D93E64"/>
    <w:rsid w:val="00D93F64"/>
    <w:rsid w:val="00D94CA4"/>
    <w:rsid w:val="00D95E99"/>
    <w:rsid w:val="00D965D5"/>
    <w:rsid w:val="00D96F7C"/>
    <w:rsid w:val="00D9714B"/>
    <w:rsid w:val="00D97DA2"/>
    <w:rsid w:val="00DA0485"/>
    <w:rsid w:val="00DA1A3A"/>
    <w:rsid w:val="00DA1FC3"/>
    <w:rsid w:val="00DA2351"/>
    <w:rsid w:val="00DA249E"/>
    <w:rsid w:val="00DA2B9F"/>
    <w:rsid w:val="00DA2D3D"/>
    <w:rsid w:val="00DA35D9"/>
    <w:rsid w:val="00DA3855"/>
    <w:rsid w:val="00DA39BA"/>
    <w:rsid w:val="00DA4C30"/>
    <w:rsid w:val="00DA538E"/>
    <w:rsid w:val="00DA5FB3"/>
    <w:rsid w:val="00DA6980"/>
    <w:rsid w:val="00DA6A44"/>
    <w:rsid w:val="00DA7A3C"/>
    <w:rsid w:val="00DB145E"/>
    <w:rsid w:val="00DB1A94"/>
    <w:rsid w:val="00DB1D52"/>
    <w:rsid w:val="00DB1E2B"/>
    <w:rsid w:val="00DB1F62"/>
    <w:rsid w:val="00DB21E7"/>
    <w:rsid w:val="00DB2C83"/>
    <w:rsid w:val="00DB2E03"/>
    <w:rsid w:val="00DB3742"/>
    <w:rsid w:val="00DB3C5A"/>
    <w:rsid w:val="00DB3E9B"/>
    <w:rsid w:val="00DB3F4B"/>
    <w:rsid w:val="00DB5375"/>
    <w:rsid w:val="00DB6003"/>
    <w:rsid w:val="00DB63AC"/>
    <w:rsid w:val="00DB6769"/>
    <w:rsid w:val="00DB67C1"/>
    <w:rsid w:val="00DB6C0B"/>
    <w:rsid w:val="00DB70F4"/>
    <w:rsid w:val="00DB748A"/>
    <w:rsid w:val="00DB7CB7"/>
    <w:rsid w:val="00DC1056"/>
    <w:rsid w:val="00DC1442"/>
    <w:rsid w:val="00DC1781"/>
    <w:rsid w:val="00DC21D8"/>
    <w:rsid w:val="00DC282A"/>
    <w:rsid w:val="00DC2DE8"/>
    <w:rsid w:val="00DC34DC"/>
    <w:rsid w:val="00DC3780"/>
    <w:rsid w:val="00DC3ADA"/>
    <w:rsid w:val="00DC3CC6"/>
    <w:rsid w:val="00DC3F55"/>
    <w:rsid w:val="00DC4782"/>
    <w:rsid w:val="00DC4B02"/>
    <w:rsid w:val="00DC514A"/>
    <w:rsid w:val="00DC67B1"/>
    <w:rsid w:val="00DC7FBC"/>
    <w:rsid w:val="00DD0019"/>
    <w:rsid w:val="00DD132B"/>
    <w:rsid w:val="00DD1571"/>
    <w:rsid w:val="00DD1725"/>
    <w:rsid w:val="00DD2159"/>
    <w:rsid w:val="00DD218B"/>
    <w:rsid w:val="00DD28BA"/>
    <w:rsid w:val="00DD2A18"/>
    <w:rsid w:val="00DD3044"/>
    <w:rsid w:val="00DD3985"/>
    <w:rsid w:val="00DD61E8"/>
    <w:rsid w:val="00DD62C0"/>
    <w:rsid w:val="00DD63F8"/>
    <w:rsid w:val="00DD64DE"/>
    <w:rsid w:val="00DD66DE"/>
    <w:rsid w:val="00DD7197"/>
    <w:rsid w:val="00DD7859"/>
    <w:rsid w:val="00DD7B41"/>
    <w:rsid w:val="00DE0302"/>
    <w:rsid w:val="00DE0784"/>
    <w:rsid w:val="00DE0A1D"/>
    <w:rsid w:val="00DE15B2"/>
    <w:rsid w:val="00DE1A9A"/>
    <w:rsid w:val="00DE3D2C"/>
    <w:rsid w:val="00DE57D0"/>
    <w:rsid w:val="00DE5E82"/>
    <w:rsid w:val="00DE5EC5"/>
    <w:rsid w:val="00DE5FA6"/>
    <w:rsid w:val="00DE6792"/>
    <w:rsid w:val="00DE6AA1"/>
    <w:rsid w:val="00DE77A3"/>
    <w:rsid w:val="00DE7EF7"/>
    <w:rsid w:val="00DF015B"/>
    <w:rsid w:val="00DF02EC"/>
    <w:rsid w:val="00DF10FC"/>
    <w:rsid w:val="00DF1185"/>
    <w:rsid w:val="00DF1299"/>
    <w:rsid w:val="00DF1620"/>
    <w:rsid w:val="00DF1A70"/>
    <w:rsid w:val="00DF1E5F"/>
    <w:rsid w:val="00DF23A8"/>
    <w:rsid w:val="00DF2527"/>
    <w:rsid w:val="00DF2EE1"/>
    <w:rsid w:val="00DF2F27"/>
    <w:rsid w:val="00DF36B6"/>
    <w:rsid w:val="00DF4296"/>
    <w:rsid w:val="00DF5267"/>
    <w:rsid w:val="00DF53F0"/>
    <w:rsid w:val="00DF5700"/>
    <w:rsid w:val="00DF5F38"/>
    <w:rsid w:val="00DF604C"/>
    <w:rsid w:val="00DF6608"/>
    <w:rsid w:val="00DF6CCC"/>
    <w:rsid w:val="00DF6D0C"/>
    <w:rsid w:val="00DF6F64"/>
    <w:rsid w:val="00DF721E"/>
    <w:rsid w:val="00DF729B"/>
    <w:rsid w:val="00DF72F3"/>
    <w:rsid w:val="00DF7549"/>
    <w:rsid w:val="00DF78D0"/>
    <w:rsid w:val="00DF7B8A"/>
    <w:rsid w:val="00DF7C87"/>
    <w:rsid w:val="00E009B0"/>
    <w:rsid w:val="00E00A12"/>
    <w:rsid w:val="00E00B39"/>
    <w:rsid w:val="00E00C49"/>
    <w:rsid w:val="00E01C9C"/>
    <w:rsid w:val="00E01FF4"/>
    <w:rsid w:val="00E0219D"/>
    <w:rsid w:val="00E032D9"/>
    <w:rsid w:val="00E041B8"/>
    <w:rsid w:val="00E04482"/>
    <w:rsid w:val="00E04C0F"/>
    <w:rsid w:val="00E05510"/>
    <w:rsid w:val="00E0570B"/>
    <w:rsid w:val="00E05B1D"/>
    <w:rsid w:val="00E069C5"/>
    <w:rsid w:val="00E077D0"/>
    <w:rsid w:val="00E1065D"/>
    <w:rsid w:val="00E10913"/>
    <w:rsid w:val="00E10B87"/>
    <w:rsid w:val="00E121CE"/>
    <w:rsid w:val="00E12209"/>
    <w:rsid w:val="00E144C4"/>
    <w:rsid w:val="00E14585"/>
    <w:rsid w:val="00E1478B"/>
    <w:rsid w:val="00E14FAC"/>
    <w:rsid w:val="00E15007"/>
    <w:rsid w:val="00E15DC6"/>
    <w:rsid w:val="00E16277"/>
    <w:rsid w:val="00E16EC7"/>
    <w:rsid w:val="00E17A7C"/>
    <w:rsid w:val="00E17DCC"/>
    <w:rsid w:val="00E219CE"/>
    <w:rsid w:val="00E21D93"/>
    <w:rsid w:val="00E22A86"/>
    <w:rsid w:val="00E22D2A"/>
    <w:rsid w:val="00E24071"/>
    <w:rsid w:val="00E24142"/>
    <w:rsid w:val="00E24DCA"/>
    <w:rsid w:val="00E24EBC"/>
    <w:rsid w:val="00E2522C"/>
    <w:rsid w:val="00E2552F"/>
    <w:rsid w:val="00E2599B"/>
    <w:rsid w:val="00E2710C"/>
    <w:rsid w:val="00E272BD"/>
    <w:rsid w:val="00E27428"/>
    <w:rsid w:val="00E305B4"/>
    <w:rsid w:val="00E31AFA"/>
    <w:rsid w:val="00E31CB7"/>
    <w:rsid w:val="00E324EE"/>
    <w:rsid w:val="00E3367B"/>
    <w:rsid w:val="00E34DB1"/>
    <w:rsid w:val="00E35931"/>
    <w:rsid w:val="00E359FF"/>
    <w:rsid w:val="00E36337"/>
    <w:rsid w:val="00E3699A"/>
    <w:rsid w:val="00E371E1"/>
    <w:rsid w:val="00E402C5"/>
    <w:rsid w:val="00E402F4"/>
    <w:rsid w:val="00E405F1"/>
    <w:rsid w:val="00E40C89"/>
    <w:rsid w:val="00E417DB"/>
    <w:rsid w:val="00E43054"/>
    <w:rsid w:val="00E432D1"/>
    <w:rsid w:val="00E43655"/>
    <w:rsid w:val="00E44440"/>
    <w:rsid w:val="00E44A8B"/>
    <w:rsid w:val="00E45958"/>
    <w:rsid w:val="00E46013"/>
    <w:rsid w:val="00E4673F"/>
    <w:rsid w:val="00E47099"/>
    <w:rsid w:val="00E47284"/>
    <w:rsid w:val="00E477C3"/>
    <w:rsid w:val="00E5017E"/>
    <w:rsid w:val="00E50734"/>
    <w:rsid w:val="00E5140B"/>
    <w:rsid w:val="00E51E16"/>
    <w:rsid w:val="00E52990"/>
    <w:rsid w:val="00E52DED"/>
    <w:rsid w:val="00E53730"/>
    <w:rsid w:val="00E5410A"/>
    <w:rsid w:val="00E5438D"/>
    <w:rsid w:val="00E54511"/>
    <w:rsid w:val="00E54E50"/>
    <w:rsid w:val="00E55288"/>
    <w:rsid w:val="00E57577"/>
    <w:rsid w:val="00E57CDA"/>
    <w:rsid w:val="00E62043"/>
    <w:rsid w:val="00E626B9"/>
    <w:rsid w:val="00E627C9"/>
    <w:rsid w:val="00E630F3"/>
    <w:rsid w:val="00E6332F"/>
    <w:rsid w:val="00E637C9"/>
    <w:rsid w:val="00E6402D"/>
    <w:rsid w:val="00E6680A"/>
    <w:rsid w:val="00E669E3"/>
    <w:rsid w:val="00E66F0D"/>
    <w:rsid w:val="00E67BFA"/>
    <w:rsid w:val="00E7004F"/>
    <w:rsid w:val="00E70615"/>
    <w:rsid w:val="00E7159E"/>
    <w:rsid w:val="00E7161E"/>
    <w:rsid w:val="00E71BE3"/>
    <w:rsid w:val="00E72004"/>
    <w:rsid w:val="00E7207B"/>
    <w:rsid w:val="00E722CF"/>
    <w:rsid w:val="00E72880"/>
    <w:rsid w:val="00E7347A"/>
    <w:rsid w:val="00E75A47"/>
    <w:rsid w:val="00E75BB6"/>
    <w:rsid w:val="00E75D8C"/>
    <w:rsid w:val="00E7719C"/>
    <w:rsid w:val="00E7757E"/>
    <w:rsid w:val="00E777F2"/>
    <w:rsid w:val="00E802C9"/>
    <w:rsid w:val="00E80BFB"/>
    <w:rsid w:val="00E80EC2"/>
    <w:rsid w:val="00E80F0A"/>
    <w:rsid w:val="00E815D4"/>
    <w:rsid w:val="00E818FD"/>
    <w:rsid w:val="00E819BA"/>
    <w:rsid w:val="00E8291B"/>
    <w:rsid w:val="00E82E70"/>
    <w:rsid w:val="00E82F92"/>
    <w:rsid w:val="00E8395F"/>
    <w:rsid w:val="00E83ECB"/>
    <w:rsid w:val="00E8410F"/>
    <w:rsid w:val="00E849D7"/>
    <w:rsid w:val="00E85E41"/>
    <w:rsid w:val="00E85EA1"/>
    <w:rsid w:val="00E86703"/>
    <w:rsid w:val="00E86C01"/>
    <w:rsid w:val="00E8751D"/>
    <w:rsid w:val="00E900DA"/>
    <w:rsid w:val="00E91044"/>
    <w:rsid w:val="00E910D3"/>
    <w:rsid w:val="00E91B06"/>
    <w:rsid w:val="00E91CBA"/>
    <w:rsid w:val="00E92097"/>
    <w:rsid w:val="00E92154"/>
    <w:rsid w:val="00E923CF"/>
    <w:rsid w:val="00E93685"/>
    <w:rsid w:val="00E93B65"/>
    <w:rsid w:val="00E93C8C"/>
    <w:rsid w:val="00E94F37"/>
    <w:rsid w:val="00E95111"/>
    <w:rsid w:val="00E95FDF"/>
    <w:rsid w:val="00E960AD"/>
    <w:rsid w:val="00E9677F"/>
    <w:rsid w:val="00E96898"/>
    <w:rsid w:val="00E97043"/>
    <w:rsid w:val="00E97F4C"/>
    <w:rsid w:val="00EA0185"/>
    <w:rsid w:val="00EA0F4C"/>
    <w:rsid w:val="00EA14C8"/>
    <w:rsid w:val="00EA2110"/>
    <w:rsid w:val="00EA24AF"/>
    <w:rsid w:val="00EA283A"/>
    <w:rsid w:val="00EA2C90"/>
    <w:rsid w:val="00EA2E07"/>
    <w:rsid w:val="00EA383B"/>
    <w:rsid w:val="00EA44ED"/>
    <w:rsid w:val="00EA48F3"/>
    <w:rsid w:val="00EA4D46"/>
    <w:rsid w:val="00EA60BF"/>
    <w:rsid w:val="00EA7365"/>
    <w:rsid w:val="00EA763F"/>
    <w:rsid w:val="00EA77E9"/>
    <w:rsid w:val="00EB05D0"/>
    <w:rsid w:val="00EB1151"/>
    <w:rsid w:val="00EB1D49"/>
    <w:rsid w:val="00EB23D9"/>
    <w:rsid w:val="00EB39A0"/>
    <w:rsid w:val="00EB430A"/>
    <w:rsid w:val="00EB559F"/>
    <w:rsid w:val="00EB566C"/>
    <w:rsid w:val="00EB5A18"/>
    <w:rsid w:val="00EB5F3D"/>
    <w:rsid w:val="00EB6C97"/>
    <w:rsid w:val="00EC0317"/>
    <w:rsid w:val="00EC0C6A"/>
    <w:rsid w:val="00EC1CEB"/>
    <w:rsid w:val="00EC1DC0"/>
    <w:rsid w:val="00EC1DC2"/>
    <w:rsid w:val="00EC1E09"/>
    <w:rsid w:val="00EC210E"/>
    <w:rsid w:val="00EC21EC"/>
    <w:rsid w:val="00EC24B8"/>
    <w:rsid w:val="00EC268C"/>
    <w:rsid w:val="00EC3753"/>
    <w:rsid w:val="00EC3FB6"/>
    <w:rsid w:val="00EC4E71"/>
    <w:rsid w:val="00EC5F1C"/>
    <w:rsid w:val="00EC7AEB"/>
    <w:rsid w:val="00ED0365"/>
    <w:rsid w:val="00ED0512"/>
    <w:rsid w:val="00ED0865"/>
    <w:rsid w:val="00ED0C1C"/>
    <w:rsid w:val="00ED141B"/>
    <w:rsid w:val="00ED1C60"/>
    <w:rsid w:val="00ED2EB9"/>
    <w:rsid w:val="00ED3722"/>
    <w:rsid w:val="00ED3A31"/>
    <w:rsid w:val="00ED4469"/>
    <w:rsid w:val="00ED5424"/>
    <w:rsid w:val="00ED5F23"/>
    <w:rsid w:val="00ED6DC0"/>
    <w:rsid w:val="00ED7A7A"/>
    <w:rsid w:val="00EE0327"/>
    <w:rsid w:val="00EE038C"/>
    <w:rsid w:val="00EE105A"/>
    <w:rsid w:val="00EE1D00"/>
    <w:rsid w:val="00EE259E"/>
    <w:rsid w:val="00EE25C8"/>
    <w:rsid w:val="00EE28C5"/>
    <w:rsid w:val="00EE2F09"/>
    <w:rsid w:val="00EE47C5"/>
    <w:rsid w:val="00EE490C"/>
    <w:rsid w:val="00EE4D33"/>
    <w:rsid w:val="00EE4E57"/>
    <w:rsid w:val="00EE5738"/>
    <w:rsid w:val="00EE58BD"/>
    <w:rsid w:val="00EE5DDB"/>
    <w:rsid w:val="00EE5E59"/>
    <w:rsid w:val="00EE73D0"/>
    <w:rsid w:val="00EE7CB0"/>
    <w:rsid w:val="00EE7CD1"/>
    <w:rsid w:val="00EF08A8"/>
    <w:rsid w:val="00EF167B"/>
    <w:rsid w:val="00EF1C90"/>
    <w:rsid w:val="00EF2496"/>
    <w:rsid w:val="00EF41A8"/>
    <w:rsid w:val="00EF44FB"/>
    <w:rsid w:val="00EF5122"/>
    <w:rsid w:val="00EF5554"/>
    <w:rsid w:val="00EF5A18"/>
    <w:rsid w:val="00EF5AD8"/>
    <w:rsid w:val="00EF6B90"/>
    <w:rsid w:val="00EF70C9"/>
    <w:rsid w:val="00EF741E"/>
    <w:rsid w:val="00EF7807"/>
    <w:rsid w:val="00EF79F7"/>
    <w:rsid w:val="00F006C0"/>
    <w:rsid w:val="00F0125F"/>
    <w:rsid w:val="00F0176A"/>
    <w:rsid w:val="00F019AA"/>
    <w:rsid w:val="00F0267E"/>
    <w:rsid w:val="00F02686"/>
    <w:rsid w:val="00F030C0"/>
    <w:rsid w:val="00F03291"/>
    <w:rsid w:val="00F03A85"/>
    <w:rsid w:val="00F04052"/>
    <w:rsid w:val="00F04314"/>
    <w:rsid w:val="00F0459B"/>
    <w:rsid w:val="00F04E15"/>
    <w:rsid w:val="00F05DF3"/>
    <w:rsid w:val="00F06829"/>
    <w:rsid w:val="00F069EA"/>
    <w:rsid w:val="00F06A4B"/>
    <w:rsid w:val="00F06A69"/>
    <w:rsid w:val="00F070E5"/>
    <w:rsid w:val="00F07D5E"/>
    <w:rsid w:val="00F07DDE"/>
    <w:rsid w:val="00F10396"/>
    <w:rsid w:val="00F1157B"/>
    <w:rsid w:val="00F11675"/>
    <w:rsid w:val="00F123DA"/>
    <w:rsid w:val="00F12557"/>
    <w:rsid w:val="00F127C8"/>
    <w:rsid w:val="00F12881"/>
    <w:rsid w:val="00F12C62"/>
    <w:rsid w:val="00F134BA"/>
    <w:rsid w:val="00F13599"/>
    <w:rsid w:val="00F13A71"/>
    <w:rsid w:val="00F13B28"/>
    <w:rsid w:val="00F14DCD"/>
    <w:rsid w:val="00F156A0"/>
    <w:rsid w:val="00F15730"/>
    <w:rsid w:val="00F176A6"/>
    <w:rsid w:val="00F17A24"/>
    <w:rsid w:val="00F202C2"/>
    <w:rsid w:val="00F204B3"/>
    <w:rsid w:val="00F212F6"/>
    <w:rsid w:val="00F2190F"/>
    <w:rsid w:val="00F22756"/>
    <w:rsid w:val="00F23248"/>
    <w:rsid w:val="00F23890"/>
    <w:rsid w:val="00F2504D"/>
    <w:rsid w:val="00F2595D"/>
    <w:rsid w:val="00F25B26"/>
    <w:rsid w:val="00F2637F"/>
    <w:rsid w:val="00F268F7"/>
    <w:rsid w:val="00F30B83"/>
    <w:rsid w:val="00F30BDB"/>
    <w:rsid w:val="00F30CF8"/>
    <w:rsid w:val="00F31402"/>
    <w:rsid w:val="00F31EDF"/>
    <w:rsid w:val="00F32507"/>
    <w:rsid w:val="00F32CDE"/>
    <w:rsid w:val="00F32D4C"/>
    <w:rsid w:val="00F3327E"/>
    <w:rsid w:val="00F338C3"/>
    <w:rsid w:val="00F340F2"/>
    <w:rsid w:val="00F34B14"/>
    <w:rsid w:val="00F34CF1"/>
    <w:rsid w:val="00F34E35"/>
    <w:rsid w:val="00F34F58"/>
    <w:rsid w:val="00F3572F"/>
    <w:rsid w:val="00F35DA7"/>
    <w:rsid w:val="00F36A6A"/>
    <w:rsid w:val="00F40101"/>
    <w:rsid w:val="00F404F7"/>
    <w:rsid w:val="00F40CCA"/>
    <w:rsid w:val="00F40E06"/>
    <w:rsid w:val="00F41E02"/>
    <w:rsid w:val="00F41FE0"/>
    <w:rsid w:val="00F42AA4"/>
    <w:rsid w:val="00F42D97"/>
    <w:rsid w:val="00F42F0E"/>
    <w:rsid w:val="00F42FCF"/>
    <w:rsid w:val="00F436B2"/>
    <w:rsid w:val="00F43813"/>
    <w:rsid w:val="00F43FEE"/>
    <w:rsid w:val="00F440B0"/>
    <w:rsid w:val="00F44114"/>
    <w:rsid w:val="00F4492F"/>
    <w:rsid w:val="00F45030"/>
    <w:rsid w:val="00F45A72"/>
    <w:rsid w:val="00F46723"/>
    <w:rsid w:val="00F4706D"/>
    <w:rsid w:val="00F47309"/>
    <w:rsid w:val="00F476E1"/>
    <w:rsid w:val="00F47855"/>
    <w:rsid w:val="00F47D1D"/>
    <w:rsid w:val="00F47F29"/>
    <w:rsid w:val="00F50016"/>
    <w:rsid w:val="00F5118A"/>
    <w:rsid w:val="00F51A21"/>
    <w:rsid w:val="00F51A35"/>
    <w:rsid w:val="00F523B9"/>
    <w:rsid w:val="00F52614"/>
    <w:rsid w:val="00F5276E"/>
    <w:rsid w:val="00F52E9F"/>
    <w:rsid w:val="00F532B2"/>
    <w:rsid w:val="00F53304"/>
    <w:rsid w:val="00F53B81"/>
    <w:rsid w:val="00F53C15"/>
    <w:rsid w:val="00F540FE"/>
    <w:rsid w:val="00F5459A"/>
    <w:rsid w:val="00F556FF"/>
    <w:rsid w:val="00F55D12"/>
    <w:rsid w:val="00F5687F"/>
    <w:rsid w:val="00F56D3F"/>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71"/>
    <w:rsid w:val="00F6533A"/>
    <w:rsid w:val="00F6560D"/>
    <w:rsid w:val="00F669BD"/>
    <w:rsid w:val="00F67844"/>
    <w:rsid w:val="00F67B09"/>
    <w:rsid w:val="00F705F6"/>
    <w:rsid w:val="00F70795"/>
    <w:rsid w:val="00F70799"/>
    <w:rsid w:val="00F70A8B"/>
    <w:rsid w:val="00F70B8D"/>
    <w:rsid w:val="00F71936"/>
    <w:rsid w:val="00F71F81"/>
    <w:rsid w:val="00F724FB"/>
    <w:rsid w:val="00F726B8"/>
    <w:rsid w:val="00F72A26"/>
    <w:rsid w:val="00F733C3"/>
    <w:rsid w:val="00F73E15"/>
    <w:rsid w:val="00F746A1"/>
    <w:rsid w:val="00F74820"/>
    <w:rsid w:val="00F7506D"/>
    <w:rsid w:val="00F755DD"/>
    <w:rsid w:val="00F756DD"/>
    <w:rsid w:val="00F77F4E"/>
    <w:rsid w:val="00F80047"/>
    <w:rsid w:val="00F800C7"/>
    <w:rsid w:val="00F80361"/>
    <w:rsid w:val="00F8104D"/>
    <w:rsid w:val="00F8153F"/>
    <w:rsid w:val="00F81587"/>
    <w:rsid w:val="00F81B2A"/>
    <w:rsid w:val="00F81C12"/>
    <w:rsid w:val="00F8263C"/>
    <w:rsid w:val="00F8288F"/>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A9A"/>
    <w:rsid w:val="00F923AF"/>
    <w:rsid w:val="00F92634"/>
    <w:rsid w:val="00F933F3"/>
    <w:rsid w:val="00F93ABB"/>
    <w:rsid w:val="00F94D79"/>
    <w:rsid w:val="00F9658C"/>
    <w:rsid w:val="00F96EEB"/>
    <w:rsid w:val="00F97A7F"/>
    <w:rsid w:val="00F97CD0"/>
    <w:rsid w:val="00F97D7A"/>
    <w:rsid w:val="00FA0889"/>
    <w:rsid w:val="00FA16E7"/>
    <w:rsid w:val="00FA31C7"/>
    <w:rsid w:val="00FA472D"/>
    <w:rsid w:val="00FA4965"/>
    <w:rsid w:val="00FA5A92"/>
    <w:rsid w:val="00FA681F"/>
    <w:rsid w:val="00FB0261"/>
    <w:rsid w:val="00FB0303"/>
    <w:rsid w:val="00FB0CBF"/>
    <w:rsid w:val="00FB18F6"/>
    <w:rsid w:val="00FB2A52"/>
    <w:rsid w:val="00FB3961"/>
    <w:rsid w:val="00FB39E0"/>
    <w:rsid w:val="00FB3F92"/>
    <w:rsid w:val="00FB52C7"/>
    <w:rsid w:val="00FB57DC"/>
    <w:rsid w:val="00FB5915"/>
    <w:rsid w:val="00FB6E19"/>
    <w:rsid w:val="00FB71F6"/>
    <w:rsid w:val="00FB74F1"/>
    <w:rsid w:val="00FC0670"/>
    <w:rsid w:val="00FC07AF"/>
    <w:rsid w:val="00FC0AF8"/>
    <w:rsid w:val="00FC0B69"/>
    <w:rsid w:val="00FC1055"/>
    <w:rsid w:val="00FC1238"/>
    <w:rsid w:val="00FC1483"/>
    <w:rsid w:val="00FC17B9"/>
    <w:rsid w:val="00FC1BEF"/>
    <w:rsid w:val="00FC1C47"/>
    <w:rsid w:val="00FC2869"/>
    <w:rsid w:val="00FC2F9E"/>
    <w:rsid w:val="00FC3102"/>
    <w:rsid w:val="00FC3848"/>
    <w:rsid w:val="00FC39ED"/>
    <w:rsid w:val="00FC3D40"/>
    <w:rsid w:val="00FC4419"/>
    <w:rsid w:val="00FC47E2"/>
    <w:rsid w:val="00FC4AA5"/>
    <w:rsid w:val="00FC4B88"/>
    <w:rsid w:val="00FC4BB8"/>
    <w:rsid w:val="00FC5148"/>
    <w:rsid w:val="00FC6524"/>
    <w:rsid w:val="00FC6B58"/>
    <w:rsid w:val="00FC711D"/>
    <w:rsid w:val="00FC75AC"/>
    <w:rsid w:val="00FC7984"/>
    <w:rsid w:val="00FD01BF"/>
    <w:rsid w:val="00FD0525"/>
    <w:rsid w:val="00FD0AB7"/>
    <w:rsid w:val="00FD297D"/>
    <w:rsid w:val="00FD2D13"/>
    <w:rsid w:val="00FD374D"/>
    <w:rsid w:val="00FD4D2A"/>
    <w:rsid w:val="00FD6071"/>
    <w:rsid w:val="00FD633B"/>
    <w:rsid w:val="00FD66ED"/>
    <w:rsid w:val="00FD6ABA"/>
    <w:rsid w:val="00FE0794"/>
    <w:rsid w:val="00FE1041"/>
    <w:rsid w:val="00FE1614"/>
    <w:rsid w:val="00FE24CB"/>
    <w:rsid w:val="00FE2584"/>
    <w:rsid w:val="00FE2E48"/>
    <w:rsid w:val="00FE323F"/>
    <w:rsid w:val="00FE3473"/>
    <w:rsid w:val="00FE4049"/>
    <w:rsid w:val="00FE4794"/>
    <w:rsid w:val="00FE480F"/>
    <w:rsid w:val="00FE4998"/>
    <w:rsid w:val="00FE5382"/>
    <w:rsid w:val="00FE57DE"/>
    <w:rsid w:val="00FE719F"/>
    <w:rsid w:val="00FE7A68"/>
    <w:rsid w:val="00FF0231"/>
    <w:rsid w:val="00FF056D"/>
    <w:rsid w:val="00FF1C9B"/>
    <w:rsid w:val="00FF1D49"/>
    <w:rsid w:val="00FF203B"/>
    <w:rsid w:val="00FF2562"/>
    <w:rsid w:val="00FF3A41"/>
    <w:rsid w:val="00FF3E5B"/>
    <w:rsid w:val="00FF5183"/>
    <w:rsid w:val="00FF57E4"/>
    <w:rsid w:val="00FF5E26"/>
    <w:rsid w:val="00FF5ECD"/>
    <w:rsid w:val="00FF6019"/>
    <w:rsid w:val="00FF67D1"/>
    <w:rsid w:val="00FF78E5"/>
    <w:rsid w:val="01220D20"/>
    <w:rsid w:val="01253372"/>
    <w:rsid w:val="012C5FAF"/>
    <w:rsid w:val="01527EDF"/>
    <w:rsid w:val="01874781"/>
    <w:rsid w:val="01921A76"/>
    <w:rsid w:val="01AF3D99"/>
    <w:rsid w:val="01D93688"/>
    <w:rsid w:val="02511F9D"/>
    <w:rsid w:val="031D1CA0"/>
    <w:rsid w:val="03251080"/>
    <w:rsid w:val="0354780A"/>
    <w:rsid w:val="0373610F"/>
    <w:rsid w:val="03A10CAA"/>
    <w:rsid w:val="03A314B8"/>
    <w:rsid w:val="03A364BF"/>
    <w:rsid w:val="03B6703D"/>
    <w:rsid w:val="03CA6453"/>
    <w:rsid w:val="03D82B98"/>
    <w:rsid w:val="03F83E8B"/>
    <w:rsid w:val="040D00EE"/>
    <w:rsid w:val="04365896"/>
    <w:rsid w:val="046232FA"/>
    <w:rsid w:val="049E39E7"/>
    <w:rsid w:val="052676B9"/>
    <w:rsid w:val="0586725E"/>
    <w:rsid w:val="05C56868"/>
    <w:rsid w:val="05D62E2B"/>
    <w:rsid w:val="0615060C"/>
    <w:rsid w:val="06212099"/>
    <w:rsid w:val="06404AD2"/>
    <w:rsid w:val="064321EB"/>
    <w:rsid w:val="06461D64"/>
    <w:rsid w:val="06530982"/>
    <w:rsid w:val="06755F33"/>
    <w:rsid w:val="06997BF8"/>
    <w:rsid w:val="070432E8"/>
    <w:rsid w:val="071179C1"/>
    <w:rsid w:val="072B34A3"/>
    <w:rsid w:val="074736EE"/>
    <w:rsid w:val="0754591C"/>
    <w:rsid w:val="07723089"/>
    <w:rsid w:val="077829C3"/>
    <w:rsid w:val="07862691"/>
    <w:rsid w:val="079254DA"/>
    <w:rsid w:val="07A22F09"/>
    <w:rsid w:val="07A539BD"/>
    <w:rsid w:val="07B72767"/>
    <w:rsid w:val="08077E72"/>
    <w:rsid w:val="08882DD0"/>
    <w:rsid w:val="089A6C96"/>
    <w:rsid w:val="089D16D6"/>
    <w:rsid w:val="08AC162E"/>
    <w:rsid w:val="08BE3F93"/>
    <w:rsid w:val="08DC3A7E"/>
    <w:rsid w:val="08FD32B2"/>
    <w:rsid w:val="09414AC1"/>
    <w:rsid w:val="096E2876"/>
    <w:rsid w:val="09CC2AAC"/>
    <w:rsid w:val="0A652D3E"/>
    <w:rsid w:val="0AB80F9F"/>
    <w:rsid w:val="0AD33E3F"/>
    <w:rsid w:val="0AF607E4"/>
    <w:rsid w:val="0B21239F"/>
    <w:rsid w:val="0B326F2A"/>
    <w:rsid w:val="0B394A48"/>
    <w:rsid w:val="0B650225"/>
    <w:rsid w:val="0B9C302E"/>
    <w:rsid w:val="0BA04D77"/>
    <w:rsid w:val="0BE36304"/>
    <w:rsid w:val="0BE678A2"/>
    <w:rsid w:val="0C060244"/>
    <w:rsid w:val="0C1E2888"/>
    <w:rsid w:val="0C2D4328"/>
    <w:rsid w:val="0C8A2C23"/>
    <w:rsid w:val="0C8D4347"/>
    <w:rsid w:val="0C92213C"/>
    <w:rsid w:val="0CA912FB"/>
    <w:rsid w:val="0CC2027E"/>
    <w:rsid w:val="0CDD71F7"/>
    <w:rsid w:val="0CF4009D"/>
    <w:rsid w:val="0D1C7D1F"/>
    <w:rsid w:val="0D722AE9"/>
    <w:rsid w:val="0D84032B"/>
    <w:rsid w:val="0DFE0C47"/>
    <w:rsid w:val="0DFF63C6"/>
    <w:rsid w:val="0E462B7A"/>
    <w:rsid w:val="0E85037E"/>
    <w:rsid w:val="0EE44A84"/>
    <w:rsid w:val="0F1F00BE"/>
    <w:rsid w:val="0F2A74C4"/>
    <w:rsid w:val="0F4975F7"/>
    <w:rsid w:val="0F562296"/>
    <w:rsid w:val="0F916077"/>
    <w:rsid w:val="0F957CD4"/>
    <w:rsid w:val="0F961698"/>
    <w:rsid w:val="0F9D4A1B"/>
    <w:rsid w:val="0FA4224E"/>
    <w:rsid w:val="0FBE25DD"/>
    <w:rsid w:val="0FF82370"/>
    <w:rsid w:val="10086339"/>
    <w:rsid w:val="107E65FB"/>
    <w:rsid w:val="10A27A44"/>
    <w:rsid w:val="10A27F31"/>
    <w:rsid w:val="11576D6C"/>
    <w:rsid w:val="1182211B"/>
    <w:rsid w:val="119117F9"/>
    <w:rsid w:val="11927058"/>
    <w:rsid w:val="11965BC6"/>
    <w:rsid w:val="11C159B8"/>
    <w:rsid w:val="11DC1D21"/>
    <w:rsid w:val="11F528ED"/>
    <w:rsid w:val="120E171E"/>
    <w:rsid w:val="121865DB"/>
    <w:rsid w:val="12616D44"/>
    <w:rsid w:val="127C4803"/>
    <w:rsid w:val="12841F82"/>
    <w:rsid w:val="12D71EE1"/>
    <w:rsid w:val="12FD414F"/>
    <w:rsid w:val="13103E92"/>
    <w:rsid w:val="1362612D"/>
    <w:rsid w:val="138B7C90"/>
    <w:rsid w:val="139A3EF6"/>
    <w:rsid w:val="139D1F48"/>
    <w:rsid w:val="13AF4F03"/>
    <w:rsid w:val="13C54541"/>
    <w:rsid w:val="13CB5FFB"/>
    <w:rsid w:val="13F46820"/>
    <w:rsid w:val="141B23B3"/>
    <w:rsid w:val="141C177E"/>
    <w:rsid w:val="142257E9"/>
    <w:rsid w:val="142B0848"/>
    <w:rsid w:val="1433594E"/>
    <w:rsid w:val="144E4536"/>
    <w:rsid w:val="145C0174"/>
    <w:rsid w:val="14715CB5"/>
    <w:rsid w:val="14736E66"/>
    <w:rsid w:val="147815B3"/>
    <w:rsid w:val="147F458F"/>
    <w:rsid w:val="14954907"/>
    <w:rsid w:val="149A3C1F"/>
    <w:rsid w:val="14A37E95"/>
    <w:rsid w:val="14D47131"/>
    <w:rsid w:val="14DA401C"/>
    <w:rsid w:val="1534169A"/>
    <w:rsid w:val="15B50D11"/>
    <w:rsid w:val="15C03E03"/>
    <w:rsid w:val="15EC4007"/>
    <w:rsid w:val="15F624C7"/>
    <w:rsid w:val="16176ECF"/>
    <w:rsid w:val="162A25EB"/>
    <w:rsid w:val="164E7166"/>
    <w:rsid w:val="16735895"/>
    <w:rsid w:val="16B02B56"/>
    <w:rsid w:val="16B64C83"/>
    <w:rsid w:val="16FD2A55"/>
    <w:rsid w:val="1703785A"/>
    <w:rsid w:val="17067C1A"/>
    <w:rsid w:val="17092996"/>
    <w:rsid w:val="17366761"/>
    <w:rsid w:val="17481C8A"/>
    <w:rsid w:val="1752258F"/>
    <w:rsid w:val="175B4252"/>
    <w:rsid w:val="175D723A"/>
    <w:rsid w:val="177C01F0"/>
    <w:rsid w:val="179E3EFA"/>
    <w:rsid w:val="17A10E21"/>
    <w:rsid w:val="17AA389A"/>
    <w:rsid w:val="17CE6630"/>
    <w:rsid w:val="17F02CDB"/>
    <w:rsid w:val="185D72BD"/>
    <w:rsid w:val="18786026"/>
    <w:rsid w:val="187C14BE"/>
    <w:rsid w:val="190777B7"/>
    <w:rsid w:val="190B07B0"/>
    <w:rsid w:val="193F6E91"/>
    <w:rsid w:val="195B5233"/>
    <w:rsid w:val="196A30D4"/>
    <w:rsid w:val="198F1553"/>
    <w:rsid w:val="19C86C13"/>
    <w:rsid w:val="19D454DE"/>
    <w:rsid w:val="1A011D87"/>
    <w:rsid w:val="1A1F43C5"/>
    <w:rsid w:val="1A564145"/>
    <w:rsid w:val="1A924029"/>
    <w:rsid w:val="1AB57D6F"/>
    <w:rsid w:val="1AB84DB7"/>
    <w:rsid w:val="1AD07D54"/>
    <w:rsid w:val="1AD64605"/>
    <w:rsid w:val="1AEF06B7"/>
    <w:rsid w:val="1AFF0AFE"/>
    <w:rsid w:val="1B1A645A"/>
    <w:rsid w:val="1B261D69"/>
    <w:rsid w:val="1B28304F"/>
    <w:rsid w:val="1B4F19F8"/>
    <w:rsid w:val="1B4F7007"/>
    <w:rsid w:val="1B9118D8"/>
    <w:rsid w:val="1BC44D83"/>
    <w:rsid w:val="1BE42180"/>
    <w:rsid w:val="1C080078"/>
    <w:rsid w:val="1C593D66"/>
    <w:rsid w:val="1C790312"/>
    <w:rsid w:val="1C8F11A8"/>
    <w:rsid w:val="1CBA156A"/>
    <w:rsid w:val="1CCA0983"/>
    <w:rsid w:val="1CDA105D"/>
    <w:rsid w:val="1D2D3883"/>
    <w:rsid w:val="1D43465E"/>
    <w:rsid w:val="1D434E54"/>
    <w:rsid w:val="1D4568CB"/>
    <w:rsid w:val="1D5E60B4"/>
    <w:rsid w:val="1D743260"/>
    <w:rsid w:val="1D75594E"/>
    <w:rsid w:val="1E0740D4"/>
    <w:rsid w:val="1E2F53D8"/>
    <w:rsid w:val="1E392382"/>
    <w:rsid w:val="1E437ED7"/>
    <w:rsid w:val="1E6037E4"/>
    <w:rsid w:val="1E652BA8"/>
    <w:rsid w:val="1E7B47A2"/>
    <w:rsid w:val="1E805C34"/>
    <w:rsid w:val="1E897EB4"/>
    <w:rsid w:val="1E9B1AE1"/>
    <w:rsid w:val="1EB92499"/>
    <w:rsid w:val="1ECC44FA"/>
    <w:rsid w:val="1EF53CB6"/>
    <w:rsid w:val="1EFA1543"/>
    <w:rsid w:val="1F063325"/>
    <w:rsid w:val="1F080C7B"/>
    <w:rsid w:val="1F0C13AB"/>
    <w:rsid w:val="1F2B3DF2"/>
    <w:rsid w:val="1F3802BD"/>
    <w:rsid w:val="1F856829"/>
    <w:rsid w:val="1FB34FEE"/>
    <w:rsid w:val="1FBC5DF5"/>
    <w:rsid w:val="1FF90588"/>
    <w:rsid w:val="1FFF3FE9"/>
    <w:rsid w:val="204F1D62"/>
    <w:rsid w:val="208A4646"/>
    <w:rsid w:val="20926A3B"/>
    <w:rsid w:val="20C3623F"/>
    <w:rsid w:val="21781212"/>
    <w:rsid w:val="217F336D"/>
    <w:rsid w:val="21B83F86"/>
    <w:rsid w:val="21BE2EB7"/>
    <w:rsid w:val="21F148EF"/>
    <w:rsid w:val="21F52495"/>
    <w:rsid w:val="2203567D"/>
    <w:rsid w:val="22041389"/>
    <w:rsid w:val="22044D40"/>
    <w:rsid w:val="220A24B9"/>
    <w:rsid w:val="221178A8"/>
    <w:rsid w:val="221213CF"/>
    <w:rsid w:val="22327A92"/>
    <w:rsid w:val="22447E97"/>
    <w:rsid w:val="225937B9"/>
    <w:rsid w:val="22703B3F"/>
    <w:rsid w:val="229C6999"/>
    <w:rsid w:val="22BA326F"/>
    <w:rsid w:val="22BD676D"/>
    <w:rsid w:val="22EF6448"/>
    <w:rsid w:val="230C5CE8"/>
    <w:rsid w:val="231D53A2"/>
    <w:rsid w:val="234D3200"/>
    <w:rsid w:val="23573A4D"/>
    <w:rsid w:val="236D5383"/>
    <w:rsid w:val="23706EEF"/>
    <w:rsid w:val="23983A20"/>
    <w:rsid w:val="23B7504C"/>
    <w:rsid w:val="23D028DE"/>
    <w:rsid w:val="23E67DD4"/>
    <w:rsid w:val="24153C72"/>
    <w:rsid w:val="24264B88"/>
    <w:rsid w:val="244020ED"/>
    <w:rsid w:val="24571307"/>
    <w:rsid w:val="246456B0"/>
    <w:rsid w:val="248542E6"/>
    <w:rsid w:val="24AA2DC5"/>
    <w:rsid w:val="24CE4E7D"/>
    <w:rsid w:val="24EB7A61"/>
    <w:rsid w:val="25110A2A"/>
    <w:rsid w:val="25311A36"/>
    <w:rsid w:val="256C0944"/>
    <w:rsid w:val="258B6860"/>
    <w:rsid w:val="25C12D39"/>
    <w:rsid w:val="25D37C2D"/>
    <w:rsid w:val="26446DE3"/>
    <w:rsid w:val="264C6BA1"/>
    <w:rsid w:val="26877DFE"/>
    <w:rsid w:val="269669E7"/>
    <w:rsid w:val="26A270C1"/>
    <w:rsid w:val="26A3201C"/>
    <w:rsid w:val="26D7699F"/>
    <w:rsid w:val="26E52AD8"/>
    <w:rsid w:val="2702681B"/>
    <w:rsid w:val="27075144"/>
    <w:rsid w:val="270A5AA2"/>
    <w:rsid w:val="272775DB"/>
    <w:rsid w:val="2738525A"/>
    <w:rsid w:val="275814FC"/>
    <w:rsid w:val="27716FB7"/>
    <w:rsid w:val="27863A5D"/>
    <w:rsid w:val="2787237E"/>
    <w:rsid w:val="27954FE9"/>
    <w:rsid w:val="27D72414"/>
    <w:rsid w:val="285D08F3"/>
    <w:rsid w:val="28643FDE"/>
    <w:rsid w:val="28661E64"/>
    <w:rsid w:val="286C3CA5"/>
    <w:rsid w:val="28A20CD9"/>
    <w:rsid w:val="28B37BA6"/>
    <w:rsid w:val="28C87B9B"/>
    <w:rsid w:val="28E167C3"/>
    <w:rsid w:val="28E374EB"/>
    <w:rsid w:val="28E82D54"/>
    <w:rsid w:val="2916264F"/>
    <w:rsid w:val="291C53EC"/>
    <w:rsid w:val="29477A7A"/>
    <w:rsid w:val="29542197"/>
    <w:rsid w:val="297B5FF1"/>
    <w:rsid w:val="298136C7"/>
    <w:rsid w:val="29D75F7F"/>
    <w:rsid w:val="2A106D1F"/>
    <w:rsid w:val="2A293624"/>
    <w:rsid w:val="2A3B0904"/>
    <w:rsid w:val="2A510485"/>
    <w:rsid w:val="2A610CF8"/>
    <w:rsid w:val="2A8C39BE"/>
    <w:rsid w:val="2ADB3451"/>
    <w:rsid w:val="2ADC3722"/>
    <w:rsid w:val="2AF23A16"/>
    <w:rsid w:val="2AF8736F"/>
    <w:rsid w:val="2B5D065D"/>
    <w:rsid w:val="2B774624"/>
    <w:rsid w:val="2B9C7B85"/>
    <w:rsid w:val="2BCF2927"/>
    <w:rsid w:val="2C7A72BE"/>
    <w:rsid w:val="2C931216"/>
    <w:rsid w:val="2C9A7D75"/>
    <w:rsid w:val="2C9D0974"/>
    <w:rsid w:val="2CC17412"/>
    <w:rsid w:val="2CCA4197"/>
    <w:rsid w:val="2D5E7113"/>
    <w:rsid w:val="2D766499"/>
    <w:rsid w:val="2D7C1E99"/>
    <w:rsid w:val="2D8E211C"/>
    <w:rsid w:val="2DD65871"/>
    <w:rsid w:val="2DEA3CCA"/>
    <w:rsid w:val="2E0221C2"/>
    <w:rsid w:val="2E1633DC"/>
    <w:rsid w:val="2E3569FF"/>
    <w:rsid w:val="2E473F65"/>
    <w:rsid w:val="2E4E573A"/>
    <w:rsid w:val="2E864BA1"/>
    <w:rsid w:val="2E8860A6"/>
    <w:rsid w:val="2E9976CE"/>
    <w:rsid w:val="2EB21E3A"/>
    <w:rsid w:val="2EC41B6D"/>
    <w:rsid w:val="2EC61441"/>
    <w:rsid w:val="2EC94FD3"/>
    <w:rsid w:val="2EE67D35"/>
    <w:rsid w:val="2EF01DEE"/>
    <w:rsid w:val="2F2B5748"/>
    <w:rsid w:val="2F3B46D6"/>
    <w:rsid w:val="2F401D3C"/>
    <w:rsid w:val="2F476AC2"/>
    <w:rsid w:val="2F53762B"/>
    <w:rsid w:val="2F5B24E1"/>
    <w:rsid w:val="2F8530AA"/>
    <w:rsid w:val="2F875074"/>
    <w:rsid w:val="2FA95C88"/>
    <w:rsid w:val="2FB90AB6"/>
    <w:rsid w:val="2FE43066"/>
    <w:rsid w:val="2FFC301C"/>
    <w:rsid w:val="3031382E"/>
    <w:rsid w:val="3041370F"/>
    <w:rsid w:val="307F3F9D"/>
    <w:rsid w:val="30B87FED"/>
    <w:rsid w:val="31097D0B"/>
    <w:rsid w:val="311961A0"/>
    <w:rsid w:val="311F2E62"/>
    <w:rsid w:val="312B50A3"/>
    <w:rsid w:val="312D06B0"/>
    <w:rsid w:val="312D2B36"/>
    <w:rsid w:val="31344D88"/>
    <w:rsid w:val="31800A61"/>
    <w:rsid w:val="31894FD2"/>
    <w:rsid w:val="31916063"/>
    <w:rsid w:val="31927700"/>
    <w:rsid w:val="31A87524"/>
    <w:rsid w:val="31EC7411"/>
    <w:rsid w:val="321354E3"/>
    <w:rsid w:val="32453A27"/>
    <w:rsid w:val="324741F4"/>
    <w:rsid w:val="3263064A"/>
    <w:rsid w:val="32650F71"/>
    <w:rsid w:val="32A43132"/>
    <w:rsid w:val="32AC0C06"/>
    <w:rsid w:val="32F11EEF"/>
    <w:rsid w:val="33072028"/>
    <w:rsid w:val="3310194F"/>
    <w:rsid w:val="33344EF5"/>
    <w:rsid w:val="333A0650"/>
    <w:rsid w:val="333D5A4A"/>
    <w:rsid w:val="335477EE"/>
    <w:rsid w:val="336B0809"/>
    <w:rsid w:val="33AE099F"/>
    <w:rsid w:val="33C51D10"/>
    <w:rsid w:val="33DC368A"/>
    <w:rsid w:val="33DC7F8D"/>
    <w:rsid w:val="343422EF"/>
    <w:rsid w:val="34767593"/>
    <w:rsid w:val="347B648E"/>
    <w:rsid w:val="34D0301A"/>
    <w:rsid w:val="351433FA"/>
    <w:rsid w:val="351E0299"/>
    <w:rsid w:val="3537750C"/>
    <w:rsid w:val="3537798C"/>
    <w:rsid w:val="353D7F83"/>
    <w:rsid w:val="35505A02"/>
    <w:rsid w:val="355B2B61"/>
    <w:rsid w:val="355C249B"/>
    <w:rsid w:val="357969B8"/>
    <w:rsid w:val="35C13FC9"/>
    <w:rsid w:val="35C93186"/>
    <w:rsid w:val="35DA63FF"/>
    <w:rsid w:val="35EC3780"/>
    <w:rsid w:val="36372B05"/>
    <w:rsid w:val="364257B6"/>
    <w:rsid w:val="364A0BAA"/>
    <w:rsid w:val="369B483D"/>
    <w:rsid w:val="36B75176"/>
    <w:rsid w:val="36BA5D2F"/>
    <w:rsid w:val="36E0506A"/>
    <w:rsid w:val="3754697A"/>
    <w:rsid w:val="377A5D72"/>
    <w:rsid w:val="37B23804"/>
    <w:rsid w:val="37B454F3"/>
    <w:rsid w:val="37BB277C"/>
    <w:rsid w:val="37EA5922"/>
    <w:rsid w:val="38276B93"/>
    <w:rsid w:val="382E58B8"/>
    <w:rsid w:val="38427FCC"/>
    <w:rsid w:val="387A419F"/>
    <w:rsid w:val="387B504A"/>
    <w:rsid w:val="38AC3431"/>
    <w:rsid w:val="38F97DC2"/>
    <w:rsid w:val="38FB20F5"/>
    <w:rsid w:val="391B0B6E"/>
    <w:rsid w:val="392F2E16"/>
    <w:rsid w:val="39776B33"/>
    <w:rsid w:val="399651CC"/>
    <w:rsid w:val="39AE31FE"/>
    <w:rsid w:val="39B319E7"/>
    <w:rsid w:val="39C53E0B"/>
    <w:rsid w:val="39E00529"/>
    <w:rsid w:val="3A0B64A7"/>
    <w:rsid w:val="3A4F795A"/>
    <w:rsid w:val="3A574DDA"/>
    <w:rsid w:val="3A691A14"/>
    <w:rsid w:val="3AA36274"/>
    <w:rsid w:val="3AD3075A"/>
    <w:rsid w:val="3AD6606E"/>
    <w:rsid w:val="3AF74C02"/>
    <w:rsid w:val="3B284357"/>
    <w:rsid w:val="3B304812"/>
    <w:rsid w:val="3B36697E"/>
    <w:rsid w:val="3B747215"/>
    <w:rsid w:val="3B7476EC"/>
    <w:rsid w:val="3BA11DBC"/>
    <w:rsid w:val="3BF71846"/>
    <w:rsid w:val="3C0059A5"/>
    <w:rsid w:val="3C134E78"/>
    <w:rsid w:val="3C1557B6"/>
    <w:rsid w:val="3C2F4ACA"/>
    <w:rsid w:val="3C306E2F"/>
    <w:rsid w:val="3C601127"/>
    <w:rsid w:val="3C6031EF"/>
    <w:rsid w:val="3C6A5B02"/>
    <w:rsid w:val="3CB46D7D"/>
    <w:rsid w:val="3CB82D5E"/>
    <w:rsid w:val="3CC45CCC"/>
    <w:rsid w:val="3D0221DE"/>
    <w:rsid w:val="3D117BEE"/>
    <w:rsid w:val="3D767023"/>
    <w:rsid w:val="3D8E0AAA"/>
    <w:rsid w:val="3DBA0FF8"/>
    <w:rsid w:val="3DF6345D"/>
    <w:rsid w:val="3E2B5515"/>
    <w:rsid w:val="3E353EED"/>
    <w:rsid w:val="3E416D36"/>
    <w:rsid w:val="3E4D4F28"/>
    <w:rsid w:val="3E6E56EE"/>
    <w:rsid w:val="3E8B7FB1"/>
    <w:rsid w:val="3ED5122D"/>
    <w:rsid w:val="3ED92EC4"/>
    <w:rsid w:val="3EE13701"/>
    <w:rsid w:val="3EE431D2"/>
    <w:rsid w:val="3F012468"/>
    <w:rsid w:val="3F055716"/>
    <w:rsid w:val="3F0D4E6A"/>
    <w:rsid w:val="3F1A4BB3"/>
    <w:rsid w:val="3F2C52F0"/>
    <w:rsid w:val="3F52287D"/>
    <w:rsid w:val="3F5B7984"/>
    <w:rsid w:val="3F641CD6"/>
    <w:rsid w:val="3F7D5B4C"/>
    <w:rsid w:val="3FAA090B"/>
    <w:rsid w:val="3FAC6431"/>
    <w:rsid w:val="3FB157F6"/>
    <w:rsid w:val="3FD0283B"/>
    <w:rsid w:val="40120821"/>
    <w:rsid w:val="40192BA6"/>
    <w:rsid w:val="405C7B72"/>
    <w:rsid w:val="4064414C"/>
    <w:rsid w:val="40C357E1"/>
    <w:rsid w:val="40D169B8"/>
    <w:rsid w:val="41175B2C"/>
    <w:rsid w:val="413D1A37"/>
    <w:rsid w:val="414F0EFF"/>
    <w:rsid w:val="416F3BBA"/>
    <w:rsid w:val="41766EA9"/>
    <w:rsid w:val="418A2312"/>
    <w:rsid w:val="418A544A"/>
    <w:rsid w:val="41AF5517"/>
    <w:rsid w:val="41DA4895"/>
    <w:rsid w:val="41E84ED5"/>
    <w:rsid w:val="41FB3A05"/>
    <w:rsid w:val="42044F45"/>
    <w:rsid w:val="42550A18"/>
    <w:rsid w:val="427B200A"/>
    <w:rsid w:val="427F2F2E"/>
    <w:rsid w:val="42872973"/>
    <w:rsid w:val="429D496A"/>
    <w:rsid w:val="42C7283F"/>
    <w:rsid w:val="42F37619"/>
    <w:rsid w:val="42F473A1"/>
    <w:rsid w:val="431E0EC1"/>
    <w:rsid w:val="433429C6"/>
    <w:rsid w:val="435E7A42"/>
    <w:rsid w:val="437217EA"/>
    <w:rsid w:val="43810F7D"/>
    <w:rsid w:val="438139DF"/>
    <w:rsid w:val="43AB7156"/>
    <w:rsid w:val="441E62C0"/>
    <w:rsid w:val="443A40FB"/>
    <w:rsid w:val="44753296"/>
    <w:rsid w:val="44827761"/>
    <w:rsid w:val="44947EA5"/>
    <w:rsid w:val="449B0822"/>
    <w:rsid w:val="44C166F5"/>
    <w:rsid w:val="44EB3558"/>
    <w:rsid w:val="44F05012"/>
    <w:rsid w:val="450E5498"/>
    <w:rsid w:val="45132CAE"/>
    <w:rsid w:val="45236D4F"/>
    <w:rsid w:val="452A0524"/>
    <w:rsid w:val="45325D14"/>
    <w:rsid w:val="454D4212"/>
    <w:rsid w:val="454E51D1"/>
    <w:rsid w:val="45554E75"/>
    <w:rsid w:val="45811C7C"/>
    <w:rsid w:val="45906116"/>
    <w:rsid w:val="45931B8C"/>
    <w:rsid w:val="459B6D2C"/>
    <w:rsid w:val="45DB6EC6"/>
    <w:rsid w:val="45EF2552"/>
    <w:rsid w:val="45FB4075"/>
    <w:rsid w:val="468B3EFB"/>
    <w:rsid w:val="46E3645D"/>
    <w:rsid w:val="46EF04B2"/>
    <w:rsid w:val="470A6193"/>
    <w:rsid w:val="47385210"/>
    <w:rsid w:val="475510F8"/>
    <w:rsid w:val="476F1BC4"/>
    <w:rsid w:val="477E3008"/>
    <w:rsid w:val="47935219"/>
    <w:rsid w:val="47B35BA6"/>
    <w:rsid w:val="47C552A1"/>
    <w:rsid w:val="47DC4F5C"/>
    <w:rsid w:val="47F47CB7"/>
    <w:rsid w:val="4803505C"/>
    <w:rsid w:val="482D2C17"/>
    <w:rsid w:val="483C3E0E"/>
    <w:rsid w:val="48A21EA8"/>
    <w:rsid w:val="48B40671"/>
    <w:rsid w:val="48B46ED2"/>
    <w:rsid w:val="48B5324B"/>
    <w:rsid w:val="48DA23DA"/>
    <w:rsid w:val="48E629B4"/>
    <w:rsid w:val="491B4434"/>
    <w:rsid w:val="493452A9"/>
    <w:rsid w:val="495711BC"/>
    <w:rsid w:val="49651BCE"/>
    <w:rsid w:val="49971F00"/>
    <w:rsid w:val="499B5738"/>
    <w:rsid w:val="499F244D"/>
    <w:rsid w:val="49DA3B9B"/>
    <w:rsid w:val="49DD2BB0"/>
    <w:rsid w:val="49EF3AEA"/>
    <w:rsid w:val="4A1D4F39"/>
    <w:rsid w:val="4A4060F4"/>
    <w:rsid w:val="4A4076FC"/>
    <w:rsid w:val="4A4409DD"/>
    <w:rsid w:val="4A784F64"/>
    <w:rsid w:val="4A82495E"/>
    <w:rsid w:val="4A9014FC"/>
    <w:rsid w:val="4A973F3F"/>
    <w:rsid w:val="4AC960E9"/>
    <w:rsid w:val="4AF96BC7"/>
    <w:rsid w:val="4B272E10"/>
    <w:rsid w:val="4B50165A"/>
    <w:rsid w:val="4B5A6DED"/>
    <w:rsid w:val="4B862A85"/>
    <w:rsid w:val="4B9344A3"/>
    <w:rsid w:val="4B9C5BA7"/>
    <w:rsid w:val="4C0C3D6B"/>
    <w:rsid w:val="4C1415E6"/>
    <w:rsid w:val="4C453E95"/>
    <w:rsid w:val="4C761E9E"/>
    <w:rsid w:val="4CC52811"/>
    <w:rsid w:val="4CE90CC5"/>
    <w:rsid w:val="4CEF36E2"/>
    <w:rsid w:val="4CEF4DC5"/>
    <w:rsid w:val="4D0C6761"/>
    <w:rsid w:val="4D4C5F59"/>
    <w:rsid w:val="4D913CE0"/>
    <w:rsid w:val="4DAC6E9C"/>
    <w:rsid w:val="4E0062C6"/>
    <w:rsid w:val="4E217FEA"/>
    <w:rsid w:val="4E257655"/>
    <w:rsid w:val="4E30647F"/>
    <w:rsid w:val="4E321BC5"/>
    <w:rsid w:val="4E455429"/>
    <w:rsid w:val="4E50267E"/>
    <w:rsid w:val="4E791BD4"/>
    <w:rsid w:val="4E8C259A"/>
    <w:rsid w:val="4E9968C8"/>
    <w:rsid w:val="4EB40E5E"/>
    <w:rsid w:val="4EE7316A"/>
    <w:rsid w:val="4EF01605"/>
    <w:rsid w:val="4F0E056F"/>
    <w:rsid w:val="4F147B4F"/>
    <w:rsid w:val="4F372380"/>
    <w:rsid w:val="4F372FFB"/>
    <w:rsid w:val="4F5B1872"/>
    <w:rsid w:val="4F6C06CE"/>
    <w:rsid w:val="4F797D29"/>
    <w:rsid w:val="4F94647A"/>
    <w:rsid w:val="4FB84E80"/>
    <w:rsid w:val="4FD03A76"/>
    <w:rsid w:val="5025116D"/>
    <w:rsid w:val="504C5E65"/>
    <w:rsid w:val="506B19F1"/>
    <w:rsid w:val="50862720"/>
    <w:rsid w:val="508C05FE"/>
    <w:rsid w:val="508D5E04"/>
    <w:rsid w:val="50DD28EE"/>
    <w:rsid w:val="510A1C5F"/>
    <w:rsid w:val="511B51C5"/>
    <w:rsid w:val="51293924"/>
    <w:rsid w:val="52344790"/>
    <w:rsid w:val="52395ECD"/>
    <w:rsid w:val="524D7600"/>
    <w:rsid w:val="52AC1A23"/>
    <w:rsid w:val="52C10D75"/>
    <w:rsid w:val="52DB29CF"/>
    <w:rsid w:val="52F639DC"/>
    <w:rsid w:val="52F96CB5"/>
    <w:rsid w:val="5303580E"/>
    <w:rsid w:val="53482CFA"/>
    <w:rsid w:val="534F296A"/>
    <w:rsid w:val="53636732"/>
    <w:rsid w:val="53740C0D"/>
    <w:rsid w:val="53BB67EB"/>
    <w:rsid w:val="53C00770"/>
    <w:rsid w:val="53C27FF8"/>
    <w:rsid w:val="53C70524"/>
    <w:rsid w:val="53D37FD9"/>
    <w:rsid w:val="540C7F3B"/>
    <w:rsid w:val="541A5C08"/>
    <w:rsid w:val="5437467A"/>
    <w:rsid w:val="54471223"/>
    <w:rsid w:val="54482775"/>
    <w:rsid w:val="54501629"/>
    <w:rsid w:val="54806794"/>
    <w:rsid w:val="549E1A80"/>
    <w:rsid w:val="54C658F4"/>
    <w:rsid w:val="54F16CCE"/>
    <w:rsid w:val="54FD0164"/>
    <w:rsid w:val="550C4BD7"/>
    <w:rsid w:val="55243C65"/>
    <w:rsid w:val="553B6A47"/>
    <w:rsid w:val="554C1D56"/>
    <w:rsid w:val="55572986"/>
    <w:rsid w:val="557430F6"/>
    <w:rsid w:val="55C24889"/>
    <w:rsid w:val="55EB1088"/>
    <w:rsid w:val="55EB5419"/>
    <w:rsid w:val="55FA620E"/>
    <w:rsid w:val="560863F7"/>
    <w:rsid w:val="56352FE5"/>
    <w:rsid w:val="564360F2"/>
    <w:rsid w:val="564502F6"/>
    <w:rsid w:val="565340FA"/>
    <w:rsid w:val="566211A3"/>
    <w:rsid w:val="56644F18"/>
    <w:rsid w:val="567D422C"/>
    <w:rsid w:val="56AD5F59"/>
    <w:rsid w:val="56C60774"/>
    <w:rsid w:val="56C8194B"/>
    <w:rsid w:val="56C97802"/>
    <w:rsid w:val="56D73191"/>
    <w:rsid w:val="56F93226"/>
    <w:rsid w:val="57143B91"/>
    <w:rsid w:val="572D72BD"/>
    <w:rsid w:val="574725D3"/>
    <w:rsid w:val="575907F5"/>
    <w:rsid w:val="577613A7"/>
    <w:rsid w:val="578D3B9E"/>
    <w:rsid w:val="579E445A"/>
    <w:rsid w:val="57AE0B41"/>
    <w:rsid w:val="57B12A52"/>
    <w:rsid w:val="57C25C78"/>
    <w:rsid w:val="58B32187"/>
    <w:rsid w:val="58B91699"/>
    <w:rsid w:val="58F746F3"/>
    <w:rsid w:val="58FE166B"/>
    <w:rsid w:val="590D1897"/>
    <w:rsid w:val="590D5972"/>
    <w:rsid w:val="59103135"/>
    <w:rsid w:val="5930156B"/>
    <w:rsid w:val="593F0542"/>
    <w:rsid w:val="596B2779"/>
    <w:rsid w:val="59721EF2"/>
    <w:rsid w:val="59722E22"/>
    <w:rsid w:val="59814033"/>
    <w:rsid w:val="598F49A2"/>
    <w:rsid w:val="59A44AEC"/>
    <w:rsid w:val="59B60181"/>
    <w:rsid w:val="59C33B7A"/>
    <w:rsid w:val="59C40151"/>
    <w:rsid w:val="59C77C98"/>
    <w:rsid w:val="59DE6956"/>
    <w:rsid w:val="5A1E6660"/>
    <w:rsid w:val="5A2F2CC8"/>
    <w:rsid w:val="5A391297"/>
    <w:rsid w:val="5A4E2551"/>
    <w:rsid w:val="5A785D7F"/>
    <w:rsid w:val="5AC468CD"/>
    <w:rsid w:val="5AC76B87"/>
    <w:rsid w:val="5AD75B7A"/>
    <w:rsid w:val="5AF94C91"/>
    <w:rsid w:val="5B206502"/>
    <w:rsid w:val="5B345801"/>
    <w:rsid w:val="5B377F28"/>
    <w:rsid w:val="5B77749C"/>
    <w:rsid w:val="5B7E4CCE"/>
    <w:rsid w:val="5B8B4214"/>
    <w:rsid w:val="5BF5103B"/>
    <w:rsid w:val="5C10702D"/>
    <w:rsid w:val="5C152601"/>
    <w:rsid w:val="5C591F03"/>
    <w:rsid w:val="5C622513"/>
    <w:rsid w:val="5C623ABF"/>
    <w:rsid w:val="5C7B120D"/>
    <w:rsid w:val="5C8A1B2F"/>
    <w:rsid w:val="5D283874"/>
    <w:rsid w:val="5D296DE4"/>
    <w:rsid w:val="5D2B1ACF"/>
    <w:rsid w:val="5D3C4E79"/>
    <w:rsid w:val="5D5B7E02"/>
    <w:rsid w:val="5D9B1AB0"/>
    <w:rsid w:val="5E706EF3"/>
    <w:rsid w:val="5EBE53E1"/>
    <w:rsid w:val="5F390526"/>
    <w:rsid w:val="5F4B136B"/>
    <w:rsid w:val="5F4E13FA"/>
    <w:rsid w:val="5F561B72"/>
    <w:rsid w:val="5F5E25BD"/>
    <w:rsid w:val="5F897FD2"/>
    <w:rsid w:val="5FCD1A93"/>
    <w:rsid w:val="5FD274EE"/>
    <w:rsid w:val="5FE40A36"/>
    <w:rsid w:val="600B6B96"/>
    <w:rsid w:val="602D4171"/>
    <w:rsid w:val="60336BFF"/>
    <w:rsid w:val="60365B77"/>
    <w:rsid w:val="605D26B4"/>
    <w:rsid w:val="606007BB"/>
    <w:rsid w:val="606964BC"/>
    <w:rsid w:val="609C372E"/>
    <w:rsid w:val="60AC7F66"/>
    <w:rsid w:val="60B71ECD"/>
    <w:rsid w:val="60E1122D"/>
    <w:rsid w:val="612436F4"/>
    <w:rsid w:val="6126799A"/>
    <w:rsid w:val="61447E20"/>
    <w:rsid w:val="61891CD7"/>
    <w:rsid w:val="61BF10D9"/>
    <w:rsid w:val="61D163E7"/>
    <w:rsid w:val="623B1325"/>
    <w:rsid w:val="624A4446"/>
    <w:rsid w:val="62566DAE"/>
    <w:rsid w:val="627B1F67"/>
    <w:rsid w:val="62877E0E"/>
    <w:rsid w:val="628B3669"/>
    <w:rsid w:val="62A50F33"/>
    <w:rsid w:val="62A52B40"/>
    <w:rsid w:val="62AC22DC"/>
    <w:rsid w:val="62B6148B"/>
    <w:rsid w:val="6333639E"/>
    <w:rsid w:val="63617F2F"/>
    <w:rsid w:val="63865F80"/>
    <w:rsid w:val="639130C5"/>
    <w:rsid w:val="63A22BFD"/>
    <w:rsid w:val="63FE5307"/>
    <w:rsid w:val="64B65F0B"/>
    <w:rsid w:val="64B95EFB"/>
    <w:rsid w:val="64D46085"/>
    <w:rsid w:val="64D63485"/>
    <w:rsid w:val="64E45EF7"/>
    <w:rsid w:val="64F40B38"/>
    <w:rsid w:val="65127138"/>
    <w:rsid w:val="65197310"/>
    <w:rsid w:val="65303354"/>
    <w:rsid w:val="659550EE"/>
    <w:rsid w:val="65960684"/>
    <w:rsid w:val="65A76BCF"/>
    <w:rsid w:val="66142FC1"/>
    <w:rsid w:val="66370432"/>
    <w:rsid w:val="6645470D"/>
    <w:rsid w:val="66561DAB"/>
    <w:rsid w:val="667C57A3"/>
    <w:rsid w:val="667F27D9"/>
    <w:rsid w:val="66803B32"/>
    <w:rsid w:val="6691014E"/>
    <w:rsid w:val="66C87CCE"/>
    <w:rsid w:val="66C944CF"/>
    <w:rsid w:val="66F83B86"/>
    <w:rsid w:val="66FD7463"/>
    <w:rsid w:val="677435B2"/>
    <w:rsid w:val="677C0FFD"/>
    <w:rsid w:val="67AD049F"/>
    <w:rsid w:val="67D5211A"/>
    <w:rsid w:val="67EF75F1"/>
    <w:rsid w:val="683F2D3D"/>
    <w:rsid w:val="684B418A"/>
    <w:rsid w:val="684F4F11"/>
    <w:rsid w:val="688C5948"/>
    <w:rsid w:val="688E38F9"/>
    <w:rsid w:val="68B275FB"/>
    <w:rsid w:val="68ED1DBC"/>
    <w:rsid w:val="69124F16"/>
    <w:rsid w:val="691E364C"/>
    <w:rsid w:val="694D7A8E"/>
    <w:rsid w:val="695F613F"/>
    <w:rsid w:val="696F0988"/>
    <w:rsid w:val="697B479A"/>
    <w:rsid w:val="69B44071"/>
    <w:rsid w:val="69CD5C14"/>
    <w:rsid w:val="69CF0D33"/>
    <w:rsid w:val="69DD7064"/>
    <w:rsid w:val="6A1E73CB"/>
    <w:rsid w:val="6A75729C"/>
    <w:rsid w:val="6A90057A"/>
    <w:rsid w:val="6AAF2E61"/>
    <w:rsid w:val="6AF503DD"/>
    <w:rsid w:val="6B147755"/>
    <w:rsid w:val="6B247F4F"/>
    <w:rsid w:val="6B93191F"/>
    <w:rsid w:val="6B951962"/>
    <w:rsid w:val="6B9946B3"/>
    <w:rsid w:val="6BE518DA"/>
    <w:rsid w:val="6BE65440"/>
    <w:rsid w:val="6C043F62"/>
    <w:rsid w:val="6C044D7B"/>
    <w:rsid w:val="6C157E95"/>
    <w:rsid w:val="6C276F3A"/>
    <w:rsid w:val="6C4B5528"/>
    <w:rsid w:val="6C7007C7"/>
    <w:rsid w:val="6CA1081C"/>
    <w:rsid w:val="6CBD1609"/>
    <w:rsid w:val="6CC60283"/>
    <w:rsid w:val="6CE32CAB"/>
    <w:rsid w:val="6D626A28"/>
    <w:rsid w:val="6DE76850"/>
    <w:rsid w:val="6DFB0400"/>
    <w:rsid w:val="6E3F209B"/>
    <w:rsid w:val="6E89335C"/>
    <w:rsid w:val="6EA10A44"/>
    <w:rsid w:val="6EB67355"/>
    <w:rsid w:val="6EEB5DBA"/>
    <w:rsid w:val="6EF976BC"/>
    <w:rsid w:val="6F0E092D"/>
    <w:rsid w:val="6F1F6AC8"/>
    <w:rsid w:val="6F4656AB"/>
    <w:rsid w:val="6F4905E7"/>
    <w:rsid w:val="6F5D0D50"/>
    <w:rsid w:val="6FB20BD4"/>
    <w:rsid w:val="6FBA59BE"/>
    <w:rsid w:val="6FDE45CE"/>
    <w:rsid w:val="6FE949B4"/>
    <w:rsid w:val="70026D48"/>
    <w:rsid w:val="70296B3E"/>
    <w:rsid w:val="70374F0A"/>
    <w:rsid w:val="704F233D"/>
    <w:rsid w:val="70611204"/>
    <w:rsid w:val="70721977"/>
    <w:rsid w:val="70A4007D"/>
    <w:rsid w:val="70E34D01"/>
    <w:rsid w:val="70E44F52"/>
    <w:rsid w:val="711256BC"/>
    <w:rsid w:val="7121017E"/>
    <w:rsid w:val="71364DA7"/>
    <w:rsid w:val="714D3D36"/>
    <w:rsid w:val="71597917"/>
    <w:rsid w:val="715D51AE"/>
    <w:rsid w:val="7165620F"/>
    <w:rsid w:val="717039F8"/>
    <w:rsid w:val="7189529F"/>
    <w:rsid w:val="71B47D1E"/>
    <w:rsid w:val="71DE1BEE"/>
    <w:rsid w:val="7231619E"/>
    <w:rsid w:val="72621C7E"/>
    <w:rsid w:val="729C0E70"/>
    <w:rsid w:val="72C2329A"/>
    <w:rsid w:val="72CC5BD6"/>
    <w:rsid w:val="73A04439"/>
    <w:rsid w:val="73B52DFF"/>
    <w:rsid w:val="73CF27DB"/>
    <w:rsid w:val="73D2575F"/>
    <w:rsid w:val="740A1C05"/>
    <w:rsid w:val="74B7232E"/>
    <w:rsid w:val="74B8460D"/>
    <w:rsid w:val="74D13AD5"/>
    <w:rsid w:val="74EE2CB5"/>
    <w:rsid w:val="74FA2C30"/>
    <w:rsid w:val="74FA6E10"/>
    <w:rsid w:val="75037606"/>
    <w:rsid w:val="75297184"/>
    <w:rsid w:val="754D5C4B"/>
    <w:rsid w:val="75AD3D8E"/>
    <w:rsid w:val="75C86E1A"/>
    <w:rsid w:val="75F362BA"/>
    <w:rsid w:val="75F53E9B"/>
    <w:rsid w:val="76014CC7"/>
    <w:rsid w:val="76261D92"/>
    <w:rsid w:val="767E572A"/>
    <w:rsid w:val="768C49F9"/>
    <w:rsid w:val="76BE4694"/>
    <w:rsid w:val="76C240A7"/>
    <w:rsid w:val="76DA416A"/>
    <w:rsid w:val="76E57222"/>
    <w:rsid w:val="77080E21"/>
    <w:rsid w:val="771816DB"/>
    <w:rsid w:val="77185B7F"/>
    <w:rsid w:val="77356731"/>
    <w:rsid w:val="774424D0"/>
    <w:rsid w:val="775246B7"/>
    <w:rsid w:val="776C0FF7"/>
    <w:rsid w:val="77A546D4"/>
    <w:rsid w:val="77AC2772"/>
    <w:rsid w:val="77BF249E"/>
    <w:rsid w:val="77D648B9"/>
    <w:rsid w:val="77E43CB3"/>
    <w:rsid w:val="781E69D1"/>
    <w:rsid w:val="783F3D26"/>
    <w:rsid w:val="785E75C1"/>
    <w:rsid w:val="78760DAF"/>
    <w:rsid w:val="7883171E"/>
    <w:rsid w:val="78AB3E3D"/>
    <w:rsid w:val="78B95140"/>
    <w:rsid w:val="78F01723"/>
    <w:rsid w:val="78F96A24"/>
    <w:rsid w:val="7901747F"/>
    <w:rsid w:val="79366790"/>
    <w:rsid w:val="795B11E6"/>
    <w:rsid w:val="796C0DB6"/>
    <w:rsid w:val="79A60876"/>
    <w:rsid w:val="79D55FA9"/>
    <w:rsid w:val="79FF3E5B"/>
    <w:rsid w:val="7A1219CD"/>
    <w:rsid w:val="7A1940E8"/>
    <w:rsid w:val="7A263B6B"/>
    <w:rsid w:val="7A50520C"/>
    <w:rsid w:val="7A634A83"/>
    <w:rsid w:val="7A662E7E"/>
    <w:rsid w:val="7ABF2B05"/>
    <w:rsid w:val="7ACA53E2"/>
    <w:rsid w:val="7ACC4D23"/>
    <w:rsid w:val="7AE83ABA"/>
    <w:rsid w:val="7AEA1CF5"/>
    <w:rsid w:val="7AF46346"/>
    <w:rsid w:val="7B0F5EBF"/>
    <w:rsid w:val="7B130FB9"/>
    <w:rsid w:val="7B2D7249"/>
    <w:rsid w:val="7B914152"/>
    <w:rsid w:val="7BB618B8"/>
    <w:rsid w:val="7BCA5775"/>
    <w:rsid w:val="7BD71E38"/>
    <w:rsid w:val="7BDB0530"/>
    <w:rsid w:val="7BDF7F33"/>
    <w:rsid w:val="7BF64EDE"/>
    <w:rsid w:val="7BFF2E69"/>
    <w:rsid w:val="7C0E57A2"/>
    <w:rsid w:val="7C1A01F7"/>
    <w:rsid w:val="7C3A6597"/>
    <w:rsid w:val="7C400C1E"/>
    <w:rsid w:val="7C6158D2"/>
    <w:rsid w:val="7CAE6C00"/>
    <w:rsid w:val="7CB63E70"/>
    <w:rsid w:val="7CD56525"/>
    <w:rsid w:val="7D136827"/>
    <w:rsid w:val="7D885D68"/>
    <w:rsid w:val="7DCD7765"/>
    <w:rsid w:val="7DD11708"/>
    <w:rsid w:val="7DD73EBB"/>
    <w:rsid w:val="7DEE4A4F"/>
    <w:rsid w:val="7E0062A3"/>
    <w:rsid w:val="7E2067E3"/>
    <w:rsid w:val="7E2807F3"/>
    <w:rsid w:val="7E662974"/>
    <w:rsid w:val="7E9D7975"/>
    <w:rsid w:val="7EA115FD"/>
    <w:rsid w:val="7EAE6230"/>
    <w:rsid w:val="7EB3006D"/>
    <w:rsid w:val="7EBD579E"/>
    <w:rsid w:val="7EC167BD"/>
    <w:rsid w:val="7EE06F82"/>
    <w:rsid w:val="7F272D9E"/>
    <w:rsid w:val="7F477495"/>
    <w:rsid w:val="7F594A03"/>
    <w:rsid w:val="7F773442"/>
    <w:rsid w:val="7F775A00"/>
    <w:rsid w:val="7F9F194E"/>
    <w:rsid w:val="7FA301FD"/>
    <w:rsid w:val="7FAC32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9"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semiHidden="0" w:name="HTML Sample"/>
    <w:lsdException w:qFormat="1" w:uiPriority="99" w:name="HTML Typewriter"/>
    <w:lsdException w:qFormat="1"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8"/>
    <w:qFormat/>
    <w:uiPriority w:val="99"/>
    <w:pPr>
      <w:keepNext/>
      <w:keepLines/>
      <w:spacing w:before="260" w:after="260" w:line="416" w:lineRule="auto"/>
      <w:outlineLvl w:val="2"/>
    </w:pPr>
    <w:rPr>
      <w:b/>
      <w:bCs/>
      <w:sz w:val="32"/>
      <w:szCs w:val="32"/>
    </w:rPr>
  </w:style>
  <w:style w:type="paragraph" w:styleId="5">
    <w:name w:val="heading 4"/>
    <w:basedOn w:val="1"/>
    <w:next w:val="1"/>
    <w:link w:val="249"/>
    <w:qFormat/>
    <w:uiPriority w:val="0"/>
    <w:pPr>
      <w:keepNext/>
      <w:keepLines/>
      <w:spacing w:line="360" w:lineRule="auto"/>
      <w:outlineLvl w:val="3"/>
    </w:pPr>
    <w:rPr>
      <w:rFonts w:ascii="Arial" w:hAnsi="Arial"/>
      <w:b/>
      <w:bCs/>
      <w:sz w:val="28"/>
      <w:szCs w:val="28"/>
    </w:rPr>
  </w:style>
  <w:style w:type="paragraph" w:styleId="6">
    <w:name w:val="heading 5"/>
    <w:basedOn w:val="1"/>
    <w:next w:val="7"/>
    <w:link w:val="72"/>
    <w:qFormat/>
    <w:uiPriority w:val="9"/>
    <w:pPr>
      <w:keepNext/>
      <w:keepLines/>
      <w:spacing w:before="280" w:after="290" w:line="376" w:lineRule="auto"/>
      <w:outlineLvl w:val="4"/>
    </w:pPr>
    <w:rPr>
      <w:b/>
      <w:bCs/>
      <w:sz w:val="28"/>
      <w:szCs w:val="28"/>
    </w:rPr>
  </w:style>
  <w:style w:type="paragraph" w:styleId="8">
    <w:name w:val="heading 6"/>
    <w:basedOn w:val="1"/>
    <w:next w:val="1"/>
    <w:link w:val="74"/>
    <w:qFormat/>
    <w:uiPriority w:val="9"/>
    <w:pPr>
      <w:keepNext/>
      <w:keepLines/>
      <w:spacing w:before="240" w:after="64" w:line="317" w:lineRule="auto"/>
      <w:outlineLvl w:val="5"/>
    </w:pPr>
    <w:rPr>
      <w:rFonts w:ascii="Cambria" w:hAnsi="Cambria"/>
      <w:b/>
      <w:bCs/>
      <w:kern w:val="0"/>
      <w:sz w:val="24"/>
    </w:rPr>
  </w:style>
  <w:style w:type="paragraph" w:styleId="9">
    <w:name w:val="heading 7"/>
    <w:basedOn w:val="1"/>
    <w:next w:val="1"/>
    <w:link w:val="247"/>
    <w:qFormat/>
    <w:uiPriority w:val="0"/>
    <w:pPr>
      <w:keepNext/>
      <w:keepLines/>
      <w:spacing w:before="240" w:after="64" w:line="317" w:lineRule="auto"/>
      <w:outlineLvl w:val="6"/>
    </w:pPr>
    <w:rPr>
      <w:b/>
      <w:bCs/>
      <w:kern w:val="0"/>
      <w:sz w:val="24"/>
    </w:rPr>
  </w:style>
  <w:style w:type="paragraph" w:styleId="10">
    <w:name w:val="heading 8"/>
    <w:basedOn w:val="1"/>
    <w:next w:val="1"/>
    <w:link w:val="76"/>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77"/>
    <w:qFormat/>
    <w:uiPriority w:val="0"/>
    <w:pPr>
      <w:keepNext/>
      <w:keepLines/>
      <w:spacing w:before="240" w:after="64" w:line="317" w:lineRule="auto"/>
      <w:outlineLvl w:val="8"/>
    </w:pPr>
    <w:rPr>
      <w:rFonts w:ascii="Cambria" w:hAnsi="Cambria"/>
      <w:kern w:val="0"/>
      <w:sz w:val="2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3"/>
    <w:qFormat/>
    <w:uiPriority w:val="99"/>
    <w:pPr>
      <w:ind w:firstLine="420"/>
    </w:pPr>
    <w:rPr>
      <w:szCs w:val="20"/>
    </w:rPr>
  </w:style>
  <w:style w:type="paragraph" w:styleId="12">
    <w:name w:val="toc 7"/>
    <w:basedOn w:val="1"/>
    <w:next w:val="1"/>
    <w:qFormat/>
    <w:uiPriority w:val="39"/>
    <w:pPr>
      <w:ind w:left="2520" w:leftChars="1200"/>
    </w:pPr>
    <w:rPr>
      <w:rFonts w:ascii="Calibri" w:hAnsi="Calibri" w:cs="Calibri"/>
      <w:szCs w:val="21"/>
    </w:rPr>
  </w:style>
  <w:style w:type="paragraph" w:styleId="13">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qFormat/>
    <w:uiPriority w:val="99"/>
    <w:rPr>
      <w:rFonts w:ascii="Cambria" w:hAnsi="Cambria" w:eastAsia="黑体" w:cs="Cambria"/>
      <w:sz w:val="20"/>
      <w:szCs w:val="20"/>
    </w:rPr>
  </w:style>
  <w:style w:type="paragraph" w:styleId="15">
    <w:name w:val="Document Map"/>
    <w:basedOn w:val="1"/>
    <w:link w:val="78"/>
    <w:qFormat/>
    <w:uiPriority w:val="0"/>
    <w:pPr>
      <w:shd w:val="clear" w:color="auto" w:fill="000080"/>
    </w:pPr>
    <w:rPr>
      <w:sz w:val="24"/>
      <w:shd w:val="clear" w:color="auto" w:fill="000080"/>
    </w:rPr>
  </w:style>
  <w:style w:type="paragraph" w:styleId="16">
    <w:name w:val="annotation text"/>
    <w:basedOn w:val="1"/>
    <w:link w:val="79"/>
    <w:qFormat/>
    <w:uiPriority w:val="0"/>
    <w:pPr>
      <w:jc w:val="left"/>
    </w:pPr>
  </w:style>
  <w:style w:type="paragraph" w:styleId="17">
    <w:name w:val="Body Text 3"/>
    <w:basedOn w:val="1"/>
    <w:link w:val="80"/>
    <w:unhideWhenUsed/>
    <w:qFormat/>
    <w:uiPriority w:val="99"/>
    <w:pPr>
      <w:spacing w:after="120"/>
    </w:pPr>
    <w:rPr>
      <w:sz w:val="16"/>
      <w:szCs w:val="16"/>
    </w:rPr>
  </w:style>
  <w:style w:type="paragraph" w:styleId="18">
    <w:name w:val="Body Text"/>
    <w:basedOn w:val="1"/>
    <w:link w:val="81"/>
    <w:unhideWhenUsed/>
    <w:qFormat/>
    <w:uiPriority w:val="0"/>
    <w:pPr>
      <w:spacing w:after="120"/>
    </w:pPr>
  </w:style>
  <w:style w:type="paragraph" w:styleId="19">
    <w:name w:val="Body Text Indent"/>
    <w:basedOn w:val="1"/>
    <w:next w:val="20"/>
    <w:link w:val="82"/>
    <w:qFormat/>
    <w:uiPriority w:val="0"/>
    <w:pPr>
      <w:ind w:firstLine="830" w:firstLineChars="352"/>
    </w:pPr>
    <w:rPr>
      <w:rFonts w:ascii="仿宋_GB2312" w:eastAsia="仿宋_GB2312"/>
      <w:kern w:val="0"/>
      <w:sz w:val="32"/>
      <w:szCs w:val="20"/>
    </w:rPr>
  </w:style>
  <w:style w:type="paragraph" w:styleId="20">
    <w:name w:val="envelope return"/>
    <w:basedOn w:val="1"/>
    <w:qFormat/>
    <w:uiPriority w:val="0"/>
    <w:pPr>
      <w:snapToGrid w:val="0"/>
    </w:pPr>
    <w:rPr>
      <w:rFonts w:ascii="Arial" w:hAnsi="Arial"/>
    </w:rPr>
  </w:style>
  <w:style w:type="paragraph" w:styleId="21">
    <w:name w:val="List 2"/>
    <w:basedOn w:val="1"/>
    <w:unhideWhenUsed/>
    <w:qFormat/>
    <w:uiPriority w:val="99"/>
    <w:pPr>
      <w:ind w:left="100" w:leftChars="200" w:hanging="200" w:hangingChars="200"/>
      <w:contextualSpacing/>
    </w:pPr>
  </w:style>
  <w:style w:type="paragraph" w:styleId="22">
    <w:name w:val="index 4"/>
    <w:basedOn w:val="1"/>
    <w:next w:val="1"/>
    <w:semiHidden/>
    <w:qFormat/>
    <w:uiPriority w:val="99"/>
    <w:pPr>
      <w:ind w:left="600" w:leftChars="600"/>
    </w:pPr>
    <w:rPr>
      <w:szCs w:val="21"/>
    </w:rPr>
  </w:style>
  <w:style w:type="paragraph" w:styleId="23">
    <w:name w:val="toc 5"/>
    <w:basedOn w:val="1"/>
    <w:next w:val="1"/>
    <w:qFormat/>
    <w:uiPriority w:val="39"/>
    <w:pPr>
      <w:ind w:left="1680" w:leftChars="800"/>
    </w:pPr>
    <w:rPr>
      <w:rFonts w:ascii="Calibri" w:hAnsi="Calibri" w:cs="Calibri"/>
      <w:szCs w:val="21"/>
    </w:rPr>
  </w:style>
  <w:style w:type="paragraph" w:styleId="24">
    <w:name w:val="toc 3"/>
    <w:basedOn w:val="1"/>
    <w:next w:val="1"/>
    <w:qFormat/>
    <w:uiPriority w:val="39"/>
    <w:pPr>
      <w:ind w:left="840" w:leftChars="400"/>
    </w:pPr>
    <w:rPr>
      <w:szCs w:val="21"/>
    </w:rPr>
  </w:style>
  <w:style w:type="paragraph" w:styleId="25">
    <w:name w:val="Plain Text"/>
    <w:basedOn w:val="1"/>
    <w:next w:val="1"/>
    <w:link w:val="83"/>
    <w:qFormat/>
    <w:uiPriority w:val="0"/>
    <w:rPr>
      <w:rFonts w:ascii="宋体" w:hAnsi="Courier New"/>
      <w:kern w:val="0"/>
      <w:sz w:val="20"/>
      <w:szCs w:val="21"/>
    </w:rPr>
  </w:style>
  <w:style w:type="paragraph" w:styleId="26">
    <w:name w:val="toc 8"/>
    <w:basedOn w:val="1"/>
    <w:next w:val="1"/>
    <w:qFormat/>
    <w:uiPriority w:val="39"/>
    <w:pPr>
      <w:ind w:left="2940" w:leftChars="1400"/>
    </w:pPr>
    <w:rPr>
      <w:rFonts w:ascii="Calibri" w:hAnsi="Calibri" w:cs="Calibri"/>
      <w:szCs w:val="21"/>
    </w:rPr>
  </w:style>
  <w:style w:type="paragraph" w:styleId="27">
    <w:name w:val="Date"/>
    <w:basedOn w:val="1"/>
    <w:next w:val="1"/>
    <w:link w:val="84"/>
    <w:unhideWhenUsed/>
    <w:qFormat/>
    <w:uiPriority w:val="99"/>
    <w:pPr>
      <w:ind w:left="100" w:leftChars="2500"/>
    </w:pPr>
  </w:style>
  <w:style w:type="paragraph" w:styleId="28">
    <w:name w:val="Body Text Indent 2"/>
    <w:basedOn w:val="1"/>
    <w:link w:val="85"/>
    <w:qFormat/>
    <w:uiPriority w:val="99"/>
    <w:pPr>
      <w:spacing w:after="120" w:line="480" w:lineRule="auto"/>
      <w:ind w:left="420" w:leftChars="200"/>
    </w:pPr>
    <w:rPr>
      <w:sz w:val="24"/>
    </w:rPr>
  </w:style>
  <w:style w:type="paragraph" w:styleId="29">
    <w:name w:val="Balloon Text"/>
    <w:basedOn w:val="1"/>
    <w:link w:val="86"/>
    <w:qFormat/>
    <w:uiPriority w:val="0"/>
    <w:rPr>
      <w:sz w:val="18"/>
      <w:szCs w:val="18"/>
    </w:rPr>
  </w:style>
  <w:style w:type="paragraph" w:styleId="30">
    <w:name w:val="footer"/>
    <w:basedOn w:val="1"/>
    <w:link w:val="87"/>
    <w:unhideWhenUsed/>
    <w:qFormat/>
    <w:uiPriority w:val="99"/>
    <w:pPr>
      <w:tabs>
        <w:tab w:val="center" w:pos="4153"/>
        <w:tab w:val="right" w:pos="8306"/>
      </w:tabs>
      <w:snapToGrid w:val="0"/>
      <w:jc w:val="left"/>
    </w:pPr>
    <w:rPr>
      <w:kern w:val="0"/>
      <w:sz w:val="18"/>
      <w:szCs w:val="18"/>
    </w:rPr>
  </w:style>
  <w:style w:type="paragraph" w:styleId="31">
    <w:name w:val="header"/>
    <w:basedOn w:val="1"/>
    <w:link w:val="8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unhideWhenUsed/>
    <w:qFormat/>
    <w:uiPriority w:val="39"/>
  </w:style>
  <w:style w:type="paragraph" w:styleId="33">
    <w:name w:val="toc 4"/>
    <w:basedOn w:val="1"/>
    <w:next w:val="1"/>
    <w:qFormat/>
    <w:uiPriority w:val="39"/>
    <w:pPr>
      <w:ind w:left="1260" w:leftChars="600"/>
    </w:pPr>
    <w:rPr>
      <w:rFonts w:ascii="Calibri" w:hAnsi="Calibri" w:cs="Calibri"/>
      <w:szCs w:val="21"/>
    </w:rPr>
  </w:style>
  <w:style w:type="paragraph" w:styleId="34">
    <w:name w:val="Subtitle"/>
    <w:basedOn w:val="1"/>
    <w:next w:val="1"/>
    <w:link w:val="89"/>
    <w:qFormat/>
    <w:uiPriority w:val="11"/>
    <w:pPr>
      <w:spacing w:before="240" w:after="60" w:line="312" w:lineRule="auto"/>
      <w:jc w:val="center"/>
      <w:outlineLvl w:val="1"/>
    </w:pPr>
    <w:rPr>
      <w:rFonts w:ascii="Cambria" w:hAnsi="Cambria"/>
      <w:b/>
      <w:bCs/>
      <w:kern w:val="28"/>
      <w:sz w:val="32"/>
      <w:szCs w:val="32"/>
    </w:rPr>
  </w:style>
  <w:style w:type="paragraph" w:styleId="35">
    <w:name w:val="footnote text"/>
    <w:basedOn w:val="1"/>
    <w:link w:val="90"/>
    <w:qFormat/>
    <w:uiPriority w:val="0"/>
    <w:pPr>
      <w:adjustRightInd w:val="0"/>
      <w:spacing w:line="312" w:lineRule="atLeast"/>
      <w:jc w:val="left"/>
      <w:textAlignment w:val="baseline"/>
    </w:pPr>
    <w:rPr>
      <w:kern w:val="0"/>
      <w:sz w:val="18"/>
      <w:szCs w:val="18"/>
    </w:rPr>
  </w:style>
  <w:style w:type="paragraph" w:styleId="36">
    <w:name w:val="toc 6"/>
    <w:basedOn w:val="1"/>
    <w:next w:val="1"/>
    <w:qFormat/>
    <w:uiPriority w:val="39"/>
    <w:pPr>
      <w:ind w:left="2100" w:leftChars="1000"/>
    </w:pPr>
    <w:rPr>
      <w:rFonts w:ascii="Calibri" w:hAnsi="Calibri" w:cs="Calibri"/>
      <w:szCs w:val="21"/>
    </w:rPr>
  </w:style>
  <w:style w:type="paragraph" w:styleId="37">
    <w:name w:val="toc 2"/>
    <w:basedOn w:val="1"/>
    <w:next w:val="1"/>
    <w:unhideWhenUsed/>
    <w:qFormat/>
    <w:uiPriority w:val="39"/>
    <w:pPr>
      <w:tabs>
        <w:tab w:val="right" w:leader="dot" w:pos="8296"/>
      </w:tabs>
      <w:ind w:left="420" w:leftChars="200"/>
    </w:pPr>
  </w:style>
  <w:style w:type="paragraph" w:styleId="38">
    <w:name w:val="toc 9"/>
    <w:basedOn w:val="1"/>
    <w:next w:val="1"/>
    <w:qFormat/>
    <w:uiPriority w:val="39"/>
    <w:pPr>
      <w:ind w:left="3360" w:leftChars="1600"/>
    </w:pPr>
    <w:rPr>
      <w:rFonts w:ascii="Calibri" w:hAnsi="Calibri" w:cs="Calibri"/>
      <w:szCs w:val="21"/>
    </w:rPr>
  </w:style>
  <w:style w:type="paragraph" w:styleId="39">
    <w:name w:val="HTML Preformatted"/>
    <w:basedOn w:val="1"/>
    <w:link w:val="9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40">
    <w:name w:val="Normal (Web)"/>
    <w:basedOn w:val="1"/>
    <w:unhideWhenUsed/>
    <w:qFormat/>
    <w:uiPriority w:val="99"/>
    <w:rPr>
      <w:rFonts w:ascii="Calibri" w:hAnsi="Calibri"/>
      <w:kern w:val="0"/>
      <w:sz w:val="24"/>
    </w:rPr>
  </w:style>
  <w:style w:type="paragraph" w:styleId="41">
    <w:name w:val="Title"/>
    <w:basedOn w:val="1"/>
    <w:next w:val="1"/>
    <w:link w:val="92"/>
    <w:qFormat/>
    <w:uiPriority w:val="0"/>
    <w:pPr>
      <w:spacing w:before="240" w:after="60"/>
      <w:jc w:val="center"/>
      <w:outlineLvl w:val="0"/>
    </w:pPr>
    <w:rPr>
      <w:rFonts w:ascii="Cambria" w:hAnsi="Cambria"/>
      <w:b/>
      <w:bCs/>
      <w:sz w:val="32"/>
      <w:szCs w:val="32"/>
    </w:rPr>
  </w:style>
  <w:style w:type="paragraph" w:styleId="42">
    <w:name w:val="annotation subject"/>
    <w:basedOn w:val="16"/>
    <w:next w:val="16"/>
    <w:link w:val="93"/>
    <w:qFormat/>
    <w:uiPriority w:val="99"/>
    <w:rPr>
      <w:b/>
      <w:bCs/>
    </w:rPr>
  </w:style>
  <w:style w:type="paragraph" w:styleId="43">
    <w:name w:val="Body Text First Indent"/>
    <w:basedOn w:val="18"/>
    <w:unhideWhenUsed/>
    <w:qFormat/>
    <w:uiPriority w:val="0"/>
    <w:pPr>
      <w:ind w:firstLine="420" w:firstLineChars="100"/>
    </w:pPr>
    <w:rPr>
      <w:rFonts w:eastAsia="Times New Roman"/>
      <w:kern w:val="0"/>
      <w:szCs w:val="20"/>
    </w:rPr>
  </w:style>
  <w:style w:type="paragraph" w:styleId="44">
    <w:name w:val="Body Text First Indent 2"/>
    <w:basedOn w:val="19"/>
    <w:qFormat/>
    <w:uiPriority w:val="0"/>
    <w:pPr>
      <w:ind w:firstLine="420" w:firstLineChars="200"/>
    </w:pPr>
    <w:rPr>
      <w:rFonts w:ascii="Calibri" w:hAnsi="Calibri"/>
      <w:kern w:val="2"/>
    </w:rPr>
  </w:style>
  <w:style w:type="table" w:styleId="46">
    <w:name w:val="Table Grid"/>
    <w:basedOn w:val="4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8">
    <w:name w:val="Strong"/>
    <w:qFormat/>
    <w:uiPriority w:val="22"/>
    <w:rPr>
      <w:b/>
      <w:bCs/>
    </w:rPr>
  </w:style>
  <w:style w:type="character" w:styleId="49">
    <w:name w:val="endnote reference"/>
    <w:unhideWhenUsed/>
    <w:qFormat/>
    <w:uiPriority w:val="99"/>
    <w:rPr>
      <w:vertAlign w:val="superscript"/>
    </w:rPr>
  </w:style>
  <w:style w:type="character" w:styleId="50">
    <w:name w:val="page number"/>
    <w:basedOn w:val="47"/>
    <w:qFormat/>
    <w:uiPriority w:val="99"/>
  </w:style>
  <w:style w:type="character" w:styleId="51">
    <w:name w:val="FollowedHyperlink"/>
    <w:qFormat/>
    <w:uiPriority w:val="99"/>
    <w:rPr>
      <w:color w:val="800080"/>
      <w:u w:val="single"/>
    </w:rPr>
  </w:style>
  <w:style w:type="character" w:styleId="52">
    <w:name w:val="Emphasis"/>
    <w:qFormat/>
    <w:uiPriority w:val="99"/>
    <w:rPr>
      <w:i/>
      <w:iCs/>
    </w:rPr>
  </w:style>
  <w:style w:type="character" w:styleId="53">
    <w:name w:val="HTML Definition"/>
    <w:basedOn w:val="47"/>
    <w:semiHidden/>
    <w:unhideWhenUsed/>
    <w:qFormat/>
    <w:uiPriority w:val="99"/>
  </w:style>
  <w:style w:type="character" w:styleId="54">
    <w:name w:val="HTML Typewriter"/>
    <w:basedOn w:val="47"/>
    <w:semiHidden/>
    <w:unhideWhenUsed/>
    <w:qFormat/>
    <w:uiPriority w:val="99"/>
    <w:rPr>
      <w:rFonts w:hint="default" w:ascii="monospace" w:hAnsi="monospace" w:eastAsia="monospace" w:cs="monospace"/>
      <w:sz w:val="20"/>
    </w:rPr>
  </w:style>
  <w:style w:type="character" w:styleId="55">
    <w:name w:val="HTML Acronym"/>
    <w:basedOn w:val="47"/>
    <w:semiHidden/>
    <w:unhideWhenUsed/>
    <w:qFormat/>
    <w:uiPriority w:val="99"/>
  </w:style>
  <w:style w:type="character" w:styleId="56">
    <w:name w:val="HTML Variable"/>
    <w:basedOn w:val="47"/>
    <w:semiHidden/>
    <w:unhideWhenUsed/>
    <w:qFormat/>
    <w:uiPriority w:val="99"/>
  </w:style>
  <w:style w:type="character" w:styleId="57">
    <w:name w:val="Hyperlink"/>
    <w:unhideWhenUsed/>
    <w:qFormat/>
    <w:uiPriority w:val="99"/>
    <w:rPr>
      <w:color w:val="0000FF"/>
      <w:u w:val="single"/>
    </w:rPr>
  </w:style>
  <w:style w:type="character" w:styleId="58">
    <w:name w:val="HTML Code"/>
    <w:basedOn w:val="47"/>
    <w:semiHidden/>
    <w:unhideWhenUsed/>
    <w:qFormat/>
    <w:uiPriority w:val="99"/>
    <w:rPr>
      <w:rFonts w:hint="default" w:ascii="monospace" w:hAnsi="monospace" w:eastAsia="monospace" w:cs="monospace"/>
      <w:sz w:val="20"/>
    </w:rPr>
  </w:style>
  <w:style w:type="character" w:styleId="59">
    <w:name w:val="annotation reference"/>
    <w:qFormat/>
    <w:uiPriority w:val="0"/>
    <w:rPr>
      <w:sz w:val="21"/>
      <w:szCs w:val="21"/>
    </w:rPr>
  </w:style>
  <w:style w:type="character" w:styleId="60">
    <w:name w:val="HTML Cite"/>
    <w:basedOn w:val="47"/>
    <w:semiHidden/>
    <w:unhideWhenUsed/>
    <w:qFormat/>
    <w:uiPriority w:val="99"/>
  </w:style>
  <w:style w:type="character" w:styleId="61">
    <w:name w:val="footnote reference"/>
    <w:basedOn w:val="47"/>
    <w:unhideWhenUsed/>
    <w:qFormat/>
    <w:uiPriority w:val="0"/>
    <w:rPr>
      <w:vertAlign w:val="superscript"/>
    </w:rPr>
  </w:style>
  <w:style w:type="character" w:styleId="62">
    <w:name w:val="HTML Keyboard"/>
    <w:basedOn w:val="47"/>
    <w:semiHidden/>
    <w:unhideWhenUsed/>
    <w:qFormat/>
    <w:uiPriority w:val="99"/>
    <w:rPr>
      <w:rFonts w:ascii="monospace" w:hAnsi="monospace" w:eastAsia="monospace" w:cs="monospace"/>
      <w:sz w:val="20"/>
    </w:rPr>
  </w:style>
  <w:style w:type="character" w:styleId="63">
    <w:name w:val="HTML Sample"/>
    <w:basedOn w:val="47"/>
    <w:unhideWhenUsed/>
    <w:qFormat/>
    <w:uiPriority w:val="99"/>
    <w:rPr>
      <w:rFonts w:hint="default" w:ascii="monospace" w:hAnsi="monospace" w:eastAsia="monospace" w:cs="monospace"/>
    </w:rPr>
  </w:style>
  <w:style w:type="paragraph" w:customStyle="1" w:styleId="64">
    <w:name w:val="Default"/>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6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6">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paragraph" w:customStyle="1" w:styleId="67">
    <w:name w:val="font5"/>
    <w:basedOn w:val="1"/>
    <w:next w:val="26"/>
    <w:qFormat/>
    <w:uiPriority w:val="0"/>
    <w:pPr>
      <w:widowControl/>
      <w:spacing w:before="280" w:after="280"/>
    </w:pPr>
    <w:rPr>
      <w:rFonts w:ascii="宋体"/>
      <w:sz w:val="18"/>
    </w:rPr>
  </w:style>
  <w:style w:type="character" w:customStyle="1" w:styleId="68">
    <w:name w:val="标题 1 字符"/>
    <w:link w:val="2"/>
    <w:qFormat/>
    <w:uiPriority w:val="0"/>
    <w:rPr>
      <w:b/>
      <w:bCs/>
      <w:kern w:val="44"/>
      <w:sz w:val="44"/>
      <w:szCs w:val="44"/>
    </w:rPr>
  </w:style>
  <w:style w:type="character" w:customStyle="1" w:styleId="69">
    <w:name w:val="标题 2 字符"/>
    <w:link w:val="3"/>
    <w:qFormat/>
    <w:uiPriority w:val="9"/>
    <w:rPr>
      <w:rFonts w:ascii="Cambria" w:hAnsi="Cambria" w:eastAsia="宋体" w:cs="Times New Roman"/>
      <w:b/>
      <w:bCs/>
      <w:kern w:val="2"/>
      <w:sz w:val="32"/>
      <w:szCs w:val="32"/>
    </w:rPr>
  </w:style>
  <w:style w:type="character" w:customStyle="1" w:styleId="70">
    <w:name w:val="标题 3 字符"/>
    <w:basedOn w:val="47"/>
    <w:qFormat/>
    <w:uiPriority w:val="0"/>
    <w:rPr>
      <w:b/>
      <w:bCs/>
      <w:kern w:val="2"/>
      <w:sz w:val="32"/>
      <w:szCs w:val="32"/>
    </w:rPr>
  </w:style>
  <w:style w:type="character" w:customStyle="1" w:styleId="71">
    <w:name w:val="标题 4 字符"/>
    <w:basedOn w:val="47"/>
    <w:qFormat/>
    <w:uiPriority w:val="9"/>
    <w:rPr>
      <w:rFonts w:ascii="Arial" w:hAnsi="Arial"/>
      <w:b/>
      <w:bCs/>
      <w:kern w:val="2"/>
      <w:sz w:val="28"/>
      <w:szCs w:val="28"/>
    </w:rPr>
  </w:style>
  <w:style w:type="character" w:customStyle="1" w:styleId="72">
    <w:name w:val="标题 5 字符"/>
    <w:link w:val="6"/>
    <w:qFormat/>
    <w:uiPriority w:val="9"/>
    <w:rPr>
      <w:rFonts w:ascii="Times New Roman" w:hAnsi="Times New Roman"/>
      <w:b/>
      <w:bCs/>
      <w:kern w:val="2"/>
      <w:sz w:val="28"/>
      <w:szCs w:val="28"/>
    </w:rPr>
  </w:style>
  <w:style w:type="character" w:customStyle="1" w:styleId="73">
    <w:name w:val="正文缩进 字符"/>
    <w:link w:val="7"/>
    <w:qFormat/>
    <w:uiPriority w:val="99"/>
    <w:rPr>
      <w:kern w:val="2"/>
      <w:sz w:val="21"/>
    </w:rPr>
  </w:style>
  <w:style w:type="character" w:customStyle="1" w:styleId="74">
    <w:name w:val="标题 6 字符"/>
    <w:basedOn w:val="47"/>
    <w:link w:val="8"/>
    <w:qFormat/>
    <w:uiPriority w:val="9"/>
    <w:rPr>
      <w:rFonts w:ascii="Cambria" w:hAnsi="Cambria"/>
      <w:b/>
      <w:bCs/>
      <w:sz w:val="24"/>
      <w:szCs w:val="24"/>
    </w:rPr>
  </w:style>
  <w:style w:type="character" w:customStyle="1" w:styleId="75">
    <w:name w:val="标题 7 字符"/>
    <w:basedOn w:val="47"/>
    <w:qFormat/>
    <w:uiPriority w:val="0"/>
    <w:rPr>
      <w:b/>
      <w:bCs/>
      <w:sz w:val="24"/>
      <w:szCs w:val="24"/>
    </w:rPr>
  </w:style>
  <w:style w:type="character" w:customStyle="1" w:styleId="76">
    <w:name w:val="标题 8 字符"/>
    <w:link w:val="10"/>
    <w:semiHidden/>
    <w:qFormat/>
    <w:uiPriority w:val="9"/>
    <w:rPr>
      <w:rFonts w:ascii="等线 Light" w:hAnsi="等线 Light" w:eastAsia="等线 Light" w:cs="Times New Roman"/>
      <w:kern w:val="2"/>
      <w:sz w:val="24"/>
      <w:szCs w:val="24"/>
    </w:rPr>
  </w:style>
  <w:style w:type="character" w:customStyle="1" w:styleId="77">
    <w:name w:val="标题 9 字符"/>
    <w:basedOn w:val="47"/>
    <w:link w:val="11"/>
    <w:qFormat/>
    <w:uiPriority w:val="0"/>
    <w:rPr>
      <w:rFonts w:ascii="Cambria" w:hAnsi="Cambria"/>
      <w:szCs w:val="21"/>
    </w:rPr>
  </w:style>
  <w:style w:type="character" w:customStyle="1" w:styleId="78">
    <w:name w:val="文档结构图 字符"/>
    <w:basedOn w:val="47"/>
    <w:link w:val="15"/>
    <w:qFormat/>
    <w:uiPriority w:val="0"/>
    <w:rPr>
      <w:kern w:val="2"/>
      <w:sz w:val="24"/>
      <w:szCs w:val="24"/>
      <w:shd w:val="clear" w:color="auto" w:fill="000080"/>
    </w:rPr>
  </w:style>
  <w:style w:type="character" w:customStyle="1" w:styleId="79">
    <w:name w:val="批注文字 字符2"/>
    <w:link w:val="16"/>
    <w:qFormat/>
    <w:uiPriority w:val="0"/>
    <w:rPr>
      <w:rFonts w:ascii="Times New Roman" w:hAnsi="Times New Roman"/>
      <w:kern w:val="2"/>
      <w:sz w:val="21"/>
      <w:szCs w:val="24"/>
    </w:rPr>
  </w:style>
  <w:style w:type="character" w:customStyle="1" w:styleId="80">
    <w:name w:val="正文文本 3 字符"/>
    <w:link w:val="17"/>
    <w:semiHidden/>
    <w:qFormat/>
    <w:uiPriority w:val="99"/>
    <w:rPr>
      <w:kern w:val="2"/>
      <w:sz w:val="16"/>
      <w:szCs w:val="16"/>
    </w:rPr>
  </w:style>
  <w:style w:type="character" w:customStyle="1" w:styleId="81">
    <w:name w:val="正文文本 字符1"/>
    <w:link w:val="18"/>
    <w:qFormat/>
    <w:uiPriority w:val="0"/>
    <w:rPr>
      <w:rFonts w:ascii="Times New Roman" w:hAnsi="Times New Roman"/>
      <w:kern w:val="2"/>
      <w:sz w:val="21"/>
      <w:szCs w:val="24"/>
    </w:rPr>
  </w:style>
  <w:style w:type="character" w:customStyle="1" w:styleId="82">
    <w:name w:val="正文文本缩进 字符"/>
    <w:link w:val="19"/>
    <w:qFormat/>
    <w:uiPriority w:val="0"/>
    <w:rPr>
      <w:rFonts w:ascii="仿宋_GB2312" w:hAnsi="Times New Roman" w:eastAsia="仿宋_GB2312" w:cs="Times New Roman"/>
      <w:sz w:val="32"/>
      <w:szCs w:val="20"/>
    </w:rPr>
  </w:style>
  <w:style w:type="character" w:customStyle="1" w:styleId="83">
    <w:name w:val="纯文本 字符3"/>
    <w:link w:val="25"/>
    <w:qFormat/>
    <w:uiPriority w:val="0"/>
    <w:rPr>
      <w:rFonts w:ascii="宋体" w:hAnsi="Courier New" w:eastAsia="宋体" w:cs="Courier New"/>
      <w:szCs w:val="21"/>
    </w:rPr>
  </w:style>
  <w:style w:type="character" w:customStyle="1" w:styleId="84">
    <w:name w:val="日期 字符"/>
    <w:link w:val="27"/>
    <w:qFormat/>
    <w:uiPriority w:val="99"/>
    <w:rPr>
      <w:rFonts w:ascii="Times New Roman" w:hAnsi="Times New Roman"/>
      <w:kern w:val="2"/>
      <w:sz w:val="21"/>
      <w:szCs w:val="24"/>
    </w:rPr>
  </w:style>
  <w:style w:type="character" w:customStyle="1" w:styleId="85">
    <w:name w:val="正文文本缩进 2 字符"/>
    <w:basedOn w:val="47"/>
    <w:link w:val="28"/>
    <w:qFormat/>
    <w:uiPriority w:val="99"/>
    <w:rPr>
      <w:kern w:val="2"/>
      <w:sz w:val="24"/>
      <w:szCs w:val="24"/>
    </w:rPr>
  </w:style>
  <w:style w:type="character" w:customStyle="1" w:styleId="86">
    <w:name w:val="批注框文本 字符"/>
    <w:link w:val="29"/>
    <w:qFormat/>
    <w:locked/>
    <w:uiPriority w:val="0"/>
    <w:rPr>
      <w:kern w:val="2"/>
      <w:sz w:val="18"/>
      <w:szCs w:val="18"/>
    </w:rPr>
  </w:style>
  <w:style w:type="character" w:customStyle="1" w:styleId="87">
    <w:name w:val="页脚 字符"/>
    <w:link w:val="30"/>
    <w:qFormat/>
    <w:uiPriority w:val="99"/>
    <w:rPr>
      <w:sz w:val="18"/>
      <w:szCs w:val="18"/>
    </w:rPr>
  </w:style>
  <w:style w:type="character" w:customStyle="1" w:styleId="88">
    <w:name w:val="页眉 字符"/>
    <w:link w:val="31"/>
    <w:qFormat/>
    <w:uiPriority w:val="99"/>
    <w:rPr>
      <w:sz w:val="18"/>
      <w:szCs w:val="18"/>
    </w:rPr>
  </w:style>
  <w:style w:type="character" w:customStyle="1" w:styleId="89">
    <w:name w:val="副标题 字符"/>
    <w:basedOn w:val="47"/>
    <w:link w:val="34"/>
    <w:qFormat/>
    <w:uiPriority w:val="11"/>
    <w:rPr>
      <w:rFonts w:ascii="Cambria" w:hAnsi="Cambria"/>
      <w:b/>
      <w:bCs/>
      <w:kern w:val="28"/>
      <w:sz w:val="32"/>
      <w:szCs w:val="32"/>
    </w:rPr>
  </w:style>
  <w:style w:type="character" w:customStyle="1" w:styleId="90">
    <w:name w:val="脚注文本 字符"/>
    <w:basedOn w:val="47"/>
    <w:link w:val="35"/>
    <w:semiHidden/>
    <w:qFormat/>
    <w:uiPriority w:val="0"/>
    <w:rPr>
      <w:sz w:val="18"/>
      <w:szCs w:val="18"/>
    </w:rPr>
  </w:style>
  <w:style w:type="character" w:customStyle="1" w:styleId="91">
    <w:name w:val="HTML 预设格式 字符"/>
    <w:basedOn w:val="47"/>
    <w:link w:val="39"/>
    <w:qFormat/>
    <w:uiPriority w:val="99"/>
    <w:rPr>
      <w:rFonts w:ascii="宋体" w:hAnsi="宋体"/>
      <w:sz w:val="24"/>
      <w:szCs w:val="24"/>
    </w:rPr>
  </w:style>
  <w:style w:type="character" w:customStyle="1" w:styleId="92">
    <w:name w:val="标题 字符"/>
    <w:basedOn w:val="47"/>
    <w:link w:val="41"/>
    <w:qFormat/>
    <w:uiPriority w:val="0"/>
    <w:rPr>
      <w:rFonts w:ascii="Cambria" w:hAnsi="Cambria"/>
      <w:b/>
      <w:bCs/>
      <w:kern w:val="2"/>
      <w:sz w:val="32"/>
      <w:szCs w:val="32"/>
    </w:rPr>
  </w:style>
  <w:style w:type="character" w:customStyle="1" w:styleId="93">
    <w:name w:val="批注主题 字符"/>
    <w:link w:val="42"/>
    <w:qFormat/>
    <w:uiPriority w:val="99"/>
    <w:rPr>
      <w:rFonts w:ascii="Times New Roman" w:hAnsi="Times New Roman"/>
      <w:b/>
      <w:bCs/>
      <w:kern w:val="2"/>
      <w:sz w:val="21"/>
      <w:szCs w:val="24"/>
    </w:rPr>
  </w:style>
  <w:style w:type="character" w:customStyle="1" w:styleId="94">
    <w:name w:val="书籍标题1"/>
    <w:qFormat/>
    <w:uiPriority w:val="99"/>
    <w:rPr>
      <w:b/>
      <w:bCs/>
      <w:smallCaps/>
      <w:spacing w:val="5"/>
    </w:rPr>
  </w:style>
  <w:style w:type="character" w:customStyle="1" w:styleId="95">
    <w:name w:val="Body text|5_"/>
    <w:link w:val="96"/>
    <w:qFormat/>
    <w:uiPriority w:val="0"/>
    <w:rPr>
      <w:rFonts w:ascii="宋体" w:hAnsi="宋体" w:cs="宋体"/>
      <w:sz w:val="52"/>
      <w:szCs w:val="52"/>
      <w:lang w:val="zh-CN" w:bidi="zh-CN"/>
    </w:rPr>
  </w:style>
  <w:style w:type="paragraph" w:customStyle="1" w:styleId="96">
    <w:name w:val="Body text|5"/>
    <w:basedOn w:val="1"/>
    <w:link w:val="95"/>
    <w:qFormat/>
    <w:uiPriority w:val="0"/>
    <w:pPr>
      <w:jc w:val="center"/>
    </w:pPr>
    <w:rPr>
      <w:rFonts w:ascii="宋体" w:hAnsi="宋体" w:cs="宋体"/>
      <w:kern w:val="0"/>
      <w:sz w:val="52"/>
      <w:szCs w:val="52"/>
      <w:lang w:val="zh-CN" w:bidi="zh-CN"/>
    </w:rPr>
  </w:style>
  <w:style w:type="character" w:customStyle="1" w:styleId="97">
    <w:name w:val="Body text|1_"/>
    <w:link w:val="98"/>
    <w:qFormat/>
    <w:uiPriority w:val="0"/>
    <w:rPr>
      <w:rFonts w:ascii="宋体" w:hAnsi="宋体" w:cs="宋体"/>
      <w:kern w:val="2"/>
      <w:sz w:val="21"/>
      <w:lang w:val="zh-CN" w:bidi="zh-CN"/>
    </w:rPr>
  </w:style>
  <w:style w:type="paragraph" w:customStyle="1" w:styleId="98">
    <w:name w:val="Body text|1"/>
    <w:basedOn w:val="1"/>
    <w:link w:val="97"/>
    <w:qFormat/>
    <w:uiPriority w:val="0"/>
    <w:pPr>
      <w:spacing w:line="360" w:lineRule="auto"/>
      <w:ind w:firstLine="400"/>
    </w:pPr>
    <w:rPr>
      <w:rFonts w:ascii="宋体" w:hAnsi="宋体" w:cs="宋体"/>
      <w:szCs w:val="20"/>
      <w:lang w:val="zh-CN" w:bidi="zh-CN"/>
    </w:rPr>
  </w:style>
  <w:style w:type="character" w:customStyle="1" w:styleId="99">
    <w:name w:val="Table caption|1_"/>
    <w:link w:val="100"/>
    <w:qFormat/>
    <w:uiPriority w:val="0"/>
    <w:rPr>
      <w:rFonts w:ascii="宋体" w:hAnsi="宋体" w:cs="宋体"/>
      <w:lang w:val="zh-CN" w:bidi="zh-CN"/>
    </w:rPr>
  </w:style>
  <w:style w:type="paragraph" w:customStyle="1" w:styleId="100">
    <w:name w:val="Table caption|1"/>
    <w:basedOn w:val="1"/>
    <w:link w:val="99"/>
    <w:qFormat/>
    <w:uiPriority w:val="0"/>
    <w:pPr>
      <w:jc w:val="left"/>
    </w:pPr>
    <w:rPr>
      <w:rFonts w:ascii="宋体" w:hAnsi="宋体" w:cs="宋体"/>
      <w:kern w:val="0"/>
      <w:sz w:val="20"/>
      <w:szCs w:val="20"/>
      <w:lang w:val="zh-CN" w:bidi="zh-CN"/>
    </w:rPr>
  </w:style>
  <w:style w:type="character" w:customStyle="1" w:styleId="101">
    <w:name w:val="Heading #4|1_"/>
    <w:link w:val="102"/>
    <w:qFormat/>
    <w:uiPriority w:val="0"/>
    <w:rPr>
      <w:rFonts w:ascii="宋体" w:hAnsi="宋体" w:cs="宋体"/>
      <w:lang w:val="zh-CN" w:bidi="zh-CN"/>
    </w:rPr>
  </w:style>
  <w:style w:type="paragraph" w:customStyle="1" w:styleId="102">
    <w:name w:val="Heading #4|1"/>
    <w:basedOn w:val="1"/>
    <w:link w:val="101"/>
    <w:qFormat/>
    <w:uiPriority w:val="0"/>
    <w:pPr>
      <w:spacing w:after="120"/>
      <w:jc w:val="left"/>
      <w:outlineLvl w:val="3"/>
    </w:pPr>
    <w:rPr>
      <w:rFonts w:ascii="宋体" w:hAnsi="宋体" w:cs="宋体"/>
      <w:kern w:val="0"/>
      <w:sz w:val="20"/>
      <w:szCs w:val="20"/>
      <w:lang w:val="zh-CN" w:bidi="zh-CN"/>
    </w:rPr>
  </w:style>
  <w:style w:type="character" w:customStyle="1" w:styleId="103">
    <w:name w:val="Body text|2_"/>
    <w:link w:val="104"/>
    <w:qFormat/>
    <w:uiPriority w:val="0"/>
    <w:rPr>
      <w:sz w:val="21"/>
    </w:rPr>
  </w:style>
  <w:style w:type="paragraph" w:customStyle="1" w:styleId="104">
    <w:name w:val="Body text|2"/>
    <w:basedOn w:val="1"/>
    <w:link w:val="103"/>
    <w:qFormat/>
    <w:uiPriority w:val="0"/>
    <w:pPr>
      <w:spacing w:after="30"/>
      <w:ind w:firstLine="420"/>
      <w:jc w:val="left"/>
    </w:pPr>
    <w:rPr>
      <w:kern w:val="0"/>
      <w:szCs w:val="20"/>
    </w:rPr>
  </w:style>
  <w:style w:type="character" w:customStyle="1" w:styleId="105">
    <w:name w:val="Heading #1|1_"/>
    <w:link w:val="106"/>
    <w:qFormat/>
    <w:uiPriority w:val="0"/>
    <w:rPr>
      <w:rFonts w:ascii="宋体" w:hAnsi="宋体" w:cs="宋体"/>
      <w:sz w:val="38"/>
      <w:szCs w:val="38"/>
      <w:lang w:val="zh-CN" w:bidi="zh-CN"/>
    </w:rPr>
  </w:style>
  <w:style w:type="paragraph" w:customStyle="1" w:styleId="106">
    <w:name w:val="Heading #1|1"/>
    <w:basedOn w:val="1"/>
    <w:link w:val="105"/>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107">
    <w:name w:val="Header or footer|2_"/>
    <w:link w:val="108"/>
    <w:qFormat/>
    <w:uiPriority w:val="0"/>
    <w:rPr>
      <w:lang w:val="zh-CN" w:bidi="zh-CN"/>
    </w:rPr>
  </w:style>
  <w:style w:type="paragraph" w:customStyle="1" w:styleId="108">
    <w:name w:val="Header or footer|2"/>
    <w:basedOn w:val="1"/>
    <w:link w:val="107"/>
    <w:qFormat/>
    <w:uiPriority w:val="0"/>
    <w:pPr>
      <w:jc w:val="left"/>
    </w:pPr>
    <w:rPr>
      <w:kern w:val="0"/>
      <w:sz w:val="20"/>
      <w:szCs w:val="20"/>
      <w:lang w:val="zh-CN" w:bidi="zh-CN"/>
    </w:rPr>
  </w:style>
  <w:style w:type="character" w:customStyle="1" w:styleId="109">
    <w:name w:val="Title Char"/>
    <w:qFormat/>
    <w:uiPriority w:val="99"/>
    <w:rPr>
      <w:rFonts w:ascii="Cambria" w:hAnsi="Cambria" w:cs="Cambria"/>
      <w:b/>
      <w:bCs/>
      <w:sz w:val="32"/>
      <w:szCs w:val="32"/>
    </w:rPr>
  </w:style>
  <w:style w:type="character" w:customStyle="1" w:styleId="110">
    <w:name w:val="Body text|3_"/>
    <w:link w:val="111"/>
    <w:qFormat/>
    <w:uiPriority w:val="0"/>
    <w:rPr>
      <w:rFonts w:ascii="宋体" w:hAnsi="宋体" w:cs="宋体"/>
      <w:lang w:val="zh-CN" w:bidi="zh-CN"/>
    </w:rPr>
  </w:style>
  <w:style w:type="paragraph" w:customStyle="1" w:styleId="111">
    <w:name w:val="Body text|3"/>
    <w:basedOn w:val="1"/>
    <w:link w:val="110"/>
    <w:qFormat/>
    <w:uiPriority w:val="0"/>
    <w:pPr>
      <w:spacing w:after="340"/>
      <w:jc w:val="left"/>
    </w:pPr>
    <w:rPr>
      <w:rFonts w:ascii="宋体" w:hAnsi="宋体" w:cs="宋体"/>
      <w:kern w:val="0"/>
      <w:sz w:val="20"/>
      <w:szCs w:val="20"/>
      <w:lang w:val="zh-CN" w:bidi="zh-CN"/>
    </w:rPr>
  </w:style>
  <w:style w:type="character" w:customStyle="1" w:styleId="112">
    <w:name w:val="Table of contents|1_"/>
    <w:link w:val="113"/>
    <w:qFormat/>
    <w:uiPriority w:val="0"/>
    <w:rPr>
      <w:rFonts w:ascii="宋体" w:hAnsi="宋体" w:cs="宋体"/>
      <w:lang w:val="zh-CN" w:bidi="zh-CN"/>
    </w:rPr>
  </w:style>
  <w:style w:type="paragraph" w:customStyle="1" w:styleId="113">
    <w:name w:val="Table of contents|1"/>
    <w:basedOn w:val="1"/>
    <w:link w:val="112"/>
    <w:qFormat/>
    <w:uiPriority w:val="0"/>
    <w:pPr>
      <w:spacing w:after="100"/>
      <w:ind w:firstLine="600"/>
      <w:jc w:val="left"/>
    </w:pPr>
    <w:rPr>
      <w:rFonts w:ascii="宋体" w:hAnsi="宋体" w:cs="宋体"/>
      <w:kern w:val="0"/>
      <w:sz w:val="20"/>
      <w:szCs w:val="20"/>
      <w:lang w:val="zh-CN" w:bidi="zh-CN"/>
    </w:rPr>
  </w:style>
  <w:style w:type="character" w:customStyle="1" w:styleId="114">
    <w:name w:val="Date Char"/>
    <w:qFormat/>
    <w:uiPriority w:val="99"/>
    <w:rPr>
      <w:rFonts w:eastAsia="宋体"/>
      <w:kern w:val="2"/>
      <w:sz w:val="24"/>
      <w:szCs w:val="24"/>
      <w:lang w:val="en-US" w:eastAsia="zh-CN"/>
    </w:rPr>
  </w:style>
  <w:style w:type="character" w:customStyle="1" w:styleId="115">
    <w:name w:val="Char Char9"/>
    <w:qFormat/>
    <w:uiPriority w:val="99"/>
    <w:rPr>
      <w:rFonts w:eastAsia="宋体"/>
      <w:b/>
      <w:bCs/>
      <w:kern w:val="44"/>
      <w:sz w:val="44"/>
      <w:szCs w:val="44"/>
      <w:lang w:val="en-US" w:eastAsia="zh-CN"/>
    </w:rPr>
  </w:style>
  <w:style w:type="character" w:customStyle="1" w:styleId="116">
    <w:name w:val="Document Map Char"/>
    <w:qFormat/>
    <w:uiPriority w:val="99"/>
    <w:rPr>
      <w:rFonts w:eastAsia="宋体"/>
      <w:kern w:val="2"/>
      <w:sz w:val="24"/>
      <w:szCs w:val="24"/>
      <w:lang w:val="en-US" w:eastAsia="zh-CN"/>
    </w:rPr>
  </w:style>
  <w:style w:type="character" w:customStyle="1" w:styleId="117">
    <w:name w:val="Header Char"/>
    <w:qFormat/>
    <w:uiPriority w:val="99"/>
    <w:rPr>
      <w:rFonts w:eastAsia="宋体"/>
      <w:kern w:val="2"/>
      <w:sz w:val="18"/>
      <w:szCs w:val="18"/>
      <w:lang w:val="en-US" w:eastAsia="zh-CN"/>
    </w:rPr>
  </w:style>
  <w:style w:type="character" w:customStyle="1" w:styleId="118">
    <w:name w:val="明显参考1"/>
    <w:qFormat/>
    <w:uiPriority w:val="99"/>
    <w:rPr>
      <w:b/>
      <w:bCs/>
      <w:smallCaps/>
      <w:color w:val="auto"/>
      <w:spacing w:val="5"/>
      <w:u w:val="single"/>
    </w:rPr>
  </w:style>
  <w:style w:type="character" w:customStyle="1" w:styleId="119">
    <w:name w:val="Heading 1 Char"/>
    <w:qFormat/>
    <w:uiPriority w:val="99"/>
    <w:rPr>
      <w:rFonts w:eastAsia="宋体"/>
      <w:b/>
      <w:bCs/>
      <w:kern w:val="44"/>
      <w:sz w:val="44"/>
      <w:szCs w:val="44"/>
      <w:lang w:val="en-US" w:eastAsia="zh-CN"/>
    </w:rPr>
  </w:style>
  <w:style w:type="character" w:customStyle="1" w:styleId="120">
    <w:name w:val="Comment Text Char"/>
    <w:qFormat/>
    <w:uiPriority w:val="99"/>
    <w:rPr>
      <w:sz w:val="24"/>
      <w:szCs w:val="24"/>
    </w:rPr>
  </w:style>
  <w:style w:type="character" w:customStyle="1" w:styleId="121">
    <w:name w:val="Char Char23"/>
    <w:qFormat/>
    <w:uiPriority w:val="99"/>
    <w:rPr>
      <w:rFonts w:eastAsia="宋体"/>
      <w:b/>
      <w:bCs/>
      <w:kern w:val="44"/>
      <w:sz w:val="44"/>
      <w:szCs w:val="44"/>
      <w:lang w:val="en-US" w:eastAsia="zh-CN"/>
    </w:rPr>
  </w:style>
  <w:style w:type="character" w:customStyle="1" w:styleId="122">
    <w:name w:val="Char Char181"/>
    <w:qFormat/>
    <w:uiPriority w:val="99"/>
    <w:rPr>
      <w:b/>
      <w:bCs/>
      <w:kern w:val="44"/>
      <w:sz w:val="44"/>
      <w:szCs w:val="44"/>
    </w:rPr>
  </w:style>
  <w:style w:type="character" w:customStyle="1" w:styleId="123">
    <w:name w:val="Char Char22"/>
    <w:qFormat/>
    <w:uiPriority w:val="99"/>
    <w:rPr>
      <w:rFonts w:ascii="Times New Roman" w:hAnsi="Times New Roman" w:eastAsia="宋体" w:cs="Times New Roman"/>
      <w:b/>
      <w:bCs/>
      <w:kern w:val="44"/>
      <w:sz w:val="44"/>
      <w:szCs w:val="44"/>
    </w:rPr>
  </w:style>
  <w:style w:type="character" w:customStyle="1" w:styleId="124">
    <w:name w:val="引用 Char1"/>
    <w:qFormat/>
    <w:uiPriority w:val="99"/>
    <w:rPr>
      <w:rFonts w:ascii="Times New Roman" w:hAnsi="Times New Roman" w:eastAsia="宋体" w:cs="Times New Roman"/>
      <w:i/>
      <w:iCs/>
      <w:color w:val="000000"/>
      <w:sz w:val="24"/>
      <w:szCs w:val="24"/>
    </w:rPr>
  </w:style>
  <w:style w:type="character" w:customStyle="1" w:styleId="125">
    <w:name w:val="Heading 3 Char1"/>
    <w:qFormat/>
    <w:uiPriority w:val="99"/>
    <w:rPr>
      <w:rFonts w:eastAsia="宋体"/>
      <w:b/>
      <w:bCs/>
      <w:kern w:val="2"/>
      <w:sz w:val="32"/>
      <w:szCs w:val="32"/>
      <w:lang w:val="en-US" w:eastAsia="zh-CN"/>
    </w:rPr>
  </w:style>
  <w:style w:type="character" w:customStyle="1" w:styleId="126">
    <w:name w:val="明显强调1"/>
    <w:qFormat/>
    <w:uiPriority w:val="99"/>
    <w:rPr>
      <w:b/>
      <w:bCs/>
      <w:i/>
      <w:iCs/>
      <w:color w:val="4F81BD"/>
    </w:rPr>
  </w:style>
  <w:style w:type="character" w:customStyle="1" w:styleId="127">
    <w:name w:val="明显引用 Char1"/>
    <w:qFormat/>
    <w:uiPriority w:val="99"/>
    <w:rPr>
      <w:rFonts w:ascii="Times New Roman" w:hAnsi="Times New Roman" w:eastAsia="宋体" w:cs="Times New Roman"/>
      <w:b/>
      <w:bCs/>
      <w:i/>
      <w:iCs/>
      <w:color w:val="4F81BD"/>
      <w:sz w:val="24"/>
      <w:szCs w:val="24"/>
    </w:rPr>
  </w:style>
  <w:style w:type="character" w:customStyle="1" w:styleId="128">
    <w:name w:val="标题 Char2"/>
    <w:qFormat/>
    <w:uiPriority w:val="99"/>
    <w:rPr>
      <w:rFonts w:ascii="Cambria" w:hAnsi="Cambria" w:eastAsia="宋体" w:cs="Cambria"/>
      <w:b/>
      <w:bCs/>
      <w:sz w:val="32"/>
      <w:szCs w:val="32"/>
    </w:rPr>
  </w:style>
  <w:style w:type="character" w:customStyle="1" w:styleId="129">
    <w:name w:val="标题 Char1"/>
    <w:qFormat/>
    <w:uiPriority w:val="99"/>
    <w:rPr>
      <w:rFonts w:ascii="Cambria" w:hAnsi="Cambria" w:eastAsia="宋体" w:cs="Cambria"/>
      <w:b/>
      <w:bCs/>
      <w:sz w:val="32"/>
      <w:szCs w:val="32"/>
    </w:rPr>
  </w:style>
  <w:style w:type="character" w:customStyle="1" w:styleId="130">
    <w:name w:val="Heading 5 Char"/>
    <w:qFormat/>
    <w:uiPriority w:val="99"/>
    <w:rPr>
      <w:rFonts w:eastAsia="宋体"/>
      <w:b/>
      <w:bCs/>
      <w:kern w:val="2"/>
      <w:sz w:val="28"/>
      <w:szCs w:val="28"/>
      <w:lang w:val="en-US" w:eastAsia="zh-CN"/>
    </w:rPr>
  </w:style>
  <w:style w:type="character" w:customStyle="1" w:styleId="131">
    <w:name w:val="标题 1 字符1"/>
    <w:qFormat/>
    <w:uiPriority w:val="0"/>
    <w:rPr>
      <w:b/>
      <w:bCs/>
      <w:kern w:val="44"/>
      <w:sz w:val="44"/>
      <w:szCs w:val="44"/>
    </w:rPr>
  </w:style>
  <w:style w:type="character" w:customStyle="1" w:styleId="132">
    <w:name w:val="明显引用 Char"/>
    <w:link w:val="133"/>
    <w:qFormat/>
    <w:locked/>
    <w:uiPriority w:val="99"/>
    <w:rPr>
      <w:b/>
      <w:bCs/>
      <w:i/>
      <w:iCs/>
      <w:color w:val="4F81BD"/>
    </w:rPr>
  </w:style>
  <w:style w:type="paragraph" w:customStyle="1" w:styleId="133">
    <w:name w:val="明显引用1"/>
    <w:basedOn w:val="1"/>
    <w:next w:val="1"/>
    <w:link w:val="132"/>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34">
    <w:name w:val="textcontents"/>
    <w:basedOn w:val="47"/>
    <w:qFormat/>
    <w:uiPriority w:val="0"/>
  </w:style>
  <w:style w:type="character" w:customStyle="1" w:styleId="135">
    <w:name w:val="Char Char19"/>
    <w:qFormat/>
    <w:uiPriority w:val="99"/>
    <w:rPr>
      <w:rFonts w:ascii="Arial" w:hAnsi="Arial" w:eastAsia="宋体" w:cs="Arial"/>
      <w:b/>
      <w:bCs/>
      <w:sz w:val="28"/>
      <w:szCs w:val="28"/>
    </w:rPr>
  </w:style>
  <w:style w:type="character" w:customStyle="1" w:styleId="136">
    <w:name w:val="批注文字 Char"/>
    <w:qFormat/>
    <w:uiPriority w:val="0"/>
    <w:rPr>
      <w:rFonts w:ascii="Times New Roman" w:hAnsi="Times New Roman"/>
      <w:kern w:val="2"/>
      <w:sz w:val="21"/>
      <w:szCs w:val="24"/>
    </w:rPr>
  </w:style>
  <w:style w:type="character" w:customStyle="1" w:styleId="137">
    <w:name w:val="标题5 Char Char"/>
    <w:link w:val="138"/>
    <w:qFormat/>
    <w:locked/>
    <w:uiPriority w:val="99"/>
    <w:rPr>
      <w:rFonts w:ascii="Arial" w:hAnsi="Arial" w:cs="Arial"/>
      <w:b/>
      <w:bCs/>
      <w:sz w:val="32"/>
      <w:szCs w:val="32"/>
    </w:rPr>
  </w:style>
  <w:style w:type="paragraph" w:customStyle="1" w:styleId="138">
    <w:name w:val="标题5"/>
    <w:basedOn w:val="4"/>
    <w:link w:val="137"/>
    <w:qFormat/>
    <w:uiPriority w:val="99"/>
    <w:pPr>
      <w:spacing w:line="413" w:lineRule="auto"/>
    </w:pPr>
    <w:rPr>
      <w:rFonts w:ascii="Arial" w:hAnsi="Arial"/>
      <w:kern w:val="0"/>
    </w:rPr>
  </w:style>
  <w:style w:type="character" w:customStyle="1" w:styleId="139">
    <w:name w:val="纯文本 字符"/>
    <w:qFormat/>
    <w:uiPriority w:val="0"/>
    <w:rPr>
      <w:rFonts w:ascii="宋体" w:hAnsi="Courier New" w:eastAsia="宋体" w:cs="Courier New"/>
      <w:szCs w:val="21"/>
    </w:rPr>
  </w:style>
  <w:style w:type="character" w:customStyle="1" w:styleId="140">
    <w:name w:val="引用 Char"/>
    <w:link w:val="141"/>
    <w:qFormat/>
    <w:locked/>
    <w:uiPriority w:val="99"/>
    <w:rPr>
      <w:i/>
      <w:iCs/>
      <w:color w:val="000000"/>
    </w:rPr>
  </w:style>
  <w:style w:type="paragraph" w:customStyle="1" w:styleId="141">
    <w:name w:val="引用1"/>
    <w:basedOn w:val="1"/>
    <w:next w:val="1"/>
    <w:link w:val="140"/>
    <w:qFormat/>
    <w:uiPriority w:val="99"/>
    <w:rPr>
      <w:i/>
      <w:iCs/>
      <w:color w:val="000000"/>
      <w:kern w:val="0"/>
      <w:sz w:val="20"/>
      <w:szCs w:val="20"/>
    </w:rPr>
  </w:style>
  <w:style w:type="character" w:customStyle="1" w:styleId="142">
    <w:name w:val="纯文本 Char"/>
    <w:qFormat/>
    <w:uiPriority w:val="0"/>
    <w:rPr>
      <w:rFonts w:ascii="宋体" w:hAnsi="Courier New" w:eastAsia="宋体" w:cs="Courier New"/>
      <w:szCs w:val="21"/>
    </w:rPr>
  </w:style>
  <w:style w:type="character" w:customStyle="1" w:styleId="143">
    <w:name w:val="日期 Char1"/>
    <w:qFormat/>
    <w:uiPriority w:val="99"/>
    <w:rPr>
      <w:rFonts w:ascii="Times New Roman" w:hAnsi="Times New Roman" w:eastAsia="宋体" w:cs="Times New Roman"/>
      <w:sz w:val="24"/>
      <w:szCs w:val="24"/>
    </w:rPr>
  </w:style>
  <w:style w:type="character" w:customStyle="1" w:styleId="144">
    <w:name w:val="纯文本 字符2"/>
    <w:qFormat/>
    <w:uiPriority w:val="0"/>
    <w:rPr>
      <w:rFonts w:ascii="宋体" w:hAnsi="Courier New" w:eastAsia="宋体" w:cs="Courier New"/>
      <w:szCs w:val="21"/>
    </w:rPr>
  </w:style>
  <w:style w:type="character" w:customStyle="1" w:styleId="145">
    <w:name w:val="Char Char91"/>
    <w:qFormat/>
    <w:uiPriority w:val="99"/>
    <w:rPr>
      <w:rFonts w:eastAsia="宋体"/>
      <w:b/>
      <w:bCs/>
      <w:kern w:val="44"/>
      <w:sz w:val="44"/>
      <w:szCs w:val="44"/>
      <w:lang w:val="en-US" w:eastAsia="zh-CN"/>
    </w:rPr>
  </w:style>
  <w:style w:type="character" w:customStyle="1" w:styleId="146">
    <w:name w:val="批注文字 字符1"/>
    <w:qFormat/>
    <w:uiPriority w:val="0"/>
    <w:rPr>
      <w:rFonts w:ascii="Times New Roman" w:hAnsi="Times New Roman"/>
      <w:kern w:val="2"/>
      <w:sz w:val="21"/>
      <w:szCs w:val="24"/>
    </w:rPr>
  </w:style>
  <w:style w:type="character" w:customStyle="1" w:styleId="147">
    <w:name w:val="Char Char6"/>
    <w:qFormat/>
    <w:uiPriority w:val="99"/>
    <w:rPr>
      <w:rFonts w:eastAsia="宋体"/>
      <w:b/>
      <w:bCs/>
      <w:kern w:val="44"/>
      <w:sz w:val="44"/>
      <w:szCs w:val="44"/>
      <w:lang w:val="en-US" w:eastAsia="zh-CN"/>
    </w:rPr>
  </w:style>
  <w:style w:type="character" w:customStyle="1" w:styleId="14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49">
    <w:name w:val="Comment Text Char1"/>
    <w:qFormat/>
    <w:uiPriority w:val="99"/>
    <w:rPr>
      <w:sz w:val="24"/>
      <w:szCs w:val="24"/>
    </w:rPr>
  </w:style>
  <w:style w:type="character" w:customStyle="1" w:styleId="150">
    <w:name w:val="纯文本 字符1"/>
    <w:qFormat/>
    <w:uiPriority w:val="0"/>
    <w:rPr>
      <w:rFonts w:ascii="宋体" w:hAnsi="Courier New"/>
    </w:rPr>
  </w:style>
  <w:style w:type="character" w:customStyle="1" w:styleId="151">
    <w:name w:val="Footer Char"/>
    <w:qFormat/>
    <w:uiPriority w:val="99"/>
    <w:rPr>
      <w:rFonts w:eastAsia="宋体"/>
      <w:kern w:val="2"/>
      <w:sz w:val="18"/>
      <w:szCs w:val="18"/>
      <w:lang w:val="en-US" w:eastAsia="zh-CN"/>
    </w:rPr>
  </w:style>
  <w:style w:type="character" w:customStyle="1" w:styleId="152">
    <w:name w:val="正文文本 Char"/>
    <w:qFormat/>
    <w:uiPriority w:val="0"/>
    <w:rPr>
      <w:rFonts w:ascii="Times New Roman" w:hAnsi="Times New Roman"/>
      <w:kern w:val="2"/>
      <w:sz w:val="21"/>
      <w:szCs w:val="24"/>
    </w:rPr>
  </w:style>
  <w:style w:type="character" w:customStyle="1" w:styleId="153">
    <w:name w:val="Body Text Indent 2 Char"/>
    <w:qFormat/>
    <w:uiPriority w:val="99"/>
    <w:rPr>
      <w:rFonts w:eastAsia="宋体"/>
      <w:kern w:val="2"/>
      <w:sz w:val="24"/>
      <w:szCs w:val="24"/>
      <w:lang w:val="en-US" w:eastAsia="zh-CN"/>
    </w:rPr>
  </w:style>
  <w:style w:type="character" w:customStyle="1" w:styleId="154">
    <w:name w:val="批注文字 字符"/>
    <w:qFormat/>
    <w:uiPriority w:val="0"/>
    <w:rPr>
      <w:rFonts w:ascii="Times New Roman" w:hAnsi="Times New Roman"/>
      <w:kern w:val="2"/>
      <w:sz w:val="21"/>
      <w:szCs w:val="24"/>
    </w:rPr>
  </w:style>
  <w:style w:type="character" w:customStyle="1" w:styleId="155">
    <w:name w:val="标题 2 Char"/>
    <w:qFormat/>
    <w:uiPriority w:val="9"/>
    <w:rPr>
      <w:rFonts w:ascii="Cambria" w:hAnsi="Cambria" w:eastAsia="宋体" w:cs="Times New Roman"/>
      <w:b/>
      <w:bCs/>
      <w:kern w:val="2"/>
      <w:sz w:val="32"/>
      <w:szCs w:val="32"/>
    </w:rPr>
  </w:style>
  <w:style w:type="character" w:customStyle="1" w:styleId="156">
    <w:name w:val="标题 8 Char"/>
    <w:qFormat/>
    <w:uiPriority w:val="0"/>
    <w:rPr>
      <w:rFonts w:ascii="Arial" w:hAnsi="Arial" w:eastAsia="黑体"/>
      <w:kern w:val="2"/>
      <w:sz w:val="24"/>
      <w:szCs w:val="24"/>
    </w:rPr>
  </w:style>
  <w:style w:type="character" w:customStyle="1" w:styleId="157">
    <w:name w:val="apple-style-span"/>
    <w:qFormat/>
    <w:uiPriority w:val="0"/>
  </w:style>
  <w:style w:type="character" w:customStyle="1" w:styleId="158">
    <w:name w:val="正文文本 字符"/>
    <w:qFormat/>
    <w:uiPriority w:val="0"/>
    <w:rPr>
      <w:rFonts w:ascii="Times New Roman" w:hAnsi="Times New Roman"/>
      <w:kern w:val="2"/>
      <w:sz w:val="21"/>
      <w:szCs w:val="24"/>
    </w:rPr>
  </w:style>
  <w:style w:type="character" w:customStyle="1" w:styleId="159">
    <w:name w:val="批注文字 Char2"/>
    <w:qFormat/>
    <w:uiPriority w:val="0"/>
    <w:rPr>
      <w:rFonts w:ascii="Times New Roman" w:hAnsi="Times New Roman"/>
      <w:kern w:val="2"/>
      <w:sz w:val="21"/>
      <w:szCs w:val="24"/>
    </w:rPr>
  </w:style>
  <w:style w:type="character" w:customStyle="1" w:styleId="160">
    <w:name w:val="正文2 Char Char"/>
    <w:link w:val="161"/>
    <w:qFormat/>
    <w:uiPriority w:val="0"/>
    <w:rPr>
      <w:kern w:val="2"/>
      <w:sz w:val="24"/>
    </w:rPr>
  </w:style>
  <w:style w:type="paragraph" w:customStyle="1" w:styleId="161">
    <w:name w:val="正文2"/>
    <w:basedOn w:val="1"/>
    <w:link w:val="160"/>
    <w:qFormat/>
    <w:uiPriority w:val="0"/>
    <w:pPr>
      <w:adjustRightInd w:val="0"/>
      <w:spacing w:before="156" w:line="360" w:lineRule="auto"/>
      <w:ind w:firstLine="510" w:firstLineChars="200"/>
    </w:pPr>
    <w:rPr>
      <w:sz w:val="24"/>
      <w:szCs w:val="20"/>
    </w:rPr>
  </w:style>
  <w:style w:type="character" w:customStyle="1" w:styleId="162">
    <w:name w:val="不明显强调1"/>
    <w:qFormat/>
    <w:uiPriority w:val="99"/>
    <w:rPr>
      <w:i/>
      <w:iCs/>
      <w:color w:val="808080"/>
    </w:rPr>
  </w:style>
  <w:style w:type="character" w:customStyle="1" w:styleId="163">
    <w:name w:val="Body text|6_"/>
    <w:link w:val="164"/>
    <w:qFormat/>
    <w:uiPriority w:val="0"/>
    <w:rPr>
      <w:rFonts w:ascii="Arial" w:hAnsi="Arial" w:eastAsia="Arial" w:cs="Arial"/>
      <w:lang w:val="zh-CN"/>
    </w:rPr>
  </w:style>
  <w:style w:type="paragraph" w:customStyle="1" w:styleId="164">
    <w:name w:val="Body text|6"/>
    <w:basedOn w:val="1"/>
    <w:link w:val="163"/>
    <w:qFormat/>
    <w:uiPriority w:val="0"/>
    <w:pPr>
      <w:ind w:hanging="2220"/>
      <w:jc w:val="left"/>
    </w:pPr>
    <w:rPr>
      <w:rFonts w:ascii="Arial" w:hAnsi="Arial" w:eastAsia="Arial"/>
      <w:kern w:val="0"/>
      <w:sz w:val="20"/>
      <w:szCs w:val="20"/>
      <w:lang w:val="zh-CN"/>
    </w:rPr>
  </w:style>
  <w:style w:type="character" w:customStyle="1" w:styleId="165">
    <w:name w:val="批注文字 Char Char"/>
    <w:qFormat/>
    <w:uiPriority w:val="99"/>
    <w:rPr>
      <w:rFonts w:ascii="宋体" w:hAnsi="Times New Roman" w:eastAsia="宋体" w:cs="宋体"/>
      <w:sz w:val="20"/>
      <w:szCs w:val="20"/>
    </w:rPr>
  </w:style>
  <w:style w:type="character" w:customStyle="1" w:styleId="166">
    <w:name w:val="Heading 3 Char"/>
    <w:qFormat/>
    <w:uiPriority w:val="99"/>
    <w:rPr>
      <w:b/>
      <w:bCs/>
      <w:kern w:val="2"/>
      <w:sz w:val="32"/>
      <w:szCs w:val="32"/>
    </w:rPr>
  </w:style>
  <w:style w:type="character" w:customStyle="1" w:styleId="167">
    <w:name w:val="Heading 2 Char"/>
    <w:qFormat/>
    <w:uiPriority w:val="99"/>
    <w:rPr>
      <w:rFonts w:ascii="Arial" w:hAnsi="Arial" w:eastAsia="黑体" w:cs="Arial"/>
      <w:b/>
      <w:bCs/>
      <w:kern w:val="2"/>
      <w:sz w:val="32"/>
      <w:szCs w:val="32"/>
      <w:lang w:val="en-US" w:eastAsia="zh-CN"/>
    </w:rPr>
  </w:style>
  <w:style w:type="character" w:customStyle="1" w:styleId="168">
    <w:name w:val="Balloon Text Char"/>
    <w:qFormat/>
    <w:uiPriority w:val="99"/>
    <w:rPr>
      <w:sz w:val="18"/>
      <w:szCs w:val="18"/>
    </w:rPr>
  </w:style>
  <w:style w:type="character" w:customStyle="1" w:styleId="169">
    <w:name w:val="文档结构图 Char1"/>
    <w:qFormat/>
    <w:uiPriority w:val="99"/>
    <w:rPr>
      <w:rFonts w:ascii="宋体" w:hAnsi="Times New Roman" w:eastAsia="宋体" w:cs="宋体"/>
      <w:sz w:val="18"/>
      <w:szCs w:val="18"/>
    </w:rPr>
  </w:style>
  <w:style w:type="character" w:customStyle="1" w:styleId="170">
    <w:name w:val="Footnote Text Char"/>
    <w:qFormat/>
    <w:uiPriority w:val="99"/>
    <w:rPr>
      <w:rFonts w:eastAsia="宋体"/>
      <w:sz w:val="18"/>
      <w:szCs w:val="18"/>
      <w:lang w:val="en-US" w:eastAsia="zh-CN"/>
    </w:rPr>
  </w:style>
  <w:style w:type="character" w:customStyle="1" w:styleId="171">
    <w:name w:val="Char Char21"/>
    <w:qFormat/>
    <w:uiPriority w:val="99"/>
    <w:rPr>
      <w:rFonts w:ascii="Arial" w:hAnsi="Arial" w:eastAsia="黑体" w:cs="Arial"/>
      <w:b/>
      <w:bCs/>
      <w:sz w:val="32"/>
      <w:szCs w:val="32"/>
    </w:rPr>
  </w:style>
  <w:style w:type="character" w:customStyle="1" w:styleId="172">
    <w:name w:val="Other|1_"/>
    <w:link w:val="173"/>
    <w:qFormat/>
    <w:uiPriority w:val="0"/>
    <w:rPr>
      <w:rFonts w:ascii="宋体" w:hAnsi="宋体" w:cs="宋体"/>
      <w:lang w:val="zh-CN" w:bidi="zh-CN"/>
    </w:rPr>
  </w:style>
  <w:style w:type="paragraph" w:customStyle="1" w:styleId="173">
    <w:name w:val="Other|1"/>
    <w:basedOn w:val="1"/>
    <w:link w:val="172"/>
    <w:qFormat/>
    <w:uiPriority w:val="0"/>
    <w:pPr>
      <w:spacing w:line="360" w:lineRule="auto"/>
      <w:ind w:firstLine="400"/>
      <w:jc w:val="left"/>
    </w:pPr>
    <w:rPr>
      <w:rFonts w:ascii="宋体" w:hAnsi="宋体" w:cs="宋体"/>
      <w:kern w:val="0"/>
      <w:sz w:val="20"/>
      <w:szCs w:val="20"/>
      <w:lang w:val="zh-CN" w:bidi="zh-CN"/>
    </w:rPr>
  </w:style>
  <w:style w:type="character" w:customStyle="1" w:styleId="174">
    <w:name w:val="Body Text Indent Char"/>
    <w:qFormat/>
    <w:uiPriority w:val="99"/>
    <w:rPr>
      <w:rFonts w:ascii="宋体" w:hAnsi="宋体" w:eastAsia="宋体" w:cs="宋体"/>
      <w:kern w:val="2"/>
      <w:sz w:val="21"/>
      <w:szCs w:val="21"/>
      <w:lang w:val="en-US" w:eastAsia="zh-CN"/>
    </w:rPr>
  </w:style>
  <w:style w:type="character" w:customStyle="1" w:styleId="175">
    <w:name w:val="不明显参考1"/>
    <w:qFormat/>
    <w:uiPriority w:val="99"/>
    <w:rPr>
      <w:smallCaps/>
      <w:color w:val="auto"/>
      <w:u w:val="single"/>
    </w:rPr>
  </w:style>
  <w:style w:type="character" w:customStyle="1" w:styleId="176">
    <w:name w:val="Heading 4 Char"/>
    <w:qFormat/>
    <w:uiPriority w:val="99"/>
    <w:rPr>
      <w:rFonts w:ascii="Arial" w:hAnsi="Arial" w:eastAsia="宋体" w:cs="Arial"/>
      <w:b/>
      <w:bCs/>
      <w:kern w:val="2"/>
      <w:sz w:val="28"/>
      <w:szCs w:val="28"/>
      <w:lang w:val="en-US" w:eastAsia="zh-CN"/>
    </w:rPr>
  </w:style>
  <w:style w:type="character" w:customStyle="1" w:styleId="177">
    <w:name w:val="Body text|7_"/>
    <w:link w:val="178"/>
    <w:qFormat/>
    <w:uiPriority w:val="0"/>
    <w:rPr>
      <w:rFonts w:ascii="Courier New" w:hAnsi="Courier New" w:eastAsia="Courier New" w:cs="Courier New"/>
      <w:b/>
      <w:bCs/>
      <w:sz w:val="8"/>
      <w:szCs w:val="8"/>
      <w:lang w:val="zh-CN"/>
    </w:rPr>
  </w:style>
  <w:style w:type="paragraph" w:customStyle="1" w:styleId="178">
    <w:name w:val="Body text|7"/>
    <w:basedOn w:val="1"/>
    <w:link w:val="177"/>
    <w:qFormat/>
    <w:uiPriority w:val="0"/>
    <w:pPr>
      <w:ind w:hanging="1760"/>
      <w:jc w:val="left"/>
    </w:pPr>
    <w:rPr>
      <w:rFonts w:ascii="Courier New" w:hAnsi="Courier New" w:eastAsia="Courier New"/>
      <w:b/>
      <w:bCs/>
      <w:kern w:val="0"/>
      <w:sz w:val="8"/>
      <w:szCs w:val="8"/>
      <w:lang w:val="zh-CN"/>
    </w:rPr>
  </w:style>
  <w:style w:type="character" w:customStyle="1" w:styleId="179">
    <w:name w:val="Char Char20"/>
    <w:qFormat/>
    <w:uiPriority w:val="99"/>
    <w:rPr>
      <w:rFonts w:ascii="Times New Roman" w:hAnsi="Times New Roman" w:eastAsia="宋体" w:cs="Times New Roman"/>
      <w:b/>
      <w:bCs/>
      <w:sz w:val="32"/>
      <w:szCs w:val="32"/>
    </w:rPr>
  </w:style>
  <w:style w:type="character" w:customStyle="1" w:styleId="180">
    <w:name w:val="Body text|4_"/>
    <w:link w:val="181"/>
    <w:qFormat/>
    <w:uiPriority w:val="0"/>
    <w:rPr>
      <w:rFonts w:ascii="宋体" w:hAnsi="宋体" w:cs="宋体"/>
      <w:b/>
      <w:bCs/>
      <w:sz w:val="17"/>
      <w:szCs w:val="17"/>
      <w:lang w:val="zh-CN" w:bidi="zh-CN"/>
    </w:rPr>
  </w:style>
  <w:style w:type="paragraph" w:customStyle="1" w:styleId="181">
    <w:name w:val="Body text|4"/>
    <w:basedOn w:val="1"/>
    <w:link w:val="180"/>
    <w:qFormat/>
    <w:uiPriority w:val="0"/>
    <w:pPr>
      <w:spacing w:line="281" w:lineRule="exact"/>
      <w:jc w:val="center"/>
    </w:pPr>
    <w:rPr>
      <w:rFonts w:ascii="宋体" w:hAnsi="宋体" w:cs="宋体"/>
      <w:b/>
      <w:bCs/>
      <w:kern w:val="0"/>
      <w:sz w:val="17"/>
      <w:szCs w:val="17"/>
      <w:lang w:val="zh-CN" w:bidi="zh-CN"/>
    </w:rPr>
  </w:style>
  <w:style w:type="character" w:customStyle="1" w:styleId="182">
    <w:name w:val="Comment Subject Char"/>
    <w:qFormat/>
    <w:uiPriority w:val="99"/>
    <w:rPr>
      <w:b/>
      <w:bCs/>
      <w:sz w:val="24"/>
      <w:szCs w:val="24"/>
    </w:rPr>
  </w:style>
  <w:style w:type="character" w:customStyle="1" w:styleId="183">
    <w:name w:val="Heading #2|1_"/>
    <w:link w:val="184"/>
    <w:qFormat/>
    <w:uiPriority w:val="0"/>
    <w:rPr>
      <w:rFonts w:ascii="宋体" w:hAnsi="宋体" w:cs="宋体"/>
      <w:sz w:val="34"/>
      <w:szCs w:val="34"/>
      <w:lang w:val="zh-CN" w:bidi="zh-CN"/>
    </w:rPr>
  </w:style>
  <w:style w:type="paragraph" w:customStyle="1" w:styleId="184">
    <w:name w:val="Heading #2|1"/>
    <w:basedOn w:val="1"/>
    <w:link w:val="183"/>
    <w:qFormat/>
    <w:uiPriority w:val="0"/>
    <w:pPr>
      <w:spacing w:after="900"/>
      <w:jc w:val="center"/>
      <w:outlineLvl w:val="1"/>
    </w:pPr>
    <w:rPr>
      <w:rFonts w:ascii="宋体" w:hAnsi="宋体" w:cs="宋体"/>
      <w:kern w:val="0"/>
      <w:sz w:val="34"/>
      <w:szCs w:val="34"/>
      <w:lang w:val="zh-CN" w:bidi="zh-CN"/>
    </w:rPr>
  </w:style>
  <w:style w:type="character" w:customStyle="1" w:styleId="185">
    <w:name w:val="批注框文本 Char1"/>
    <w:qFormat/>
    <w:uiPriority w:val="99"/>
    <w:rPr>
      <w:rFonts w:ascii="Times New Roman" w:hAnsi="Times New Roman" w:eastAsia="宋体" w:cs="Times New Roman"/>
      <w:sz w:val="18"/>
      <w:szCs w:val="18"/>
    </w:rPr>
  </w:style>
  <w:style w:type="character" w:customStyle="1" w:styleId="186">
    <w:name w:val="Char Char18"/>
    <w:qFormat/>
    <w:uiPriority w:val="99"/>
    <w:rPr>
      <w:rFonts w:ascii="Times New Roman" w:hAnsi="Times New Roman" w:eastAsia="宋体" w:cs="Times New Roman"/>
      <w:b/>
      <w:bCs/>
      <w:sz w:val="28"/>
      <w:szCs w:val="28"/>
    </w:rPr>
  </w:style>
  <w:style w:type="character" w:customStyle="1" w:styleId="187">
    <w:name w:val="批注主题 Char1"/>
    <w:qFormat/>
    <w:uiPriority w:val="99"/>
    <w:rPr>
      <w:rFonts w:ascii="Times New Roman" w:hAnsi="Times New Roman" w:eastAsia="宋体" w:cs="Times New Roman"/>
      <w:b/>
      <w:bCs/>
      <w:sz w:val="24"/>
      <w:szCs w:val="24"/>
    </w:rPr>
  </w:style>
  <w:style w:type="character" w:customStyle="1" w:styleId="188">
    <w:name w:val="Char Char24"/>
    <w:qFormat/>
    <w:uiPriority w:val="99"/>
    <w:rPr>
      <w:rFonts w:eastAsia="宋体"/>
      <w:b/>
      <w:bCs/>
      <w:kern w:val="44"/>
      <w:sz w:val="44"/>
      <w:szCs w:val="44"/>
      <w:lang w:val="en-US" w:eastAsia="zh-CN"/>
    </w:rPr>
  </w:style>
  <w:style w:type="character" w:customStyle="1" w:styleId="189">
    <w:name w:val="标题4 Char Char"/>
    <w:link w:val="190"/>
    <w:qFormat/>
    <w:locked/>
    <w:uiPriority w:val="99"/>
    <w:rPr>
      <w:rFonts w:ascii="Arial" w:hAnsi="Arial" w:cs="Arial"/>
      <w:b/>
      <w:bCs/>
      <w:sz w:val="32"/>
      <w:szCs w:val="32"/>
    </w:rPr>
  </w:style>
  <w:style w:type="paragraph" w:customStyle="1" w:styleId="190">
    <w:name w:val="标题4"/>
    <w:basedOn w:val="3"/>
    <w:next w:val="22"/>
    <w:link w:val="189"/>
    <w:qFormat/>
    <w:uiPriority w:val="99"/>
    <w:pPr>
      <w:spacing w:before="60" w:after="60" w:line="413" w:lineRule="auto"/>
    </w:pPr>
    <w:rPr>
      <w:rFonts w:ascii="Arial" w:hAnsi="Arial"/>
      <w:kern w:val="0"/>
    </w:rPr>
  </w:style>
  <w:style w:type="character" w:customStyle="1" w:styleId="191">
    <w:name w:val="Plain Text Char"/>
    <w:qFormat/>
    <w:uiPriority w:val="99"/>
    <w:rPr>
      <w:rFonts w:ascii="宋体" w:hAnsi="Courier New" w:eastAsia="宋体" w:cs="宋体"/>
      <w:sz w:val="24"/>
      <w:szCs w:val="24"/>
    </w:rPr>
  </w:style>
  <w:style w:type="character" w:customStyle="1" w:styleId="192">
    <w:name w:val="Header or footer|1_"/>
    <w:link w:val="193"/>
    <w:qFormat/>
    <w:uiPriority w:val="0"/>
    <w:rPr>
      <w:sz w:val="17"/>
      <w:szCs w:val="17"/>
      <w:lang w:val="zh-CN" w:bidi="zh-CN"/>
    </w:rPr>
  </w:style>
  <w:style w:type="paragraph" w:customStyle="1" w:styleId="193">
    <w:name w:val="Header or footer|1"/>
    <w:basedOn w:val="1"/>
    <w:link w:val="192"/>
    <w:qFormat/>
    <w:uiPriority w:val="0"/>
    <w:pPr>
      <w:jc w:val="center"/>
    </w:pPr>
    <w:rPr>
      <w:kern w:val="0"/>
      <w:sz w:val="17"/>
      <w:szCs w:val="17"/>
      <w:lang w:val="zh-CN" w:bidi="zh-CN"/>
    </w:rPr>
  </w:style>
  <w:style w:type="character" w:customStyle="1" w:styleId="194">
    <w:name w:val="Heading #3|1_"/>
    <w:link w:val="195"/>
    <w:qFormat/>
    <w:uiPriority w:val="0"/>
    <w:rPr>
      <w:rFonts w:ascii="宋体" w:hAnsi="宋体" w:cs="宋体"/>
      <w:sz w:val="28"/>
      <w:szCs w:val="28"/>
      <w:lang w:val="zh-CN" w:bidi="zh-CN"/>
    </w:rPr>
  </w:style>
  <w:style w:type="paragraph" w:customStyle="1" w:styleId="195">
    <w:name w:val="Heading #3|1"/>
    <w:basedOn w:val="1"/>
    <w:link w:val="194"/>
    <w:qFormat/>
    <w:uiPriority w:val="0"/>
    <w:pPr>
      <w:spacing w:after="570"/>
      <w:jc w:val="center"/>
      <w:outlineLvl w:val="2"/>
    </w:pPr>
    <w:rPr>
      <w:rFonts w:ascii="宋体" w:hAnsi="宋体" w:cs="宋体"/>
      <w:kern w:val="0"/>
      <w:sz w:val="28"/>
      <w:szCs w:val="28"/>
      <w:lang w:val="zh-CN" w:bidi="zh-CN"/>
    </w:rPr>
  </w:style>
  <w:style w:type="character" w:styleId="196">
    <w:name w:val="Placeholder Text"/>
    <w:unhideWhenUsed/>
    <w:qFormat/>
    <w:uiPriority w:val="99"/>
    <w:rPr>
      <w:color w:val="808080"/>
    </w:rPr>
  </w:style>
  <w:style w:type="paragraph" w:customStyle="1" w:styleId="197">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styleId="198">
    <w:name w:val="List Paragraph"/>
    <w:basedOn w:val="1"/>
    <w:qFormat/>
    <w:uiPriority w:val="99"/>
    <w:pPr>
      <w:ind w:firstLine="420" w:firstLineChars="200"/>
    </w:pPr>
  </w:style>
  <w:style w:type="paragraph" w:customStyle="1" w:styleId="199">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b w:val="0"/>
      <w:bCs w:val="0"/>
      <w:kern w:val="0"/>
      <w:sz w:val="28"/>
      <w:szCs w:val="28"/>
      <w:lang w:val="zh-CN"/>
    </w:rPr>
  </w:style>
  <w:style w:type="paragraph" w:customStyle="1" w:styleId="200">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1">
    <w:name w:val="Char Char Char Char Char Char Char"/>
    <w:basedOn w:val="1"/>
    <w:qFormat/>
    <w:uiPriority w:val="99"/>
    <w:pPr>
      <w:widowControl/>
      <w:spacing w:after="160" w:line="240" w:lineRule="exact"/>
      <w:jc w:val="left"/>
    </w:pPr>
    <w:rPr>
      <w:szCs w:val="21"/>
    </w:rPr>
  </w:style>
  <w:style w:type="paragraph" w:customStyle="1" w:styleId="202">
    <w:name w:val="Char"/>
    <w:basedOn w:val="1"/>
    <w:qFormat/>
    <w:uiPriority w:val="99"/>
    <w:pPr>
      <w:widowControl/>
      <w:spacing w:after="160" w:line="240" w:lineRule="exact"/>
      <w:jc w:val="left"/>
    </w:pPr>
    <w:rPr>
      <w:szCs w:val="21"/>
    </w:rPr>
  </w:style>
  <w:style w:type="paragraph" w:customStyle="1" w:styleId="203">
    <w:name w:val="默认段落字体 Para Char Char Char Char Char Char Char Char Char1 Char Char Char Char"/>
    <w:basedOn w:val="1"/>
    <w:qFormat/>
    <w:uiPriority w:val="0"/>
    <w:rPr>
      <w:rFonts w:ascii="Tahoma" w:hAnsi="Tahoma"/>
      <w:sz w:val="24"/>
      <w:szCs w:val="20"/>
    </w:rPr>
  </w:style>
  <w:style w:type="paragraph" w:customStyle="1" w:styleId="204">
    <w:name w:val="Table Paragraph"/>
    <w:basedOn w:val="1"/>
    <w:qFormat/>
    <w:uiPriority w:val="1"/>
    <w:pPr>
      <w:jc w:val="left"/>
    </w:pPr>
    <w:rPr>
      <w:rFonts w:ascii="Calibri" w:hAnsi="Calibri"/>
      <w:kern w:val="0"/>
      <w:sz w:val="22"/>
      <w:szCs w:val="22"/>
      <w:lang w:eastAsia="en-US"/>
    </w:rPr>
  </w:style>
  <w:style w:type="paragraph" w:customStyle="1" w:styleId="20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06">
    <w:name w:val="样式1"/>
    <w:basedOn w:val="1"/>
    <w:next w:val="5"/>
    <w:qFormat/>
    <w:uiPriority w:val="99"/>
    <w:pPr>
      <w:spacing w:line="360" w:lineRule="auto"/>
      <w:ind w:firstLine="420" w:firstLineChars="200"/>
    </w:pPr>
    <w:rPr>
      <w:rFonts w:ascii="宋体" w:hAnsi="宋体" w:cs="宋体"/>
      <w:szCs w:val="21"/>
    </w:rPr>
  </w:style>
  <w:style w:type="paragraph" w:customStyle="1" w:styleId="207">
    <w:name w:val="列出段落1"/>
    <w:basedOn w:val="1"/>
    <w:qFormat/>
    <w:uiPriority w:val="99"/>
    <w:pPr>
      <w:ind w:firstLine="420" w:firstLineChars="200"/>
    </w:pPr>
    <w:rPr>
      <w:rFonts w:ascii="Calibri" w:hAnsi="Calibri" w:cs="Calibri"/>
      <w:szCs w:val="21"/>
    </w:rPr>
  </w:style>
  <w:style w:type="paragraph" w:customStyle="1" w:styleId="208">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9">
    <w:name w:val="TOC 标题1"/>
    <w:basedOn w:val="2"/>
    <w:next w:val="1"/>
    <w:qFormat/>
    <w:uiPriority w:val="99"/>
    <w:pPr>
      <w:spacing w:line="576" w:lineRule="auto"/>
      <w:outlineLvl w:val="9"/>
    </w:pPr>
    <w:rPr>
      <w:rFonts w:ascii="Calibri" w:hAnsi="Calibri" w:eastAsia="黑体" w:cs="Calibri"/>
      <w:lang w:val="zh-CN"/>
    </w:rPr>
  </w:style>
  <w:style w:type="paragraph" w:customStyle="1" w:styleId="210">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211">
    <w:name w:val="p0"/>
    <w:basedOn w:val="1"/>
    <w:qFormat/>
    <w:uiPriority w:val="0"/>
    <w:pPr>
      <w:widowControl/>
    </w:pPr>
    <w:rPr>
      <w:rFonts w:ascii="Calibri" w:hAnsi="Calibri" w:cs="Calibri"/>
      <w:kern w:val="0"/>
      <w:szCs w:val="21"/>
    </w:rPr>
  </w:style>
  <w:style w:type="paragraph" w:customStyle="1" w:styleId="212">
    <w:name w:val="1"/>
    <w:basedOn w:val="1"/>
    <w:next w:val="1"/>
    <w:qFormat/>
    <w:uiPriority w:val="99"/>
    <w:rPr>
      <w:szCs w:val="21"/>
    </w:rPr>
  </w:style>
  <w:style w:type="paragraph" w:customStyle="1" w:styleId="213">
    <w:name w:val="列出段落2"/>
    <w:basedOn w:val="1"/>
    <w:qFormat/>
    <w:uiPriority w:val="99"/>
    <w:pPr>
      <w:ind w:firstLine="420" w:firstLineChars="200"/>
    </w:pPr>
    <w:rPr>
      <w:rFonts w:ascii="Calibri" w:hAnsi="Calibri" w:cs="Calibri"/>
      <w:szCs w:val="21"/>
    </w:rPr>
  </w:style>
  <w:style w:type="paragraph" w:customStyle="1" w:styleId="214">
    <w:name w:val="修订1"/>
    <w:qFormat/>
    <w:uiPriority w:val="99"/>
    <w:rPr>
      <w:rFonts w:ascii="Times New Roman" w:hAnsi="Times New Roman" w:eastAsia="宋体" w:cs="Times New Roman"/>
      <w:kern w:val="2"/>
      <w:sz w:val="21"/>
      <w:szCs w:val="21"/>
      <w:lang w:val="en-US" w:eastAsia="zh-CN" w:bidi="ar-SA"/>
    </w:rPr>
  </w:style>
  <w:style w:type="paragraph" w:customStyle="1" w:styleId="215">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16">
    <w:name w:val="修订11"/>
    <w:qFormat/>
    <w:uiPriority w:val="99"/>
    <w:rPr>
      <w:rFonts w:ascii="Times New Roman" w:hAnsi="Times New Roman" w:eastAsia="宋体" w:cs="Times New Roman"/>
      <w:kern w:val="2"/>
      <w:sz w:val="21"/>
      <w:szCs w:val="21"/>
      <w:lang w:val="en-US" w:eastAsia="zh-CN" w:bidi="ar-SA"/>
    </w:rPr>
  </w:style>
  <w:style w:type="paragraph" w:customStyle="1" w:styleId="217">
    <w:name w:val="2-2ji"/>
    <w:basedOn w:val="3"/>
    <w:qFormat/>
    <w:uiPriority w:val="99"/>
    <w:pPr>
      <w:spacing w:before="0" w:after="0" w:line="360" w:lineRule="auto"/>
      <w:jc w:val="center"/>
    </w:pPr>
    <w:rPr>
      <w:rFonts w:ascii="宋体" w:hAnsi="宋体" w:cs="宋体"/>
      <w:sz w:val="36"/>
      <w:szCs w:val="36"/>
      <w:lang w:val="zh-CN"/>
    </w:rPr>
  </w:style>
  <w:style w:type="paragraph" w:customStyle="1" w:styleId="218">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219">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20">
    <w:name w:val="Char1"/>
    <w:basedOn w:val="1"/>
    <w:qFormat/>
    <w:uiPriority w:val="99"/>
    <w:pPr>
      <w:widowControl/>
      <w:spacing w:after="160" w:line="240" w:lineRule="exact"/>
      <w:jc w:val="left"/>
    </w:pPr>
    <w:rPr>
      <w:szCs w:val="21"/>
    </w:rPr>
  </w:style>
  <w:style w:type="paragraph" w:customStyle="1" w:styleId="221">
    <w:name w:val="_Style 37"/>
    <w:basedOn w:val="1"/>
    <w:next w:val="1"/>
    <w:qFormat/>
    <w:uiPriority w:val="99"/>
    <w:rPr>
      <w:szCs w:val="21"/>
    </w:rPr>
  </w:style>
  <w:style w:type="paragraph" w:customStyle="1" w:styleId="222">
    <w:name w:val="样式 标题 3 + (中文) 黑体 小四 非加粗 段前: 7.8 磅 段后: 0 磅 行距: 固定值 20 磅"/>
    <w:basedOn w:val="4"/>
    <w:qFormat/>
    <w:uiPriority w:val="99"/>
    <w:pPr>
      <w:spacing w:before="0" w:after="0" w:line="400" w:lineRule="exact"/>
    </w:pPr>
    <w:rPr>
      <w:rFonts w:eastAsia="黑体"/>
      <w:b w:val="0"/>
      <w:bCs w:val="0"/>
      <w:lang w:val="zh-CN"/>
    </w:rPr>
  </w:style>
  <w:style w:type="paragraph" w:styleId="22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
    <w:name w:val="正正正正"/>
    <w:basedOn w:val="18"/>
    <w:qFormat/>
    <w:uiPriority w:val="1"/>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25">
    <w:name w:val="_Style 1"/>
    <w:basedOn w:val="1"/>
    <w:qFormat/>
    <w:uiPriority w:val="99"/>
    <w:pPr>
      <w:ind w:firstLine="420" w:firstLineChars="200"/>
      <w:jc w:val="left"/>
    </w:pPr>
    <w:rPr>
      <w:rFonts w:ascii="Times New Roman)" w:hAnsi="Times New Roman)" w:eastAsia="宋体正文"/>
      <w:color w:val="000000"/>
      <w:kern w:val="0"/>
      <w:lang w:eastAsia="en-US" w:bidi="en-US"/>
    </w:rPr>
  </w:style>
  <w:style w:type="paragraph" w:customStyle="1" w:styleId="226">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227">
    <w:name w:val="Normal_17"/>
    <w:qFormat/>
    <w:uiPriority w:val="0"/>
    <w:pPr>
      <w:spacing w:before="120" w:after="240"/>
      <w:jc w:val="both"/>
    </w:pPr>
    <w:rPr>
      <w:rFonts w:ascii="Calibri" w:hAnsi="Calibri" w:eastAsia="Calibri" w:cs="Times New Roman"/>
      <w:sz w:val="22"/>
      <w:szCs w:val="22"/>
      <w:lang w:val="ru-RU" w:eastAsia="en-US" w:bidi="ar-SA"/>
    </w:rPr>
  </w:style>
  <w:style w:type="paragraph" w:customStyle="1" w:styleId="228">
    <w:name w:val="Normal_21"/>
    <w:qFormat/>
    <w:uiPriority w:val="0"/>
    <w:pPr>
      <w:spacing w:before="120" w:after="240"/>
      <w:jc w:val="both"/>
    </w:pPr>
    <w:rPr>
      <w:rFonts w:ascii="Calibri" w:hAnsi="Calibri" w:eastAsia="Calibri" w:cs="Times New Roman"/>
      <w:sz w:val="22"/>
      <w:szCs w:val="22"/>
      <w:lang w:val="ru-RU" w:eastAsia="en-US" w:bidi="ar-SA"/>
    </w:rPr>
  </w:style>
  <w:style w:type="paragraph" w:customStyle="1" w:styleId="22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0">
    <w:name w:val="正文_2_0_0"/>
    <w:basedOn w:val="229"/>
    <w:qFormat/>
    <w:uiPriority w:val="0"/>
    <w:rPr>
      <w:szCs w:val="21"/>
    </w:rPr>
  </w:style>
  <w:style w:type="character" w:customStyle="1" w:styleId="231">
    <w:name w:val="NormalCharacter"/>
    <w:qFormat/>
    <w:uiPriority w:val="0"/>
  </w:style>
  <w:style w:type="paragraph" w:customStyle="1" w:styleId="232">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3">
    <w:name w:val="样式 标题 2 + 宋体"/>
    <w:basedOn w:val="3"/>
    <w:qFormat/>
    <w:uiPriority w:val="99"/>
    <w:pPr>
      <w:tabs>
        <w:tab w:val="left" w:pos="1021"/>
      </w:tabs>
    </w:pPr>
    <w:rPr>
      <w:rFonts w:ascii="宋体" w:hAnsi="宋体"/>
      <w:sz w:val="30"/>
    </w:rPr>
  </w:style>
  <w:style w:type="paragraph" w:customStyle="1" w:styleId="234">
    <w:name w:val="正文_2"/>
    <w:basedOn w:val="235"/>
    <w:next w:val="2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5">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6">
    <w:name w:val="标题 4_0"/>
    <w:basedOn w:val="232"/>
    <w:next w:val="234"/>
    <w:qFormat/>
    <w:uiPriority w:val="2"/>
    <w:pPr>
      <w:keepNext/>
      <w:keepLines/>
      <w:spacing w:line="360" w:lineRule="auto"/>
      <w:outlineLvl w:val="3"/>
    </w:pPr>
    <w:rPr>
      <w:rFonts w:ascii="Arial" w:hAnsi="Arial" w:cs="Arial"/>
      <w:b/>
      <w:szCs w:val="28"/>
    </w:rPr>
  </w:style>
  <w:style w:type="paragraph" w:customStyle="1" w:styleId="237">
    <w:name w:val="Normal_19"/>
    <w:qFormat/>
    <w:uiPriority w:val="0"/>
    <w:pPr>
      <w:spacing w:before="120" w:after="240"/>
      <w:jc w:val="both"/>
    </w:pPr>
    <w:rPr>
      <w:rFonts w:ascii="Calibri" w:hAnsi="Calibri" w:eastAsia="Calibri" w:cs="Times New Roman"/>
      <w:sz w:val="22"/>
      <w:szCs w:val="22"/>
      <w:lang w:val="ru-RU" w:eastAsia="en-US" w:bidi="ar-SA"/>
    </w:rPr>
  </w:style>
  <w:style w:type="paragraph" w:customStyle="1" w:styleId="238">
    <w:name w:val="Normal_18"/>
    <w:qFormat/>
    <w:uiPriority w:val="0"/>
    <w:pPr>
      <w:spacing w:before="120" w:after="240"/>
      <w:jc w:val="both"/>
    </w:pPr>
    <w:rPr>
      <w:rFonts w:ascii="Calibri" w:hAnsi="Calibri" w:eastAsia="Calibri" w:cs="Times New Roman"/>
      <w:sz w:val="22"/>
      <w:szCs w:val="22"/>
      <w:lang w:val="ru-RU" w:eastAsia="en-US" w:bidi="ar-SA"/>
    </w:rPr>
  </w:style>
  <w:style w:type="paragraph" w:customStyle="1" w:styleId="239">
    <w:name w:val="Normal_20"/>
    <w:qFormat/>
    <w:uiPriority w:val="0"/>
    <w:pPr>
      <w:spacing w:before="120" w:after="240"/>
      <w:jc w:val="both"/>
    </w:pPr>
    <w:rPr>
      <w:rFonts w:ascii="Calibri" w:hAnsi="Calibri" w:eastAsia="Calibri" w:cs="Times New Roman"/>
      <w:sz w:val="22"/>
      <w:szCs w:val="22"/>
      <w:lang w:val="ru-RU" w:eastAsia="en-US" w:bidi="ar-SA"/>
    </w:rPr>
  </w:style>
  <w:style w:type="paragraph" w:customStyle="1" w:styleId="240">
    <w:name w:val="列表段落1"/>
    <w:basedOn w:val="1"/>
    <w:qFormat/>
    <w:uiPriority w:val="34"/>
    <w:pPr>
      <w:ind w:firstLine="420" w:firstLineChars="200"/>
    </w:pPr>
  </w:style>
  <w:style w:type="character" w:customStyle="1" w:styleId="241">
    <w:name w:val="标题 #4 + 间距 2 pt"/>
    <w:qFormat/>
    <w:uiPriority w:val="0"/>
    <w:rPr>
      <w:rFonts w:ascii="MingLiU" w:hAnsi="MingLiU" w:eastAsia="MingLiU"/>
      <w:color w:val="000000"/>
      <w:spacing w:val="50"/>
      <w:w w:val="100"/>
      <w:position w:val="0"/>
      <w:sz w:val="42"/>
      <w:szCs w:val="42"/>
      <w:lang w:val="zh-CN" w:eastAsia="zh-CN" w:bidi="ar-SA"/>
    </w:rPr>
  </w:style>
  <w:style w:type="paragraph" w:customStyle="1" w:styleId="242">
    <w:name w:val="正文文本 (38)"/>
    <w:basedOn w:val="1"/>
    <w:qFormat/>
    <w:uiPriority w:val="0"/>
    <w:pPr>
      <w:shd w:val="clear" w:color="auto" w:fill="FFFFFF"/>
      <w:spacing w:line="240" w:lineRule="atLeast"/>
      <w:jc w:val="left"/>
    </w:pPr>
    <w:rPr>
      <w:rFonts w:ascii="MingLiU" w:hAnsi="MingLiU" w:eastAsia="MingLiU"/>
      <w:kern w:val="0"/>
      <w:sz w:val="26"/>
      <w:szCs w:val="26"/>
    </w:rPr>
  </w:style>
  <w:style w:type="paragraph" w:customStyle="1" w:styleId="243">
    <w:name w:val="正文_4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4">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45">
    <w:name w:val="layui-layer-tabnow"/>
    <w:basedOn w:val="47"/>
    <w:qFormat/>
    <w:uiPriority w:val="0"/>
    <w:rPr>
      <w:bdr w:val="single" w:color="CCCCCC" w:sz="6" w:space="0"/>
      <w:shd w:val="clear" w:color="auto" w:fill="FFFFFF"/>
    </w:rPr>
  </w:style>
  <w:style w:type="character" w:customStyle="1" w:styleId="246">
    <w:name w:val="first-child"/>
    <w:basedOn w:val="47"/>
    <w:qFormat/>
    <w:uiPriority w:val="0"/>
  </w:style>
  <w:style w:type="character" w:customStyle="1" w:styleId="247">
    <w:name w:val="标题 7 字符1"/>
    <w:link w:val="9"/>
    <w:qFormat/>
    <w:uiPriority w:val="0"/>
    <w:rPr>
      <w:b/>
      <w:bCs/>
      <w:sz w:val="24"/>
      <w:szCs w:val="24"/>
    </w:rPr>
  </w:style>
  <w:style w:type="character" w:customStyle="1" w:styleId="248">
    <w:name w:val="标题 3 字符1"/>
    <w:link w:val="4"/>
    <w:qFormat/>
    <w:uiPriority w:val="0"/>
    <w:rPr>
      <w:b/>
      <w:bCs/>
      <w:kern w:val="2"/>
      <w:sz w:val="32"/>
      <w:szCs w:val="32"/>
    </w:rPr>
  </w:style>
  <w:style w:type="character" w:customStyle="1" w:styleId="249">
    <w:name w:val="标题 4 字符1"/>
    <w:link w:val="5"/>
    <w:qFormat/>
    <w:uiPriority w:val="9"/>
    <w:rPr>
      <w:rFonts w:ascii="Arial" w:hAnsi="Arial"/>
      <w:b/>
      <w:bCs/>
      <w:kern w:val="2"/>
      <w:sz w:val="28"/>
      <w:szCs w:val="28"/>
    </w:rPr>
  </w:style>
  <w:style w:type="character" w:customStyle="1" w:styleId="250">
    <w:name w:val="fontstyle01"/>
    <w:qFormat/>
    <w:uiPriority w:val="0"/>
    <w:rPr>
      <w:rFonts w:ascii="宋体" w:hAnsi="宋体" w:eastAsia="宋体" w:cs="宋体"/>
      <w:color w:val="000000"/>
      <w:sz w:val="22"/>
      <w:szCs w:val="22"/>
    </w:rPr>
  </w:style>
  <w:style w:type="paragraph" w:customStyle="1" w:styleId="251">
    <w:name w:val="纯文本_0"/>
    <w:basedOn w:val="234"/>
    <w:next w:val="234"/>
    <w:qFormat/>
    <w:uiPriority w:val="0"/>
    <w:rPr>
      <w:rFonts w:ascii="宋体" w:hAnsi="Courier New"/>
      <w:sz w:val="24"/>
      <w:szCs w:val="24"/>
    </w:rPr>
  </w:style>
  <w:style w:type="paragraph" w:customStyle="1" w:styleId="252">
    <w:name w:val="纯文本_0_0"/>
    <w:basedOn w:val="229"/>
    <w:qFormat/>
    <w:uiPriority w:val="0"/>
    <w:rPr>
      <w:rFonts w:ascii="宋体" w:hAnsi="Courier New"/>
      <w:szCs w:val="20"/>
    </w:rPr>
  </w:style>
  <w:style w:type="character" w:customStyle="1" w:styleId="253">
    <w:name w:val="10_0"/>
    <w:basedOn w:val="47"/>
    <w:qFormat/>
    <w:uiPriority w:val="0"/>
    <w:rPr>
      <w:rFonts w:hint="default" w:ascii="Times New Roman" w:hAnsi="Times New Roman" w:cs="Times New Roman"/>
    </w:rPr>
  </w:style>
  <w:style w:type="paragraph" w:customStyle="1" w:styleId="254">
    <w:name w:val="Table Text"/>
    <w:basedOn w:val="1"/>
    <w:semiHidden/>
    <w:qFormat/>
    <w:uiPriority w:val="0"/>
    <w:rPr>
      <w:rFonts w:ascii="宋体" w:hAnsi="宋体" w:eastAsia="宋体" w:cs="宋体"/>
      <w:sz w:val="20"/>
      <w:szCs w:val="20"/>
      <w:lang w:val="en-US" w:eastAsia="en-US" w:bidi="ar-SA"/>
    </w:rPr>
  </w:style>
  <w:style w:type="table" w:customStyle="1" w:styleId="25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3" Type="http://schemas.openxmlformats.org/officeDocument/2006/relationships/fontTable" Target="fontTable.xml"/><Relationship Id="rId42" Type="http://schemas.openxmlformats.org/officeDocument/2006/relationships/customXml" Target="../customXml/item2.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footer" Target="footer1.xml"/><Relationship Id="rId39" Type="http://schemas.openxmlformats.org/officeDocument/2006/relationships/theme" Target="theme/theme1.xml"/><Relationship Id="rId38" Type="http://schemas.openxmlformats.org/officeDocument/2006/relationships/footer" Target="footer25.xml"/><Relationship Id="rId37" Type="http://schemas.openxmlformats.org/officeDocument/2006/relationships/footer" Target="footer24.xml"/><Relationship Id="rId36" Type="http://schemas.openxmlformats.org/officeDocument/2006/relationships/header" Target="header11.xml"/><Relationship Id="rId35" Type="http://schemas.openxmlformats.org/officeDocument/2006/relationships/header" Target="header10.xml"/><Relationship Id="rId34" Type="http://schemas.openxmlformats.org/officeDocument/2006/relationships/footer" Target="footer23.xml"/><Relationship Id="rId33" Type="http://schemas.openxmlformats.org/officeDocument/2006/relationships/footer" Target="footer22.xml"/><Relationship Id="rId32" Type="http://schemas.openxmlformats.org/officeDocument/2006/relationships/footer" Target="footer21.xml"/><Relationship Id="rId31" Type="http://schemas.openxmlformats.org/officeDocument/2006/relationships/footer" Target="footer20.xml"/><Relationship Id="rId30" Type="http://schemas.openxmlformats.org/officeDocument/2006/relationships/footer" Target="footer19.xml"/><Relationship Id="rId3" Type="http://schemas.openxmlformats.org/officeDocument/2006/relationships/header" Target="header1.xml"/><Relationship Id="rId29" Type="http://schemas.openxmlformats.org/officeDocument/2006/relationships/footer" Target="footer18.xml"/><Relationship Id="rId28" Type="http://schemas.openxmlformats.org/officeDocument/2006/relationships/footer" Target="footer17.xml"/><Relationship Id="rId27" Type="http://schemas.openxmlformats.org/officeDocument/2006/relationships/footer" Target="footer16.xml"/><Relationship Id="rId26" Type="http://schemas.openxmlformats.org/officeDocument/2006/relationships/footer" Target="footer15.xml"/><Relationship Id="rId25" Type="http://schemas.openxmlformats.org/officeDocument/2006/relationships/footer" Target="footer14.xml"/><Relationship Id="rId24" Type="http://schemas.openxmlformats.org/officeDocument/2006/relationships/footer" Target="footer13.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90391fb1-8585-4571-9a50-a91bb7686b21</errorID>
      <errorWord>GG</errorWord>
      <group>L1_Official</group>
      <groupName>公文问题</groupName>
      <ability>L2_Official</ability>
      <abilityName>公文问题</abilityName>
      <candidateList/>
      <explain>公文中禁止出现该词语</explain>
      <paraID>733FCBFD</paraID>
      <start>5</start>
      <end>7</end>
      <status>unmodified</status>
      <modifiedWord/>
      <trackRevisions>false</trackRevisions>
    </reviewItem>
    <reviewItem>
      <errorID>0b35a85e-2d42-4b22-9323-ef4c171dd39e</errorID>
      <errorWord>/）</errorWord>
      <group>L1_Punc</group>
      <groupName>标点问题</groupName>
      <ability>L2_Punc_CN</ability>
      <abilityName/>
      <candidateList>
        <item>）</item>
      </candidateList>
      <explain/>
      <paraID> 7ABEF69</paraID>
      <start>73</start>
      <end>75</end>
      <status>unmodified</status>
      <modifiedWord/>
      <trackRevisions>false</trackRevisions>
    </reviewItem>
    <reviewItem>
      <errorID>9f8d4a0c-aabf-4377-9006-aa5cc1f08d35</errorID>
      <errorWord>GG</errorWord>
      <group>L1_Official</group>
      <groupName>公文问题</groupName>
      <ability>L2_Official</ability>
      <abilityName>公文问题</abilityName>
      <candidateList/>
      <explain>公文中禁止出现该词语</explain>
      <paraID>39DD3387</paraID>
      <start>5</start>
      <end>7</end>
      <status>unmodified</status>
      <modifiedWord/>
      <trackRevisions>false</trackRevisions>
    </reviewItem>
    <reviewItem>
      <errorID>ef5d49ae-7468-4a6c-8b76-3ffb618ad146</errorID>
      <errorWord>:</errorWord>
      <group>L1_Format</group>
      <groupName>格式问题</groupName>
      <ability>L2_HalfPunc_CN</ability>
      <abilityName/>
      <candidateList>
        <item>：</item>
      </candidateList>
      <explain>文本全半角错误。</explain>
      <paraID>615124D3</paraID>
      <start>4</start>
      <end>5</end>
      <status>unmodified</status>
      <modifiedWord/>
      <trackRevisions>false</trackRevisions>
    </reviewItem>
    <reviewItem>
      <errorID>3c52fe0c-d6f9-4908-9555-35afd2a65360</errorID>
      <errorWord>:</errorWord>
      <group>L1_Format</group>
      <groupName>格式问题</groupName>
      <ability>L2_HalfPunc_CN</ability>
      <abilityName/>
      <candidateList>
        <item>：</item>
      </candidateList>
      <explain>文本全半角错误。</explain>
      <paraID>74853EC6</paraID>
      <start>7</start>
      <end>8</end>
      <status>unmodified</status>
      <modifiedWord/>
      <trackRevisions>false</trackRevisions>
    </reviewItem>
    <reviewItem>
      <errorID>d5cf3ab3-83a7-467e-a861-9468b1aab74e</errorID>
      <errorWord>：/</errorWord>
      <group>L1_Punc</group>
      <groupName>标点问题</groupName>
      <ability>L2_Punc_CN</ability>
      <abilityName/>
      <candidateList>
        <item>：</item>
      </candidateList>
      <explain/>
      <paraID>218FAA71</paraID>
      <start>2</start>
      <end>4</end>
      <status>unmodified</status>
      <modifiedWord/>
      <trackRevisions>false</trackRevisions>
    </reviewItem>
    <reviewItem>
      <errorID>83df9885-3608-4853-91a3-43d1d685e2dc</errorID>
      <errorWord>财政部</errorWord>
      <group>L1_Knowledge</group>
      <groupName>知识性问题</groupName>
      <ability>L2_Organization</ability>
      <abilityName>机构检查</abilityName>
      <candidateList/>
      <explain>[财政部]应在[民政部]之后</explain>
      <paraID>3086C5F1</paraID>
      <start>142</start>
      <end>145</end>
      <status>unmodified</status>
      <modifiedWord/>
      <trackRevisions>false</trackRevisions>
    </reviewItem>
    <reviewItem>
      <errorID>1da6c473-ab01-4851-942d-04eb6e76e296</errorID>
      <errorWord>日至2026年</errorWord>
      <group>L1_Word</group>
      <groupName>字词问题</groupName>
      <ability>L2_Typo</ability>
      <abilityName>字词错误</abilityName>
      <candidateList>
        <item>日起至2026年</item>
      </candidateList>
      <explain/>
      <paraID>183A6FEB</paraID>
      <start>12</start>
      <end>19</end>
      <status>unmodified</status>
      <modifiedWord/>
      <trackRevisions>false</trackRevisions>
    </reviewItem>
    <reviewItem>
      <errorID>cf190a2d-d8d6-4a7a-a020-9c437dacb84d</errorID>
      <errorWord>上午00:00</errorWord>
      <group>L1_Knowledge</group>
      <groupName>知识性问题</groupName>
      <ability>L2_Time</ability>
      <abilityName>日期时间</abilityName>
      <candidateList/>
      <explain>时间与前缀不匹配，可能的时间前缀有“下午、晚上、凌晨、午夜”。</explain>
      <paraID>183A6FEB</paraID>
      <start>26</start>
      <end>33</end>
      <status>unmodified</status>
      <modifiedWord/>
      <trackRevisions>false</trackRevisions>
    </reviewItem>
    <reviewItem>
      <errorID>ae377c0b-b39d-4298-8f11-2e3333c59eb4</errorID>
      <errorWord>/）</errorWord>
      <group>L1_Punc</group>
      <groupName>标点问题</groupName>
      <ability>L2_Punc_CN</ability>
      <abilityName/>
      <candidateList>
        <item>）</item>
      </candidateList>
      <explain/>
      <paraID>64164249</paraID>
      <start>45</start>
      <end>47</end>
      <status>unmodified</status>
      <modifiedWord/>
      <trackRevisions>false</trackRevisions>
    </reviewItem>
    <reviewItem>
      <errorID>5b475c98-3b20-4ec8-9263-15b0780fb42e</errorID>
      <errorWord>/）</errorWord>
      <group>L1_Punc</group>
      <groupName>标点问题</groupName>
      <ability>L2_Punc_CN</ability>
      <abilityName/>
      <candidateList>
        <item>）</item>
      </candidateList>
      <explain/>
      <paraID>20F762F1</paraID>
      <start>68</start>
      <end>70</end>
      <status>unmodified</status>
      <modifiedWord/>
      <trackRevisions>false</trackRevisions>
    </reviewItem>
    <reviewItem>
      <errorID>763b4c37-14e7-45b3-b750-2ccc6e0b97af</errorID>
      <errorWord>-</errorWord>
      <group>L1_Format</group>
      <groupName>格式问题</groupName>
      <ability>L2_HalfPunc_CN</ability>
      <abilityName/>
      <candidateList>
        <item>－</item>
      </candidateList>
      <explain>文本全半角错误。</explain>
      <paraID>20F762F1</paraID>
      <start>70</start>
      <end>71</end>
      <status>unmodified</status>
      <modifiedWord/>
      <trackRevisions>false</trackRevisions>
    </reviewItem>
    <reviewItem>
      <errorID>7b93013a-056e-4c51-b5cd-98d8a52fe23c</errorID>
      <errorWord>/）</errorWord>
      <group>L1_Punc</group>
      <groupName>标点问题</groupName>
      <ability>L2_Punc_CN</ability>
      <abilityName/>
      <candidateList>
        <item>）</item>
      </candidateList>
      <explain/>
      <paraID>22C67AF6</paraID>
      <start>45</start>
      <end>47</end>
      <status>unmodified</status>
      <modifiedWord/>
      <trackRevisions>false</trackRevisions>
    </reviewItem>
    <reviewItem>
      <errorID>8b4fdc48-43ef-447f-a3d2-c9f9bb76a657</errorID>
      <errorWord>/）</errorWord>
      <group>L1_Punc</group>
      <groupName>标点问题</groupName>
      <ability>L2_Punc_CN</ability>
      <abilityName/>
      <candidateList>
        <item>）</item>
      </candidateList>
      <explain/>
      <paraID>451BDACC</paraID>
      <start>64</start>
      <end>66</end>
      <status>unmodified</status>
      <modifiedWord/>
      <trackRevisions>false</trackRevisions>
    </reviewItem>
    <reviewItem>
      <errorID>37e582c8-2560-4f9a-bb72-6be2f52f40c6</errorID>
      <errorWord>-</errorWord>
      <group>L1_Format</group>
      <groupName>格式问题</groupName>
      <ability>L2_HalfPunc_CN</ability>
      <abilityName/>
      <candidateList>
        <item>－</item>
      </candidateList>
      <explain>文本全半角错误。</explain>
      <paraID>451BDACC</paraID>
      <start>231</start>
      <end>232</end>
      <status>unmodified</status>
      <modifiedWord/>
      <trackRevisions>false</trackRevisions>
    </reviewItem>
    <reviewItem>
      <errorID>4c0d168d-592f-4c68-a268-c85b2b1aaeb5</errorID>
      <errorWord>-</errorWord>
      <group>L1_Format</group>
      <groupName>格式问题</groupName>
      <ability>L2_HalfPunc_CN</ability>
      <abilityName/>
      <candidateList>
        <item>－</item>
      </candidateList>
      <explain>文本全半角错误。</explain>
      <paraID>451BDACC</paraID>
      <start>236</start>
      <end>237</end>
      <status>unmodified</status>
      <modifiedWord/>
      <trackRevisions>false</trackRevisions>
    </reviewItem>
    <reviewItem>
      <errorID>e855203f-65c2-4b1a-acd9-768a8b717fe1</errorID>
      <errorWord>-</errorWord>
      <group>L1_Format</group>
      <groupName>格式问题</groupName>
      <ability>L2_HalfPunc_CN</ability>
      <abilityName/>
      <candidateList>
        <item>－</item>
      </candidateList>
      <explain>文本全半角错误。</explain>
      <paraID>451BDACC</paraID>
      <start>241</start>
      <end>242</end>
      <status>unmodified</status>
      <modifiedWord/>
      <trackRevisions>false</trackRevisions>
    </reviewItem>
    <reviewItem>
      <errorID>5b59d89d-e6b1-49c2-a02d-f09a16283a6c</errorID>
      <errorWord>-</errorWord>
      <group>L1_Format</group>
      <groupName>格式问题</groupName>
      <ability>L2_HalfPunc_CN</ability>
      <abilityName/>
      <candidateList>
        <item>－</item>
      </candidateList>
      <explain>文本全半角错误。</explain>
      <paraID>451BDACC</paraID>
      <start>247</start>
      <end>248</end>
      <status>unmodified</status>
      <modifiedWord/>
      <trackRevisions>false</trackRevisions>
    </reviewItem>
    <reviewItem>
      <errorID>5c03fb21-07b7-4826-b5cf-7a8f849ac352</errorID>
      <errorWord>-</errorWord>
      <group>L1_Format</group>
      <groupName>格式问题</groupName>
      <ability>L2_HalfPunc_CN</ability>
      <abilityName/>
      <candidateList>
        <item>－</item>
      </candidateList>
      <explain>文本全半角错误。</explain>
      <paraID>451BDACC</paraID>
      <start>264</start>
      <end>265</end>
      <status>unmodified</status>
      <modifiedWord/>
      <trackRevisions>false</trackRevisions>
    </reviewItem>
    <reviewItem>
      <errorID>ddf67af2-3676-4110-b11a-8d35c52e654f</errorID>
      <errorWord>-</errorWord>
      <group>L1_Format</group>
      <groupName>格式问题</groupName>
      <ability>L2_HalfPunc_CN</ability>
      <abilityName/>
      <candidateList>
        <item>－</item>
      </candidateList>
      <explain>文本全半角错误。</explain>
      <paraID> C9C8C11</paraID>
      <start>112</start>
      <end>113</end>
      <status>unmodified</status>
      <modifiedWord/>
      <trackRevisions>false</trackRevisions>
    </reviewItem>
    <reviewItem>
      <errorID>39be8120-cb17-4c27-8393-ce2b0c3e831e</errorID>
      <errorWord>-</errorWord>
      <group>L1_Format</group>
      <groupName>格式问题</groupName>
      <ability>L2_HalfPunc_CN</ability>
      <abilityName/>
      <candidateList>
        <item>－</item>
      </candidateList>
      <explain>文本全半角错误。</explain>
      <paraID> C9C8C11</paraID>
      <start>141</start>
      <end>142</end>
      <status>unmodified</status>
      <modifiedWord/>
      <trackRevisions>false</trackRevisions>
    </reviewItem>
    <reviewItem>
      <errorID>0312673d-8aaa-41b4-99fc-5d6ce0ef19de</errorID>
      <errorWord>操作合</errorWord>
      <group>L1_Word</group>
      <groupName>字词问题</groupName>
      <ability>L2_Typo</ability>
      <abilityName>字词错误</abilityName>
      <candidateList>
        <item>操作台</item>
      </candidateList>
      <explain/>
      <paraID>5B7F5F48</paraID>
      <start>9</start>
      <end>12</end>
      <status>unmodified</status>
      <modifiedWord/>
      <trackRevisions>false</trackRevisions>
    </reviewItem>
    <reviewItem>
      <errorID>72423c53-52d2-4338-b5f1-f4c8652ba742</errorID>
      <errorWord>，</errorWord>
      <group>L1_Word</group>
      <groupName>字词问题</groupName>
      <ability>L2_Typo</ability>
      <abilityName>字词错误</abilityName>
      <candidateList>
        <item>，在</item>
      </candidateList>
      <explain/>
      <paraID>5B7F5F48</paraID>
      <start>184</start>
      <end>185</end>
      <status>unmodified</status>
      <modifiedWord/>
      <trackRevisions>false</trackRevisions>
    </reviewItem>
    <reviewItem>
      <errorID>97e26c49-d1c8-4d39-865b-87249e31a903</errorID>
      <errorWord>具备有</errorWord>
      <group>L1_Word</group>
      <groupName>字词问题</groupName>
      <ability>L2_Typo</ability>
      <abilityName>字词错误</abilityName>
      <candidateList>
        <item>具备</item>
      </candidateList>
      <explain/>
      <paraID>5B7F5F48</paraID>
      <start>260</start>
      <end>263</end>
      <status>unmodified</status>
      <modifiedWord/>
      <trackRevisions>false</trackRevisions>
    </reviewItem>
    <reviewItem>
      <errorID>2d8074e3-820e-4ade-9bda-80a26cc84ced</errorID>
      <errorWord>:</errorWord>
      <group>L1_Format</group>
      <groupName>格式问题</groupName>
      <ability>L2_HalfPunc_CN</ability>
      <abilityName/>
      <candidateList>
        <item>：</item>
      </candidateList>
      <explain>文本全半角错误。</explain>
      <paraID>639C556A</paraID>
      <start>9</start>
      <end>10</end>
      <status>unmodified</status>
      <modifiedWord/>
      <trackRevisions>false</trackRevisions>
    </reviewItem>
    <reviewItem>
      <errorID>e622aa84-0208-4fe2-8a97-6c2c071c1c7b</errorID>
      <errorWord>包括了</errorWord>
      <group>L1_Word</group>
      <groupName>字词问题</groupName>
      <ability>L2_Typo</ability>
      <abilityName>字词错误</abilityName>
      <candidateList>
        <item>包括</item>
      </candidateList>
      <explain/>
      <paraID>19F0C121</paraID>
      <start>15</start>
      <end>18</end>
      <status>unmodified</status>
      <modifiedWord/>
      <trackRevisions>false</trackRevisions>
    </reviewItem>
    <reviewItem>
      <errorID>df2d6faf-7967-4b25-a644-9b29d9efa28e</errorID>
      <errorWord>，</errorWord>
      <group>L1_Word</group>
      <groupName>字词问题</groupName>
      <ability>L2_Typo</ability>
      <abilityName>字词错误</abilityName>
      <candidateList>
        <item>，使</item>
      </candidateList>
      <explain/>
      <paraID>21A6F102</paraID>
      <start>32</start>
      <end>33</end>
      <status>unmodified</status>
      <modifiedWord/>
      <trackRevisions>false</trackRevisions>
    </reviewItem>
    <reviewItem>
      <errorID>c16f8742-7dcd-46a3-83f7-caf28af582c8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9427B5A</paraID>
      <start>15</start>
      <end>18</end>
      <status>unmodified</status>
      <modifiedWord/>
      <trackRevisions>false</trackRevisions>
    </reviewItem>
    <reviewItem>
      <errorID>aa071a93-a04d-4622-8b90-3e7a0c32fb5d</errorID>
      <errorWord>/，</errorWord>
      <group>L1_Punc</group>
      <groupName>标点问题</groupName>
      <ability>L2_Punc_CN</ability>
      <abilityName/>
      <candidateList>
        <item>/</item>
      </candidateList>
      <explain/>
      <paraID>241B651E</paraID>
      <start>62</start>
      <end>64</end>
      <status>unmodified</status>
      <modifiedWord/>
      <trackRevisions>false</trackRevisions>
    </reviewItem>
    <reviewItem>
      <errorID>28c6a63a-a1b5-4440-909e-888a33b452ca</errorID>
      <errorWord>法律、法规</errorWord>
      <group>L1_Word</group>
      <groupName>字词问题</groupName>
      <ability>L2_Typo</ability>
      <abilityName>字词错误</abilityName>
      <candidateList>
        <item>法律法规</item>
      </candidateList>
      <explain/>
      <paraID> 7830719</paraID>
      <start>38</start>
      <end>43</end>
      <status>unmodified</status>
      <modifiedWord/>
      <trackRevisions>false</trackRevisions>
    </reviewItem>
    <reviewItem>
      <errorID>36ee22cd-e21f-44c3-8f44-6799bfa669fa</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752863C0</paraID>
      <start>158</start>
      <end>163</end>
      <status>unmodified</status>
      <modifiedWord/>
      <trackRevisions>false</trackRevisions>
    </reviewItem>
    <reviewItem>
      <errorID>24ac967d-b162-421f-b522-151e53c91df2</errorID>
      <errorWord>操作合</errorWord>
      <group>L1_Word</group>
      <groupName>字词问题</groupName>
      <ability>L2_Typo</ability>
      <abilityName>字词错误</abilityName>
      <candidateList>
        <item>操作台</item>
      </candidateList>
      <explain/>
      <paraID>4E52498D</paraID>
      <start>9</start>
      <end>12</end>
      <status>unmodified</status>
      <modifiedWord/>
      <trackRevisions>false</trackRevisions>
    </reviewItem>
    <reviewItem>
      <errorID>0074dec5-2b4d-4c6a-8401-0ff043cc0476</errorID>
      <errorWord>接受</errorWord>
      <group>L1_Word</group>
      <groupName>字词问题</groupName>
      <ability>L2_Typo</ability>
      <abilityName>字词错误</abilityName>
      <candidateList>
        <item>接收</item>
      </candidateList>
      <explain>存在发音相同字词的误用。</explain>
      <paraID>292C85C1</paraID>
      <start>51</start>
      <end>53</end>
      <status>unmodified</status>
      <modifiedWord/>
      <trackRevisions>false</trackRevisions>
    </reviewItem>
    <reviewItem>
      <errorID>469a7b34-7db6-4038-8e88-4d1f51d72c7d</errorID>
      <errorWord>，</errorWord>
      <group>L1_Word</group>
      <groupName>字词问题</groupName>
      <ability>L2_Typo</ability>
      <abilityName>字词错误</abilityName>
      <candidateList>
        <item>，在</item>
      </candidateList>
      <explain/>
      <paraID>663316E0</paraID>
      <start>36</start>
      <end>37</end>
      <status>unmodified</status>
      <modifiedWord/>
      <trackRevisions>false</trackRevisions>
    </reviewItem>
    <reviewItem>
      <errorID>a1315f7b-0283-439b-bbff-59fb228391e9</errorID>
      <errorWord>间</errorWord>
      <group>L1_Word</group>
      <groupName>字词问题</groupName>
      <ability>L2_Typo</ability>
      <abilityName>字词错误</abilityName>
      <candidateList>
        <item>间之</item>
      </candidateList>
      <explain/>
      <paraID>1C99FEE4</paraID>
      <start>14</start>
      <end>15</end>
      <status>unmodified</status>
      <modifiedWord/>
      <trackRevisions>false</trackRevisions>
    </reviewItem>
    <reviewItem>
      <errorID>ba0dc085-ec3f-4fce-a180-e595f016955a</errorID>
      <errorWord>原则做出结论</errorWord>
      <group>L1_Word</group>
      <groupName>字词问题</groupName>
      <ability>L2_Typo</ability>
      <abilityName>字词错误</abilityName>
      <candidateList>
        <item>原则作出结论</item>
      </candidateList>
      <explain/>
      <paraID>5B5601CF</paraID>
      <start>62</start>
      <end>68</end>
      <status>unmodified</status>
      <modifiedWord/>
      <trackRevisions>false</trackRevisions>
    </reviewItem>
    <reviewItem>
      <errorID>427daf23-f3cf-4d6b-90a8-d63b31a249bb</errorID>
      <errorWord>:</errorWord>
      <group>L1_Format</group>
      <groupName>格式问题</groupName>
      <ability>L2_HalfPunc_CN</ability>
      <abilityName/>
      <candidateList>
        <item>：</item>
      </candidateList>
      <explain>文本全半角错误。</explain>
      <paraID> 178943B</paraID>
      <start>43</start>
      <end>44</end>
      <status>unmodified</status>
      <modifiedWord/>
      <trackRevisions>false</trackRevisions>
    </reviewItem>
    <reviewItem>
      <errorID>b3da7442-4e0e-4c0d-ba06-a27c22dff6c3</errorID>
      <errorWord>法》《建设工程安全</errorWord>
      <group>L1_Word</group>
      <groupName>字词问题</groupName>
      <ability>L2_Typo</ability>
      <abilityName>字词错误</abilityName>
      <candidateList>
        <item>法》和《建设工程安全</item>
      </candidateList>
      <explain/>
      <paraID>3A624E65</paraID>
      <start>23</start>
      <end>32</end>
      <status>unmodified</status>
      <modifiedWord/>
      <trackRevisions>false</trackRevisions>
    </reviewItem>
    <reviewItem>
      <errorID>adeb78f1-6a47-4911-bc77-2449e0eca15e</errorID>
      <errorWord>完成对</errorWord>
      <group>L1_Word</group>
      <groupName>字词问题</groupName>
      <ability>L2_Typo</ability>
      <abilityName>字词错误</abilityName>
      <candidateList>
        <item>完成</item>
      </candidateList>
      <explain>〈动〉按照预期的目的结束；做成：～任务｜～作业｜计划完得成。</explain>
      <paraID>43B90C65</paraID>
      <start>13</start>
      <end>16</end>
      <status>unmodified</status>
      <modifiedWord/>
      <trackRevisions>false</trackRevisions>
    </reviewItem>
    <reviewItem>
      <errorID>d15184e3-3084-4c9f-b780-4d1ba0844f7a</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2561063A</paraID>
      <start>112</start>
      <end>114</end>
      <status>unmodified</status>
      <modifiedWord/>
      <trackRevisions>false</trackRevisions>
    </reviewItem>
    <reviewItem>
      <errorID>e3a8fea6-198c-400b-abfa-adcd882e6a04</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44FF4683</paraID>
      <start>19</start>
      <end>21</end>
      <status>unmodified</status>
      <modifiedWord/>
      <trackRevisions>false</trackRevisions>
    </reviewItem>
    <reviewItem>
      <errorID>0a11de8a-88a9-4d7c-b051-19e31d4c62d0</errorID>
      <errorWord>-</errorWord>
      <group>L1_Format</group>
      <groupName>格式问题</groupName>
      <ability>L2_HalfPunc_CN</ability>
      <abilityName/>
      <candidateList>
        <item>－</item>
      </candidateList>
      <explain>文本全半角错误。</explain>
      <paraID>26EA8F13</paraID>
      <start>20</start>
      <end>21</end>
      <status>unmodified</status>
      <modifiedWord/>
      <trackRevisions>false</trackRevisions>
    </reviewItem>
    <reviewItem>
      <errorID>a4474c1b-25be-4032-9851-5188046b1d03</errorID>
      <errorWord>法律、法规</errorWord>
      <group>L1_Word</group>
      <groupName>字词问题</groupName>
      <ability>L2_Typo</ability>
      <abilityName>字词错误</abilityName>
      <candidateList>
        <item>法律法规</item>
      </candidateList>
      <explain/>
      <paraID>4CEC4D1B</paraID>
      <start>3</start>
      <end>8</end>
      <status>unmodified</status>
      <modifiedWord/>
      <trackRevisions>false</trackRevisions>
    </reviewItem>
    <reviewItem>
      <errorID>7e2b96ec-df70-418d-a775-9220591710eb</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1E301195</paraID>
      <start>175</start>
      <end>176</end>
      <status>unmodified</status>
      <modifiedWord/>
      <trackRevisions>false</trackRevisions>
    </reviewItem>
    <reviewItem>
      <errorID>ed1d68f6-d6d7-4b11-9276-609345226723</errorID>
      <errorWord>，</errorWord>
      <group>L1_Word</group>
      <groupName>字词问题</groupName>
      <ability>L2_Typo</ability>
      <abilityName>字词错误</abilityName>
      <candidateList>
        <item>，并</item>
      </candidateList>
      <explain/>
      <paraID>2EEFDB8F</paraID>
      <start>63</start>
      <end>64</end>
      <status>unmodified</status>
      <modifiedWord/>
      <trackRevisions>false</trackRevisions>
    </reviewItem>
    <reviewItem>
      <errorID>30cab818-68e4-404a-b375-37d2d5af4dbc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3D3D010D</paraID>
      <start>0</start>
      <end>2</end>
      <status>unmodified</status>
      <modifiedWord/>
      <trackRevisions>false</trackRevisions>
    </reviewItem>
    <reviewItem>
      <errorID>6df0609d-c449-4462-b3f7-8a75958a9352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6706DA7F</paraID>
      <start>0</start>
      <end>2</end>
      <status>unmodified</status>
      <modifiedWord/>
      <trackRevisions>false</trackRevisions>
    </reviewItem>
    <reviewItem>
      <errorID>8948e3ce-60b2-49e9-90a0-af0442cd787b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4536CA84</paraID>
      <start>0</start>
      <end>2</end>
      <status>unmodified</status>
      <modifiedWord/>
      <trackRevisions>false</trackRevisions>
    </reviewItem>
    <reviewItem>
      <errorID>4edc32d6-af28-44f3-8d9e-450b19122b37</errorID>
      <errorWord>其它</errorWord>
      <group>L1_Word</group>
      <groupName>字词问题</groupName>
      <ability>L2_Alias</ability>
      <abilityName>也作/曾用词</abilityName>
      <candidateList>
        <item>其他</item>
      </candidateList>
      <explain>词汇[其它]为不规范表述或旧称，其规范书面表述为[其他]。</explain>
      <paraID>2ED2B727</paraID>
      <start>2</start>
      <end>4</end>
      <status>unmodified</status>
      <modifiedWord/>
      <trackRevisions>false</trackRevisions>
    </reviewItem>
    <reviewItem>
      <errorID>2349af6a-2b85-480c-be05-74b6e8a7c00e</errorID>
      <errorWord>,</errorWord>
      <group>L1_Format</group>
      <groupName>格式问题</groupName>
      <ability>L2_HalfPunc_CN</ability>
      <abilityName/>
      <candidateList>
        <item>，</item>
      </candidateList>
      <explain>文本全半角错误。</explain>
      <paraID>20FB66B0</paraID>
      <start>109</start>
      <end>110</end>
      <status>unmodified</status>
      <modifiedWord/>
      <trackRevisions>false</trackRevisions>
    </reviewItem>
    <reviewItem>
      <errorID>79c5bb8a-1f90-4b81-abd0-75c3b4bad287</errorID>
      <errorWord>其它</errorWord>
      <group>L1_Word</group>
      <groupName>字词问题</groupName>
      <ability>L2_Alias</ability>
      <abilityName>也作/曾用词</abilityName>
      <candidateList>
        <item>其他</item>
      </candidateList>
      <explain>词汇[其它]为不规范表述或旧称，其规范书面表述为[其他]。</explain>
      <paraID>20FB66B0</paraID>
      <start>141</start>
      <end>143</end>
      <status>unmodified</status>
      <modifiedWord/>
      <trackRevisions>false</trackRevisions>
    </reviewItem>
    <reviewItem>
      <errorID>e9703e8d-776a-49af-a742-85c1cf3a49cc</errorID>
      <errorWord>其它</errorWord>
      <group>L1_Word</group>
      <groupName>字词问题</groupName>
      <ability>L2_Alias</ability>
      <abilityName>也作/曾用词</abilityName>
      <candidateList>
        <item>其他</item>
      </candidateList>
      <explain>词汇[其它]为不规范表述或旧称，其规范书面表述为[其他]。</explain>
      <paraID>5B19242E</paraID>
      <start>2</start>
      <end>4</end>
      <status>unmodified</status>
      <modifiedWord/>
      <trackRevisions>false</trackRevisions>
    </reviewItem>
    <reviewItem>
      <errorID>a7471130-19fb-4f09-b9f8-17691d12b65e</errorID>
      <errorWord>其它</errorWord>
      <group>L1_Word</group>
      <groupName>字词问题</groupName>
      <ability>L2_Alias</ability>
      <abilityName>也作/曾用词</abilityName>
      <candidateList>
        <item>其他</item>
      </candidateList>
      <explain>词汇[其它]为不规范表述或旧称，其规范书面表述为[其他]。</explain>
      <paraID>5B19242E</paraID>
      <start>29</start>
      <end>31</end>
      <status>unmodified</status>
      <modifiedWord/>
      <trackRevisions>false</trackRevisions>
    </reviewItem>
    <reviewItem>
      <errorID>f80a521e-d262-464c-b3e9-abe281ae371b</errorID>
      <errorWord>,</errorWord>
      <group>L1_Format</group>
      <groupName>格式问题</groupName>
      <ability>L2_HalfPunc_CN</ability>
      <abilityName/>
      <candidateList>
        <item>，</item>
      </candidateList>
      <explain>文本全半角错误。</explain>
      <paraID>5ED7F4B5</paraID>
      <start>38</start>
      <end>39</end>
      <status>unmodified</status>
      <modifiedWord/>
      <trackRevisions>false</trackRevisions>
    </reviewItem>
    <reviewItem>
      <errorID>da25e3fb-d1c0-4881-b4e2-5c35a33fec52</errorID>
      <errorWord>、以及</errorWord>
      <group>L1_Punc</group>
      <groupName>标点问题</groupName>
      <ability>L2_Punc_CN</ability>
      <abilityName/>
      <candidateList>
        <item>，以及</item>
      </candidateList>
      <explain>连接词前后不宜使用顿号，建议使用逗号。</explain>
      <paraID>467FA325</paraID>
      <start>51</start>
      <end>54</end>
      <status>unmodified</status>
      <modifiedWord/>
      <trackRevisions>false</trackRevisions>
    </reviewItem>
    <reviewItem>
      <errorID>c8eb5311-f758-4ec0-b22d-0a934a8b09ac</errorID>
      <errorWord>股东大会</errorWord>
      <group>L1_Word</group>
      <groupName>字词问题</groupName>
      <ability>L2_Typo</ability>
      <abilityName>字词错误</abilityName>
      <candidateList>
        <item>股东会</item>
      </candidateList>
      <explain/>
      <paraID> 628E483</paraID>
      <start>113</start>
      <end>117</end>
      <status>unmodified</status>
      <modifiedWord/>
      <trackRevisions>false</trackRevisions>
    </reviewItem>
    <reviewItem>
      <errorID>047dbf5a-22b5-4971-a950-1993fcd07614</errorID>
      <errorWord>:</errorWord>
      <group>L1_Format</group>
      <groupName>格式问题</groupName>
      <ability>L2_HalfPunc_CN</ability>
      <abilityName/>
      <candidateList>
        <item>：</item>
      </candidateList>
      <explain>文本全半角错误。</explain>
      <paraID>4E9A0F1A</paraID>
      <start>1</start>
      <end>2</end>
      <status>unmodified</status>
      <modifiedWord/>
      <trackRevisions>false</trackRevisions>
    </reviewItem>
    <reviewItem>
      <errorID>b8294bc8-1780-4c96-bb34-c6adfecc36fd</errorID>
      <errorWord>《</errorWord>
      <group>L1_Punc</group>
      <groupName>标点问题</groupName>
      <ability>L2_Punc_CN</ability>
      <abilityName/>
      <candidateList/>
      <explain>同一形式括号套用。</explain>
      <paraID> 4F44644</paraID>
      <start>34</start>
      <end>35</end>
      <status>unmodified</status>
      <modifiedWord/>
      <trackRevisions>false</trackRevisions>
    </reviewItem>
    <reviewItem>
      <errorID>538149cf-4652-4729-8662-a7e2138014dc</errorID>
      <errorWord>》</errorWord>
      <group>L1_Punc</group>
      <groupName>标点问题</groupName>
      <ability>L2_Punc_CN</ability>
      <abilityName/>
      <candidateList/>
      <explain>同一形式括号套用。</explain>
      <paraID> 4F44644</paraID>
      <start>47</start>
      <end>48</end>
      <status>unmodified</status>
      <modifiedWord/>
      <trackRevisions>false</trackRevisions>
    </reviewItem>
    <reviewItem>
      <errorID>de980503-76cf-459d-99cd-07836ee3e8a5</errorID>
      <errorWord>,</errorWord>
      <group>L1_Format</group>
      <groupName>格式问题</groupName>
      <ability>L2_HalfPunc_CN</ability>
      <abilityName/>
      <candidateList>
        <item>，</item>
      </candidateList>
      <explain>文本全半角错误。</explain>
      <paraID> 5B56E4C</paraID>
      <start>56</start>
      <end>57</end>
      <status>unmodified</status>
      <modifiedWord/>
      <trackRevisions>false</trackRevisions>
    </reviewItem>
    <reviewItem>
      <errorID>818b6e5e-71dc-47d7-a549-aca797198ec4</errorID>
      <errorWord>税</errorWord>
      <group>L1_Word</group>
      <groupName>字词问题</groupName>
      <ability>L2_Typo</ability>
      <abilityName>字词错误</abilityName>
      <candidateList>
        <item>税务</item>
      </candidateList>
      <explain/>
      <paraID>2AA03756</paraID>
      <start>4</start>
      <end>5</end>
      <status>unmodified</status>
      <modifiedWord/>
      <trackRevisions>false</trackRevisions>
    </reviewItem>
    <reviewItem>
      <errorID>7d5f90cc-f582-45db-a714-3b2907e1b0b1</errorID>
      <errorWord>噪音</errorWord>
      <group>L1_Word</group>
      <groupName>字词问题</groupName>
      <ability>L2_Alias</ability>
      <abilityName>也作/曾用词</abilityName>
      <candidateList>
        <item>噪声</item>
      </candidateList>
      <explain>词汇[噪音]为不规范表述或旧称，其规范书面表述为[噪声]。</explain>
      <paraID>4296742E</paraID>
      <start>85</start>
      <end>87</end>
      <status>unmodified</status>
      <modifiedWord/>
      <trackRevisions>false</trackRevisions>
    </reviewItem>
    <reviewItem>
      <errorID>eb01b586-6c59-4921-bd5a-2560b2e1cac7</errorID>
      <errorWord>(</errorWord>
      <group>L1_Format</group>
      <groupName>格式问题</groupName>
      <ability>L2_HalfPunc_CN</ability>
      <abilityName/>
      <candidateList>
        <item>（</item>
      </candidateList>
      <explain>文本全半角错误。</explain>
      <paraID>566658D1</paraID>
      <start>15</start>
      <end>16</end>
      <status>unmodified</status>
      <modifiedWord/>
      <trackRevisions>false</trackRevisions>
    </reviewItem>
    <reviewItem>
      <errorID>202d1bbc-2897-46cc-af6a-fab6950e4590</errorID>
      <errorWord>)</errorWord>
      <group>L1_Format</group>
      <groupName>格式问题</groupName>
      <ability>L2_HalfPunc_CN</ability>
      <abilityName/>
      <candidateList>
        <item>）</item>
      </candidateList>
      <explain>文本全半角错误。</explain>
      <paraID>566658D1</paraID>
      <start>24</start>
      <end>25</end>
      <status>unmodified</status>
      <modifiedWord/>
      <trackRevisions>false</trackRevisions>
    </reviewItem>
    <reviewItem>
      <errorID>b0082938-8df5-4eea-a92c-177963ec3a25</errorID>
      <errorWord>......</errorWord>
      <group>L1_Punc</group>
      <groupName>标点问题</groupName>
      <ability>L2_Punc_CN</ability>
      <abilityName/>
      <candidateList>
        <item>……</item>
      </candidateList>
      <explain/>
      <paraID>3D8E20DB</paraID>
      <start>0</start>
      <end>6</end>
      <status>unmodified</status>
      <modifiedWord/>
      <trackRevisions>false</trackRevisions>
    </reviewItem>
    <reviewItem>
      <errorID>b872f376-b23c-40fa-b9c7-b79b9e100a29</errorID>
      <errorWord>(</errorWord>
      <group>L1_Format</group>
      <groupName>格式问题</groupName>
      <ability>L2_HalfPunc_CN</ability>
      <abilityName/>
      <candidateList>
        <item>（</item>
      </candidateList>
      <explain>文本全半角错误。</explain>
      <paraID>5D9FB292</paraID>
      <start>23</start>
      <end>24</end>
      <status>unmodified</status>
      <modifiedWord/>
      <trackRevisions>false</trackRevisions>
    </reviewItem>
    <reviewItem>
      <errorID>0a41d90b-f379-4180-a7e8-65a0907940fb</errorID>
      <errorWord>)</errorWord>
      <group>L1_Format</group>
      <groupName>格式问题</groupName>
      <ability>L2_HalfPunc_CN</ability>
      <abilityName/>
      <candidateList>
        <item>）</item>
      </candidateList>
      <explain>文本全半角错误。</explain>
      <paraID>5D9FB292</paraID>
      <start>28</start>
      <end>29</end>
      <status>unmodified</status>
      <modifiedWord/>
      <trackRevisions>false</trackRevisions>
    </reviewItem>
    <reviewItem>
      <errorID>8f467114-4181-40ed-9272-8818e528f691</errorID>
      <errorWord>噪音</errorWord>
      <group>L1_Word</group>
      <groupName>字词问题</groupName>
      <ability>L2_Alias</ability>
      <abilityName>也作/曾用词</abilityName>
      <candidateList>
        <item>噪声</item>
      </candidateList>
      <explain>词汇[噪音]为不规范表述或旧称，其规范书面表述为[噪声]。</explain>
      <paraID>4107582D</paraID>
      <start>85</start>
      <end>87</end>
      <status>unmodified</status>
      <modifiedWord/>
      <trackRevisions>false</trackRevisions>
    </reviewItem>
    <reviewItem>
      <errorID>1984cfc1-ac37-4611-a105-cd2b5c108d6a</errorID>
      <errorWord>(</errorWord>
      <group>L1_Format</group>
      <groupName>格式问题</groupName>
      <ability>L2_HalfPunc_CN</ability>
      <abilityName/>
      <candidateList>
        <item>（</item>
      </candidateList>
      <explain>文本全半角错误。</explain>
      <paraID>4AFDA7DA</paraID>
      <start>15</start>
      <end>16</end>
      <status>unmodified</status>
      <modifiedWord/>
      <trackRevisions>false</trackRevisions>
    </reviewItem>
    <reviewItem>
      <errorID>325c1756-99b8-4dd5-bf59-59cc0f471f05</errorID>
      <errorWord>)</errorWord>
      <group>L1_Format</group>
      <groupName>格式问题</groupName>
      <ability>L2_HalfPunc_CN</ability>
      <abilityName/>
      <candidateList>
        <item>）</item>
      </candidateList>
      <explain>文本全半角错误。</explain>
      <paraID>4AFDA7DA</paraID>
      <start>24</start>
      <end>25</end>
      <status>unmodified</status>
      <modifiedWord/>
      <trackRevisions>false</trackRevisions>
    </reviewItem>
    <reviewItem>
      <errorID>85a6da4d-1da6-4cd8-b3d3-8308d8b64496</errorID>
      <errorWord>......</errorWord>
      <group>L1_Punc</group>
      <groupName>标点问题</groupName>
      <ability>L2_Punc_CN</ability>
      <abilityName/>
      <candidateList>
        <item>……</item>
      </candidateList>
      <explain/>
      <paraID>710EC906</paraID>
      <start>0</start>
      <end>6</end>
      <status>unmodified</status>
      <modifiedWord/>
      <trackRevisions>false</trackRevisions>
    </reviewItem>
    <reviewItem>
      <errorID>3dfdbba2-5a13-403e-b0df-5ed0ace3a54c</errorID>
      <errorWord>(</errorWord>
      <group>L1_Format</group>
      <groupName>格式问题</groupName>
      <ability>L2_HalfPunc_CN</ability>
      <abilityName/>
      <candidateList>
        <item>（</item>
      </candidateList>
      <explain>文本全半角错误。</explain>
      <paraID>7E197D2D</paraID>
      <start>23</start>
      <end>24</end>
      <status>unmodified</status>
      <modifiedWord/>
      <trackRevisions>false</trackRevisions>
    </reviewItem>
    <reviewItem>
      <errorID>c9846cd6-1fd4-4f78-82d7-df1f2a151f1d</errorID>
      <errorWord>)</errorWord>
      <group>L1_Format</group>
      <groupName>格式问题</groupName>
      <ability>L2_HalfPunc_CN</ability>
      <abilityName/>
      <candidateList>
        <item>）</item>
      </candidateList>
      <explain>文本全半角错误。</explain>
      <paraID>7E197D2D</paraID>
      <start>28</start>
      <end>29</end>
      <status>unmodified</status>
      <modifiedWord/>
      <trackRevisions>false</trackRevisions>
    </reviewItem>
    <reviewItem>
      <errorID>e4759422-216a-42e4-8a3b-030fdfb1f513</errorID>
      <errorWord>KW</errorWord>
      <group>L1_Word</group>
      <groupName>字词问题</groupName>
      <ability>L2_Typo</ability>
      <abilityName>字词错误</abilityName>
      <candidateList>
        <item>kW</item>
      </candidateList>
      <explain/>
      <paraID>7889A098</paraID>
      <start>6</start>
      <end>8</end>
      <status>unmodified</status>
      <modifiedWord/>
      <trackRevisions>false</trackRevisions>
    </reviewItem>
    <reviewItem>
      <errorID>66b38454-00e1-49c8-9743-b8eecdc1de54</errorID>
      <errorWord>......</errorWord>
      <group>L1_Punc</group>
      <groupName>标点问题</groupName>
      <ability>L2_Punc_CN</ability>
      <abilityName/>
      <candidateList>
        <item>……</item>
      </candidateList>
      <explain/>
      <paraID>636D3C63</paraID>
      <start>0</start>
      <end>6</end>
      <status>unmodified</status>
      <modifiedWord/>
      <trackRevisions>false</trackRevisions>
    </reviewItem>
    <reviewItem>
      <errorID>64bb6f11-9ec1-4f1a-92c9-9bd12661f9a0</errorID>
      <errorWord>(</errorWord>
      <group>L1_Format</group>
      <groupName>格式问题</groupName>
      <ability>L2_HalfPunc_CN</ability>
      <abilityName/>
      <candidateList>
        <item>（</item>
      </candidateList>
      <explain>文本全半角错误。</explain>
      <paraID>34F2470D</paraID>
      <start>26</start>
      <end>27</end>
      <status>unmodified</status>
      <modifiedWord/>
      <trackRevisions>false</trackRevisions>
    </reviewItem>
    <reviewItem>
      <errorID>dbd7dbde-b103-4d6e-bfab-528bac328adb</errorID>
      <errorWord>)</errorWord>
      <group>L1_Format</group>
      <groupName>格式问题</groupName>
      <ability>L2_HalfPunc_CN</ability>
      <abilityName/>
      <candidateList>
        <item>）</item>
      </candidateList>
      <explain>文本全半角错误。</explain>
      <paraID>34F2470D</paraID>
      <start>29</start>
      <end>30</end>
      <status>unmodified</status>
      <modifiedWord/>
      <trackRevisions>false</trackRevisions>
    </reviewItem>
    <reviewItem>
      <errorID>25a16bfa-e028-4aa5-952f-9a7768d04781</errorID>
      <errorWord>,</errorWord>
      <group>L1_Format</group>
      <groupName>格式问题</groupName>
      <ability>L2_HalfPunc_CN</ability>
      <abilityName/>
      <candidateList>
        <item>，</item>
      </candidateList>
      <explain>文本全半角错误。</explain>
      <paraID>417C5EBD</paraID>
      <start>34</start>
      <end>35</end>
      <status>unmodified</status>
      <modifiedWord/>
      <trackRevisions>false</trackRevisions>
    </reviewItem>
    <reviewItem>
      <errorID>ed3d2113-1ef1-48bc-b408-703800f3571e</errorID>
      <errorWord>(</errorWord>
      <group>L1_Format</group>
      <groupName>格式问题</groupName>
      <ability>L2_HalfPunc_CN</ability>
      <abilityName/>
      <candidateList>
        <item>（</item>
      </candidateList>
      <explain>文本全半角错误。</explain>
      <paraID>64009272</paraID>
      <start>21</start>
      <end>22</end>
      <status>unmodified</status>
      <modifiedWord/>
      <trackRevisions>false</trackRevisions>
    </reviewItem>
    <reviewItem>
      <errorID>14706bcf-959f-48b2-ba14-4e23ee4c81b5</errorID>
      <errorWord>)</errorWord>
      <group>L1_Format</group>
      <groupName>格式问题</groupName>
      <ability>L2_HalfPunc_CN</ability>
      <abilityName/>
      <candidateList>
        <item>）</item>
      </candidateList>
      <explain>文本全半角错误。</explain>
      <paraID>64009272</paraID>
      <start>24</start>
      <end>25</end>
      <status>unmodified</status>
      <modifiedWord/>
      <trackRevisions>false</trackRevisions>
    </reviewItem>
    <reviewItem>
      <errorID>8a60e6ae-50a0-410f-bac9-c5b8a89f70c2</errorID>
      <errorWord>(</errorWord>
      <group>L1_Format</group>
      <groupName>格式问题</groupName>
      <ability>L2_HalfPunc_CN</ability>
      <abilityName/>
      <candidateList>
        <item>（</item>
      </candidateList>
      <explain>文本全半角错误。</explain>
      <paraID>64009272</paraID>
      <start>53</start>
      <end>54</end>
      <status>unmodified</status>
      <modifiedWord/>
      <trackRevisions>false</trackRevisions>
    </reviewItem>
    <reviewItem>
      <errorID>a848041a-2a10-47bb-bc24-8a8c29e81edb</errorID>
      <errorWord>)</errorWord>
      <group>L1_Format</group>
      <groupName>格式问题</groupName>
      <ability>L2_HalfPunc_CN</ability>
      <abilityName/>
      <candidateList>
        <item>）</item>
      </candidateList>
      <explain>文本全半角错误。</explain>
      <paraID>64009272</paraID>
      <start>56</start>
      <end>57</end>
      <status>unmodified</status>
      <modifiedWord/>
      <trackRevisions>false</trackRevisions>
    </reviewItem>
    <reviewItem>
      <errorID>2da07257-f4f0-4ae7-9785-ec36120c3cc9</errorID>
      <errorWord>(</errorWord>
      <group>L1_Format</group>
      <groupName>格式问题</groupName>
      <ability>L2_HalfPunc_CN</ability>
      <abilityName/>
      <candidateList>
        <item>（</item>
      </candidateList>
      <explain>文本全半角错误。</explain>
      <paraID>2F5379E4</paraID>
      <start>0</start>
      <end>1</end>
      <status>unmodified</status>
      <modifiedWord/>
      <trackRevisions>false</trackRevisions>
    </reviewItem>
    <reviewItem>
      <errorID>5eed4168-e9a7-43d2-8f9d-45cb959b2c28</errorID>
      <errorWord>)</errorWord>
      <group>L1_Format</group>
      <groupName>格式问题</groupName>
      <ability>L2_HalfPunc_CN</ability>
      <abilityName/>
      <candidateList>
        <item>）</item>
      </candidateList>
      <explain>文本全半角错误。</explain>
      <paraID>2F5379E4</paraID>
      <start>7</start>
      <end>8</end>
      <status>unmodified</status>
      <modifiedWord/>
      <trackRevisions>false</trackRevisions>
    </reviewItem>
    <reviewItem>
      <errorID>d8cb3676-5741-4142-a569-60b3e19c186d</errorID>
      <errorWord>(</errorWord>
      <group>L1_Format</group>
      <groupName>格式问题</groupName>
      <ability>L2_HalfPunc_CN</ability>
      <abilityName/>
      <candidateList>
        <item>（</item>
      </candidateList>
      <explain>文本全半角错误。</explain>
      <paraID>2F5379E4</paraID>
      <start>21</start>
      <end>22</end>
      <status>unmodified</status>
      <modifiedWord/>
      <trackRevisions>false</trackRevisions>
    </reviewItem>
    <reviewItem>
      <errorID>718ec741-67f6-4598-a5d5-a2cf4d6352a9</errorID>
      <errorWord>)</errorWord>
      <group>L1_Format</group>
      <groupName>格式问题</groupName>
      <ability>L2_HalfPunc_CN</ability>
      <abilityName/>
      <candidateList>
        <item>）</item>
      </candidateList>
      <explain>文本全半角错误。</explain>
      <paraID>2F5379E4</paraID>
      <start>24</start>
      <end>25</end>
      <status>unmodified</status>
      <modifiedWord/>
      <trackRevisions>false</trackRevisions>
    </reviewItem>
    <reviewItem>
      <errorID>ff15ea52-2b5c-4bea-80df-f6041727b501</errorID>
      <errorWord>(</errorWord>
      <group>L1_Format</group>
      <groupName>格式问题</groupName>
      <ability>L2_HalfPunc_CN</ability>
      <abilityName/>
      <candidateList>
        <item>（</item>
      </candidateList>
      <explain>文本全半角错误。</explain>
      <paraID>2F5379E4</paraID>
      <start>32</start>
      <end>33</end>
      <status>unmodified</status>
      <modifiedWord/>
      <trackRevisions>false</trackRevisions>
    </reviewItem>
    <reviewItem>
      <errorID>e330041a-ef89-470d-aba3-4d89238f1a84</errorID>
      <errorWord>)</errorWord>
      <group>L1_Format</group>
      <groupName>格式问题</groupName>
      <ability>L2_HalfPunc_CN</ability>
      <abilityName/>
      <candidateList>
        <item>）</item>
      </candidateList>
      <explain>文本全半角错误。</explain>
      <paraID>2F5379E4</paraID>
      <start>39</start>
      <end>40</end>
      <status>unmodified</status>
      <modifiedWord/>
      <trackRevisions>false</trackRevisions>
    </reviewItem>
    <reviewItem>
      <errorID>e4c3b90f-e932-429b-bbd1-69299afb73bc</errorID>
      <errorWord>(</errorWord>
      <group>L1_Format</group>
      <groupName>格式问题</groupName>
      <ability>L2_HalfPunc_CN</ability>
      <abilityName/>
      <candidateList>
        <item>（</item>
      </candidateList>
      <explain>文本全半角错误。</explain>
      <paraID>2F5379E4</paraID>
      <start>53</start>
      <end>54</end>
      <status>unmodified</status>
      <modifiedWord/>
      <trackRevisions>false</trackRevisions>
    </reviewItem>
    <reviewItem>
      <errorID>a8efdf7c-2936-4f2b-97e0-bbbbacbc8450</errorID>
      <errorWord>)</errorWord>
      <group>L1_Format</group>
      <groupName>格式问题</groupName>
      <ability>L2_HalfPunc_CN</ability>
      <abilityName/>
      <candidateList>
        <item>）</item>
      </candidateList>
      <explain>文本全半角错误。</explain>
      <paraID>2F5379E4</paraID>
      <start>56</start>
      <end>57</end>
      <status>unmodified</status>
      <modifiedWord/>
      <trackRevisions>false</trackRevisions>
    </reviewItem>
    <reviewItem>
      <errorID>262966be-4e3b-4522-9083-2cb755c57203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43F3A2D3</paraID>
      <start>0</start>
      <end>2</end>
      <status>unmodified</status>
      <modifiedWord/>
      <trackRevisions>false</trackRevisions>
    </reviewItem>
    <reviewItem>
      <errorID>9dfbb1f7-4b7d-4289-9344-b3183b776faf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123B2BC2</paraID>
      <start>0</start>
      <end>2</end>
      <status>unmodified</status>
      <modifiedWord/>
      <trackRevisions>false</trackRevisions>
    </reviewItem>
    <reviewItem>
      <errorID>86656b70-7e1f-4c8d-a331-1e9a24bc2ba4</errorID>
      <errorWord>(</errorWord>
      <group>L1_Format</group>
      <groupName>格式问题</groupName>
      <ability>L2_HalfPunc_CN</ability>
      <abilityName/>
      <candidateList>
        <item>（</item>
      </candidateList>
      <explain>文本全半角错误。</explain>
      <paraID>1D4B0C82</paraID>
      <start>7</start>
      <end>8</end>
      <status>unmodified</status>
      <modifiedWord/>
      <trackRevisions>false</trackRevisions>
    </reviewItem>
    <reviewItem>
      <errorID>b9ce765e-43e9-49fa-baba-70be63c106f4</errorID>
      <errorWord>)</errorWord>
      <group>L1_Format</group>
      <groupName>格式问题</groupName>
      <ability>L2_HalfPunc_CN</ability>
      <abilityName/>
      <candidateList>
        <item>）</item>
      </candidateList>
      <explain>文本全半角错误。</explain>
      <paraID>1D4B0C82</paraID>
      <start>11</start>
      <end>12</end>
      <status>unmodified</status>
      <modifiedWord/>
      <trackRevisions>false</trackRevisions>
    </reviewItem>
    <reviewItem>
      <errorID>bc9d7ee8-287e-4cb5-a933-70a5bfb62504</errorID>
      <errorWord>(</errorWord>
      <group>L1_Format</group>
      <groupName>格式问题</groupName>
      <ability>L2_HalfPunc_CN</ability>
      <abilityName/>
      <candidateList>
        <item>（</item>
      </candidateList>
      <explain>文本全半角错误。</explain>
      <paraID>1D4B0C82</paraID>
      <start>18</start>
      <end>19</end>
      <status>unmodified</status>
      <modifiedWord/>
      <trackRevisions>false</trackRevisions>
    </reviewItem>
    <reviewItem>
      <errorID>73f24229-f756-48b7-8254-f67744a37998</errorID>
      <errorWord>)</errorWord>
      <group>L1_Format</group>
      <groupName>格式问题</groupName>
      <ability>L2_HalfPunc_CN</ability>
      <abilityName/>
      <candidateList>
        <item>）</item>
      </candidateList>
      <explain>文本全半角错误。</explain>
      <paraID>1D4B0C82</paraID>
      <start>26</start>
      <end>27</end>
      <status>unmodified</status>
      <modifiedWord/>
      <trackRevisions>false</trackRevisions>
    </reviewItem>
    <reviewItem>
      <errorID>0d8d49b8-46d5-4e5a-acd7-4d48a2047f45</errorID>
      <errorWord>会有其它人</errorWord>
      <group>L1_Word</group>
      <groupName>字词问题</groupName>
      <ability>L2_Alias</ability>
      <abilityName>也作/曾用词</abilityName>
      <candidateList>
        <item>会有其他人</item>
      </candidateList>
      <explain>词汇[会有其它人]为不规范表述或旧称，其规范书面表述为[会有其他人]。</explain>
      <paraID>193C0E7D</paraID>
      <start>28</start>
      <end>33</end>
      <status>unmodified</status>
      <modifiedWord/>
      <trackRevisions>false</trackRevisions>
    </reviewItem>
    <reviewItem>
      <errorID>2e9dacf3-8f45-45d2-919b-15c4df06067c</errorID>
      <errorWord>,</errorWord>
      <group>L1_Format</group>
      <groupName>格式问题</groupName>
      <ability>L2_HalfPunc_CN</ability>
      <abilityName/>
      <candidateList>
        <item>，</item>
      </candidateList>
      <explain>文本全半角错误。</explain>
      <paraID>7288299B</paraID>
      <start>16</start>
      <end>17</end>
      <status>unmodified</status>
      <modifiedWord/>
      <trackRevisions>false</trackRevisions>
    </reviewItem>
    <reviewItem>
      <errorID>78b9ad83-76f5-4e27-83a7-56d691485c7f</errorID>
      <errorWord>(</errorWord>
      <group>L1_Format</group>
      <groupName>格式问题</groupName>
      <ability>L2_HalfPunc_CN</ability>
      <abilityName/>
      <candidateList>
        <item>（</item>
      </candidateList>
      <explain>文本全半角错误。</explain>
      <paraID>31484F26</paraID>
      <start>34</start>
      <end>35</end>
      <status>unmodified</status>
      <modifiedWord/>
      <trackRevisions>false</trackRevisions>
    </reviewItem>
    <reviewItem>
      <errorID>ea1a144d-50e7-431c-9e6a-3b14aba84e38</errorID>
      <errorWord>)</errorWord>
      <group>L1_Format</group>
      <groupName>格式问题</groupName>
      <ability>L2_HalfPunc_CN</ability>
      <abilityName/>
      <candidateList>
        <item>）</item>
      </candidateList>
      <explain>文本全半角错误。</explain>
      <paraID>31484F26</paraID>
      <start>42</start>
      <end>43</end>
      <status>unmodified</status>
      <modifiedWord/>
      <trackRevisions>false</trackRevisions>
    </reviewItem>
    <reviewItem>
      <errorID>71e18f16-ee78-4ea9-9aed-0cc442855ec4</errorID>
      <errorWord>（/</errorWord>
      <group>L1_Punc</group>
      <groupName>标点问题</groupName>
      <ability>L2_Punc_CN</ability>
      <abilityName/>
      <candidateList>
        <item>（</item>
      </candidateList>
      <explain/>
      <paraID>4E9F9D1E</paraID>
      <start>59</start>
      <end>61</end>
      <status>unmodified</status>
      <modifiedWord/>
      <trackRevisions>false</trackRevisions>
    </reviewItem>
    <reviewItem>
      <errorID>1ceccb5f-e965-44fa-b69c-5f7d3951f75d</errorID>
      <errorWord>为此</errorWord>
      <group>L1_Word</group>
      <groupName>字词问题</groupName>
      <ability>L2_Typo</ability>
      <abilityName>字词错误</abilityName>
      <candidateList>
        <item>为止</item>
      </candidateList>
      <explain/>
      <paraID>4E9F9D1E</paraID>
      <start>159</start>
      <end>161</end>
      <status>unmodified</status>
      <modifiedWord/>
      <trackRevisions>false</trackRevisions>
    </reviewItem>
    <reviewItem>
      <errorID>cc5a9de0-5cc8-4478-892b-83e0cb980b84</errorID>
      <errorWord>）</errorWord>
      <group>L1_Punc</group>
      <groupName>标点问题</groupName>
      <ability>L2_Punc_CN</ability>
      <abilityName/>
      <candidateList/>
      <explain>此处标点可能未正确匹配，请检查句子中是否存在标点冗余、缺失或使用错误的情况。</explain>
      <paraID> 943702F</paraID>
      <start>34</start>
      <end>35</end>
      <status>unmodified</status>
      <modifiedWord/>
      <trackRevisions>false</trackRevisions>
    </reviewItem>
    <reviewItem>
      <errorID>d4b885b7-e1dc-4190-a7cd-ee0fc8c0d5d2</errorID>
      <errorWord>(</errorWord>
      <group>L1_Format</group>
      <groupName>格式问题</groupName>
      <ability>L2_HalfPunc_CN</ability>
      <abilityName/>
      <candidateList>
        <item>（</item>
      </candidateList>
      <explain>文本全半角错误。</explain>
      <paraID>75F86D9A</paraID>
      <start>11</start>
      <end>12</end>
      <status>unmodified</status>
      <modifiedWord/>
      <trackRevisions>false</trackRevisions>
    </reviewItem>
    <reviewItem>
      <errorID>71c2c0f6-6a4d-4863-a644-6a475eff52cb</errorID>
      <errorWord>)</errorWord>
      <group>L1_Format</group>
      <groupName>格式问题</groupName>
      <ability>L2_HalfPunc_CN</ability>
      <abilityName/>
      <candidateList>
        <item>）</item>
      </candidateList>
      <explain>文本全半角错误。</explain>
      <paraID>75F86D9A</paraID>
      <start>16</start>
      <end>17</end>
      <status>unmodified</status>
      <modifiedWord/>
      <trackRevisions>false</trackRevisions>
    </reviewItem>
    <reviewItem>
      <errorID>cc4514b5-8c8d-4ff1-8684-3444245489e2</errorID>
      <errorWord>(</errorWord>
      <group>L1_Format</group>
      <groupName>格式问题</groupName>
      <ability>L2_HalfPunc_CN</ability>
      <abilityName/>
      <candidateList>
        <item>（</item>
      </candidateList>
      <explain>文本全半角错误。</explain>
      <paraID>4F2B6CE7</paraID>
      <start>3</start>
      <end>4</end>
      <status>unmodified</status>
      <modifiedWord/>
      <trackRevisions>false</trackRevisions>
    </reviewItem>
    <reviewItem>
      <errorID>a0815bef-ba19-41f6-9f4c-d79f017636d5</errorID>
      <errorWord>)</errorWord>
      <group>L1_Format</group>
      <groupName>格式问题</groupName>
      <ability>L2_HalfPunc_CN</ability>
      <abilityName/>
      <candidateList>
        <item>）</item>
      </candidateList>
      <explain>文本全半角错误。</explain>
      <paraID>4F2B6CE7</paraID>
      <start>7</start>
      <end>8</end>
      <status>unmodified</status>
      <modifiedWord/>
      <trackRevisions>false</trackRevisions>
    </reviewItem>
    <reviewItem>
      <errorID>a6bacdfc-c538-48b8-b06c-fed91462f451</errorID>
      <errorWord>”</errorWord>
      <group>L1_Punc</group>
      <groupName>标点问题</groupName>
      <ability>L2_Punc_CN</ability>
      <abilityName/>
      <candidateList/>
      <explain>此处标点可能未正确匹配，请检查句子中是否存在标点冗余、缺失或使用错误的情况。</explain>
      <paraID>3FA0C51C</paraID>
      <start>42</start>
      <end>43</end>
      <status>unmodified</status>
      <modifiedWord/>
      <trackRevisions>false</trackRevisions>
    </reviewItem>
    <reviewItem>
      <errorID>bd08d66e-7e2a-4558-8f42-c6420c14ceb2</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14513700</paraID>
      <start>14</start>
      <end>18</end>
      <status>unmodified</status>
      <modifiedWord/>
      <trackRevisions>false</trackRevisions>
    </reviewItem>
    <reviewItem>
      <errorID>e165ddc8-dd8f-4f83-b647-79f2e4f84d36</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773745E7</paraID>
      <start>14</start>
      <end>18</end>
      <status>unmodified</status>
      <modifiedWord/>
      <trackRevisions>false</trackRevisions>
    </reviewItem>
    <reviewItem>
      <errorID>c687a1db-0499-4280-a074-0729cbc1af0c</errorID>
      <errorWord>作好</errorWord>
      <group>L1_Word</group>
      <groupName>字词问题</groupName>
      <ability>L2_Typo</ability>
      <abilityName>字词错误</abilityName>
      <candidateList>
        <item>做好</item>
      </candidateList>
      <explain/>
      <paraID>3202C704</paraID>
      <start>118</start>
      <end>120</end>
      <status>unmodified</status>
      <modifiedWord/>
      <trackRevisions>false</trackRevisions>
    </reviewItem>
    <reviewItem>
      <errorID>4a2516b8-c406-4c22-baab-e6d93047456e</errorID>
      <errorWord>因为</errorWord>
      <group>L1_Word</group>
      <groupName>字词问题</groupName>
      <ability>L2_Typo</ability>
      <abilityName>字词错误</abilityName>
      <candidateList>
        <item>因</item>
      </candidateList>
      <explain/>
      <paraID>  DE2214</paraID>
      <start>24</start>
      <end>26</end>
      <status>unmodified</status>
      <modifiedWord/>
      <trackRevisions>false</trackRevisions>
    </reviewItem>
    <reviewItem>
      <errorID>6bd9e29b-683a-4c56-8cd7-ff1905661145</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5B4FD76F</paraID>
      <start>108</start>
      <end>110</end>
      <status>unmodified</status>
      <modifiedWord/>
      <trackRevisions>false</trackRevisions>
    </reviewItem>
    <reviewItem>
      <errorID>ca98dd5d-91e4-4cca-9a84-f45f420ba5a2</errorID>
      <errorWord>才</errorWord>
      <group>L1_Word</group>
      <groupName>字词问题</groupName>
      <ability>L2_Typo</ability>
      <abilityName>字词错误</abilityName>
      <candidateList>
        <item>才能</item>
      </candidateList>
      <explain/>
      <paraID>75704AC1</paraID>
      <start>30</start>
      <end>31</end>
      <status>unmodified</status>
      <modifiedWord/>
      <trackRevisions>false</trackRevisions>
    </reviewItem>
    <reviewItem>
      <errorID>a9ff34a4-41de-45c3-a1ef-49fdd8b805f5</errorID>
      <errorWord>(</errorWord>
      <group>L1_Format</group>
      <groupName>格式问题</groupName>
      <ability>L2_HalfPunc_CN</ability>
      <abilityName/>
      <candidateList>
        <item>（</item>
      </candidateList>
      <explain>文本全半角错误。</explain>
      <paraID>326F91E9</paraID>
      <start>18</start>
      <end>19</end>
      <status>unmodified</status>
      <modifiedWord/>
      <trackRevisions>false</trackRevisions>
    </reviewItem>
    <reviewItem>
      <errorID>0cf8c4f3-fc0d-4928-9f11-1e8308d540f5</errorID>
      <errorWord>)</errorWord>
      <group>L1_Format</group>
      <groupName>格式问题</groupName>
      <ability>L2_HalfPunc_CN</ability>
      <abilityName/>
      <candidateList>
        <item>）</item>
      </candidateList>
      <explain>文本全半角错误。</explain>
      <paraID>326F91E9</paraID>
      <start>27</start>
      <end>28</end>
      <status>unmodified</status>
      <modifiedWord/>
      <trackRevisions>false</trackRevisions>
    </reviewItem>
    <reviewItem>
      <errorID>05c0288c-1699-40ae-8f61-bf0e772be10e</errorID>
      <errorWord>告之</errorWord>
      <group>L1_Word</group>
      <groupName>字词问题</groupName>
      <ability>L2_Typo</ability>
      <abilityName>字词错误</abilityName>
      <candidateList>
        <item>告知</item>
      </candidateList>
      <explain>〈动〉告诉使知道：把通信地址～在京的同学。</explain>
      <paraID> 45DBFC7</paraID>
      <start>98</start>
      <end>100</end>
      <status>unmodified</status>
      <modifiedWord/>
      <trackRevisions>false</trackRevisions>
    </reviewItem>
    <reviewItem>
      <errorID>50a82d28-2920-4e2a-9e79-6c9d42b787a9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7EB907FA</paraID>
      <start>0</start>
      <end>2</end>
      <status>unmodified</status>
      <modifiedWord/>
      <trackRevisions>false</trackRevisions>
    </reviewItem>
    <reviewItem>
      <errorID>017eae45-1710-4281-9517-5a89de32948e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678DA8CA</paraID>
      <start>0</start>
      <end>2</end>
      <status>unmodified</status>
      <modifiedWord/>
      <trackRevisions>false</trackRevisions>
    </reviewItem>
    <reviewItem>
      <errorID>9bf6cdd9-5b94-4973-a6d9-aea9a1d41ef9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1777A42C</paraID>
      <start>0</start>
      <end>2</end>
      <status>unmodified</status>
      <modifiedWord/>
      <trackRevisions>false</trackRevisions>
    </reviewItem>
    <reviewItem>
      <errorID>7a36abc5-ee02-4c5c-b069-9e9bcad3436b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1777A42C</paraID>
      <start>19</start>
      <end>22</end>
      <status>unmodified</status>
      <modifiedWord/>
      <trackRevisions>false</trackRevisions>
    </reviewItem>
    <reviewItem>
      <errorID>cee0b969-3aca-4ece-b111-f5eccae8bb7f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14BF4EDE</paraID>
      <start>0</start>
      <end>2</end>
      <status>unmodified</status>
      <modifiedWord/>
      <trackRevisions>false</trackRevisions>
    </reviewItem>
    <reviewItem>
      <errorID>7d7203d5-9629-40c9-9536-16aaa284e8fa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272B6B64</paraID>
      <start>0</start>
      <end>2</end>
      <status>unmodified</status>
      <modifiedWord/>
      <trackRevisions>false</trackRevisions>
    </reviewItem>
    <reviewItem>
      <errorID>38621bb5-6905-4ef4-8c89-c6c7b6c92b40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6A366E54</paraID>
      <start>0</start>
      <end>2</end>
      <status>unmodified</status>
      <modifiedWord/>
      <trackRevisions>false</trackRevisions>
    </reviewItem>
    <reviewItem>
      <errorID>6ff8a6fa-f28f-49d2-967e-ad551afe2eb2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723969A2</paraID>
      <start>0</start>
      <end>2</end>
      <status>unmodified</status>
      <modifiedWord/>
      <trackRevisions>false</trackRevisions>
    </reviewItem>
    <reviewItem>
      <errorID>83135d1e-a56b-437e-aaaf-1065ee8f8a34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3F8B04A3</paraID>
      <start>0</start>
      <end>2</end>
      <status>unmodified</status>
      <modifiedWord/>
      <trackRevisions>false</trackRevisions>
    </reviewItem>
    <reviewItem>
      <errorID>8ccef7a9-2e10-49d2-8112-63f046f3784e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386AD58A</paraID>
      <start>0</start>
      <end>2</end>
      <status>unmodified</status>
      <modifiedWord/>
      <trackRevisions>false</trackRevisions>
    </reviewItem>
    <reviewItem>
      <errorID>9ebae0c9-361d-405b-9282-23ff769ef935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247EBCF8</paraID>
      <start>0</start>
      <end>3</end>
      <status>unmodified</status>
      <modifiedWord/>
      <trackRevisions>false</trackRevisions>
    </reviewItem>
    <reviewItem>
      <errorID>ad46a28b-f37f-4a50-b06a-24aec270d7c7</errorID>
      <errorWord>,</errorWord>
      <group>L1_Format</group>
      <groupName>格式问题</groupName>
      <ability>L2_HalfPunc_CN</ability>
      <abilityName/>
      <candidateList>
        <item>，</item>
      </candidateList>
      <explain>文本全半角错误。</explain>
      <paraID>61C86053</paraID>
      <start>190</start>
      <end>191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ee2077-48f1-4de7-9c35-3fbcba0732be}">
  <ds:schemaRefs/>
</ds:datastoreItem>
</file>

<file path=docProps/app.xml><?xml version="1.0" encoding="utf-8"?>
<Properties xmlns="http://schemas.openxmlformats.org/officeDocument/2006/extended-properties" xmlns:vt="http://schemas.openxmlformats.org/officeDocument/2006/docPropsVTypes">
  <Template>Normal</Template>
  <Pages>124</Pages>
  <Words>29907</Words>
  <Characters>31516</Characters>
  <Lines>398</Lines>
  <Paragraphs>112</Paragraphs>
  <TotalTime>2</TotalTime>
  <ScaleCrop>false</ScaleCrop>
  <LinksUpToDate>false</LinksUpToDate>
  <CharactersWithSpaces>32061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2023-09-20T03:00:00Z</dcterms:created>
  <dc:creator>唐冰</dc:creator>
  <cp:lastModifiedBy>方雨佐南</cp:lastModifiedBy>
  <cp:lastPrinted>2026-08-31T01:49:00Z</cp:lastPrinted>
  <dcterms:modified xsi:type="dcterms:W3CDTF">2026-08-31T07:37:00Z</dcterms:modified>
  <dc:title>竞争性谈判文件规范</dc:title>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562B2F5039714B859570474AC5ECA511_13</vt:lpwstr>
  </property>
  <property fmtid="{D5CDD505-2E9C-101B-9397-08002B2CF9AE}" pid="4" name="KSOTemplateDocerSaveRecord">
    <vt:lpwstr>eyJoZGlkIjoiYWE0NTE0ODRiNWEzODgzYzY4NjkwMzcyN2RhZTExY2EiLCJ1c2VySWQiOiI1ODc0MzM5ODYifQ==</vt:lpwstr>
  </property>
</Properties>
</file>