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17BEBF">
      <w:pPr>
        <w:spacing w:line="360" w:lineRule="auto"/>
        <w:jc w:val="center"/>
        <w:rPr>
          <w:rFonts w:hint="eastAsia" w:ascii="宋体" w:hAnsi="宋体" w:eastAsia="宋体" w:cs="宋体"/>
          <w:color w:val="000000" w:themeColor="text1"/>
          <w:sz w:val="52"/>
          <w:szCs w:val="52"/>
          <w:highlight w:val="none"/>
          <w14:textFill>
            <w14:solidFill>
              <w14:schemeClr w14:val="tx1"/>
            </w14:solidFill>
          </w14:textFill>
        </w:rPr>
      </w:pPr>
      <w:r>
        <w:rPr>
          <w:rFonts w:hint="eastAsia" w:ascii="宋体" w:hAnsi="宋体" w:eastAsia="宋体" w:cs="宋体"/>
          <w:color w:val="000000" w:themeColor="text1"/>
          <w:spacing w:val="0"/>
          <w:kern w:val="0"/>
          <w:highlight w:val="none"/>
          <w:lang w:val="en-US" w:bidi="ar-SA"/>
          <w14:textFill>
            <w14:solidFill>
              <w14:schemeClr w14:val="tx1"/>
            </w14:solidFill>
          </w14:textFill>
        </w:rPr>
        <w:drawing>
          <wp:inline distT="0" distB="0" distL="114300" distR="114300">
            <wp:extent cx="2145665" cy="2145665"/>
            <wp:effectExtent l="0" t="0" r="3175" b="3175"/>
            <wp:docPr id="5" name="图片 1" descr="微信图片_20210805095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微信图片_20210805095029"/>
                    <pic:cNvPicPr>
                      <a:picLocks noChangeAspect="1"/>
                    </pic:cNvPicPr>
                  </pic:nvPicPr>
                  <pic:blipFill>
                    <a:blip r:embed="rId10"/>
                    <a:srcRect r="14805" b="10354"/>
                    <a:stretch>
                      <a:fillRect/>
                    </a:stretch>
                  </pic:blipFill>
                  <pic:spPr>
                    <a:xfrm>
                      <a:off x="0" y="0"/>
                      <a:ext cx="2145665" cy="2145665"/>
                    </a:xfrm>
                    <a:prstGeom prst="rect">
                      <a:avLst/>
                    </a:prstGeom>
                    <a:noFill/>
                    <a:ln>
                      <a:noFill/>
                    </a:ln>
                  </pic:spPr>
                </pic:pic>
              </a:graphicData>
            </a:graphic>
          </wp:inline>
        </w:drawing>
      </w:r>
    </w:p>
    <w:p w14:paraId="27826BB1">
      <w:pPr>
        <w:keepNext w:val="0"/>
        <w:keepLines w:val="0"/>
        <w:pageBreakBefore w:val="0"/>
        <w:widowControl w:val="0"/>
        <w:kinsoku/>
        <w:wordWrap/>
        <w:overflowPunct/>
        <w:topLinePunct w:val="0"/>
        <w:autoSpaceDE/>
        <w:autoSpaceDN/>
        <w:bidi w:val="0"/>
        <w:adjustRightInd/>
        <w:snapToGrid w:val="0"/>
        <w:spacing w:line="1200" w:lineRule="exact"/>
        <w:jc w:val="center"/>
        <w:textAlignment w:val="auto"/>
        <w:rPr>
          <w:rFonts w:hint="eastAsia" w:ascii="宋体" w:hAnsi="宋体" w:eastAsia="宋体" w:cs="宋体"/>
          <w:color w:val="000000" w:themeColor="text1"/>
          <w:sz w:val="120"/>
          <w:szCs w:val="120"/>
          <w:highlight w:val="none"/>
          <w14:textFill>
            <w14:solidFill>
              <w14:schemeClr w14:val="tx1"/>
            </w14:solidFill>
          </w14:textFill>
        </w:rPr>
      </w:pPr>
      <w:r>
        <w:rPr>
          <w:rFonts w:hint="eastAsia" w:ascii="宋体" w:hAnsi="宋体" w:eastAsia="宋体" w:cs="宋体"/>
          <w:color w:val="000000" w:themeColor="text1"/>
          <w:sz w:val="96"/>
          <w:szCs w:val="96"/>
          <w:highlight w:val="none"/>
          <w14:textFill>
            <w14:solidFill>
              <w14:schemeClr w14:val="tx1"/>
            </w14:solidFill>
          </w14:textFill>
        </w:rPr>
        <w:t>竞争性磋商文件</w:t>
      </w:r>
    </w:p>
    <w:p w14:paraId="0E55F320">
      <w:pPr>
        <w:bidi w:val="0"/>
        <w:rPr>
          <w:rFonts w:hint="eastAsia"/>
          <w:color w:val="000000" w:themeColor="text1"/>
          <w:highlight w:val="none"/>
          <w14:textFill>
            <w14:solidFill>
              <w14:schemeClr w14:val="tx1"/>
            </w14:solidFill>
          </w14:textFill>
        </w:rPr>
      </w:pPr>
    </w:p>
    <w:p w14:paraId="516A3C71">
      <w:pPr>
        <w:snapToGrid w:val="0"/>
        <w:spacing w:before="156" w:beforeLines="50" w:line="360" w:lineRule="auto"/>
        <w:jc w:val="center"/>
        <w:rPr>
          <w:rFonts w:hint="eastAsia" w:ascii="宋体" w:hAnsi="宋体" w:eastAsia="宋体" w:cs="宋体"/>
          <w:b/>
          <w:color w:val="000000" w:themeColor="text1"/>
          <w:sz w:val="30"/>
          <w:szCs w:val="72"/>
          <w:highlight w:val="none"/>
          <w14:textFill>
            <w14:solidFill>
              <w14:schemeClr w14:val="tx1"/>
            </w14:solidFill>
          </w14:textFill>
        </w:rPr>
      </w:pPr>
      <w:r>
        <w:rPr>
          <w:rFonts w:hint="eastAsia" w:ascii="宋体" w:hAnsi="宋体" w:eastAsia="宋体" w:cs="宋体"/>
          <w:b/>
          <w:color w:val="000000" w:themeColor="text1"/>
          <w:sz w:val="48"/>
          <w:szCs w:val="48"/>
          <w:highlight w:val="none"/>
          <w14:textFill>
            <w14:solidFill>
              <w14:schemeClr w14:val="tx1"/>
            </w14:solidFill>
          </w14:textFill>
        </w:rPr>
        <w:t>（全流程电子化采购）</w:t>
      </w:r>
    </w:p>
    <w:p w14:paraId="739D9E67">
      <w:pPr>
        <w:bidi w:val="0"/>
        <w:rPr>
          <w:rFonts w:hint="eastAsia"/>
          <w:color w:val="000000" w:themeColor="text1"/>
          <w:highlight w:val="none"/>
          <w14:textFill>
            <w14:solidFill>
              <w14:schemeClr w14:val="tx1"/>
            </w14:solidFill>
          </w14:textFill>
        </w:rPr>
      </w:pPr>
    </w:p>
    <w:p w14:paraId="36163AF6">
      <w:pPr>
        <w:bidi w:val="0"/>
        <w:rPr>
          <w:rFonts w:hint="eastAsia"/>
          <w:color w:val="000000" w:themeColor="text1"/>
          <w:highlight w:val="none"/>
          <w14:textFill>
            <w14:solidFill>
              <w14:schemeClr w14:val="tx1"/>
            </w14:solidFill>
          </w14:textFill>
        </w:rPr>
      </w:pPr>
    </w:p>
    <w:p w14:paraId="700B4176">
      <w:pPr>
        <w:bidi w:val="0"/>
        <w:rPr>
          <w:rFonts w:hint="eastAsia"/>
          <w:color w:val="000000" w:themeColor="text1"/>
          <w:highlight w:val="none"/>
          <w14:textFill>
            <w14:solidFill>
              <w14:schemeClr w14:val="tx1"/>
            </w14:solidFill>
          </w14:textFill>
        </w:rPr>
      </w:pPr>
    </w:p>
    <w:p w14:paraId="1C8E6243">
      <w:pPr>
        <w:bidi w:val="0"/>
        <w:rPr>
          <w:rFonts w:hint="eastAsia"/>
          <w:color w:val="000000" w:themeColor="text1"/>
          <w:highlight w:val="none"/>
          <w14:textFill>
            <w14:solidFill>
              <w14:schemeClr w14:val="tx1"/>
            </w14:solidFill>
          </w14:textFill>
        </w:rPr>
      </w:pPr>
    </w:p>
    <w:p w14:paraId="552C199F">
      <w:pPr>
        <w:snapToGrid w:val="0"/>
        <w:spacing w:line="360" w:lineRule="auto"/>
        <w:rPr>
          <w:rFonts w:hint="eastAsia" w:ascii="宋体" w:hAnsi="宋体" w:eastAsia="宋体" w:cs="宋体"/>
          <w:color w:val="000000" w:themeColor="text1"/>
          <w:sz w:val="30"/>
          <w:szCs w:val="72"/>
          <w:highlight w:val="none"/>
          <w14:textFill>
            <w14:solidFill>
              <w14:schemeClr w14:val="tx1"/>
            </w14:solidFill>
          </w14:textFill>
        </w:rPr>
      </w:pPr>
    </w:p>
    <w:p w14:paraId="00D2D014">
      <w:pPr>
        <w:pStyle w:val="24"/>
        <w:keepNext w:val="0"/>
        <w:keepLines w:val="0"/>
        <w:pageBreakBefore w:val="0"/>
        <w:widowControl w:val="0"/>
        <w:kinsoku/>
        <w:wordWrap/>
        <w:overflowPunct/>
        <w:topLinePunct w:val="0"/>
        <w:autoSpaceDE/>
        <w:autoSpaceDN/>
        <w:bidi w:val="0"/>
        <w:adjustRightInd/>
        <w:snapToGrid w:val="0"/>
        <w:spacing w:line="480" w:lineRule="auto"/>
        <w:ind w:firstLine="301" w:firstLineChars="100"/>
        <w:textAlignment w:val="auto"/>
        <w:rPr>
          <w:rFonts w:hint="eastAsia" w:ascii="宋体" w:hAnsi="宋体" w:eastAsia="宋体" w:cs="宋体"/>
          <w:b/>
          <w:bCs/>
          <w:color w:val="000000" w:themeColor="text1"/>
          <w:sz w:val="30"/>
          <w:szCs w:val="30"/>
          <w:highlight w:val="none"/>
          <w:lang w:eastAsia="zh-CN"/>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项目</w:t>
      </w:r>
      <w:r>
        <w:rPr>
          <w:rFonts w:hint="eastAsia" w:ascii="宋体" w:hAnsi="宋体" w:eastAsia="宋体" w:cs="宋体"/>
          <w:b/>
          <w:bCs/>
          <w:color w:val="000000" w:themeColor="text1"/>
          <w:w w:val="95"/>
          <w:sz w:val="30"/>
          <w:szCs w:val="30"/>
          <w:highlight w:val="none"/>
          <w14:textFill>
            <w14:solidFill>
              <w14:schemeClr w14:val="tx1"/>
            </w14:solidFill>
          </w14:textFill>
        </w:rPr>
        <w:t>名称</w:t>
      </w:r>
      <w:r>
        <w:rPr>
          <w:rFonts w:hint="eastAsia" w:ascii="宋体" w:hAnsi="宋体" w:eastAsia="宋体" w:cs="宋体"/>
          <w:b/>
          <w:bCs/>
          <w:color w:val="000000" w:themeColor="text1"/>
          <w:sz w:val="30"/>
          <w:szCs w:val="30"/>
          <w:highlight w:val="none"/>
          <w14:textFill>
            <w14:solidFill>
              <w14:schemeClr w14:val="tx1"/>
            </w14:solidFill>
          </w14:textFill>
        </w:rPr>
        <w:t>：</w:t>
      </w:r>
      <w:r>
        <w:rPr>
          <w:rFonts w:hint="eastAsia" w:hAnsi="宋体" w:cs="宋体"/>
          <w:b/>
          <w:bCs/>
          <w:color w:val="000000" w:themeColor="text1"/>
          <w:sz w:val="30"/>
          <w:szCs w:val="30"/>
          <w:highlight w:val="none"/>
          <w:lang w:eastAsia="zh-CN"/>
          <w14:textFill>
            <w14:solidFill>
              <w14:schemeClr w14:val="tx1"/>
            </w14:solidFill>
          </w14:textFill>
        </w:rPr>
        <w:t>贵港市港南区养老服务中心附属设施建设项目</w:t>
      </w:r>
    </w:p>
    <w:p w14:paraId="3CA8169D">
      <w:pPr>
        <w:keepNext w:val="0"/>
        <w:keepLines w:val="0"/>
        <w:pageBreakBefore w:val="0"/>
        <w:widowControl w:val="0"/>
        <w:kinsoku/>
        <w:wordWrap/>
        <w:overflowPunct/>
        <w:topLinePunct w:val="0"/>
        <w:autoSpaceDE/>
        <w:autoSpaceDN/>
        <w:bidi w:val="0"/>
        <w:adjustRightInd/>
        <w:snapToGrid w:val="0"/>
        <w:spacing w:line="480" w:lineRule="auto"/>
        <w:ind w:firstLine="286" w:firstLineChars="100"/>
        <w:textAlignment w:val="auto"/>
        <w:rPr>
          <w:rFonts w:hint="eastAsia" w:ascii="宋体" w:hAnsi="宋体" w:eastAsia="宋体" w:cs="宋体"/>
          <w:b/>
          <w:bCs/>
          <w:color w:val="000000" w:themeColor="text1"/>
          <w:w w:val="95"/>
          <w:sz w:val="30"/>
          <w:szCs w:val="30"/>
          <w:highlight w:val="none"/>
          <w14:textFill>
            <w14:solidFill>
              <w14:schemeClr w14:val="tx1"/>
            </w14:solidFill>
          </w14:textFill>
        </w:rPr>
      </w:pPr>
      <w:r>
        <w:rPr>
          <w:rFonts w:hint="eastAsia" w:ascii="宋体" w:hAnsi="宋体" w:eastAsia="宋体" w:cs="宋体"/>
          <w:b/>
          <w:bCs/>
          <w:color w:val="000000" w:themeColor="text1"/>
          <w:w w:val="95"/>
          <w:sz w:val="30"/>
          <w:szCs w:val="30"/>
          <w:highlight w:val="none"/>
          <w14:textFill>
            <w14:solidFill>
              <w14:schemeClr w14:val="tx1"/>
            </w14:solidFill>
          </w14:textFill>
        </w:rPr>
        <w:t>项目</w:t>
      </w:r>
      <w:r>
        <w:rPr>
          <w:rFonts w:hint="eastAsia" w:ascii="宋体" w:hAnsi="宋体" w:eastAsia="宋体" w:cs="宋体"/>
          <w:b/>
          <w:bCs/>
          <w:color w:val="000000" w:themeColor="text1"/>
          <w:sz w:val="30"/>
          <w:szCs w:val="30"/>
          <w:highlight w:val="none"/>
          <w14:textFill>
            <w14:solidFill>
              <w14:schemeClr w14:val="tx1"/>
            </w14:solidFill>
          </w14:textFill>
        </w:rPr>
        <w:t>编号</w:t>
      </w:r>
      <w:r>
        <w:rPr>
          <w:rFonts w:hint="eastAsia" w:ascii="宋体" w:hAnsi="宋体" w:eastAsia="宋体" w:cs="宋体"/>
          <w:b/>
          <w:bCs/>
          <w:color w:val="000000" w:themeColor="text1"/>
          <w:w w:val="95"/>
          <w:sz w:val="30"/>
          <w:szCs w:val="30"/>
          <w:highlight w:val="none"/>
          <w14:textFill>
            <w14:solidFill>
              <w14:schemeClr w14:val="tx1"/>
            </w14:solidFill>
          </w14:textFill>
        </w:rPr>
        <w:t>：GGZC2026-C2-030063-GXJW</w:t>
      </w:r>
    </w:p>
    <w:p w14:paraId="3F5DEDAD">
      <w:pPr>
        <w:pStyle w:val="24"/>
        <w:keepNext w:val="0"/>
        <w:keepLines w:val="0"/>
        <w:pageBreakBefore w:val="0"/>
        <w:widowControl w:val="0"/>
        <w:kinsoku/>
        <w:wordWrap/>
        <w:overflowPunct/>
        <w:topLinePunct w:val="0"/>
        <w:autoSpaceDE/>
        <w:autoSpaceDN/>
        <w:bidi w:val="0"/>
        <w:adjustRightInd/>
        <w:snapToGrid w:val="0"/>
        <w:spacing w:line="480" w:lineRule="auto"/>
        <w:ind w:firstLine="286" w:firstLineChars="100"/>
        <w:textAlignment w:val="auto"/>
        <w:rPr>
          <w:rFonts w:hint="eastAsia" w:ascii="宋体" w:hAnsi="宋体" w:eastAsia="宋体" w:cs="宋体"/>
          <w:b/>
          <w:bCs/>
          <w:color w:val="000000" w:themeColor="text1"/>
          <w:w w:val="95"/>
          <w:sz w:val="30"/>
          <w:szCs w:val="30"/>
          <w:highlight w:val="none"/>
          <w:lang w:eastAsia="zh-CN"/>
          <w14:textFill>
            <w14:solidFill>
              <w14:schemeClr w14:val="tx1"/>
            </w14:solidFill>
          </w14:textFill>
        </w:rPr>
      </w:pPr>
      <w:r>
        <w:rPr>
          <w:rFonts w:hint="eastAsia" w:ascii="宋体" w:hAnsi="宋体" w:eastAsia="宋体" w:cs="宋体"/>
          <w:b/>
          <w:bCs/>
          <w:color w:val="000000" w:themeColor="text1"/>
          <w:w w:val="95"/>
          <w:sz w:val="30"/>
          <w:szCs w:val="30"/>
          <w:highlight w:val="none"/>
          <w14:textFill>
            <w14:solidFill>
              <w14:schemeClr w14:val="tx1"/>
            </w14:solidFill>
          </w14:textFill>
        </w:rPr>
        <w:t>采 购 人：</w:t>
      </w:r>
      <w:r>
        <w:rPr>
          <w:rFonts w:hint="eastAsia" w:hAnsi="宋体" w:cs="宋体"/>
          <w:b/>
          <w:bCs/>
          <w:color w:val="000000" w:themeColor="text1"/>
          <w:w w:val="95"/>
          <w:sz w:val="30"/>
          <w:szCs w:val="30"/>
          <w:highlight w:val="none"/>
          <w:lang w:eastAsia="zh-CN"/>
          <w14:textFill>
            <w14:solidFill>
              <w14:schemeClr w14:val="tx1"/>
            </w14:solidFill>
          </w14:textFill>
        </w:rPr>
        <w:t>贵港市港南区民政局</w:t>
      </w:r>
    </w:p>
    <w:p w14:paraId="1173E619">
      <w:pPr>
        <w:pStyle w:val="24"/>
        <w:keepNext w:val="0"/>
        <w:keepLines w:val="0"/>
        <w:pageBreakBefore w:val="0"/>
        <w:widowControl w:val="0"/>
        <w:kinsoku/>
        <w:wordWrap/>
        <w:overflowPunct/>
        <w:topLinePunct w:val="0"/>
        <w:autoSpaceDE/>
        <w:autoSpaceDN/>
        <w:bidi w:val="0"/>
        <w:adjustRightInd/>
        <w:snapToGrid w:val="0"/>
        <w:spacing w:line="480" w:lineRule="auto"/>
        <w:ind w:firstLine="286" w:firstLineChars="100"/>
        <w:textAlignment w:val="auto"/>
        <w:rPr>
          <w:rFonts w:hint="eastAsia" w:ascii="宋体" w:hAnsi="宋体" w:eastAsia="宋体" w:cs="宋体"/>
          <w:b/>
          <w:bCs/>
          <w:color w:val="000000" w:themeColor="text1"/>
          <w:w w:val="95"/>
          <w:sz w:val="30"/>
          <w:szCs w:val="30"/>
          <w:highlight w:val="none"/>
          <w:lang w:eastAsia="zh-CN"/>
          <w14:textFill>
            <w14:solidFill>
              <w14:schemeClr w14:val="tx1"/>
            </w14:solidFill>
          </w14:textFill>
        </w:rPr>
      </w:pPr>
      <w:r>
        <w:rPr>
          <w:rFonts w:hint="eastAsia" w:ascii="宋体" w:hAnsi="宋体" w:eastAsia="宋体" w:cs="宋体"/>
          <w:b/>
          <w:bCs/>
          <w:color w:val="000000" w:themeColor="text1"/>
          <w:w w:val="95"/>
          <w:sz w:val="30"/>
          <w:szCs w:val="30"/>
          <w:highlight w:val="none"/>
          <w14:textFill>
            <w14:solidFill>
              <w14:schemeClr w14:val="tx1"/>
            </w14:solidFill>
          </w14:textFill>
        </w:rPr>
        <w:t>采购代理机构：</w:t>
      </w:r>
      <w:r>
        <w:rPr>
          <w:rFonts w:hint="eastAsia" w:ascii="宋体" w:hAnsi="宋体" w:eastAsia="宋体" w:cs="宋体"/>
          <w:b/>
          <w:bCs/>
          <w:color w:val="000000" w:themeColor="text1"/>
          <w:w w:val="95"/>
          <w:sz w:val="30"/>
          <w:szCs w:val="30"/>
          <w:highlight w:val="none"/>
          <w:lang w:eastAsia="zh-CN"/>
          <w14:textFill>
            <w14:solidFill>
              <w14:schemeClr w14:val="tx1"/>
            </w14:solidFill>
          </w14:textFill>
        </w:rPr>
        <w:t>广西建文工程咨询有限公司</w:t>
      </w:r>
    </w:p>
    <w:p w14:paraId="63621851">
      <w:pPr>
        <w:pStyle w:val="24"/>
        <w:keepNext w:val="0"/>
        <w:keepLines w:val="0"/>
        <w:pageBreakBefore w:val="0"/>
        <w:widowControl w:val="0"/>
        <w:kinsoku/>
        <w:wordWrap/>
        <w:overflowPunct/>
        <w:topLinePunct w:val="0"/>
        <w:autoSpaceDE/>
        <w:autoSpaceDN/>
        <w:bidi w:val="0"/>
        <w:adjustRightInd/>
        <w:snapToGrid w:val="0"/>
        <w:spacing w:line="480" w:lineRule="auto"/>
        <w:jc w:val="center"/>
        <w:textAlignment w:val="auto"/>
        <w:rPr>
          <w:rFonts w:hint="eastAsia" w:ascii="宋体" w:hAnsi="宋体" w:eastAsia="宋体" w:cs="宋体"/>
          <w:color w:val="000000" w:themeColor="text1"/>
          <w:szCs w:val="20"/>
          <w:highlight w:val="none"/>
          <w14:textFill>
            <w14:solidFill>
              <w14:schemeClr w14:val="tx1"/>
            </w14:solidFill>
          </w14:textFill>
        </w:rPr>
      </w:pPr>
      <w:r>
        <w:rPr>
          <w:rFonts w:hint="eastAsia" w:ascii="宋体" w:hAnsi="宋体" w:eastAsia="宋体" w:cs="宋体"/>
          <w:b/>
          <w:bCs/>
          <w:color w:val="000000" w:themeColor="text1"/>
          <w:w w:val="95"/>
          <w:sz w:val="30"/>
          <w:szCs w:val="30"/>
          <w:highlight w:val="none"/>
          <w14:textFill>
            <w14:solidFill>
              <w14:schemeClr w14:val="tx1"/>
            </w14:solidFill>
          </w14:textFill>
        </w:rPr>
        <w:t>202</w:t>
      </w:r>
      <w:r>
        <w:rPr>
          <w:rFonts w:hint="eastAsia" w:ascii="宋体" w:hAnsi="宋体" w:eastAsia="宋体" w:cs="宋体"/>
          <w:b/>
          <w:bCs/>
          <w:color w:val="000000" w:themeColor="text1"/>
          <w:w w:val="95"/>
          <w:sz w:val="30"/>
          <w:szCs w:val="30"/>
          <w:highlight w:val="none"/>
          <w:lang w:val="en-US" w:eastAsia="zh-CN"/>
          <w14:textFill>
            <w14:solidFill>
              <w14:schemeClr w14:val="tx1"/>
            </w14:solidFill>
          </w14:textFill>
        </w:rPr>
        <w:t>6</w:t>
      </w:r>
      <w:r>
        <w:rPr>
          <w:rFonts w:hint="eastAsia" w:ascii="宋体" w:hAnsi="宋体" w:eastAsia="宋体" w:cs="宋体"/>
          <w:b/>
          <w:bCs/>
          <w:color w:val="000000" w:themeColor="text1"/>
          <w:w w:val="95"/>
          <w:sz w:val="30"/>
          <w:szCs w:val="30"/>
          <w:highlight w:val="none"/>
          <w14:textFill>
            <w14:solidFill>
              <w14:schemeClr w14:val="tx1"/>
            </w14:solidFill>
          </w14:textFill>
        </w:rPr>
        <w:t>年</w:t>
      </w:r>
      <w:r>
        <w:rPr>
          <w:rFonts w:hint="eastAsia" w:hAnsi="宋体" w:cs="宋体"/>
          <w:b/>
          <w:bCs/>
          <w:color w:val="000000" w:themeColor="text1"/>
          <w:w w:val="95"/>
          <w:sz w:val="30"/>
          <w:szCs w:val="30"/>
          <w:highlight w:val="none"/>
          <w:lang w:val="en-US" w:eastAsia="zh-CN"/>
          <w14:textFill>
            <w14:solidFill>
              <w14:schemeClr w14:val="tx1"/>
            </w14:solidFill>
          </w14:textFill>
        </w:rPr>
        <w:t>8</w:t>
      </w:r>
      <w:r>
        <w:rPr>
          <w:rFonts w:hint="eastAsia" w:ascii="宋体" w:hAnsi="宋体" w:eastAsia="宋体" w:cs="宋体"/>
          <w:b/>
          <w:bCs/>
          <w:color w:val="000000" w:themeColor="text1"/>
          <w:w w:val="95"/>
          <w:sz w:val="30"/>
          <w:szCs w:val="30"/>
          <w:highlight w:val="none"/>
          <w14:textFill>
            <w14:solidFill>
              <w14:schemeClr w14:val="tx1"/>
            </w14:solidFill>
          </w14:textFill>
        </w:rPr>
        <w:t>月</w:t>
      </w:r>
    </w:p>
    <w:p w14:paraId="454BD389">
      <w:pPr>
        <w:spacing w:line="360" w:lineRule="auto"/>
        <w:jc w:val="center"/>
        <w:rPr>
          <w:rFonts w:hint="eastAsia" w:ascii="宋体" w:hAnsi="宋体" w:eastAsia="宋体" w:cs="宋体"/>
          <w:b/>
          <w:color w:val="000000" w:themeColor="text1"/>
          <w:sz w:val="44"/>
          <w:szCs w:val="44"/>
          <w:highlight w:val="none"/>
          <w14:textFill>
            <w14:solidFill>
              <w14:schemeClr w14:val="tx1"/>
            </w14:solidFill>
          </w14:textFill>
        </w:rPr>
        <w:sectPr>
          <w:headerReference r:id="rId4" w:type="first"/>
          <w:footerReference r:id="rId5" w:type="first"/>
          <w:headerReference r:id="rId3" w:type="default"/>
          <w:pgSz w:w="11905" w:h="16838"/>
          <w:pgMar w:top="1440" w:right="1080" w:bottom="1440" w:left="1080" w:header="850" w:footer="850" w:gutter="0"/>
          <w:pgNumType w:start="0"/>
          <w:cols w:space="0" w:num="1"/>
          <w:rtlGutter w:val="0"/>
          <w:docGrid w:linePitch="312" w:charSpace="0"/>
        </w:sectPr>
      </w:pPr>
    </w:p>
    <w:p w14:paraId="08FF0F22">
      <w:pPr>
        <w:spacing w:line="360" w:lineRule="auto"/>
        <w:jc w:val="center"/>
        <w:rPr>
          <w:rFonts w:hint="eastAsia" w:ascii="宋体" w:hAnsi="宋体" w:eastAsia="宋体" w:cs="宋体"/>
          <w:b/>
          <w:color w:val="000000" w:themeColor="text1"/>
          <w:sz w:val="44"/>
          <w:szCs w:val="44"/>
          <w:highlight w:val="none"/>
          <w14:textFill>
            <w14:solidFill>
              <w14:schemeClr w14:val="tx1"/>
            </w14:solidFill>
          </w14:textFill>
        </w:rPr>
      </w:pPr>
      <w:r>
        <w:rPr>
          <w:rFonts w:hint="eastAsia" w:ascii="宋体" w:hAnsi="宋体" w:eastAsia="宋体" w:cs="宋体"/>
          <w:b/>
          <w:color w:val="000000" w:themeColor="text1"/>
          <w:sz w:val="44"/>
          <w:szCs w:val="44"/>
          <w:highlight w:val="none"/>
          <w14:textFill>
            <w14:solidFill>
              <w14:schemeClr w14:val="tx1"/>
            </w14:solidFill>
          </w14:textFill>
        </w:rPr>
        <w:t>目  录</w:t>
      </w:r>
    </w:p>
    <w:p w14:paraId="2CC1BA12">
      <w:pPr>
        <w:pStyle w:val="31"/>
        <w:keepNext w:val="0"/>
        <w:keepLines w:val="0"/>
        <w:pageBreakBefore w:val="0"/>
        <w:widowControl w:val="0"/>
        <w:tabs>
          <w:tab w:val="right" w:leader="dot" w:pos="9746"/>
        </w:tabs>
        <w:kinsoku/>
        <w:wordWrap/>
        <w:overflowPunct/>
        <w:topLinePunct w:val="0"/>
        <w:autoSpaceDE/>
        <w:autoSpaceDN/>
        <w:bidi w:val="0"/>
        <w:adjustRightInd/>
        <w:snapToGrid/>
        <w:spacing w:line="600" w:lineRule="exact"/>
        <w:textAlignment w:val="auto"/>
        <w:rPr>
          <w:rFonts w:hint="eastAsia" w:ascii="宋体" w:hAnsi="宋体" w:eastAsia="宋体" w:cs="宋体"/>
          <w:color w:val="000000" w:themeColor="text1"/>
          <w:sz w:val="28"/>
          <w:szCs w:val="36"/>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fldChar w:fldCharType="begin"/>
      </w:r>
      <w:r>
        <w:rPr>
          <w:rFonts w:hint="eastAsia" w:ascii="宋体" w:hAnsi="宋体" w:eastAsia="宋体" w:cs="宋体"/>
          <w:b/>
          <w:color w:val="000000" w:themeColor="text1"/>
          <w:sz w:val="24"/>
          <w:highlight w:val="none"/>
          <w14:textFill>
            <w14:solidFill>
              <w14:schemeClr w14:val="tx1"/>
            </w14:solidFill>
          </w14:textFill>
        </w:rPr>
        <w:instrText xml:space="preserve">TOC \o "1-3" \h \z \u</w:instrText>
      </w:r>
      <w:r>
        <w:rPr>
          <w:rFonts w:hint="eastAsia" w:ascii="宋体" w:hAnsi="宋体" w:eastAsia="宋体" w:cs="宋体"/>
          <w:b/>
          <w:color w:val="000000" w:themeColor="text1"/>
          <w:sz w:val="24"/>
          <w:highlight w:val="none"/>
          <w14:textFill>
            <w14:solidFill>
              <w14:schemeClr w14:val="tx1"/>
            </w14:solidFill>
          </w14:textFill>
        </w:rPr>
        <w:fldChar w:fldCharType="separate"/>
      </w:r>
      <w:r>
        <w:rPr>
          <w:rFonts w:hint="eastAsia" w:ascii="宋体" w:hAnsi="宋体" w:eastAsia="宋体" w:cs="宋体"/>
          <w:color w:val="000000" w:themeColor="text1"/>
          <w:sz w:val="28"/>
          <w:szCs w:val="36"/>
          <w:highlight w:val="none"/>
          <w14:textFill>
            <w14:solidFill>
              <w14:schemeClr w14:val="tx1"/>
            </w14:solidFill>
          </w14:textFill>
        </w:rPr>
        <w:fldChar w:fldCharType="begin"/>
      </w:r>
      <w:r>
        <w:rPr>
          <w:rFonts w:hint="eastAsia" w:ascii="宋体" w:hAnsi="宋体" w:eastAsia="宋体" w:cs="宋体"/>
          <w:color w:val="000000" w:themeColor="text1"/>
          <w:sz w:val="28"/>
          <w:szCs w:val="36"/>
          <w:highlight w:val="none"/>
          <w14:textFill>
            <w14:solidFill>
              <w14:schemeClr w14:val="tx1"/>
            </w14:solidFill>
          </w14:textFill>
        </w:rPr>
        <w:instrText xml:space="preserve"> HYPERLINK \l _Toc8122 </w:instrText>
      </w:r>
      <w:r>
        <w:rPr>
          <w:rFonts w:hint="eastAsia" w:ascii="宋体" w:hAnsi="宋体" w:eastAsia="宋体" w:cs="宋体"/>
          <w:color w:val="000000" w:themeColor="text1"/>
          <w:sz w:val="28"/>
          <w:szCs w:val="36"/>
          <w:highlight w:val="none"/>
          <w14:textFill>
            <w14:solidFill>
              <w14:schemeClr w14:val="tx1"/>
            </w14:solidFill>
          </w14:textFill>
        </w:rPr>
        <w:fldChar w:fldCharType="separate"/>
      </w:r>
      <w:r>
        <w:rPr>
          <w:rFonts w:hint="eastAsia" w:ascii="宋体" w:hAnsi="宋体" w:eastAsia="宋体" w:cs="宋体"/>
          <w:color w:val="000000" w:themeColor="text1"/>
          <w:sz w:val="28"/>
          <w:szCs w:val="52"/>
          <w:highlight w:val="none"/>
          <w14:textFill>
            <w14:solidFill>
              <w14:schemeClr w14:val="tx1"/>
            </w14:solidFill>
          </w14:textFill>
        </w:rPr>
        <w:t>第一章</w:t>
      </w:r>
      <w:r>
        <w:rPr>
          <w:rFonts w:hint="eastAsia" w:ascii="宋体" w:hAnsi="宋体" w:eastAsia="宋体" w:cs="宋体"/>
          <w:color w:val="000000" w:themeColor="text1"/>
          <w:sz w:val="28"/>
          <w:szCs w:val="52"/>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8"/>
          <w:szCs w:val="52"/>
          <w:highlight w:val="none"/>
          <w14:textFill>
            <w14:solidFill>
              <w14:schemeClr w14:val="tx1"/>
            </w14:solidFill>
          </w14:textFill>
        </w:rPr>
        <w:t>竞争性磋商公告</w:t>
      </w:r>
      <w:r>
        <w:rPr>
          <w:rFonts w:hint="eastAsia" w:ascii="宋体" w:hAnsi="宋体" w:eastAsia="宋体" w:cs="宋体"/>
          <w:color w:val="000000" w:themeColor="text1"/>
          <w:sz w:val="28"/>
          <w:szCs w:val="36"/>
          <w:highlight w:val="none"/>
          <w14:textFill>
            <w14:solidFill>
              <w14:schemeClr w14:val="tx1"/>
            </w14:solidFill>
          </w14:textFill>
        </w:rPr>
        <w:tab/>
      </w:r>
      <w:r>
        <w:rPr>
          <w:rFonts w:hint="eastAsia" w:ascii="宋体" w:hAnsi="宋体" w:eastAsia="宋体" w:cs="宋体"/>
          <w:color w:val="000000" w:themeColor="text1"/>
          <w:sz w:val="28"/>
          <w:szCs w:val="36"/>
          <w:highlight w:val="none"/>
          <w14:textFill>
            <w14:solidFill>
              <w14:schemeClr w14:val="tx1"/>
            </w14:solidFill>
          </w14:textFill>
        </w:rPr>
        <w:fldChar w:fldCharType="begin"/>
      </w:r>
      <w:r>
        <w:rPr>
          <w:rFonts w:hint="eastAsia" w:ascii="宋体" w:hAnsi="宋体" w:eastAsia="宋体" w:cs="宋体"/>
          <w:color w:val="000000" w:themeColor="text1"/>
          <w:sz w:val="28"/>
          <w:szCs w:val="36"/>
          <w:highlight w:val="none"/>
          <w14:textFill>
            <w14:solidFill>
              <w14:schemeClr w14:val="tx1"/>
            </w14:solidFill>
          </w14:textFill>
        </w:rPr>
        <w:instrText xml:space="preserve"> PAGEREF _Toc8122 \h </w:instrText>
      </w:r>
      <w:r>
        <w:rPr>
          <w:rFonts w:hint="eastAsia" w:ascii="宋体" w:hAnsi="宋体" w:eastAsia="宋体" w:cs="宋体"/>
          <w:color w:val="000000" w:themeColor="text1"/>
          <w:sz w:val="28"/>
          <w:szCs w:val="36"/>
          <w:highlight w:val="none"/>
          <w14:textFill>
            <w14:solidFill>
              <w14:schemeClr w14:val="tx1"/>
            </w14:solidFill>
          </w14:textFill>
        </w:rPr>
        <w:fldChar w:fldCharType="separate"/>
      </w:r>
      <w:r>
        <w:rPr>
          <w:rFonts w:hint="eastAsia" w:ascii="宋体" w:hAnsi="宋体" w:eastAsia="宋体" w:cs="宋体"/>
          <w:color w:val="000000" w:themeColor="text1"/>
          <w:sz w:val="28"/>
          <w:szCs w:val="36"/>
          <w:highlight w:val="none"/>
          <w14:textFill>
            <w14:solidFill>
              <w14:schemeClr w14:val="tx1"/>
            </w14:solidFill>
          </w14:textFill>
        </w:rPr>
        <w:t>2</w:t>
      </w:r>
      <w:r>
        <w:rPr>
          <w:rFonts w:hint="eastAsia" w:ascii="宋体" w:hAnsi="宋体" w:eastAsia="宋体" w:cs="宋体"/>
          <w:color w:val="000000" w:themeColor="text1"/>
          <w:sz w:val="28"/>
          <w:szCs w:val="36"/>
          <w:highlight w:val="none"/>
          <w14:textFill>
            <w14:solidFill>
              <w14:schemeClr w14:val="tx1"/>
            </w14:solidFill>
          </w14:textFill>
        </w:rPr>
        <w:fldChar w:fldCharType="end"/>
      </w:r>
      <w:r>
        <w:rPr>
          <w:rFonts w:hint="eastAsia" w:ascii="宋体" w:hAnsi="宋体" w:eastAsia="宋体" w:cs="宋体"/>
          <w:color w:val="000000" w:themeColor="text1"/>
          <w:sz w:val="28"/>
          <w:szCs w:val="36"/>
          <w:highlight w:val="none"/>
          <w14:textFill>
            <w14:solidFill>
              <w14:schemeClr w14:val="tx1"/>
            </w14:solidFill>
          </w14:textFill>
        </w:rPr>
        <w:fldChar w:fldCharType="end"/>
      </w:r>
    </w:p>
    <w:p w14:paraId="16283470">
      <w:pPr>
        <w:pStyle w:val="31"/>
        <w:keepNext w:val="0"/>
        <w:keepLines w:val="0"/>
        <w:pageBreakBefore w:val="0"/>
        <w:widowControl w:val="0"/>
        <w:tabs>
          <w:tab w:val="right" w:leader="dot" w:pos="9746"/>
        </w:tabs>
        <w:kinsoku/>
        <w:wordWrap/>
        <w:overflowPunct/>
        <w:topLinePunct w:val="0"/>
        <w:autoSpaceDE/>
        <w:autoSpaceDN/>
        <w:bidi w:val="0"/>
        <w:adjustRightInd/>
        <w:snapToGrid/>
        <w:spacing w:line="600" w:lineRule="exact"/>
        <w:textAlignment w:val="auto"/>
        <w:rPr>
          <w:rFonts w:hint="eastAsia" w:ascii="宋体" w:hAnsi="宋体" w:eastAsia="宋体" w:cs="宋体"/>
          <w:color w:val="000000" w:themeColor="text1"/>
          <w:sz w:val="28"/>
          <w:szCs w:val="36"/>
          <w:highlight w:val="none"/>
          <w14:textFill>
            <w14:solidFill>
              <w14:schemeClr w14:val="tx1"/>
            </w14:solidFill>
          </w14:textFill>
        </w:rPr>
      </w:pPr>
      <w:r>
        <w:rPr>
          <w:rFonts w:hint="eastAsia" w:ascii="宋体" w:hAnsi="宋体" w:eastAsia="宋体" w:cs="宋体"/>
          <w:color w:val="000000" w:themeColor="text1"/>
          <w:sz w:val="28"/>
          <w:szCs w:val="36"/>
          <w:highlight w:val="none"/>
          <w14:textFill>
            <w14:solidFill>
              <w14:schemeClr w14:val="tx1"/>
            </w14:solidFill>
          </w14:textFill>
        </w:rPr>
        <w:fldChar w:fldCharType="begin"/>
      </w:r>
      <w:r>
        <w:rPr>
          <w:rFonts w:hint="eastAsia" w:ascii="宋体" w:hAnsi="宋体" w:eastAsia="宋体" w:cs="宋体"/>
          <w:color w:val="000000" w:themeColor="text1"/>
          <w:sz w:val="28"/>
          <w:szCs w:val="36"/>
          <w:highlight w:val="none"/>
          <w14:textFill>
            <w14:solidFill>
              <w14:schemeClr w14:val="tx1"/>
            </w14:solidFill>
          </w14:textFill>
        </w:rPr>
        <w:instrText xml:space="preserve"> HYPERLINK \l _Toc29015 </w:instrText>
      </w:r>
      <w:r>
        <w:rPr>
          <w:rFonts w:hint="eastAsia" w:ascii="宋体" w:hAnsi="宋体" w:eastAsia="宋体" w:cs="宋体"/>
          <w:color w:val="000000" w:themeColor="text1"/>
          <w:sz w:val="28"/>
          <w:szCs w:val="36"/>
          <w:highlight w:val="none"/>
          <w14:textFill>
            <w14:solidFill>
              <w14:schemeClr w14:val="tx1"/>
            </w14:solidFill>
          </w14:textFill>
        </w:rPr>
        <w:fldChar w:fldCharType="separate"/>
      </w:r>
      <w:r>
        <w:rPr>
          <w:rFonts w:hint="eastAsia" w:ascii="宋体" w:hAnsi="宋体" w:eastAsia="宋体" w:cs="宋体"/>
          <w:color w:val="000000" w:themeColor="text1"/>
          <w:sz w:val="28"/>
          <w:szCs w:val="52"/>
          <w:highlight w:val="none"/>
          <w14:textFill>
            <w14:solidFill>
              <w14:schemeClr w14:val="tx1"/>
            </w14:solidFill>
          </w14:textFill>
        </w:rPr>
        <w:t>第二章</w:t>
      </w:r>
      <w:r>
        <w:rPr>
          <w:rFonts w:hint="eastAsia" w:ascii="宋体" w:hAnsi="宋体" w:eastAsia="宋体" w:cs="宋体"/>
          <w:color w:val="000000" w:themeColor="text1"/>
          <w:sz w:val="28"/>
          <w:szCs w:val="52"/>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8"/>
          <w:szCs w:val="52"/>
          <w:highlight w:val="none"/>
          <w14:textFill>
            <w14:solidFill>
              <w14:schemeClr w14:val="tx1"/>
            </w14:solidFill>
          </w14:textFill>
        </w:rPr>
        <w:t>供应商须知</w:t>
      </w:r>
      <w:r>
        <w:rPr>
          <w:rFonts w:hint="eastAsia" w:ascii="宋体" w:hAnsi="宋体" w:eastAsia="宋体" w:cs="宋体"/>
          <w:color w:val="000000" w:themeColor="text1"/>
          <w:sz w:val="28"/>
          <w:szCs w:val="36"/>
          <w:highlight w:val="none"/>
          <w14:textFill>
            <w14:solidFill>
              <w14:schemeClr w14:val="tx1"/>
            </w14:solidFill>
          </w14:textFill>
        </w:rPr>
        <w:tab/>
      </w:r>
      <w:r>
        <w:rPr>
          <w:rFonts w:hint="eastAsia" w:ascii="宋体" w:hAnsi="宋体" w:eastAsia="宋体" w:cs="宋体"/>
          <w:color w:val="000000" w:themeColor="text1"/>
          <w:sz w:val="28"/>
          <w:szCs w:val="36"/>
          <w:highlight w:val="none"/>
          <w14:textFill>
            <w14:solidFill>
              <w14:schemeClr w14:val="tx1"/>
            </w14:solidFill>
          </w14:textFill>
        </w:rPr>
        <w:fldChar w:fldCharType="begin"/>
      </w:r>
      <w:r>
        <w:rPr>
          <w:rFonts w:hint="eastAsia" w:ascii="宋体" w:hAnsi="宋体" w:eastAsia="宋体" w:cs="宋体"/>
          <w:color w:val="000000" w:themeColor="text1"/>
          <w:sz w:val="28"/>
          <w:szCs w:val="36"/>
          <w:highlight w:val="none"/>
          <w14:textFill>
            <w14:solidFill>
              <w14:schemeClr w14:val="tx1"/>
            </w14:solidFill>
          </w14:textFill>
        </w:rPr>
        <w:instrText xml:space="preserve"> PAGEREF _Toc29015 \h </w:instrText>
      </w:r>
      <w:r>
        <w:rPr>
          <w:rFonts w:hint="eastAsia" w:ascii="宋体" w:hAnsi="宋体" w:eastAsia="宋体" w:cs="宋体"/>
          <w:color w:val="000000" w:themeColor="text1"/>
          <w:sz w:val="28"/>
          <w:szCs w:val="36"/>
          <w:highlight w:val="none"/>
          <w14:textFill>
            <w14:solidFill>
              <w14:schemeClr w14:val="tx1"/>
            </w14:solidFill>
          </w14:textFill>
        </w:rPr>
        <w:fldChar w:fldCharType="separate"/>
      </w:r>
      <w:r>
        <w:rPr>
          <w:rFonts w:hint="eastAsia" w:ascii="宋体" w:hAnsi="宋体" w:eastAsia="宋体" w:cs="宋体"/>
          <w:color w:val="000000" w:themeColor="text1"/>
          <w:sz w:val="28"/>
          <w:szCs w:val="36"/>
          <w:highlight w:val="none"/>
          <w14:textFill>
            <w14:solidFill>
              <w14:schemeClr w14:val="tx1"/>
            </w14:solidFill>
          </w14:textFill>
        </w:rPr>
        <w:t>6</w:t>
      </w:r>
      <w:r>
        <w:rPr>
          <w:rFonts w:hint="eastAsia" w:ascii="宋体" w:hAnsi="宋体" w:eastAsia="宋体" w:cs="宋体"/>
          <w:color w:val="000000" w:themeColor="text1"/>
          <w:sz w:val="28"/>
          <w:szCs w:val="36"/>
          <w:highlight w:val="none"/>
          <w14:textFill>
            <w14:solidFill>
              <w14:schemeClr w14:val="tx1"/>
            </w14:solidFill>
          </w14:textFill>
        </w:rPr>
        <w:fldChar w:fldCharType="end"/>
      </w:r>
      <w:r>
        <w:rPr>
          <w:rFonts w:hint="eastAsia" w:ascii="宋体" w:hAnsi="宋体" w:eastAsia="宋体" w:cs="宋体"/>
          <w:color w:val="000000" w:themeColor="text1"/>
          <w:sz w:val="28"/>
          <w:szCs w:val="36"/>
          <w:highlight w:val="none"/>
          <w14:textFill>
            <w14:solidFill>
              <w14:schemeClr w14:val="tx1"/>
            </w14:solidFill>
          </w14:textFill>
        </w:rPr>
        <w:fldChar w:fldCharType="end"/>
      </w:r>
    </w:p>
    <w:p w14:paraId="4BFA718C">
      <w:pPr>
        <w:pStyle w:val="31"/>
        <w:keepNext w:val="0"/>
        <w:keepLines w:val="0"/>
        <w:pageBreakBefore w:val="0"/>
        <w:widowControl w:val="0"/>
        <w:tabs>
          <w:tab w:val="right" w:leader="dot" w:pos="9746"/>
        </w:tabs>
        <w:kinsoku/>
        <w:wordWrap/>
        <w:overflowPunct/>
        <w:topLinePunct w:val="0"/>
        <w:autoSpaceDE/>
        <w:autoSpaceDN/>
        <w:bidi w:val="0"/>
        <w:adjustRightInd/>
        <w:snapToGrid/>
        <w:spacing w:line="600" w:lineRule="exact"/>
        <w:textAlignment w:val="auto"/>
        <w:rPr>
          <w:rFonts w:hint="eastAsia" w:ascii="宋体" w:hAnsi="宋体" w:eastAsia="宋体" w:cs="宋体"/>
          <w:color w:val="000000" w:themeColor="text1"/>
          <w:sz w:val="28"/>
          <w:szCs w:val="36"/>
          <w:highlight w:val="none"/>
          <w14:textFill>
            <w14:solidFill>
              <w14:schemeClr w14:val="tx1"/>
            </w14:solidFill>
          </w14:textFill>
        </w:rPr>
      </w:pPr>
      <w:r>
        <w:rPr>
          <w:rFonts w:hint="eastAsia" w:ascii="宋体" w:hAnsi="宋体" w:eastAsia="宋体" w:cs="宋体"/>
          <w:color w:val="000000" w:themeColor="text1"/>
          <w:sz w:val="28"/>
          <w:szCs w:val="36"/>
          <w:highlight w:val="none"/>
          <w14:textFill>
            <w14:solidFill>
              <w14:schemeClr w14:val="tx1"/>
            </w14:solidFill>
          </w14:textFill>
        </w:rPr>
        <w:fldChar w:fldCharType="begin"/>
      </w:r>
      <w:r>
        <w:rPr>
          <w:rFonts w:hint="eastAsia" w:ascii="宋体" w:hAnsi="宋体" w:eastAsia="宋体" w:cs="宋体"/>
          <w:color w:val="000000" w:themeColor="text1"/>
          <w:sz w:val="28"/>
          <w:szCs w:val="36"/>
          <w:highlight w:val="none"/>
          <w14:textFill>
            <w14:solidFill>
              <w14:schemeClr w14:val="tx1"/>
            </w14:solidFill>
          </w14:textFill>
        </w:rPr>
        <w:instrText xml:space="preserve"> HYPERLINK \l _Toc21572 </w:instrText>
      </w:r>
      <w:r>
        <w:rPr>
          <w:rFonts w:hint="eastAsia" w:ascii="宋体" w:hAnsi="宋体" w:eastAsia="宋体" w:cs="宋体"/>
          <w:color w:val="000000" w:themeColor="text1"/>
          <w:sz w:val="28"/>
          <w:szCs w:val="36"/>
          <w:highlight w:val="none"/>
          <w14:textFill>
            <w14:solidFill>
              <w14:schemeClr w14:val="tx1"/>
            </w14:solidFill>
          </w14:textFill>
        </w:rPr>
        <w:fldChar w:fldCharType="separate"/>
      </w:r>
      <w:r>
        <w:rPr>
          <w:rFonts w:hint="eastAsia" w:ascii="宋体" w:hAnsi="宋体" w:eastAsia="宋体" w:cs="宋体"/>
          <w:color w:val="000000" w:themeColor="text1"/>
          <w:sz w:val="28"/>
          <w:szCs w:val="52"/>
          <w:highlight w:val="none"/>
          <w14:textFill>
            <w14:solidFill>
              <w14:schemeClr w14:val="tx1"/>
            </w14:solidFill>
          </w14:textFill>
        </w:rPr>
        <w:t>第三章</w:t>
      </w:r>
      <w:r>
        <w:rPr>
          <w:rFonts w:hint="eastAsia" w:ascii="宋体" w:hAnsi="宋体" w:eastAsia="宋体" w:cs="宋体"/>
          <w:color w:val="000000" w:themeColor="text1"/>
          <w:sz w:val="28"/>
          <w:szCs w:val="52"/>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8"/>
          <w:szCs w:val="52"/>
          <w:highlight w:val="none"/>
          <w14:textFill>
            <w14:solidFill>
              <w14:schemeClr w14:val="tx1"/>
            </w14:solidFill>
          </w14:textFill>
        </w:rPr>
        <w:t>采购需求</w:t>
      </w:r>
      <w:r>
        <w:rPr>
          <w:rFonts w:hint="eastAsia" w:ascii="宋体" w:hAnsi="宋体" w:eastAsia="宋体" w:cs="宋体"/>
          <w:color w:val="000000" w:themeColor="text1"/>
          <w:sz w:val="28"/>
          <w:szCs w:val="36"/>
          <w:highlight w:val="none"/>
          <w14:textFill>
            <w14:solidFill>
              <w14:schemeClr w14:val="tx1"/>
            </w14:solidFill>
          </w14:textFill>
        </w:rPr>
        <w:tab/>
      </w:r>
      <w:r>
        <w:rPr>
          <w:rFonts w:hint="eastAsia" w:ascii="宋体" w:hAnsi="宋体" w:eastAsia="宋体" w:cs="宋体"/>
          <w:color w:val="000000" w:themeColor="text1"/>
          <w:sz w:val="28"/>
          <w:szCs w:val="36"/>
          <w:highlight w:val="none"/>
          <w14:textFill>
            <w14:solidFill>
              <w14:schemeClr w14:val="tx1"/>
            </w14:solidFill>
          </w14:textFill>
        </w:rPr>
        <w:fldChar w:fldCharType="begin"/>
      </w:r>
      <w:r>
        <w:rPr>
          <w:rFonts w:hint="eastAsia" w:ascii="宋体" w:hAnsi="宋体" w:eastAsia="宋体" w:cs="宋体"/>
          <w:color w:val="000000" w:themeColor="text1"/>
          <w:sz w:val="28"/>
          <w:szCs w:val="36"/>
          <w:highlight w:val="none"/>
          <w14:textFill>
            <w14:solidFill>
              <w14:schemeClr w14:val="tx1"/>
            </w14:solidFill>
          </w14:textFill>
        </w:rPr>
        <w:instrText xml:space="preserve"> PAGEREF _Toc21572 \h </w:instrText>
      </w:r>
      <w:r>
        <w:rPr>
          <w:rFonts w:hint="eastAsia" w:ascii="宋体" w:hAnsi="宋体" w:eastAsia="宋体" w:cs="宋体"/>
          <w:color w:val="000000" w:themeColor="text1"/>
          <w:sz w:val="28"/>
          <w:szCs w:val="36"/>
          <w:highlight w:val="none"/>
          <w14:textFill>
            <w14:solidFill>
              <w14:schemeClr w14:val="tx1"/>
            </w14:solidFill>
          </w14:textFill>
        </w:rPr>
        <w:fldChar w:fldCharType="separate"/>
      </w:r>
      <w:r>
        <w:rPr>
          <w:rFonts w:hint="eastAsia" w:ascii="宋体" w:hAnsi="宋体" w:eastAsia="宋体" w:cs="宋体"/>
          <w:color w:val="000000" w:themeColor="text1"/>
          <w:sz w:val="28"/>
          <w:szCs w:val="36"/>
          <w:highlight w:val="none"/>
          <w14:textFill>
            <w14:solidFill>
              <w14:schemeClr w14:val="tx1"/>
            </w14:solidFill>
          </w14:textFill>
        </w:rPr>
        <w:t>20</w:t>
      </w:r>
      <w:r>
        <w:rPr>
          <w:rFonts w:hint="eastAsia" w:ascii="宋体" w:hAnsi="宋体" w:eastAsia="宋体" w:cs="宋体"/>
          <w:color w:val="000000" w:themeColor="text1"/>
          <w:sz w:val="28"/>
          <w:szCs w:val="36"/>
          <w:highlight w:val="none"/>
          <w14:textFill>
            <w14:solidFill>
              <w14:schemeClr w14:val="tx1"/>
            </w14:solidFill>
          </w14:textFill>
        </w:rPr>
        <w:fldChar w:fldCharType="end"/>
      </w:r>
      <w:r>
        <w:rPr>
          <w:rFonts w:hint="eastAsia" w:ascii="宋体" w:hAnsi="宋体" w:eastAsia="宋体" w:cs="宋体"/>
          <w:color w:val="000000" w:themeColor="text1"/>
          <w:sz w:val="28"/>
          <w:szCs w:val="36"/>
          <w:highlight w:val="none"/>
          <w14:textFill>
            <w14:solidFill>
              <w14:schemeClr w14:val="tx1"/>
            </w14:solidFill>
          </w14:textFill>
        </w:rPr>
        <w:fldChar w:fldCharType="end"/>
      </w:r>
    </w:p>
    <w:p w14:paraId="229B03D1">
      <w:pPr>
        <w:pStyle w:val="31"/>
        <w:keepNext w:val="0"/>
        <w:keepLines w:val="0"/>
        <w:pageBreakBefore w:val="0"/>
        <w:widowControl w:val="0"/>
        <w:tabs>
          <w:tab w:val="right" w:leader="dot" w:pos="9746"/>
        </w:tabs>
        <w:kinsoku/>
        <w:wordWrap/>
        <w:overflowPunct/>
        <w:topLinePunct w:val="0"/>
        <w:autoSpaceDE/>
        <w:autoSpaceDN/>
        <w:bidi w:val="0"/>
        <w:adjustRightInd/>
        <w:snapToGrid/>
        <w:spacing w:line="600" w:lineRule="exact"/>
        <w:textAlignment w:val="auto"/>
        <w:rPr>
          <w:rFonts w:hint="eastAsia" w:ascii="宋体" w:hAnsi="宋体" w:eastAsia="宋体" w:cs="宋体"/>
          <w:color w:val="000000" w:themeColor="text1"/>
          <w:sz w:val="28"/>
          <w:szCs w:val="36"/>
          <w:highlight w:val="none"/>
          <w14:textFill>
            <w14:solidFill>
              <w14:schemeClr w14:val="tx1"/>
            </w14:solidFill>
          </w14:textFill>
        </w:rPr>
      </w:pPr>
      <w:r>
        <w:rPr>
          <w:rFonts w:hint="eastAsia" w:ascii="宋体" w:hAnsi="宋体" w:eastAsia="宋体" w:cs="宋体"/>
          <w:color w:val="000000" w:themeColor="text1"/>
          <w:sz w:val="28"/>
          <w:szCs w:val="36"/>
          <w:highlight w:val="none"/>
          <w14:textFill>
            <w14:solidFill>
              <w14:schemeClr w14:val="tx1"/>
            </w14:solidFill>
          </w14:textFill>
        </w:rPr>
        <w:fldChar w:fldCharType="begin"/>
      </w:r>
      <w:r>
        <w:rPr>
          <w:rFonts w:hint="eastAsia" w:ascii="宋体" w:hAnsi="宋体" w:eastAsia="宋体" w:cs="宋体"/>
          <w:color w:val="000000" w:themeColor="text1"/>
          <w:sz w:val="28"/>
          <w:szCs w:val="36"/>
          <w:highlight w:val="none"/>
          <w14:textFill>
            <w14:solidFill>
              <w14:schemeClr w14:val="tx1"/>
            </w14:solidFill>
          </w14:textFill>
        </w:rPr>
        <w:instrText xml:space="preserve"> HYPERLINK \l _Toc25380 </w:instrText>
      </w:r>
      <w:r>
        <w:rPr>
          <w:rFonts w:hint="eastAsia" w:ascii="宋体" w:hAnsi="宋体" w:eastAsia="宋体" w:cs="宋体"/>
          <w:color w:val="000000" w:themeColor="text1"/>
          <w:sz w:val="28"/>
          <w:szCs w:val="36"/>
          <w:highlight w:val="none"/>
          <w14:textFill>
            <w14:solidFill>
              <w14:schemeClr w14:val="tx1"/>
            </w14:solidFill>
          </w14:textFill>
        </w:rPr>
        <w:fldChar w:fldCharType="separate"/>
      </w:r>
      <w:r>
        <w:rPr>
          <w:rFonts w:hint="eastAsia" w:ascii="宋体" w:hAnsi="宋体" w:eastAsia="宋体" w:cs="宋体"/>
          <w:color w:val="000000" w:themeColor="text1"/>
          <w:sz w:val="28"/>
          <w:szCs w:val="52"/>
          <w:highlight w:val="none"/>
          <w14:textFill>
            <w14:solidFill>
              <w14:schemeClr w14:val="tx1"/>
            </w14:solidFill>
          </w14:textFill>
        </w:rPr>
        <w:t>第四章</w:t>
      </w:r>
      <w:r>
        <w:rPr>
          <w:rFonts w:hint="eastAsia" w:ascii="宋体" w:hAnsi="宋体" w:eastAsia="宋体" w:cs="宋体"/>
          <w:color w:val="000000" w:themeColor="text1"/>
          <w:sz w:val="28"/>
          <w:szCs w:val="52"/>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8"/>
          <w:szCs w:val="52"/>
          <w:highlight w:val="none"/>
          <w14:textFill>
            <w14:solidFill>
              <w14:schemeClr w14:val="tx1"/>
            </w14:solidFill>
          </w14:textFill>
        </w:rPr>
        <w:t>评审程序、评审方法和评审标准</w:t>
      </w:r>
      <w:r>
        <w:rPr>
          <w:rFonts w:hint="eastAsia" w:ascii="宋体" w:hAnsi="宋体" w:eastAsia="宋体" w:cs="宋体"/>
          <w:color w:val="000000" w:themeColor="text1"/>
          <w:sz w:val="28"/>
          <w:szCs w:val="36"/>
          <w:highlight w:val="none"/>
          <w14:textFill>
            <w14:solidFill>
              <w14:schemeClr w14:val="tx1"/>
            </w14:solidFill>
          </w14:textFill>
        </w:rPr>
        <w:tab/>
      </w:r>
      <w:r>
        <w:rPr>
          <w:rFonts w:hint="eastAsia" w:ascii="宋体" w:hAnsi="宋体" w:eastAsia="宋体" w:cs="宋体"/>
          <w:color w:val="000000" w:themeColor="text1"/>
          <w:sz w:val="28"/>
          <w:szCs w:val="36"/>
          <w:highlight w:val="none"/>
          <w14:textFill>
            <w14:solidFill>
              <w14:schemeClr w14:val="tx1"/>
            </w14:solidFill>
          </w14:textFill>
        </w:rPr>
        <w:fldChar w:fldCharType="begin"/>
      </w:r>
      <w:r>
        <w:rPr>
          <w:rFonts w:hint="eastAsia" w:ascii="宋体" w:hAnsi="宋体" w:eastAsia="宋体" w:cs="宋体"/>
          <w:color w:val="000000" w:themeColor="text1"/>
          <w:sz w:val="28"/>
          <w:szCs w:val="36"/>
          <w:highlight w:val="none"/>
          <w14:textFill>
            <w14:solidFill>
              <w14:schemeClr w14:val="tx1"/>
            </w14:solidFill>
          </w14:textFill>
        </w:rPr>
        <w:instrText xml:space="preserve"> PAGEREF _Toc25380 \h </w:instrText>
      </w:r>
      <w:r>
        <w:rPr>
          <w:rFonts w:hint="eastAsia" w:ascii="宋体" w:hAnsi="宋体" w:eastAsia="宋体" w:cs="宋体"/>
          <w:color w:val="000000" w:themeColor="text1"/>
          <w:sz w:val="28"/>
          <w:szCs w:val="36"/>
          <w:highlight w:val="none"/>
          <w14:textFill>
            <w14:solidFill>
              <w14:schemeClr w14:val="tx1"/>
            </w14:solidFill>
          </w14:textFill>
        </w:rPr>
        <w:fldChar w:fldCharType="separate"/>
      </w:r>
      <w:r>
        <w:rPr>
          <w:rFonts w:hint="eastAsia" w:ascii="宋体" w:hAnsi="宋体" w:eastAsia="宋体" w:cs="宋体"/>
          <w:color w:val="000000" w:themeColor="text1"/>
          <w:sz w:val="28"/>
          <w:szCs w:val="36"/>
          <w:highlight w:val="none"/>
          <w14:textFill>
            <w14:solidFill>
              <w14:schemeClr w14:val="tx1"/>
            </w14:solidFill>
          </w14:textFill>
        </w:rPr>
        <w:t>23</w:t>
      </w:r>
      <w:r>
        <w:rPr>
          <w:rFonts w:hint="eastAsia" w:ascii="宋体" w:hAnsi="宋体" w:eastAsia="宋体" w:cs="宋体"/>
          <w:color w:val="000000" w:themeColor="text1"/>
          <w:sz w:val="28"/>
          <w:szCs w:val="36"/>
          <w:highlight w:val="none"/>
          <w14:textFill>
            <w14:solidFill>
              <w14:schemeClr w14:val="tx1"/>
            </w14:solidFill>
          </w14:textFill>
        </w:rPr>
        <w:fldChar w:fldCharType="end"/>
      </w:r>
      <w:r>
        <w:rPr>
          <w:rFonts w:hint="eastAsia" w:ascii="宋体" w:hAnsi="宋体" w:eastAsia="宋体" w:cs="宋体"/>
          <w:color w:val="000000" w:themeColor="text1"/>
          <w:sz w:val="28"/>
          <w:szCs w:val="36"/>
          <w:highlight w:val="none"/>
          <w14:textFill>
            <w14:solidFill>
              <w14:schemeClr w14:val="tx1"/>
            </w14:solidFill>
          </w14:textFill>
        </w:rPr>
        <w:fldChar w:fldCharType="end"/>
      </w:r>
    </w:p>
    <w:p w14:paraId="12F1BE6C">
      <w:pPr>
        <w:pStyle w:val="31"/>
        <w:keepNext w:val="0"/>
        <w:keepLines w:val="0"/>
        <w:pageBreakBefore w:val="0"/>
        <w:widowControl w:val="0"/>
        <w:tabs>
          <w:tab w:val="right" w:leader="dot" w:pos="9746"/>
        </w:tabs>
        <w:kinsoku/>
        <w:wordWrap/>
        <w:overflowPunct/>
        <w:topLinePunct w:val="0"/>
        <w:autoSpaceDE/>
        <w:autoSpaceDN/>
        <w:bidi w:val="0"/>
        <w:adjustRightInd/>
        <w:snapToGrid/>
        <w:spacing w:line="600" w:lineRule="exact"/>
        <w:textAlignment w:val="auto"/>
        <w:rPr>
          <w:rFonts w:hint="eastAsia" w:ascii="宋体" w:hAnsi="宋体" w:eastAsia="宋体" w:cs="宋体"/>
          <w:color w:val="000000" w:themeColor="text1"/>
          <w:sz w:val="28"/>
          <w:szCs w:val="36"/>
          <w:highlight w:val="none"/>
          <w14:textFill>
            <w14:solidFill>
              <w14:schemeClr w14:val="tx1"/>
            </w14:solidFill>
          </w14:textFill>
        </w:rPr>
      </w:pPr>
      <w:r>
        <w:rPr>
          <w:rFonts w:hint="eastAsia" w:ascii="宋体" w:hAnsi="宋体" w:eastAsia="宋体" w:cs="宋体"/>
          <w:color w:val="000000" w:themeColor="text1"/>
          <w:sz w:val="28"/>
          <w:szCs w:val="36"/>
          <w:highlight w:val="none"/>
          <w14:textFill>
            <w14:solidFill>
              <w14:schemeClr w14:val="tx1"/>
            </w14:solidFill>
          </w14:textFill>
        </w:rPr>
        <w:fldChar w:fldCharType="begin"/>
      </w:r>
      <w:r>
        <w:rPr>
          <w:rFonts w:hint="eastAsia" w:ascii="宋体" w:hAnsi="宋体" w:eastAsia="宋体" w:cs="宋体"/>
          <w:color w:val="000000" w:themeColor="text1"/>
          <w:sz w:val="28"/>
          <w:szCs w:val="36"/>
          <w:highlight w:val="none"/>
          <w14:textFill>
            <w14:solidFill>
              <w14:schemeClr w14:val="tx1"/>
            </w14:solidFill>
          </w14:textFill>
        </w:rPr>
        <w:instrText xml:space="preserve"> HYPERLINK \l _Toc4797 </w:instrText>
      </w:r>
      <w:r>
        <w:rPr>
          <w:rFonts w:hint="eastAsia" w:ascii="宋体" w:hAnsi="宋体" w:eastAsia="宋体" w:cs="宋体"/>
          <w:color w:val="000000" w:themeColor="text1"/>
          <w:sz w:val="28"/>
          <w:szCs w:val="36"/>
          <w:highlight w:val="none"/>
          <w14:textFill>
            <w14:solidFill>
              <w14:schemeClr w14:val="tx1"/>
            </w14:solidFill>
          </w14:textFill>
        </w:rPr>
        <w:fldChar w:fldCharType="separate"/>
      </w:r>
      <w:r>
        <w:rPr>
          <w:rFonts w:hint="eastAsia" w:ascii="宋体" w:hAnsi="宋体" w:eastAsia="宋体" w:cs="宋体"/>
          <w:color w:val="000000" w:themeColor="text1"/>
          <w:sz w:val="28"/>
          <w:szCs w:val="52"/>
          <w:highlight w:val="none"/>
          <w14:textFill>
            <w14:solidFill>
              <w14:schemeClr w14:val="tx1"/>
            </w14:solidFill>
          </w14:textFill>
        </w:rPr>
        <w:t>第五章</w:t>
      </w:r>
      <w:r>
        <w:rPr>
          <w:rFonts w:hint="eastAsia" w:ascii="宋体" w:hAnsi="宋体" w:eastAsia="宋体" w:cs="宋体"/>
          <w:color w:val="000000" w:themeColor="text1"/>
          <w:sz w:val="28"/>
          <w:szCs w:val="52"/>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8"/>
          <w:szCs w:val="52"/>
          <w:highlight w:val="none"/>
          <w14:textFill>
            <w14:solidFill>
              <w14:schemeClr w14:val="tx1"/>
            </w14:solidFill>
          </w14:textFill>
        </w:rPr>
        <w:t>工程量清单及图纸</w:t>
      </w:r>
      <w:r>
        <w:rPr>
          <w:rFonts w:hint="eastAsia" w:ascii="宋体" w:hAnsi="宋体" w:eastAsia="宋体" w:cs="宋体"/>
          <w:color w:val="000000" w:themeColor="text1"/>
          <w:sz w:val="28"/>
          <w:szCs w:val="36"/>
          <w:highlight w:val="none"/>
          <w14:textFill>
            <w14:solidFill>
              <w14:schemeClr w14:val="tx1"/>
            </w14:solidFill>
          </w14:textFill>
        </w:rPr>
        <w:tab/>
      </w:r>
      <w:r>
        <w:rPr>
          <w:rFonts w:hint="eastAsia" w:ascii="宋体" w:hAnsi="宋体" w:eastAsia="宋体" w:cs="宋体"/>
          <w:color w:val="000000" w:themeColor="text1"/>
          <w:sz w:val="28"/>
          <w:szCs w:val="36"/>
          <w:highlight w:val="none"/>
          <w14:textFill>
            <w14:solidFill>
              <w14:schemeClr w14:val="tx1"/>
            </w14:solidFill>
          </w14:textFill>
        </w:rPr>
        <w:fldChar w:fldCharType="begin"/>
      </w:r>
      <w:r>
        <w:rPr>
          <w:rFonts w:hint="eastAsia" w:ascii="宋体" w:hAnsi="宋体" w:eastAsia="宋体" w:cs="宋体"/>
          <w:color w:val="000000" w:themeColor="text1"/>
          <w:sz w:val="28"/>
          <w:szCs w:val="36"/>
          <w:highlight w:val="none"/>
          <w14:textFill>
            <w14:solidFill>
              <w14:schemeClr w14:val="tx1"/>
            </w14:solidFill>
          </w14:textFill>
        </w:rPr>
        <w:instrText xml:space="preserve"> PAGEREF _Toc4797 \h </w:instrText>
      </w:r>
      <w:r>
        <w:rPr>
          <w:rFonts w:hint="eastAsia" w:ascii="宋体" w:hAnsi="宋体" w:eastAsia="宋体" w:cs="宋体"/>
          <w:color w:val="000000" w:themeColor="text1"/>
          <w:sz w:val="28"/>
          <w:szCs w:val="36"/>
          <w:highlight w:val="none"/>
          <w14:textFill>
            <w14:solidFill>
              <w14:schemeClr w14:val="tx1"/>
            </w14:solidFill>
          </w14:textFill>
        </w:rPr>
        <w:fldChar w:fldCharType="separate"/>
      </w:r>
      <w:r>
        <w:rPr>
          <w:rFonts w:hint="eastAsia" w:ascii="宋体" w:hAnsi="宋体" w:eastAsia="宋体" w:cs="宋体"/>
          <w:color w:val="000000" w:themeColor="text1"/>
          <w:sz w:val="28"/>
          <w:szCs w:val="36"/>
          <w:highlight w:val="none"/>
          <w14:textFill>
            <w14:solidFill>
              <w14:schemeClr w14:val="tx1"/>
            </w14:solidFill>
          </w14:textFill>
        </w:rPr>
        <w:t>31</w:t>
      </w:r>
      <w:r>
        <w:rPr>
          <w:rFonts w:hint="eastAsia" w:ascii="宋体" w:hAnsi="宋体" w:eastAsia="宋体" w:cs="宋体"/>
          <w:color w:val="000000" w:themeColor="text1"/>
          <w:sz w:val="28"/>
          <w:szCs w:val="36"/>
          <w:highlight w:val="none"/>
          <w14:textFill>
            <w14:solidFill>
              <w14:schemeClr w14:val="tx1"/>
            </w14:solidFill>
          </w14:textFill>
        </w:rPr>
        <w:fldChar w:fldCharType="end"/>
      </w:r>
      <w:r>
        <w:rPr>
          <w:rFonts w:hint="eastAsia" w:ascii="宋体" w:hAnsi="宋体" w:eastAsia="宋体" w:cs="宋体"/>
          <w:color w:val="000000" w:themeColor="text1"/>
          <w:sz w:val="28"/>
          <w:szCs w:val="36"/>
          <w:highlight w:val="none"/>
          <w14:textFill>
            <w14:solidFill>
              <w14:schemeClr w14:val="tx1"/>
            </w14:solidFill>
          </w14:textFill>
        </w:rPr>
        <w:fldChar w:fldCharType="end"/>
      </w:r>
    </w:p>
    <w:p w14:paraId="7615320F">
      <w:pPr>
        <w:pStyle w:val="31"/>
        <w:keepNext w:val="0"/>
        <w:keepLines w:val="0"/>
        <w:pageBreakBefore w:val="0"/>
        <w:widowControl w:val="0"/>
        <w:tabs>
          <w:tab w:val="right" w:leader="dot" w:pos="9746"/>
        </w:tabs>
        <w:kinsoku/>
        <w:wordWrap/>
        <w:overflowPunct/>
        <w:topLinePunct w:val="0"/>
        <w:autoSpaceDE/>
        <w:autoSpaceDN/>
        <w:bidi w:val="0"/>
        <w:adjustRightInd/>
        <w:snapToGrid/>
        <w:spacing w:line="600" w:lineRule="exact"/>
        <w:textAlignment w:val="auto"/>
        <w:rPr>
          <w:rFonts w:hint="eastAsia" w:ascii="宋体" w:hAnsi="宋体" w:eastAsia="宋体" w:cs="宋体"/>
          <w:color w:val="000000" w:themeColor="text1"/>
          <w:sz w:val="28"/>
          <w:szCs w:val="36"/>
          <w:highlight w:val="none"/>
          <w14:textFill>
            <w14:solidFill>
              <w14:schemeClr w14:val="tx1"/>
            </w14:solidFill>
          </w14:textFill>
        </w:rPr>
      </w:pPr>
      <w:r>
        <w:rPr>
          <w:rFonts w:hint="eastAsia" w:ascii="宋体" w:hAnsi="宋体" w:eastAsia="宋体" w:cs="宋体"/>
          <w:color w:val="000000" w:themeColor="text1"/>
          <w:sz w:val="28"/>
          <w:szCs w:val="36"/>
          <w:highlight w:val="none"/>
          <w14:textFill>
            <w14:solidFill>
              <w14:schemeClr w14:val="tx1"/>
            </w14:solidFill>
          </w14:textFill>
        </w:rPr>
        <w:fldChar w:fldCharType="begin"/>
      </w:r>
      <w:r>
        <w:rPr>
          <w:rFonts w:hint="eastAsia" w:ascii="宋体" w:hAnsi="宋体" w:eastAsia="宋体" w:cs="宋体"/>
          <w:color w:val="000000" w:themeColor="text1"/>
          <w:sz w:val="28"/>
          <w:szCs w:val="36"/>
          <w:highlight w:val="none"/>
          <w14:textFill>
            <w14:solidFill>
              <w14:schemeClr w14:val="tx1"/>
            </w14:solidFill>
          </w14:textFill>
        </w:rPr>
        <w:instrText xml:space="preserve"> HYPERLINK \l _Toc9650 </w:instrText>
      </w:r>
      <w:r>
        <w:rPr>
          <w:rFonts w:hint="eastAsia" w:ascii="宋体" w:hAnsi="宋体" w:eastAsia="宋体" w:cs="宋体"/>
          <w:color w:val="000000" w:themeColor="text1"/>
          <w:sz w:val="28"/>
          <w:szCs w:val="36"/>
          <w:highlight w:val="none"/>
          <w14:textFill>
            <w14:solidFill>
              <w14:schemeClr w14:val="tx1"/>
            </w14:solidFill>
          </w14:textFill>
        </w:rPr>
        <w:fldChar w:fldCharType="separate"/>
      </w:r>
      <w:r>
        <w:rPr>
          <w:rFonts w:hint="eastAsia" w:ascii="宋体" w:hAnsi="宋体" w:eastAsia="宋体" w:cs="宋体"/>
          <w:color w:val="000000" w:themeColor="text1"/>
          <w:sz w:val="28"/>
          <w:szCs w:val="52"/>
          <w:highlight w:val="none"/>
          <w14:textFill>
            <w14:solidFill>
              <w14:schemeClr w14:val="tx1"/>
            </w14:solidFill>
          </w14:textFill>
        </w:rPr>
        <w:t>第六章</w:t>
      </w:r>
      <w:r>
        <w:rPr>
          <w:rFonts w:hint="eastAsia" w:ascii="宋体" w:hAnsi="宋体" w:eastAsia="宋体" w:cs="宋体"/>
          <w:color w:val="000000" w:themeColor="text1"/>
          <w:sz w:val="28"/>
          <w:szCs w:val="52"/>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8"/>
          <w:szCs w:val="52"/>
          <w:highlight w:val="none"/>
          <w14:textFill>
            <w14:solidFill>
              <w14:schemeClr w14:val="tx1"/>
            </w14:solidFill>
          </w14:textFill>
        </w:rPr>
        <w:t>响应文件格式</w:t>
      </w:r>
      <w:r>
        <w:rPr>
          <w:rFonts w:hint="eastAsia" w:ascii="宋体" w:hAnsi="宋体" w:eastAsia="宋体" w:cs="宋体"/>
          <w:color w:val="000000" w:themeColor="text1"/>
          <w:sz w:val="28"/>
          <w:szCs w:val="36"/>
          <w:highlight w:val="none"/>
          <w14:textFill>
            <w14:solidFill>
              <w14:schemeClr w14:val="tx1"/>
            </w14:solidFill>
          </w14:textFill>
        </w:rPr>
        <w:tab/>
      </w:r>
      <w:r>
        <w:rPr>
          <w:rFonts w:hint="eastAsia" w:ascii="宋体" w:hAnsi="宋体" w:eastAsia="宋体" w:cs="宋体"/>
          <w:color w:val="000000" w:themeColor="text1"/>
          <w:sz w:val="28"/>
          <w:szCs w:val="36"/>
          <w:highlight w:val="none"/>
          <w14:textFill>
            <w14:solidFill>
              <w14:schemeClr w14:val="tx1"/>
            </w14:solidFill>
          </w14:textFill>
        </w:rPr>
        <w:fldChar w:fldCharType="begin"/>
      </w:r>
      <w:r>
        <w:rPr>
          <w:rFonts w:hint="eastAsia" w:ascii="宋体" w:hAnsi="宋体" w:eastAsia="宋体" w:cs="宋体"/>
          <w:color w:val="000000" w:themeColor="text1"/>
          <w:sz w:val="28"/>
          <w:szCs w:val="36"/>
          <w:highlight w:val="none"/>
          <w14:textFill>
            <w14:solidFill>
              <w14:schemeClr w14:val="tx1"/>
            </w14:solidFill>
          </w14:textFill>
        </w:rPr>
        <w:instrText xml:space="preserve"> PAGEREF _Toc9650 \h </w:instrText>
      </w:r>
      <w:r>
        <w:rPr>
          <w:rFonts w:hint="eastAsia" w:ascii="宋体" w:hAnsi="宋体" w:eastAsia="宋体" w:cs="宋体"/>
          <w:color w:val="000000" w:themeColor="text1"/>
          <w:sz w:val="28"/>
          <w:szCs w:val="36"/>
          <w:highlight w:val="none"/>
          <w14:textFill>
            <w14:solidFill>
              <w14:schemeClr w14:val="tx1"/>
            </w14:solidFill>
          </w14:textFill>
        </w:rPr>
        <w:fldChar w:fldCharType="separate"/>
      </w:r>
      <w:r>
        <w:rPr>
          <w:rFonts w:hint="eastAsia" w:ascii="宋体" w:hAnsi="宋体" w:eastAsia="宋体" w:cs="宋体"/>
          <w:color w:val="000000" w:themeColor="text1"/>
          <w:sz w:val="28"/>
          <w:szCs w:val="36"/>
          <w:highlight w:val="none"/>
          <w14:textFill>
            <w14:solidFill>
              <w14:schemeClr w14:val="tx1"/>
            </w14:solidFill>
          </w14:textFill>
        </w:rPr>
        <w:t>32</w:t>
      </w:r>
      <w:r>
        <w:rPr>
          <w:rFonts w:hint="eastAsia" w:ascii="宋体" w:hAnsi="宋体" w:eastAsia="宋体" w:cs="宋体"/>
          <w:color w:val="000000" w:themeColor="text1"/>
          <w:sz w:val="28"/>
          <w:szCs w:val="36"/>
          <w:highlight w:val="none"/>
          <w14:textFill>
            <w14:solidFill>
              <w14:schemeClr w14:val="tx1"/>
            </w14:solidFill>
          </w14:textFill>
        </w:rPr>
        <w:fldChar w:fldCharType="end"/>
      </w:r>
      <w:r>
        <w:rPr>
          <w:rFonts w:hint="eastAsia" w:ascii="宋体" w:hAnsi="宋体" w:eastAsia="宋体" w:cs="宋体"/>
          <w:color w:val="000000" w:themeColor="text1"/>
          <w:sz w:val="28"/>
          <w:szCs w:val="36"/>
          <w:highlight w:val="none"/>
          <w14:textFill>
            <w14:solidFill>
              <w14:schemeClr w14:val="tx1"/>
            </w14:solidFill>
          </w14:textFill>
        </w:rPr>
        <w:fldChar w:fldCharType="end"/>
      </w:r>
    </w:p>
    <w:p w14:paraId="27513863">
      <w:pPr>
        <w:pStyle w:val="31"/>
        <w:keepNext w:val="0"/>
        <w:keepLines w:val="0"/>
        <w:pageBreakBefore w:val="0"/>
        <w:widowControl w:val="0"/>
        <w:tabs>
          <w:tab w:val="right" w:leader="dot" w:pos="9746"/>
        </w:tabs>
        <w:kinsoku/>
        <w:wordWrap/>
        <w:overflowPunct/>
        <w:topLinePunct w:val="0"/>
        <w:autoSpaceDE/>
        <w:autoSpaceDN/>
        <w:bidi w:val="0"/>
        <w:adjustRightInd/>
        <w:snapToGrid/>
        <w:spacing w:line="600" w:lineRule="exact"/>
        <w:textAlignment w:val="auto"/>
        <w:rPr>
          <w:color w:val="000000" w:themeColor="text1"/>
          <w:highlight w:val="none"/>
          <w14:textFill>
            <w14:solidFill>
              <w14:schemeClr w14:val="tx1"/>
            </w14:solidFill>
          </w14:textFill>
        </w:rPr>
      </w:pPr>
      <w:r>
        <w:rPr>
          <w:rFonts w:hint="eastAsia" w:ascii="宋体" w:hAnsi="宋体" w:eastAsia="宋体" w:cs="宋体"/>
          <w:color w:val="000000" w:themeColor="text1"/>
          <w:sz w:val="28"/>
          <w:szCs w:val="36"/>
          <w:highlight w:val="none"/>
          <w14:textFill>
            <w14:solidFill>
              <w14:schemeClr w14:val="tx1"/>
            </w14:solidFill>
          </w14:textFill>
        </w:rPr>
        <w:fldChar w:fldCharType="begin"/>
      </w:r>
      <w:r>
        <w:rPr>
          <w:rFonts w:hint="eastAsia" w:ascii="宋体" w:hAnsi="宋体" w:eastAsia="宋体" w:cs="宋体"/>
          <w:color w:val="000000" w:themeColor="text1"/>
          <w:sz w:val="28"/>
          <w:szCs w:val="36"/>
          <w:highlight w:val="none"/>
          <w14:textFill>
            <w14:solidFill>
              <w14:schemeClr w14:val="tx1"/>
            </w14:solidFill>
          </w14:textFill>
        </w:rPr>
        <w:instrText xml:space="preserve"> HYPERLINK \l _Toc9284 </w:instrText>
      </w:r>
      <w:r>
        <w:rPr>
          <w:rFonts w:hint="eastAsia" w:ascii="宋体" w:hAnsi="宋体" w:eastAsia="宋体" w:cs="宋体"/>
          <w:color w:val="000000" w:themeColor="text1"/>
          <w:sz w:val="28"/>
          <w:szCs w:val="36"/>
          <w:highlight w:val="none"/>
          <w14:textFill>
            <w14:solidFill>
              <w14:schemeClr w14:val="tx1"/>
            </w14:solidFill>
          </w14:textFill>
        </w:rPr>
        <w:fldChar w:fldCharType="separate"/>
      </w:r>
      <w:r>
        <w:rPr>
          <w:rFonts w:hint="eastAsia" w:ascii="宋体" w:hAnsi="宋体" w:eastAsia="宋体" w:cs="宋体"/>
          <w:color w:val="000000" w:themeColor="text1"/>
          <w:sz w:val="28"/>
          <w:szCs w:val="52"/>
          <w:highlight w:val="none"/>
          <w14:textFill>
            <w14:solidFill>
              <w14:schemeClr w14:val="tx1"/>
            </w14:solidFill>
          </w14:textFill>
        </w:rPr>
        <w:t>第七章</w:t>
      </w:r>
      <w:r>
        <w:rPr>
          <w:rFonts w:hint="eastAsia" w:ascii="宋体" w:hAnsi="宋体" w:eastAsia="宋体" w:cs="宋体"/>
          <w:color w:val="000000" w:themeColor="text1"/>
          <w:sz w:val="28"/>
          <w:szCs w:val="52"/>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8"/>
          <w:szCs w:val="52"/>
          <w:highlight w:val="none"/>
          <w14:textFill>
            <w14:solidFill>
              <w14:schemeClr w14:val="tx1"/>
            </w14:solidFill>
          </w14:textFill>
        </w:rPr>
        <w:t>合同文本</w:t>
      </w:r>
      <w:r>
        <w:rPr>
          <w:rFonts w:hint="eastAsia" w:ascii="宋体" w:hAnsi="宋体" w:eastAsia="宋体" w:cs="宋体"/>
          <w:color w:val="000000" w:themeColor="text1"/>
          <w:sz w:val="28"/>
          <w:szCs w:val="36"/>
          <w:highlight w:val="none"/>
          <w14:textFill>
            <w14:solidFill>
              <w14:schemeClr w14:val="tx1"/>
            </w14:solidFill>
          </w14:textFill>
        </w:rPr>
        <w:tab/>
      </w:r>
      <w:r>
        <w:rPr>
          <w:rFonts w:hint="eastAsia" w:ascii="宋体" w:hAnsi="宋体" w:eastAsia="宋体" w:cs="宋体"/>
          <w:color w:val="000000" w:themeColor="text1"/>
          <w:sz w:val="28"/>
          <w:szCs w:val="36"/>
          <w:highlight w:val="none"/>
          <w14:textFill>
            <w14:solidFill>
              <w14:schemeClr w14:val="tx1"/>
            </w14:solidFill>
          </w14:textFill>
        </w:rPr>
        <w:fldChar w:fldCharType="begin"/>
      </w:r>
      <w:r>
        <w:rPr>
          <w:rFonts w:hint="eastAsia" w:ascii="宋体" w:hAnsi="宋体" w:eastAsia="宋体" w:cs="宋体"/>
          <w:color w:val="000000" w:themeColor="text1"/>
          <w:sz w:val="28"/>
          <w:szCs w:val="36"/>
          <w:highlight w:val="none"/>
          <w14:textFill>
            <w14:solidFill>
              <w14:schemeClr w14:val="tx1"/>
            </w14:solidFill>
          </w14:textFill>
        </w:rPr>
        <w:instrText xml:space="preserve"> PAGEREF _Toc9284 \h </w:instrText>
      </w:r>
      <w:r>
        <w:rPr>
          <w:rFonts w:hint="eastAsia" w:ascii="宋体" w:hAnsi="宋体" w:eastAsia="宋体" w:cs="宋体"/>
          <w:color w:val="000000" w:themeColor="text1"/>
          <w:sz w:val="28"/>
          <w:szCs w:val="36"/>
          <w:highlight w:val="none"/>
          <w14:textFill>
            <w14:solidFill>
              <w14:schemeClr w14:val="tx1"/>
            </w14:solidFill>
          </w14:textFill>
        </w:rPr>
        <w:fldChar w:fldCharType="separate"/>
      </w:r>
      <w:r>
        <w:rPr>
          <w:rFonts w:hint="eastAsia" w:ascii="宋体" w:hAnsi="宋体" w:eastAsia="宋体" w:cs="宋体"/>
          <w:color w:val="000000" w:themeColor="text1"/>
          <w:sz w:val="28"/>
          <w:szCs w:val="36"/>
          <w:highlight w:val="none"/>
          <w14:textFill>
            <w14:solidFill>
              <w14:schemeClr w14:val="tx1"/>
            </w14:solidFill>
          </w14:textFill>
        </w:rPr>
        <w:t>58</w:t>
      </w:r>
      <w:r>
        <w:rPr>
          <w:rFonts w:hint="eastAsia" w:ascii="宋体" w:hAnsi="宋体" w:eastAsia="宋体" w:cs="宋体"/>
          <w:color w:val="000000" w:themeColor="text1"/>
          <w:sz w:val="28"/>
          <w:szCs w:val="36"/>
          <w:highlight w:val="none"/>
          <w14:textFill>
            <w14:solidFill>
              <w14:schemeClr w14:val="tx1"/>
            </w14:solidFill>
          </w14:textFill>
        </w:rPr>
        <w:fldChar w:fldCharType="end"/>
      </w:r>
      <w:r>
        <w:rPr>
          <w:rFonts w:hint="eastAsia" w:ascii="宋体" w:hAnsi="宋体" w:eastAsia="宋体" w:cs="宋体"/>
          <w:color w:val="000000" w:themeColor="text1"/>
          <w:sz w:val="28"/>
          <w:szCs w:val="36"/>
          <w:highlight w:val="none"/>
          <w14:textFill>
            <w14:solidFill>
              <w14:schemeClr w14:val="tx1"/>
            </w14:solidFill>
          </w14:textFill>
        </w:rPr>
        <w:fldChar w:fldCharType="end"/>
      </w:r>
    </w:p>
    <w:p w14:paraId="0FFAB81A">
      <w:pPr>
        <w:bidi w:val="0"/>
        <w:rPr>
          <w:rFonts w:hint="eastAsia" w:ascii="宋体" w:hAnsi="宋体" w:eastAsia="宋体" w:cs="宋体"/>
          <w:color w:val="000000" w:themeColor="text1"/>
          <w:sz w:val="40"/>
          <w:szCs w:val="40"/>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end"/>
      </w:r>
      <w:bookmarkStart w:id="0" w:name="_Toc8122"/>
      <w:r>
        <w:rPr>
          <w:rFonts w:hint="eastAsia" w:ascii="宋体" w:hAnsi="宋体" w:eastAsia="宋体" w:cs="宋体"/>
          <w:color w:val="000000" w:themeColor="text1"/>
          <w:sz w:val="40"/>
          <w:szCs w:val="40"/>
          <w:highlight w:val="none"/>
          <w14:textFill>
            <w14:solidFill>
              <w14:schemeClr w14:val="tx1"/>
            </w14:solidFill>
          </w14:textFill>
        </w:rPr>
        <w:br w:type="page"/>
      </w:r>
    </w:p>
    <w:p w14:paraId="0C4D9F56">
      <w:pPr>
        <w:pStyle w:val="2"/>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宋体" w:hAnsi="宋体" w:eastAsia="宋体" w:cs="宋体"/>
          <w:color w:val="000000" w:themeColor="text1"/>
          <w:sz w:val="40"/>
          <w:szCs w:val="40"/>
          <w:highlight w:val="none"/>
          <w14:textFill>
            <w14:solidFill>
              <w14:schemeClr w14:val="tx1"/>
            </w14:solidFill>
          </w14:textFill>
        </w:rPr>
      </w:pPr>
      <w:r>
        <w:rPr>
          <w:rFonts w:hint="eastAsia" w:ascii="宋体" w:hAnsi="宋体" w:eastAsia="宋体" w:cs="宋体"/>
          <w:color w:val="000000" w:themeColor="text1"/>
          <w:sz w:val="40"/>
          <w:szCs w:val="40"/>
          <w:highlight w:val="none"/>
          <w14:textFill>
            <w14:solidFill>
              <w14:schemeClr w14:val="tx1"/>
            </w14:solidFill>
          </w14:textFill>
        </w:rPr>
        <w:t>第一章</w:t>
      </w:r>
      <w:r>
        <w:rPr>
          <w:rFonts w:hint="eastAsia" w:ascii="宋体" w:hAnsi="宋体" w:eastAsia="宋体" w:cs="宋体"/>
          <w:color w:val="000000" w:themeColor="text1"/>
          <w:sz w:val="40"/>
          <w:szCs w:val="40"/>
          <w:highlight w:val="none"/>
          <w:lang w:val="en-US" w:eastAsia="zh-CN"/>
          <w14:textFill>
            <w14:solidFill>
              <w14:schemeClr w14:val="tx1"/>
            </w14:solidFill>
          </w14:textFill>
        </w:rPr>
        <w:t xml:space="preserve"> </w:t>
      </w:r>
      <w:r>
        <w:rPr>
          <w:rFonts w:hint="eastAsia" w:ascii="宋体" w:hAnsi="宋体" w:eastAsia="宋体" w:cs="宋体"/>
          <w:color w:val="000000" w:themeColor="text1"/>
          <w:sz w:val="40"/>
          <w:szCs w:val="40"/>
          <w:highlight w:val="none"/>
          <w14:textFill>
            <w14:solidFill>
              <w14:schemeClr w14:val="tx1"/>
            </w14:solidFill>
          </w14:textFill>
        </w:rPr>
        <w:t>竞争性磋商公告</w:t>
      </w:r>
      <w:bookmarkEnd w:id="0"/>
    </w:p>
    <w:p w14:paraId="2B7582F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广西建文工程咨询有限公司</w:t>
      </w:r>
      <w:r>
        <w:rPr>
          <w:rFonts w:hint="eastAsia" w:ascii="宋体" w:hAnsi="宋体" w:cs="宋体"/>
          <w:b/>
          <w:bCs/>
          <w:color w:val="000000" w:themeColor="text1"/>
          <w:sz w:val="24"/>
          <w:szCs w:val="24"/>
          <w:highlight w:val="none"/>
          <w:lang w:val="en-US" w:eastAsia="zh-CN"/>
          <w14:textFill>
            <w14:solidFill>
              <w14:schemeClr w14:val="tx1"/>
            </w14:solidFill>
          </w14:textFill>
        </w:rPr>
        <w:t xml:space="preserve"> 贵港市港南区养老服务中心附属设施建设项目</w:t>
      </w:r>
    </w:p>
    <w:p w14:paraId="18E6512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lang w:val="en-US" w:eastAsia="zh-CN"/>
          <w14:textFill>
            <w14:solidFill>
              <w14:schemeClr w14:val="tx1"/>
            </w14:solidFill>
          </w14:textFill>
        </w:rPr>
        <w:t>（项目编号：GGZC2026-C2-030063-GXJW）</w:t>
      </w:r>
      <w:r>
        <w:rPr>
          <w:rFonts w:hint="eastAsia" w:ascii="宋体" w:hAnsi="宋体" w:eastAsia="宋体" w:cs="宋体"/>
          <w:b/>
          <w:bCs/>
          <w:color w:val="000000" w:themeColor="text1"/>
          <w:sz w:val="24"/>
          <w:szCs w:val="24"/>
          <w:highlight w:val="none"/>
          <w14:textFill>
            <w14:solidFill>
              <w14:schemeClr w14:val="tx1"/>
            </w14:solidFill>
          </w14:textFill>
        </w:rPr>
        <w:t>竞争性磋商公告</w:t>
      </w:r>
    </w:p>
    <w:p w14:paraId="5FDAAECE">
      <w:pPr>
        <w:pBdr>
          <w:top w:val="single" w:color="auto" w:sz="4" w:space="1"/>
          <w:left w:val="single" w:color="auto" w:sz="4" w:space="4"/>
          <w:bottom w:val="single" w:color="auto" w:sz="4" w:space="1"/>
          <w:right w:val="single" w:color="auto" w:sz="4" w:space="4"/>
        </w:pBd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bookmarkStart w:id="1" w:name="_Hlk37430271"/>
      <w:r>
        <w:rPr>
          <w:rFonts w:hint="eastAsia" w:ascii="宋体" w:hAnsi="宋体" w:eastAsia="宋体" w:cs="宋体"/>
          <w:color w:val="000000" w:themeColor="text1"/>
          <w:szCs w:val="21"/>
          <w:highlight w:val="none"/>
          <w14:textFill>
            <w14:solidFill>
              <w14:schemeClr w14:val="tx1"/>
            </w14:solidFill>
          </w14:textFill>
        </w:rPr>
        <w:t>项目概况</w:t>
      </w:r>
    </w:p>
    <w:p w14:paraId="63710514">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lang w:eastAsia="zh-CN"/>
          <w14:textFill>
            <w14:solidFill>
              <w14:schemeClr w14:val="tx1"/>
            </w14:solidFill>
          </w14:textFill>
        </w:rPr>
        <w:t>贵港市港南区养老服务中心附属设施建设项目</w:t>
      </w:r>
      <w:r>
        <w:rPr>
          <w:rFonts w:hint="eastAsia" w:ascii="宋体" w:hAnsi="宋体" w:cs="宋体"/>
          <w:color w:val="000000" w:themeColor="text1"/>
          <w:szCs w:val="21"/>
          <w:highlight w:val="none"/>
          <w:u w:val="none"/>
          <w:lang w:val="en-US" w:eastAsia="zh-CN"/>
          <w14:textFill>
            <w14:solidFill>
              <w14:schemeClr w14:val="tx1"/>
            </w14:solidFill>
          </w14:textFill>
        </w:rPr>
        <w:t>项目</w:t>
      </w:r>
      <w:r>
        <w:rPr>
          <w:rFonts w:hint="eastAsia" w:ascii="宋体" w:hAnsi="宋体" w:eastAsia="宋体" w:cs="宋体"/>
          <w:color w:val="000000" w:themeColor="text1"/>
          <w:szCs w:val="21"/>
          <w:highlight w:val="none"/>
          <w14:textFill>
            <w14:solidFill>
              <w14:schemeClr w14:val="tx1"/>
            </w14:solidFill>
          </w14:textFill>
        </w:rPr>
        <w:t>的潜在供应商应在广西政府采购云平台（https://www.gcy.zfcg.gxzf.gov.cn）获取（下载）竞争性磋商文件，并于</w:t>
      </w:r>
      <w:r>
        <w:rPr>
          <w:rFonts w:hint="eastAsia" w:ascii="宋体" w:hAnsi="宋体" w:eastAsia="宋体" w:cs="宋体"/>
          <w:bCs/>
          <w:color w:val="000000" w:themeColor="text1"/>
          <w:szCs w:val="21"/>
          <w:highlight w:val="none"/>
          <w:u w:val="single"/>
          <w14:textFill>
            <w14:solidFill>
              <w14:schemeClr w14:val="tx1"/>
            </w14:solidFill>
          </w14:textFill>
        </w:rPr>
        <w:t>202</w:t>
      </w:r>
      <w:r>
        <w:rPr>
          <w:rFonts w:hint="eastAsia" w:ascii="宋体" w:hAnsi="宋体" w:cs="宋体"/>
          <w:bCs/>
          <w:color w:val="000000" w:themeColor="text1"/>
          <w:szCs w:val="21"/>
          <w:highlight w:val="none"/>
          <w:u w:val="single"/>
          <w:lang w:val="en-US" w:eastAsia="zh-CN"/>
          <w14:textFill>
            <w14:solidFill>
              <w14:schemeClr w14:val="tx1"/>
            </w14:solidFill>
          </w14:textFill>
        </w:rPr>
        <w:t>6</w:t>
      </w:r>
      <w:r>
        <w:rPr>
          <w:rFonts w:hint="eastAsia" w:ascii="宋体" w:hAnsi="宋体" w:eastAsia="宋体" w:cs="宋体"/>
          <w:bCs/>
          <w:color w:val="000000" w:themeColor="text1"/>
          <w:szCs w:val="21"/>
          <w:highlight w:val="none"/>
          <w14:textFill>
            <w14:solidFill>
              <w14:schemeClr w14:val="tx1"/>
            </w14:solidFill>
          </w14:textFill>
        </w:rPr>
        <w:t>年</w:t>
      </w:r>
      <w:r>
        <w:rPr>
          <w:rFonts w:hint="eastAsia" w:ascii="宋体" w:hAnsi="宋体" w:cs="宋体"/>
          <w:bCs/>
          <w:color w:val="000000" w:themeColor="text1"/>
          <w:szCs w:val="21"/>
          <w:highlight w:val="none"/>
          <w:u w:val="single"/>
          <w:lang w:val="en-US" w:eastAsia="zh-CN"/>
          <w14:textFill>
            <w14:solidFill>
              <w14:schemeClr w14:val="tx1"/>
            </w14:solidFill>
          </w14:textFill>
        </w:rPr>
        <w:t xml:space="preserve"> 8 </w:t>
      </w:r>
      <w:r>
        <w:rPr>
          <w:rFonts w:hint="eastAsia" w:ascii="宋体" w:hAnsi="宋体" w:eastAsia="宋体" w:cs="宋体"/>
          <w:bCs/>
          <w:color w:val="000000" w:themeColor="text1"/>
          <w:szCs w:val="21"/>
          <w:highlight w:val="none"/>
          <w14:textFill>
            <w14:solidFill>
              <w14:schemeClr w14:val="tx1"/>
            </w14:solidFill>
          </w14:textFill>
        </w:rPr>
        <w:t>月</w:t>
      </w:r>
      <w:r>
        <w:rPr>
          <w:rFonts w:hint="eastAsia" w:ascii="宋体" w:hAnsi="宋体" w:cs="宋体"/>
          <w:bCs/>
          <w:color w:val="000000" w:themeColor="text1"/>
          <w:szCs w:val="21"/>
          <w:highlight w:val="none"/>
          <w:u w:val="single"/>
          <w:lang w:val="en-US" w:eastAsia="zh-CN"/>
          <w14:textFill>
            <w14:solidFill>
              <w14:schemeClr w14:val="tx1"/>
            </w14:solidFill>
          </w14:textFill>
        </w:rPr>
        <w:t xml:space="preserve"> 25 </w:t>
      </w:r>
      <w:r>
        <w:rPr>
          <w:rFonts w:hint="eastAsia" w:ascii="宋体" w:hAnsi="宋体" w:eastAsia="宋体" w:cs="宋体"/>
          <w:bCs/>
          <w:color w:val="000000" w:themeColor="text1"/>
          <w:szCs w:val="21"/>
          <w:highlight w:val="none"/>
          <w14:textFill>
            <w14:solidFill>
              <w14:schemeClr w14:val="tx1"/>
            </w14:solidFill>
          </w14:textFill>
        </w:rPr>
        <w:t>日</w:t>
      </w:r>
      <w:r>
        <w:rPr>
          <w:rFonts w:hint="eastAsia" w:ascii="宋体" w:hAnsi="宋体" w:eastAsia="宋体" w:cs="宋体"/>
          <w:bCs/>
          <w:color w:val="000000" w:themeColor="text1"/>
          <w:szCs w:val="21"/>
          <w:highlight w:val="none"/>
          <w:u w:val="single"/>
          <w14:textFill>
            <w14:solidFill>
              <w14:schemeClr w14:val="tx1"/>
            </w14:solidFill>
          </w14:textFill>
        </w:rPr>
        <w:t>9</w:t>
      </w:r>
      <w:r>
        <w:rPr>
          <w:rFonts w:hint="eastAsia" w:ascii="宋体" w:hAnsi="宋体" w:eastAsia="宋体" w:cs="宋体"/>
          <w:bCs/>
          <w:color w:val="000000" w:themeColor="text1"/>
          <w:szCs w:val="21"/>
          <w:highlight w:val="none"/>
          <w14:textFill>
            <w14:solidFill>
              <w14:schemeClr w14:val="tx1"/>
            </w14:solidFill>
          </w14:textFill>
        </w:rPr>
        <w:t>时</w:t>
      </w:r>
      <w:r>
        <w:rPr>
          <w:rFonts w:hint="eastAsia" w:ascii="宋体" w:hAnsi="宋体" w:eastAsia="宋体" w:cs="宋体"/>
          <w:bCs/>
          <w:color w:val="000000" w:themeColor="text1"/>
          <w:szCs w:val="21"/>
          <w:highlight w:val="none"/>
          <w:u w:val="single"/>
          <w14:textFill>
            <w14:solidFill>
              <w14:schemeClr w14:val="tx1"/>
            </w14:solidFill>
          </w14:textFill>
        </w:rPr>
        <w:t>00</w:t>
      </w:r>
      <w:r>
        <w:rPr>
          <w:rFonts w:hint="eastAsia" w:ascii="宋体" w:hAnsi="宋体" w:eastAsia="宋体" w:cs="宋体"/>
          <w:bCs/>
          <w:color w:val="000000" w:themeColor="text1"/>
          <w:szCs w:val="21"/>
          <w:highlight w:val="none"/>
          <w14:textFill>
            <w14:solidFill>
              <w14:schemeClr w14:val="tx1"/>
            </w14:solidFill>
          </w14:textFill>
        </w:rPr>
        <w:t>分（北京时间）前提交（上传）</w:t>
      </w:r>
      <w:r>
        <w:rPr>
          <w:rFonts w:hint="eastAsia" w:ascii="宋体" w:hAnsi="宋体" w:eastAsia="宋体" w:cs="宋体"/>
          <w:color w:val="000000" w:themeColor="text1"/>
          <w:szCs w:val="21"/>
          <w:highlight w:val="none"/>
          <w14:textFill>
            <w14:solidFill>
              <w14:schemeClr w14:val="tx1"/>
            </w14:solidFill>
          </w14:textFill>
        </w:rPr>
        <w:t>响应</w:t>
      </w:r>
      <w:r>
        <w:rPr>
          <w:rFonts w:hint="eastAsia" w:ascii="宋体" w:hAnsi="宋体" w:eastAsia="宋体" w:cs="宋体"/>
          <w:bCs/>
          <w:color w:val="000000" w:themeColor="text1"/>
          <w:szCs w:val="21"/>
          <w:highlight w:val="none"/>
          <w14:textFill>
            <w14:solidFill>
              <w14:schemeClr w14:val="tx1"/>
            </w14:solidFill>
          </w14:textFill>
        </w:rPr>
        <w:t>文件</w:t>
      </w:r>
      <w:r>
        <w:rPr>
          <w:rFonts w:hint="eastAsia" w:ascii="宋体" w:hAnsi="宋体" w:eastAsia="宋体" w:cs="宋体"/>
          <w:color w:val="000000" w:themeColor="text1"/>
          <w:szCs w:val="21"/>
          <w:highlight w:val="none"/>
          <w14:textFill>
            <w14:solidFill>
              <w14:schemeClr w14:val="tx1"/>
            </w14:solidFill>
          </w14:textFill>
        </w:rPr>
        <w:t>。</w:t>
      </w:r>
    </w:p>
    <w:p w14:paraId="01DCADDB">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0A065905">
      <w:pPr>
        <w:keepNext w:val="0"/>
        <w:keepLines w:val="0"/>
        <w:pageBreakBefore w:val="0"/>
        <w:kinsoku/>
        <w:wordWrap/>
        <w:overflowPunct/>
        <w:topLinePunct w:val="0"/>
        <w:autoSpaceDE/>
        <w:autoSpaceDN/>
        <w:bidi w:val="0"/>
        <w:adjustRightInd/>
        <w:spacing w:line="440" w:lineRule="exact"/>
        <w:ind w:firstLine="354" w:firstLineChars="147"/>
        <w:textAlignment w:val="auto"/>
        <w:rPr>
          <w:rFonts w:hint="eastAsia" w:ascii="宋体" w:hAnsi="宋体" w:eastAsia="宋体" w:cs="宋体"/>
          <w:b/>
          <w:color w:val="000000" w:themeColor="text1"/>
          <w:sz w:val="24"/>
          <w:highlight w:val="none"/>
          <w14:textFill>
            <w14:solidFill>
              <w14:schemeClr w14:val="tx1"/>
            </w14:solidFill>
          </w14:textFill>
        </w:rPr>
      </w:pPr>
      <w:bookmarkStart w:id="2" w:name="_Toc35393798"/>
      <w:bookmarkStart w:id="3" w:name="_Toc28359012"/>
      <w:bookmarkStart w:id="4" w:name="_Toc28359089"/>
      <w:bookmarkStart w:id="5" w:name="_Toc44229878"/>
      <w:bookmarkStart w:id="6" w:name="_Toc35393629"/>
      <w:bookmarkStart w:id="7" w:name="_Toc71365905"/>
      <w:r>
        <w:rPr>
          <w:rFonts w:hint="eastAsia" w:ascii="宋体" w:hAnsi="宋体" w:eastAsia="宋体" w:cs="宋体"/>
          <w:b/>
          <w:color w:val="000000" w:themeColor="text1"/>
          <w:sz w:val="24"/>
          <w:highlight w:val="none"/>
          <w14:textFill>
            <w14:solidFill>
              <w14:schemeClr w14:val="tx1"/>
            </w14:solidFill>
          </w14:textFill>
        </w:rPr>
        <w:t>一、项目基本情况</w:t>
      </w:r>
      <w:bookmarkEnd w:id="2"/>
      <w:bookmarkEnd w:id="3"/>
      <w:bookmarkEnd w:id="4"/>
      <w:bookmarkEnd w:id="5"/>
      <w:bookmarkEnd w:id="6"/>
      <w:bookmarkEnd w:id="7"/>
    </w:p>
    <w:p w14:paraId="780F094A">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项目编号：GGZC2026-C2-030063-GXJW</w:t>
      </w:r>
    </w:p>
    <w:p w14:paraId="2B2E5F1D">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项目名称：</w:t>
      </w:r>
      <w:r>
        <w:rPr>
          <w:rFonts w:hint="eastAsia" w:ascii="宋体" w:hAnsi="宋体" w:cs="宋体"/>
          <w:color w:val="000000" w:themeColor="text1"/>
          <w:szCs w:val="21"/>
          <w:highlight w:val="none"/>
          <w:lang w:eastAsia="zh-CN"/>
          <w14:textFill>
            <w14:solidFill>
              <w14:schemeClr w14:val="tx1"/>
            </w14:solidFill>
          </w14:textFill>
        </w:rPr>
        <w:t>贵港市港南区养老服务中心附属设施建设项目</w:t>
      </w:r>
    </w:p>
    <w:p w14:paraId="7E85E61B">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采购计划文号：GNZC2026-G2-01639</w:t>
      </w:r>
    </w:p>
    <w:p w14:paraId="57D1E279">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采购方式：竞争性磋商</w:t>
      </w:r>
    </w:p>
    <w:p w14:paraId="6982E45F">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预算总金额：</w:t>
      </w:r>
      <w:r>
        <w:rPr>
          <w:rFonts w:hint="eastAsia" w:ascii="宋体" w:hAnsi="宋体" w:cs="宋体"/>
          <w:color w:val="000000" w:themeColor="text1"/>
          <w:szCs w:val="21"/>
          <w:highlight w:val="none"/>
          <w:lang w:val="en-US" w:eastAsia="zh-CN"/>
          <w14:textFill>
            <w14:solidFill>
              <w14:schemeClr w14:val="tx1"/>
            </w14:solidFill>
          </w14:textFill>
        </w:rPr>
        <w:t>人民币捌拾贰万元整（¥820000.00）</w:t>
      </w:r>
    </w:p>
    <w:p w14:paraId="272570A3">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最高限价（如有）：</w:t>
      </w:r>
      <w:r>
        <w:rPr>
          <w:rFonts w:hint="eastAsia" w:ascii="宋体" w:hAnsi="宋体" w:cs="宋体"/>
          <w:color w:val="000000" w:themeColor="text1"/>
          <w:szCs w:val="21"/>
          <w:highlight w:val="none"/>
          <w:lang w:val="en-US" w:eastAsia="zh-CN"/>
          <w14:textFill>
            <w14:solidFill>
              <w14:schemeClr w14:val="tx1"/>
            </w14:solidFill>
          </w14:textFill>
        </w:rPr>
        <w:t>人民币捌拾壹万捌仟伍佰陆拾元肆角陆分（¥818560.46）</w:t>
      </w:r>
    </w:p>
    <w:p w14:paraId="1287051C">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szCs w:val="21"/>
          <w:highlight w:val="none"/>
          <w:lang w:val="en-US"/>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采购需求：</w:t>
      </w:r>
      <w:r>
        <w:rPr>
          <w:rFonts w:hint="eastAsia" w:ascii="宋体" w:hAnsi="宋体" w:eastAsia="宋体" w:cs="宋体"/>
          <w:color w:val="000000" w:themeColor="text1"/>
          <w:szCs w:val="21"/>
          <w:highlight w:val="none"/>
          <w:lang w:val="en-US" w:eastAsia="zh-CN"/>
          <w14:textFill>
            <w14:solidFill>
              <w14:schemeClr w14:val="tx1"/>
            </w14:solidFill>
          </w14:textFill>
        </w:rPr>
        <w:t>低压侧安装低压进线柜、低压自动电容补偿柜、低压出线柜及安装低压配电系统电缆出线；室外敷设聚乙烯PE给水管道200米等。具体内容详见工程量清单</w:t>
      </w:r>
      <w:r>
        <w:rPr>
          <w:rFonts w:hint="eastAsia" w:ascii="宋体" w:hAnsi="宋体" w:cs="宋体"/>
          <w:color w:val="000000" w:themeColor="text1"/>
          <w:szCs w:val="21"/>
          <w:highlight w:val="none"/>
          <w:lang w:val="en-US" w:eastAsia="zh-CN"/>
          <w14:textFill>
            <w14:solidFill>
              <w14:schemeClr w14:val="tx1"/>
            </w14:solidFill>
          </w14:textFill>
        </w:rPr>
        <w:t>及</w:t>
      </w:r>
      <w:r>
        <w:rPr>
          <w:rFonts w:hint="eastAsia" w:ascii="宋体" w:hAnsi="宋体" w:eastAsia="宋体" w:cs="宋体"/>
          <w:color w:val="000000" w:themeColor="text1"/>
          <w:szCs w:val="21"/>
          <w:highlight w:val="none"/>
          <w:lang w:val="en-US" w:eastAsia="zh-CN"/>
          <w14:textFill>
            <w14:solidFill>
              <w14:schemeClr w14:val="tx1"/>
            </w14:solidFill>
          </w14:textFill>
        </w:rPr>
        <w:t>设计图纸。</w:t>
      </w:r>
    </w:p>
    <w:p w14:paraId="0EA41BF1">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合同履约期限：</w:t>
      </w:r>
      <w:r>
        <w:rPr>
          <w:rFonts w:hint="eastAsia" w:ascii="宋体" w:hAnsi="宋体" w:cs="宋体"/>
          <w:color w:val="000000" w:themeColor="text1"/>
          <w:szCs w:val="21"/>
          <w:highlight w:val="none"/>
          <w:lang w:val="en-US" w:eastAsia="zh-CN"/>
          <w14:textFill>
            <w14:solidFill>
              <w14:schemeClr w14:val="tx1"/>
            </w14:solidFill>
          </w14:textFill>
        </w:rPr>
        <w:t>工期为45日历天</w:t>
      </w:r>
      <w:r>
        <w:rPr>
          <w:rFonts w:hint="eastAsia" w:ascii="宋体" w:hAnsi="宋体" w:eastAsia="宋体" w:cs="宋体"/>
          <w:color w:val="000000" w:themeColor="text1"/>
          <w:szCs w:val="21"/>
          <w:highlight w:val="none"/>
          <w:lang w:eastAsia="zh-CN"/>
          <w14:textFill>
            <w14:solidFill>
              <w14:schemeClr w14:val="tx1"/>
            </w14:solidFill>
          </w14:textFill>
        </w:rPr>
        <w:t>。</w:t>
      </w:r>
    </w:p>
    <w:p w14:paraId="3DEA03E0">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本项目（否）接受联合体投标</w:t>
      </w:r>
    </w:p>
    <w:p w14:paraId="2BDE2AD4">
      <w:pPr>
        <w:keepNext w:val="0"/>
        <w:keepLines w:val="0"/>
        <w:pageBreakBefore w:val="0"/>
        <w:kinsoku/>
        <w:wordWrap/>
        <w:overflowPunct/>
        <w:topLinePunct w:val="0"/>
        <w:autoSpaceDE/>
        <w:autoSpaceDN/>
        <w:bidi w:val="0"/>
        <w:adjustRightInd/>
        <w:spacing w:line="440" w:lineRule="exact"/>
        <w:ind w:firstLine="354" w:firstLineChars="147"/>
        <w:textAlignment w:val="auto"/>
        <w:rPr>
          <w:rFonts w:hint="eastAsia" w:ascii="宋体" w:hAnsi="宋体" w:eastAsia="宋体" w:cs="宋体"/>
          <w:b/>
          <w:color w:val="000000" w:themeColor="text1"/>
          <w:sz w:val="24"/>
          <w:highlight w:val="none"/>
          <w14:textFill>
            <w14:solidFill>
              <w14:schemeClr w14:val="tx1"/>
            </w14:solidFill>
          </w14:textFill>
        </w:rPr>
      </w:pPr>
      <w:bookmarkStart w:id="8" w:name="_Toc28359013"/>
      <w:bookmarkStart w:id="9" w:name="_Toc28359090"/>
      <w:bookmarkStart w:id="10" w:name="_Toc71365906"/>
      <w:bookmarkStart w:id="11" w:name="_Toc35393799"/>
      <w:bookmarkStart w:id="12" w:name="_Toc35393630"/>
      <w:bookmarkStart w:id="13" w:name="_Toc44229879"/>
      <w:r>
        <w:rPr>
          <w:rFonts w:hint="eastAsia" w:ascii="宋体" w:hAnsi="宋体" w:eastAsia="宋体" w:cs="宋体"/>
          <w:b/>
          <w:color w:val="000000" w:themeColor="text1"/>
          <w:sz w:val="24"/>
          <w:highlight w:val="none"/>
          <w14:textFill>
            <w14:solidFill>
              <w14:schemeClr w14:val="tx1"/>
            </w14:solidFill>
          </w14:textFill>
        </w:rPr>
        <w:t>二、申请人的资格条件：</w:t>
      </w:r>
      <w:bookmarkEnd w:id="8"/>
      <w:bookmarkEnd w:id="9"/>
      <w:bookmarkEnd w:id="10"/>
      <w:bookmarkEnd w:id="11"/>
      <w:bookmarkEnd w:id="12"/>
      <w:bookmarkEnd w:id="13"/>
    </w:p>
    <w:p w14:paraId="051DCF40">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14" w:name="_Toc28359014"/>
      <w:bookmarkStart w:id="15" w:name="_Toc35393800"/>
      <w:bookmarkStart w:id="16" w:name="_Toc35393631"/>
      <w:bookmarkStart w:id="17" w:name="_Toc44229880"/>
      <w:bookmarkStart w:id="18" w:name="_Toc28359091"/>
      <w:r>
        <w:rPr>
          <w:rFonts w:hint="eastAsia" w:ascii="宋体" w:hAnsi="宋体" w:eastAsia="宋体" w:cs="宋体"/>
          <w:color w:val="000000" w:themeColor="text1"/>
          <w:szCs w:val="21"/>
          <w:highlight w:val="none"/>
          <w14:textFill>
            <w14:solidFill>
              <w14:schemeClr w14:val="tx1"/>
            </w14:solidFill>
          </w14:textFill>
        </w:rPr>
        <w:t>1.满足《中华人民共和国政府采购法》第二十二条规定；</w:t>
      </w:r>
    </w:p>
    <w:p w14:paraId="63A4819F">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2.落实政府采购政策需满足的资格要求：</w:t>
      </w:r>
      <w:r>
        <w:rPr>
          <w:rFonts w:hint="eastAsia" w:ascii="宋体" w:hAnsi="宋体" w:eastAsia="宋体" w:cs="宋体"/>
          <w:b/>
          <w:bCs/>
          <w:color w:val="000000" w:themeColor="text1"/>
          <w:szCs w:val="21"/>
          <w:highlight w:val="none"/>
          <w:u w:val="none"/>
          <w14:textFill>
            <w14:solidFill>
              <w14:schemeClr w14:val="tx1"/>
            </w14:solidFill>
          </w14:textFill>
        </w:rPr>
        <w:t>本项目为专门面向</w:t>
      </w:r>
      <w:r>
        <w:rPr>
          <w:rFonts w:hint="eastAsia" w:ascii="宋体" w:hAnsi="宋体" w:cs="宋体"/>
          <w:b/>
          <w:bCs/>
          <w:color w:val="000000" w:themeColor="text1"/>
          <w:szCs w:val="21"/>
          <w:highlight w:val="none"/>
          <w:u w:val="none"/>
          <w:lang w:val="en-US" w:eastAsia="zh-CN"/>
          <w14:textFill>
            <w14:solidFill>
              <w14:schemeClr w14:val="tx1"/>
            </w14:solidFill>
          </w14:textFill>
        </w:rPr>
        <w:t>小微</w:t>
      </w:r>
      <w:r>
        <w:rPr>
          <w:rFonts w:hint="eastAsia" w:ascii="宋体" w:hAnsi="宋体" w:eastAsia="宋体" w:cs="宋体"/>
          <w:b/>
          <w:bCs/>
          <w:color w:val="000000" w:themeColor="text1"/>
          <w:szCs w:val="21"/>
          <w:highlight w:val="none"/>
          <w:u w:val="none"/>
          <w14:textFill>
            <w14:solidFill>
              <w14:schemeClr w14:val="tx1"/>
            </w14:solidFill>
          </w14:textFill>
        </w:rPr>
        <w:t>企业采购的项目，供应商应为小微企业或者监狱企业或者残疾人福利性单位。</w:t>
      </w:r>
    </w:p>
    <w:p w14:paraId="390D9385">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3.本项目的特定资格要求：</w:t>
      </w:r>
    </w:p>
    <w:p w14:paraId="59FAFC8E">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（1）供应商须</w:t>
      </w:r>
      <w:r>
        <w:rPr>
          <w:rFonts w:hint="eastAsia" w:ascii="宋体" w:hAnsi="宋体" w:eastAsia="宋体" w:cs="宋体"/>
          <w:color w:val="000000" w:themeColor="text1"/>
          <w:szCs w:val="21"/>
          <w:highlight w:val="none"/>
          <w:lang w:val="en-US" w:eastAsia="zh-CN"/>
          <w14:textFill>
            <w14:solidFill>
              <w14:schemeClr w14:val="tx1"/>
            </w14:solidFill>
          </w14:textFill>
        </w:rPr>
        <w:t>具备建筑工程施工总承包叁级以上（含叁级）资质，具备省级及以上建设行政主管部门颁发的安全生产许可证，并在人员、设备、资金、技术能力等方面具有相应施工能力的供应商。</w:t>
      </w:r>
    </w:p>
    <w:p w14:paraId="593E6C92">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宋体"/>
          <w:color w:val="000000" w:themeColor="text1"/>
          <w:szCs w:val="21"/>
          <w:highlight w:val="none"/>
          <w:lang w:val="en-US" w:eastAsia="zh-CN"/>
          <w14:textFill>
            <w14:solidFill>
              <w14:schemeClr w14:val="tx1"/>
            </w14:solidFill>
          </w14:textFill>
        </w:rPr>
        <w:t>拟投入本工程的项目经理具备建筑工程专业贰级以上（含贰级）注册建造师执业资格，具备有效的安全生产考核合格证书（B类）。本项目不接受有在建、已中标未开工或已列为本项目或其他项目中标候选人第一名的建造师作为项目经理</w:t>
      </w:r>
      <w:r>
        <w:rPr>
          <w:rFonts w:hint="eastAsia" w:ascii="宋体" w:hAnsi="宋体" w:cs="宋体"/>
          <w:color w:val="000000" w:themeColor="text1"/>
          <w:szCs w:val="21"/>
          <w:highlight w:val="none"/>
          <w:lang w:val="en-US" w:eastAsia="zh-CN"/>
          <w14:textFill>
            <w14:solidFill>
              <w14:schemeClr w14:val="tx1"/>
            </w14:solidFill>
          </w14:textFill>
        </w:rPr>
        <w:t>。</w:t>
      </w:r>
    </w:p>
    <w:p w14:paraId="4C2A8956">
      <w:pPr>
        <w:keepNext w:val="0"/>
        <w:keepLines w:val="0"/>
        <w:pageBreakBefore w:val="0"/>
        <w:kinsoku/>
        <w:wordWrap/>
        <w:overflowPunct/>
        <w:topLinePunct w:val="0"/>
        <w:autoSpaceDE/>
        <w:autoSpaceDN/>
        <w:bidi w:val="0"/>
        <w:adjustRightInd/>
        <w:spacing w:line="440" w:lineRule="exact"/>
        <w:ind w:firstLine="354" w:firstLineChars="147"/>
        <w:textAlignment w:val="auto"/>
        <w:rPr>
          <w:rFonts w:hint="eastAsia" w:ascii="宋体" w:hAnsi="宋体" w:eastAsia="宋体" w:cs="宋体"/>
          <w:b/>
          <w:color w:val="000000" w:themeColor="text1"/>
          <w:sz w:val="24"/>
          <w:highlight w:val="none"/>
          <w14:textFill>
            <w14:solidFill>
              <w14:schemeClr w14:val="tx1"/>
            </w14:solidFill>
          </w14:textFill>
        </w:rPr>
      </w:pPr>
      <w:bookmarkStart w:id="19" w:name="_Toc71365907"/>
      <w:r>
        <w:rPr>
          <w:rFonts w:hint="eastAsia" w:ascii="宋体" w:hAnsi="宋体" w:eastAsia="宋体" w:cs="宋体"/>
          <w:b/>
          <w:color w:val="000000" w:themeColor="text1"/>
          <w:sz w:val="24"/>
          <w:highlight w:val="none"/>
          <w14:textFill>
            <w14:solidFill>
              <w14:schemeClr w14:val="tx1"/>
            </w14:solidFill>
          </w14:textFill>
        </w:rPr>
        <w:t>三、获取竞争性磋商文件</w:t>
      </w:r>
      <w:bookmarkEnd w:id="14"/>
      <w:bookmarkEnd w:id="15"/>
      <w:bookmarkEnd w:id="16"/>
      <w:bookmarkEnd w:id="17"/>
      <w:bookmarkEnd w:id="18"/>
      <w:bookmarkEnd w:id="19"/>
    </w:p>
    <w:p w14:paraId="16E37772">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Cs/>
          <w:color w:val="000000" w:themeColor="text1"/>
          <w:kern w:val="0"/>
          <w:szCs w:val="21"/>
          <w:highlight w:val="none"/>
          <w14:textFill>
            <w14:solidFill>
              <w14:schemeClr w14:val="tx1"/>
            </w14:solidFill>
          </w14:textFill>
        </w:rPr>
      </w:pPr>
      <w:bookmarkStart w:id="20" w:name="_Toc35393801"/>
      <w:bookmarkStart w:id="21" w:name="_Toc44229881"/>
      <w:bookmarkStart w:id="22" w:name="_Toc28359092"/>
      <w:bookmarkStart w:id="23" w:name="_Toc28359015"/>
      <w:bookmarkStart w:id="24" w:name="_Toc35393632"/>
      <w:r>
        <w:rPr>
          <w:rFonts w:hint="eastAsia" w:ascii="宋体" w:hAnsi="宋体" w:eastAsia="宋体" w:cs="宋体"/>
          <w:bCs/>
          <w:color w:val="000000" w:themeColor="text1"/>
          <w:kern w:val="0"/>
          <w:szCs w:val="21"/>
          <w:highlight w:val="none"/>
          <w14:textFill>
            <w14:solidFill>
              <w14:schemeClr w14:val="tx1"/>
            </w14:solidFill>
          </w14:textFill>
        </w:rPr>
        <w:t>时间：</w:t>
      </w:r>
      <w:r>
        <w:rPr>
          <w:rFonts w:hint="eastAsia" w:ascii="宋体" w:hAnsi="宋体" w:eastAsia="宋体" w:cs="宋体"/>
          <w:bCs/>
          <w:color w:val="000000" w:themeColor="text1"/>
          <w:szCs w:val="21"/>
          <w:highlight w:val="none"/>
          <w:u w:val="single"/>
          <w14:textFill>
            <w14:solidFill>
              <w14:schemeClr w14:val="tx1"/>
            </w14:solidFill>
          </w14:textFill>
        </w:rPr>
        <w:t>202</w:t>
      </w:r>
      <w:r>
        <w:rPr>
          <w:rFonts w:hint="eastAsia" w:ascii="宋体" w:hAnsi="宋体" w:cs="宋体"/>
          <w:bCs/>
          <w:color w:val="000000" w:themeColor="text1"/>
          <w:szCs w:val="21"/>
          <w:highlight w:val="none"/>
          <w:u w:val="single"/>
          <w:lang w:val="en-US" w:eastAsia="zh-CN"/>
          <w14:textFill>
            <w14:solidFill>
              <w14:schemeClr w14:val="tx1"/>
            </w14:solidFill>
          </w14:textFill>
        </w:rPr>
        <w:t>6</w:t>
      </w:r>
      <w:r>
        <w:rPr>
          <w:rFonts w:hint="eastAsia" w:ascii="宋体" w:hAnsi="宋体" w:eastAsia="宋体" w:cs="宋体"/>
          <w:bCs/>
          <w:color w:val="000000" w:themeColor="text1"/>
          <w:szCs w:val="21"/>
          <w:highlight w:val="none"/>
          <w:u w:val="single"/>
          <w14:textFill>
            <w14:solidFill>
              <w14:schemeClr w14:val="tx1"/>
            </w14:solidFill>
          </w14:textFill>
        </w:rPr>
        <w:t>年</w:t>
      </w:r>
      <w:r>
        <w:rPr>
          <w:rFonts w:hint="eastAsia" w:ascii="宋体" w:hAnsi="宋体" w:cs="宋体"/>
          <w:bCs/>
          <w:color w:val="000000" w:themeColor="text1"/>
          <w:szCs w:val="21"/>
          <w:highlight w:val="none"/>
          <w:u w:val="single"/>
          <w:lang w:val="en-US" w:eastAsia="zh-CN"/>
          <w14:textFill>
            <w14:solidFill>
              <w14:schemeClr w14:val="tx1"/>
            </w14:solidFill>
          </w14:textFill>
        </w:rPr>
        <w:t>8</w:t>
      </w:r>
      <w:r>
        <w:rPr>
          <w:rFonts w:hint="eastAsia" w:ascii="宋体" w:hAnsi="宋体" w:eastAsia="宋体" w:cs="宋体"/>
          <w:bCs/>
          <w:color w:val="000000" w:themeColor="text1"/>
          <w:szCs w:val="21"/>
          <w:highlight w:val="none"/>
          <w:u w:val="single"/>
          <w14:textFill>
            <w14:solidFill>
              <w14:schemeClr w14:val="tx1"/>
            </w14:solidFill>
          </w14:textFill>
        </w:rPr>
        <w:t>月</w:t>
      </w:r>
      <w:r>
        <w:rPr>
          <w:rFonts w:hint="eastAsia" w:ascii="宋体" w:hAnsi="宋体" w:cs="宋体"/>
          <w:bCs/>
          <w:color w:val="000000" w:themeColor="text1"/>
          <w:szCs w:val="21"/>
          <w:highlight w:val="none"/>
          <w:u w:val="single"/>
          <w:lang w:val="en-US" w:eastAsia="zh-CN"/>
          <w14:textFill>
            <w14:solidFill>
              <w14:schemeClr w14:val="tx1"/>
            </w14:solidFill>
          </w14:textFill>
        </w:rPr>
        <w:t>13</w:t>
      </w:r>
      <w:r>
        <w:rPr>
          <w:rFonts w:hint="eastAsia" w:ascii="宋体" w:hAnsi="宋体" w:eastAsia="宋体" w:cs="宋体"/>
          <w:bCs/>
          <w:color w:val="000000" w:themeColor="text1"/>
          <w:szCs w:val="21"/>
          <w:highlight w:val="none"/>
          <w:u w:val="single"/>
          <w14:textFill>
            <w14:solidFill>
              <w14:schemeClr w14:val="tx1"/>
            </w14:solidFill>
          </w14:textFill>
        </w:rPr>
        <w:t>日</w:t>
      </w:r>
      <w:r>
        <w:rPr>
          <w:rFonts w:hint="eastAsia" w:ascii="宋体" w:hAnsi="宋体" w:eastAsia="宋体" w:cs="宋体"/>
          <w:bCs/>
          <w:color w:val="000000" w:themeColor="text1"/>
          <w:kern w:val="0"/>
          <w:szCs w:val="21"/>
          <w:highlight w:val="none"/>
          <w:u w:val="single"/>
          <w14:textFill>
            <w14:solidFill>
              <w14:schemeClr w14:val="tx1"/>
            </w14:solidFill>
          </w14:textFill>
        </w:rPr>
        <w:t>至</w:t>
      </w:r>
      <w:r>
        <w:rPr>
          <w:rFonts w:hint="eastAsia" w:ascii="宋体" w:hAnsi="宋体" w:eastAsia="宋体" w:cs="宋体"/>
          <w:bCs/>
          <w:color w:val="000000" w:themeColor="text1"/>
          <w:szCs w:val="21"/>
          <w:highlight w:val="none"/>
          <w:u w:val="single"/>
          <w14:textFill>
            <w14:solidFill>
              <w14:schemeClr w14:val="tx1"/>
            </w14:solidFill>
          </w14:textFill>
        </w:rPr>
        <w:t>202</w:t>
      </w:r>
      <w:r>
        <w:rPr>
          <w:rFonts w:hint="eastAsia" w:ascii="宋体" w:hAnsi="宋体" w:cs="宋体"/>
          <w:bCs/>
          <w:color w:val="000000" w:themeColor="text1"/>
          <w:szCs w:val="21"/>
          <w:highlight w:val="none"/>
          <w:u w:val="single"/>
          <w:lang w:val="en-US" w:eastAsia="zh-CN"/>
          <w14:textFill>
            <w14:solidFill>
              <w14:schemeClr w14:val="tx1"/>
            </w14:solidFill>
          </w14:textFill>
        </w:rPr>
        <w:t>6</w:t>
      </w:r>
      <w:r>
        <w:rPr>
          <w:rFonts w:hint="eastAsia" w:ascii="宋体" w:hAnsi="宋体" w:eastAsia="宋体" w:cs="宋体"/>
          <w:bCs/>
          <w:color w:val="000000" w:themeColor="text1"/>
          <w:szCs w:val="21"/>
          <w:highlight w:val="none"/>
          <w:u w:val="single"/>
          <w14:textFill>
            <w14:solidFill>
              <w14:schemeClr w14:val="tx1"/>
            </w14:solidFill>
          </w14:textFill>
        </w:rPr>
        <w:t>年</w:t>
      </w:r>
      <w:r>
        <w:rPr>
          <w:rFonts w:hint="eastAsia" w:ascii="宋体" w:hAnsi="宋体" w:cs="宋体"/>
          <w:bCs/>
          <w:color w:val="000000" w:themeColor="text1"/>
          <w:szCs w:val="21"/>
          <w:highlight w:val="none"/>
          <w:u w:val="single"/>
          <w:lang w:val="en-US" w:eastAsia="zh-CN"/>
          <w14:textFill>
            <w14:solidFill>
              <w14:schemeClr w14:val="tx1"/>
            </w14:solidFill>
          </w14:textFill>
        </w:rPr>
        <w:t>8</w:t>
      </w:r>
      <w:r>
        <w:rPr>
          <w:rFonts w:hint="eastAsia" w:ascii="宋体" w:hAnsi="宋体" w:eastAsia="宋体" w:cs="宋体"/>
          <w:bCs/>
          <w:color w:val="000000" w:themeColor="text1"/>
          <w:szCs w:val="21"/>
          <w:highlight w:val="none"/>
          <w:u w:val="single"/>
          <w14:textFill>
            <w14:solidFill>
              <w14:schemeClr w14:val="tx1"/>
            </w14:solidFill>
          </w14:textFill>
        </w:rPr>
        <w:t>月</w:t>
      </w:r>
      <w:r>
        <w:rPr>
          <w:rFonts w:hint="eastAsia" w:ascii="宋体" w:hAnsi="宋体" w:cs="宋体"/>
          <w:bCs/>
          <w:color w:val="000000" w:themeColor="text1"/>
          <w:szCs w:val="21"/>
          <w:highlight w:val="none"/>
          <w:u w:val="single"/>
          <w:lang w:val="en-US" w:eastAsia="zh-CN"/>
          <w14:textFill>
            <w14:solidFill>
              <w14:schemeClr w14:val="tx1"/>
            </w14:solidFill>
          </w14:textFill>
        </w:rPr>
        <w:t>20</w:t>
      </w:r>
      <w:r>
        <w:rPr>
          <w:rFonts w:hint="eastAsia" w:ascii="宋体" w:hAnsi="宋体" w:eastAsia="宋体" w:cs="宋体"/>
          <w:bCs/>
          <w:color w:val="000000" w:themeColor="text1"/>
          <w:szCs w:val="21"/>
          <w:highlight w:val="none"/>
          <w:u w:val="single"/>
          <w14:textFill>
            <w14:solidFill>
              <w14:schemeClr w14:val="tx1"/>
            </w14:solidFill>
          </w14:textFill>
        </w:rPr>
        <w:t>日</w:t>
      </w:r>
      <w:r>
        <w:rPr>
          <w:rFonts w:hint="eastAsia" w:ascii="宋体" w:hAnsi="宋体" w:eastAsia="宋体" w:cs="宋体"/>
          <w:bCs/>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每天上午00：00至12：00，下午12：00至23：59（北京时间，法定节假日除外）</w:t>
      </w:r>
    </w:p>
    <w:p w14:paraId="2F6A03AB">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地点：广西政府采购云平台（https://www.gcy.zfcg.gxzf.gov.cn）</w:t>
      </w:r>
    </w:p>
    <w:p w14:paraId="111B73E4">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方式：网上下载。本项目不提供纸质文件，潜在供应商需使用账号登录或者使用CA登录广西政府采购云平台（https://www.gcy.zfcg.gxzf.gov.cn）-进入“项目采购”应用，在获取采购文件菜单中选择项目，获取竞争性磋商文件。</w:t>
      </w:r>
      <w:r>
        <w:rPr>
          <w:rFonts w:hint="eastAsia" w:ascii="宋体" w:hAnsi="宋体" w:eastAsia="宋体" w:cs="宋体"/>
          <w:color w:val="000000" w:themeColor="text1"/>
          <w:szCs w:val="21"/>
          <w:highlight w:val="none"/>
          <w14:textFill>
            <w14:solidFill>
              <w14:schemeClr w14:val="tx1"/>
            </w14:solidFill>
          </w14:textFill>
        </w:rPr>
        <w:t>电子</w:t>
      </w:r>
      <w:r>
        <w:rPr>
          <w:rFonts w:hint="eastAsia" w:ascii="宋体" w:hAnsi="宋体" w:eastAsia="宋体" w:cs="宋体"/>
          <w:color w:val="000000" w:themeColor="text1"/>
          <w:highlight w:val="none"/>
          <w14:textFill>
            <w14:solidFill>
              <w14:schemeClr w14:val="tx1"/>
            </w14:solidFill>
          </w14:textFill>
        </w:rPr>
        <w:t>响应文件</w:t>
      </w:r>
      <w:r>
        <w:rPr>
          <w:rFonts w:hint="eastAsia" w:ascii="宋体" w:hAnsi="宋体" w:eastAsia="宋体" w:cs="宋体"/>
          <w:color w:val="000000" w:themeColor="text1"/>
          <w:szCs w:val="21"/>
          <w:highlight w:val="none"/>
          <w14:textFill>
            <w14:solidFill>
              <w14:schemeClr w14:val="tx1"/>
            </w14:solidFill>
          </w14:textFill>
        </w:rPr>
        <w:t>制作需要基于广西政府采购云平台获取的磋商文件编制，</w:t>
      </w:r>
      <w:r>
        <w:rPr>
          <w:rFonts w:hint="eastAsia" w:ascii="宋体" w:hAnsi="宋体" w:eastAsia="宋体" w:cs="宋体"/>
          <w:bCs/>
          <w:color w:val="000000" w:themeColor="text1"/>
          <w:kern w:val="0"/>
          <w:szCs w:val="21"/>
          <w:highlight w:val="none"/>
          <w14:textFill>
            <w14:solidFill>
              <w14:schemeClr w14:val="tx1"/>
            </w14:solidFill>
          </w14:textFill>
        </w:rPr>
        <w:t>通过其他方式获取磋商文件的，将有可能导致供应商无法在广西政府采购云平台编制及上传响应文件。</w:t>
      </w:r>
    </w:p>
    <w:p w14:paraId="6539B137">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售价：</w:t>
      </w:r>
      <w:r>
        <w:rPr>
          <w:rFonts w:hint="eastAsia" w:ascii="宋体" w:hAnsi="宋体" w:eastAsia="宋体" w:cs="宋体"/>
          <w:color w:val="000000" w:themeColor="text1"/>
          <w:szCs w:val="21"/>
          <w:highlight w:val="none"/>
          <w14:textFill>
            <w14:solidFill>
              <w14:schemeClr w14:val="tx1"/>
            </w14:solidFill>
          </w14:textFill>
        </w:rPr>
        <w:t>0元</w:t>
      </w:r>
    </w:p>
    <w:p w14:paraId="71507E71">
      <w:pPr>
        <w:keepNext w:val="0"/>
        <w:keepLines w:val="0"/>
        <w:pageBreakBefore w:val="0"/>
        <w:kinsoku/>
        <w:wordWrap/>
        <w:overflowPunct/>
        <w:topLinePunct w:val="0"/>
        <w:autoSpaceDE/>
        <w:autoSpaceDN/>
        <w:bidi w:val="0"/>
        <w:adjustRightInd/>
        <w:spacing w:line="440" w:lineRule="exact"/>
        <w:ind w:firstLine="354" w:firstLineChars="147"/>
        <w:textAlignment w:val="auto"/>
        <w:rPr>
          <w:rFonts w:hint="eastAsia" w:ascii="宋体" w:hAnsi="宋体" w:eastAsia="宋体" w:cs="宋体"/>
          <w:b/>
          <w:color w:val="000000" w:themeColor="text1"/>
          <w:sz w:val="24"/>
          <w:highlight w:val="none"/>
          <w14:textFill>
            <w14:solidFill>
              <w14:schemeClr w14:val="tx1"/>
            </w14:solidFill>
          </w14:textFill>
        </w:rPr>
      </w:pPr>
      <w:bookmarkStart w:id="25" w:name="_Toc71365908"/>
      <w:r>
        <w:rPr>
          <w:rFonts w:hint="eastAsia" w:ascii="宋体" w:hAnsi="宋体" w:eastAsia="宋体" w:cs="宋体"/>
          <w:b/>
          <w:color w:val="000000" w:themeColor="text1"/>
          <w:sz w:val="24"/>
          <w:highlight w:val="none"/>
          <w14:textFill>
            <w14:solidFill>
              <w14:schemeClr w14:val="tx1"/>
            </w14:solidFill>
          </w14:textFill>
        </w:rPr>
        <w:t>四、响应文件提交</w:t>
      </w:r>
      <w:bookmarkEnd w:id="20"/>
      <w:bookmarkEnd w:id="21"/>
      <w:bookmarkEnd w:id="22"/>
      <w:bookmarkEnd w:id="23"/>
      <w:bookmarkEnd w:id="24"/>
      <w:bookmarkEnd w:id="25"/>
    </w:p>
    <w:p w14:paraId="380FB1BB">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Cs/>
          <w:color w:val="000000" w:themeColor="text1"/>
          <w:szCs w:val="21"/>
          <w:highlight w:val="none"/>
          <w14:textFill>
            <w14:solidFill>
              <w14:schemeClr w14:val="tx1"/>
            </w14:solidFill>
          </w14:textFill>
        </w:rPr>
      </w:pPr>
      <w:bookmarkStart w:id="26" w:name="_Toc44229882"/>
      <w:bookmarkStart w:id="27" w:name="_Toc35393633"/>
      <w:bookmarkStart w:id="28" w:name="_Toc28359016"/>
      <w:bookmarkStart w:id="29" w:name="_Toc35393802"/>
      <w:bookmarkStart w:id="30" w:name="_Toc28359093"/>
      <w:r>
        <w:rPr>
          <w:rFonts w:hint="eastAsia" w:ascii="宋体" w:hAnsi="宋体" w:eastAsia="宋体" w:cs="宋体"/>
          <w:color w:val="000000" w:themeColor="text1"/>
          <w:szCs w:val="21"/>
          <w:highlight w:val="none"/>
          <w14:textFill>
            <w14:solidFill>
              <w14:schemeClr w14:val="tx1"/>
            </w14:solidFill>
          </w14:textFill>
        </w:rPr>
        <w:t>截止时间：</w:t>
      </w:r>
      <w:r>
        <w:rPr>
          <w:rFonts w:hint="eastAsia" w:ascii="宋体" w:hAnsi="宋体" w:eastAsia="宋体" w:cs="宋体"/>
          <w:bCs/>
          <w:color w:val="000000" w:themeColor="text1"/>
          <w:szCs w:val="21"/>
          <w:highlight w:val="none"/>
          <w:u w:val="single"/>
          <w14:textFill>
            <w14:solidFill>
              <w14:schemeClr w14:val="tx1"/>
            </w14:solidFill>
          </w14:textFill>
        </w:rPr>
        <w:t>202</w:t>
      </w:r>
      <w:r>
        <w:rPr>
          <w:rFonts w:hint="eastAsia" w:ascii="宋体" w:hAnsi="宋体" w:cs="宋体"/>
          <w:bCs/>
          <w:color w:val="000000" w:themeColor="text1"/>
          <w:szCs w:val="21"/>
          <w:highlight w:val="none"/>
          <w:u w:val="single"/>
          <w:lang w:val="en-US" w:eastAsia="zh-CN"/>
          <w14:textFill>
            <w14:solidFill>
              <w14:schemeClr w14:val="tx1"/>
            </w14:solidFill>
          </w14:textFill>
        </w:rPr>
        <w:t>6</w:t>
      </w:r>
      <w:r>
        <w:rPr>
          <w:rFonts w:hint="eastAsia" w:ascii="宋体" w:hAnsi="宋体" w:eastAsia="宋体" w:cs="宋体"/>
          <w:bCs/>
          <w:color w:val="000000" w:themeColor="text1"/>
          <w:szCs w:val="21"/>
          <w:highlight w:val="none"/>
          <w:u w:val="single"/>
          <w14:textFill>
            <w14:solidFill>
              <w14:schemeClr w14:val="tx1"/>
            </w14:solidFill>
          </w14:textFill>
        </w:rPr>
        <w:t>年</w:t>
      </w:r>
      <w:r>
        <w:rPr>
          <w:rFonts w:hint="eastAsia" w:ascii="宋体" w:hAnsi="宋体" w:cs="宋体"/>
          <w:bCs/>
          <w:color w:val="000000" w:themeColor="text1"/>
          <w:szCs w:val="21"/>
          <w:highlight w:val="none"/>
          <w:u w:val="single"/>
          <w:lang w:val="en-US" w:eastAsia="zh-CN"/>
          <w14:textFill>
            <w14:solidFill>
              <w14:schemeClr w14:val="tx1"/>
            </w14:solidFill>
          </w14:textFill>
        </w:rPr>
        <w:t>8</w:t>
      </w:r>
      <w:r>
        <w:rPr>
          <w:rFonts w:hint="eastAsia" w:ascii="宋体" w:hAnsi="宋体" w:eastAsia="宋体" w:cs="宋体"/>
          <w:bCs/>
          <w:color w:val="000000" w:themeColor="text1"/>
          <w:szCs w:val="21"/>
          <w:highlight w:val="none"/>
          <w:u w:val="single"/>
          <w14:textFill>
            <w14:solidFill>
              <w14:schemeClr w14:val="tx1"/>
            </w14:solidFill>
          </w14:textFill>
        </w:rPr>
        <w:t>月</w:t>
      </w:r>
      <w:r>
        <w:rPr>
          <w:rFonts w:hint="eastAsia" w:ascii="宋体" w:hAnsi="宋体" w:cs="宋体"/>
          <w:bCs/>
          <w:color w:val="000000" w:themeColor="text1"/>
          <w:szCs w:val="21"/>
          <w:highlight w:val="none"/>
          <w:u w:val="single"/>
          <w:lang w:val="en-US" w:eastAsia="zh-CN"/>
          <w14:textFill>
            <w14:solidFill>
              <w14:schemeClr w14:val="tx1"/>
            </w14:solidFill>
          </w14:textFill>
        </w:rPr>
        <w:t>25</w:t>
      </w:r>
      <w:r>
        <w:rPr>
          <w:rFonts w:hint="eastAsia" w:ascii="宋体" w:hAnsi="宋体" w:eastAsia="宋体" w:cs="宋体"/>
          <w:bCs/>
          <w:color w:val="000000" w:themeColor="text1"/>
          <w:szCs w:val="21"/>
          <w:highlight w:val="none"/>
          <w:u w:val="single"/>
          <w14:textFill>
            <w14:solidFill>
              <w14:schemeClr w14:val="tx1"/>
            </w14:solidFill>
          </w14:textFill>
        </w:rPr>
        <w:t>日</w:t>
      </w:r>
      <w:r>
        <w:rPr>
          <w:rFonts w:hint="eastAsia" w:ascii="宋体" w:hAnsi="宋体" w:cs="宋体"/>
          <w:bCs/>
          <w:color w:val="000000" w:themeColor="text1"/>
          <w:szCs w:val="21"/>
          <w:highlight w:val="none"/>
          <w:u w:val="single"/>
          <w:lang w:val="en-US" w:eastAsia="zh-CN"/>
          <w14:textFill>
            <w14:solidFill>
              <w14:schemeClr w14:val="tx1"/>
            </w14:solidFill>
          </w14:textFill>
        </w:rPr>
        <w:t>9</w:t>
      </w:r>
      <w:r>
        <w:rPr>
          <w:rFonts w:hint="eastAsia" w:ascii="宋体" w:hAnsi="宋体" w:eastAsia="宋体" w:cs="宋体"/>
          <w:bCs/>
          <w:color w:val="000000" w:themeColor="text1"/>
          <w:szCs w:val="21"/>
          <w:highlight w:val="none"/>
          <w:u w:val="single"/>
          <w14:textFill>
            <w14:solidFill>
              <w14:schemeClr w14:val="tx1"/>
            </w14:solidFill>
          </w14:textFill>
        </w:rPr>
        <w:t>时</w:t>
      </w:r>
      <w:r>
        <w:rPr>
          <w:rFonts w:hint="eastAsia" w:ascii="宋体" w:hAnsi="宋体" w:cs="宋体"/>
          <w:bCs/>
          <w:color w:val="000000" w:themeColor="text1"/>
          <w:szCs w:val="21"/>
          <w:highlight w:val="none"/>
          <w:u w:val="single"/>
          <w:lang w:val="en-US" w:eastAsia="zh-CN"/>
          <w14:textFill>
            <w14:solidFill>
              <w14:schemeClr w14:val="tx1"/>
            </w14:solidFill>
          </w14:textFill>
        </w:rPr>
        <w:t>00</w:t>
      </w:r>
      <w:r>
        <w:rPr>
          <w:rFonts w:hint="eastAsia" w:ascii="宋体" w:hAnsi="宋体" w:eastAsia="宋体" w:cs="宋体"/>
          <w:bCs/>
          <w:color w:val="000000" w:themeColor="text1"/>
          <w:szCs w:val="21"/>
          <w:highlight w:val="none"/>
          <w:u w:val="single"/>
          <w14:textFill>
            <w14:solidFill>
              <w14:schemeClr w14:val="tx1"/>
            </w14:solidFill>
          </w14:textFill>
        </w:rPr>
        <w:t>分</w:t>
      </w:r>
      <w:r>
        <w:rPr>
          <w:rFonts w:hint="eastAsia" w:ascii="宋体" w:hAnsi="宋体" w:eastAsia="宋体" w:cs="宋体"/>
          <w:bCs/>
          <w:color w:val="000000" w:themeColor="text1"/>
          <w:szCs w:val="21"/>
          <w:highlight w:val="none"/>
          <w14:textFill>
            <w14:solidFill>
              <w14:schemeClr w14:val="tx1"/>
            </w14:solidFill>
          </w14:textFill>
        </w:rPr>
        <w:t>（北京时间）</w:t>
      </w:r>
    </w:p>
    <w:p w14:paraId="4D22365D">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点：通过广西政府采购云平台（https://www.gcy.zfcg.gxzf.gov.cn/）实行在线磋商，磋商人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未按规定编制并加密的电子响应文件将被广西政府采购云平台拒收。</w:t>
      </w:r>
    </w:p>
    <w:p w14:paraId="348C690D">
      <w:pPr>
        <w:keepNext w:val="0"/>
        <w:keepLines w:val="0"/>
        <w:pageBreakBefore w:val="0"/>
        <w:kinsoku/>
        <w:wordWrap/>
        <w:overflowPunct/>
        <w:topLinePunct w:val="0"/>
        <w:autoSpaceDE/>
        <w:autoSpaceDN/>
        <w:bidi w:val="0"/>
        <w:adjustRightInd/>
        <w:spacing w:line="440" w:lineRule="exact"/>
        <w:ind w:firstLine="354" w:firstLineChars="147"/>
        <w:textAlignment w:val="auto"/>
        <w:rPr>
          <w:rFonts w:hint="eastAsia" w:ascii="宋体" w:hAnsi="宋体" w:eastAsia="宋体" w:cs="宋体"/>
          <w:b/>
          <w:color w:val="000000" w:themeColor="text1"/>
          <w:sz w:val="24"/>
          <w:highlight w:val="none"/>
          <w14:textFill>
            <w14:solidFill>
              <w14:schemeClr w14:val="tx1"/>
            </w14:solidFill>
          </w14:textFill>
        </w:rPr>
      </w:pPr>
      <w:bookmarkStart w:id="31" w:name="_Toc71365909"/>
      <w:r>
        <w:rPr>
          <w:rFonts w:hint="eastAsia" w:ascii="宋体" w:hAnsi="宋体" w:eastAsia="宋体" w:cs="宋体"/>
          <w:b/>
          <w:color w:val="000000" w:themeColor="text1"/>
          <w:sz w:val="24"/>
          <w:highlight w:val="none"/>
          <w14:textFill>
            <w14:solidFill>
              <w14:schemeClr w14:val="tx1"/>
            </w14:solidFill>
          </w14:textFill>
        </w:rPr>
        <w:t>五、响应文件开启</w:t>
      </w:r>
      <w:bookmarkEnd w:id="26"/>
      <w:bookmarkEnd w:id="27"/>
      <w:bookmarkEnd w:id="28"/>
      <w:bookmarkEnd w:id="29"/>
      <w:bookmarkEnd w:id="30"/>
      <w:bookmarkEnd w:id="31"/>
    </w:p>
    <w:p w14:paraId="09A6D458">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Cs/>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1.时间：</w:t>
      </w:r>
      <w:r>
        <w:rPr>
          <w:rFonts w:hint="eastAsia" w:ascii="宋体" w:hAnsi="宋体" w:eastAsia="宋体" w:cs="宋体"/>
          <w:bCs/>
          <w:color w:val="000000" w:themeColor="text1"/>
          <w:szCs w:val="21"/>
          <w:highlight w:val="none"/>
          <w:u w:val="single"/>
          <w14:textFill>
            <w14:solidFill>
              <w14:schemeClr w14:val="tx1"/>
            </w14:solidFill>
          </w14:textFill>
        </w:rPr>
        <w:t>202</w:t>
      </w:r>
      <w:r>
        <w:rPr>
          <w:rFonts w:hint="eastAsia" w:ascii="宋体" w:hAnsi="宋体" w:cs="宋体"/>
          <w:bCs/>
          <w:color w:val="000000" w:themeColor="text1"/>
          <w:szCs w:val="21"/>
          <w:highlight w:val="none"/>
          <w:u w:val="single"/>
          <w:lang w:val="en-US" w:eastAsia="zh-CN"/>
          <w14:textFill>
            <w14:solidFill>
              <w14:schemeClr w14:val="tx1"/>
            </w14:solidFill>
          </w14:textFill>
        </w:rPr>
        <w:t>6</w:t>
      </w:r>
      <w:r>
        <w:rPr>
          <w:rFonts w:hint="eastAsia" w:ascii="宋体" w:hAnsi="宋体" w:eastAsia="宋体" w:cs="宋体"/>
          <w:bCs/>
          <w:color w:val="000000" w:themeColor="text1"/>
          <w:szCs w:val="21"/>
          <w:highlight w:val="none"/>
          <w:u w:val="single"/>
          <w14:textFill>
            <w14:solidFill>
              <w14:schemeClr w14:val="tx1"/>
            </w14:solidFill>
          </w14:textFill>
        </w:rPr>
        <w:t>年</w:t>
      </w:r>
      <w:r>
        <w:rPr>
          <w:rFonts w:hint="eastAsia" w:ascii="宋体" w:hAnsi="宋体" w:cs="宋体"/>
          <w:bCs/>
          <w:color w:val="000000" w:themeColor="text1"/>
          <w:szCs w:val="21"/>
          <w:highlight w:val="none"/>
          <w:u w:val="single"/>
          <w:lang w:val="en-US" w:eastAsia="zh-CN"/>
          <w14:textFill>
            <w14:solidFill>
              <w14:schemeClr w14:val="tx1"/>
            </w14:solidFill>
          </w14:textFill>
        </w:rPr>
        <w:t>8</w:t>
      </w:r>
      <w:r>
        <w:rPr>
          <w:rFonts w:hint="eastAsia" w:ascii="宋体" w:hAnsi="宋体" w:eastAsia="宋体" w:cs="宋体"/>
          <w:bCs/>
          <w:color w:val="000000" w:themeColor="text1"/>
          <w:szCs w:val="21"/>
          <w:highlight w:val="none"/>
          <w:u w:val="single"/>
          <w14:textFill>
            <w14:solidFill>
              <w14:schemeClr w14:val="tx1"/>
            </w14:solidFill>
          </w14:textFill>
        </w:rPr>
        <w:t>月</w:t>
      </w:r>
      <w:r>
        <w:rPr>
          <w:rFonts w:hint="eastAsia" w:ascii="宋体" w:hAnsi="宋体" w:cs="宋体"/>
          <w:bCs/>
          <w:color w:val="000000" w:themeColor="text1"/>
          <w:szCs w:val="21"/>
          <w:highlight w:val="none"/>
          <w:u w:val="single"/>
          <w:lang w:val="en-US" w:eastAsia="zh-CN"/>
          <w14:textFill>
            <w14:solidFill>
              <w14:schemeClr w14:val="tx1"/>
            </w14:solidFill>
          </w14:textFill>
        </w:rPr>
        <w:t>25</w:t>
      </w:r>
      <w:r>
        <w:rPr>
          <w:rFonts w:hint="eastAsia" w:ascii="宋体" w:hAnsi="宋体" w:eastAsia="宋体" w:cs="宋体"/>
          <w:bCs/>
          <w:color w:val="000000" w:themeColor="text1"/>
          <w:szCs w:val="21"/>
          <w:highlight w:val="none"/>
          <w:u w:val="single"/>
          <w14:textFill>
            <w14:solidFill>
              <w14:schemeClr w14:val="tx1"/>
            </w14:solidFill>
          </w14:textFill>
        </w:rPr>
        <w:t>日</w:t>
      </w:r>
      <w:r>
        <w:rPr>
          <w:rFonts w:hint="eastAsia" w:ascii="宋体" w:hAnsi="宋体" w:cs="宋体"/>
          <w:bCs/>
          <w:color w:val="000000" w:themeColor="text1"/>
          <w:szCs w:val="21"/>
          <w:highlight w:val="none"/>
          <w:u w:val="single"/>
          <w:lang w:val="en-US" w:eastAsia="zh-CN"/>
          <w14:textFill>
            <w14:solidFill>
              <w14:schemeClr w14:val="tx1"/>
            </w14:solidFill>
          </w14:textFill>
        </w:rPr>
        <w:t>9</w:t>
      </w:r>
      <w:r>
        <w:rPr>
          <w:rFonts w:hint="eastAsia" w:ascii="宋体" w:hAnsi="宋体" w:eastAsia="宋体" w:cs="宋体"/>
          <w:bCs/>
          <w:color w:val="000000" w:themeColor="text1"/>
          <w:szCs w:val="21"/>
          <w:highlight w:val="none"/>
          <w:u w:val="single"/>
          <w14:textFill>
            <w14:solidFill>
              <w14:schemeClr w14:val="tx1"/>
            </w14:solidFill>
          </w14:textFill>
        </w:rPr>
        <w:t>时</w:t>
      </w:r>
      <w:r>
        <w:rPr>
          <w:rFonts w:hint="eastAsia" w:ascii="宋体" w:hAnsi="宋体" w:cs="宋体"/>
          <w:bCs/>
          <w:color w:val="000000" w:themeColor="text1"/>
          <w:szCs w:val="21"/>
          <w:highlight w:val="none"/>
          <w:u w:val="single"/>
          <w:lang w:val="en-US" w:eastAsia="zh-CN"/>
          <w14:textFill>
            <w14:solidFill>
              <w14:schemeClr w14:val="tx1"/>
            </w14:solidFill>
          </w14:textFill>
        </w:rPr>
        <w:t>00</w:t>
      </w:r>
      <w:r>
        <w:rPr>
          <w:rFonts w:hint="eastAsia" w:ascii="宋体" w:hAnsi="宋体" w:eastAsia="宋体" w:cs="宋体"/>
          <w:bCs/>
          <w:color w:val="000000" w:themeColor="text1"/>
          <w:szCs w:val="21"/>
          <w:highlight w:val="none"/>
          <w:u w:val="single"/>
          <w14:textFill>
            <w14:solidFill>
              <w14:schemeClr w14:val="tx1"/>
            </w14:solidFill>
          </w14:textFill>
        </w:rPr>
        <w:t>分</w:t>
      </w:r>
      <w:r>
        <w:rPr>
          <w:rFonts w:hint="eastAsia" w:ascii="宋体" w:hAnsi="宋体" w:eastAsia="宋体" w:cs="宋体"/>
          <w:bCs/>
          <w:color w:val="000000" w:themeColor="text1"/>
          <w:szCs w:val="21"/>
          <w:highlight w:val="none"/>
          <w14:textFill>
            <w14:solidFill>
              <w14:schemeClr w14:val="tx1"/>
            </w14:solidFill>
          </w14:textFill>
        </w:rPr>
        <w:t>（北京时间）</w:t>
      </w:r>
    </w:p>
    <w:p w14:paraId="602CE56B">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Cs/>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地点：在贵港市公共资源交易中心交易厅通过广西政府采购云平台实行在线开标，响应文件在广西政府采购云平台电子开标大厅实行在线解密开启。（本项目不要求磋商人到达开标现场，但磋商人应派法定代表人或委托代理人准时在线出席电子开评标会议，随时关注开评标进度，如在开评标过程中有电子询标，应在规定的时间内对电子询标函进行澄清回复）。</w:t>
      </w:r>
    </w:p>
    <w:p w14:paraId="356A3594">
      <w:pPr>
        <w:keepNext w:val="0"/>
        <w:keepLines w:val="0"/>
        <w:pageBreakBefore w:val="0"/>
        <w:kinsoku/>
        <w:wordWrap/>
        <w:overflowPunct/>
        <w:topLinePunct w:val="0"/>
        <w:autoSpaceDE/>
        <w:autoSpaceDN/>
        <w:bidi w:val="0"/>
        <w:adjustRightInd/>
        <w:spacing w:line="440" w:lineRule="exact"/>
        <w:ind w:firstLine="354" w:firstLineChars="147"/>
        <w:textAlignment w:val="auto"/>
        <w:rPr>
          <w:rFonts w:hint="eastAsia" w:ascii="宋体" w:hAnsi="宋体" w:eastAsia="宋体" w:cs="宋体"/>
          <w:b/>
          <w:color w:val="000000" w:themeColor="text1"/>
          <w:sz w:val="24"/>
          <w:highlight w:val="none"/>
          <w14:textFill>
            <w14:solidFill>
              <w14:schemeClr w14:val="tx1"/>
            </w14:solidFill>
          </w14:textFill>
        </w:rPr>
      </w:pPr>
      <w:bookmarkStart w:id="32" w:name="_Toc71365910"/>
      <w:bookmarkStart w:id="33" w:name="_Toc35393634"/>
      <w:bookmarkStart w:id="34" w:name="_Toc44229883"/>
      <w:bookmarkStart w:id="35" w:name="_Toc28359094"/>
      <w:bookmarkStart w:id="36" w:name="_Toc35393803"/>
      <w:bookmarkStart w:id="37" w:name="_Toc28359017"/>
      <w:r>
        <w:rPr>
          <w:rFonts w:hint="eastAsia" w:ascii="宋体" w:hAnsi="宋体" w:eastAsia="宋体" w:cs="宋体"/>
          <w:b/>
          <w:color w:val="000000" w:themeColor="text1"/>
          <w:sz w:val="24"/>
          <w:highlight w:val="none"/>
          <w14:textFill>
            <w14:solidFill>
              <w14:schemeClr w14:val="tx1"/>
            </w14:solidFill>
          </w14:textFill>
        </w:rPr>
        <w:t>六、公告期限</w:t>
      </w:r>
      <w:bookmarkEnd w:id="32"/>
      <w:bookmarkEnd w:id="33"/>
      <w:bookmarkEnd w:id="34"/>
      <w:bookmarkEnd w:id="35"/>
      <w:bookmarkEnd w:id="36"/>
      <w:bookmarkEnd w:id="37"/>
    </w:p>
    <w:p w14:paraId="46964455">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自本公告发布之日起5个工作日。</w:t>
      </w:r>
    </w:p>
    <w:p w14:paraId="0DC85B5B">
      <w:pPr>
        <w:keepNext w:val="0"/>
        <w:keepLines w:val="0"/>
        <w:pageBreakBefore w:val="0"/>
        <w:kinsoku/>
        <w:wordWrap/>
        <w:overflowPunct/>
        <w:topLinePunct w:val="0"/>
        <w:autoSpaceDE/>
        <w:autoSpaceDN/>
        <w:bidi w:val="0"/>
        <w:adjustRightInd/>
        <w:spacing w:line="440" w:lineRule="exact"/>
        <w:ind w:firstLine="354" w:firstLineChars="147"/>
        <w:textAlignment w:val="auto"/>
        <w:rPr>
          <w:rFonts w:hint="eastAsia" w:ascii="宋体" w:hAnsi="宋体" w:eastAsia="宋体" w:cs="宋体"/>
          <w:b/>
          <w:color w:val="000000" w:themeColor="text1"/>
          <w:sz w:val="24"/>
          <w:highlight w:val="none"/>
          <w14:textFill>
            <w14:solidFill>
              <w14:schemeClr w14:val="tx1"/>
            </w14:solidFill>
          </w14:textFill>
        </w:rPr>
      </w:pPr>
      <w:bookmarkStart w:id="38" w:name="_Toc35393804"/>
      <w:bookmarkStart w:id="39" w:name="_Toc44229884"/>
      <w:bookmarkStart w:id="40" w:name="_Toc35393635"/>
      <w:bookmarkStart w:id="41" w:name="_Toc71365911"/>
      <w:r>
        <w:rPr>
          <w:rFonts w:hint="eastAsia" w:ascii="宋体" w:hAnsi="宋体" w:eastAsia="宋体" w:cs="宋体"/>
          <w:b/>
          <w:color w:val="000000" w:themeColor="text1"/>
          <w:sz w:val="24"/>
          <w:highlight w:val="none"/>
          <w14:textFill>
            <w14:solidFill>
              <w14:schemeClr w14:val="tx1"/>
            </w14:solidFill>
          </w14:textFill>
        </w:rPr>
        <w:t>七、其他补充事宜</w:t>
      </w:r>
      <w:bookmarkEnd w:id="38"/>
      <w:bookmarkEnd w:id="39"/>
      <w:bookmarkEnd w:id="40"/>
      <w:bookmarkEnd w:id="41"/>
    </w:p>
    <w:p w14:paraId="5A6569CE">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kern w:val="0"/>
          <w:szCs w:val="21"/>
          <w:highlight w:val="none"/>
          <w14:textFill>
            <w14:solidFill>
              <w14:schemeClr w14:val="tx1"/>
            </w14:solidFill>
          </w14:textFill>
        </w:rPr>
      </w:pPr>
      <w:bookmarkStart w:id="42" w:name="_Toc35393636"/>
      <w:bookmarkStart w:id="43" w:name="_Toc28359018"/>
      <w:bookmarkStart w:id="44" w:name="_Toc44229885"/>
      <w:bookmarkStart w:id="45" w:name="_Toc35393805"/>
      <w:bookmarkStart w:id="46" w:name="_Toc28359095"/>
      <w:r>
        <w:rPr>
          <w:rFonts w:hint="eastAsia" w:ascii="宋体" w:hAnsi="宋体" w:eastAsia="宋体" w:cs="宋体"/>
          <w:color w:val="000000" w:themeColor="text1"/>
          <w:kern w:val="0"/>
          <w:szCs w:val="21"/>
          <w:highlight w:val="none"/>
          <w14:textFill>
            <w14:solidFill>
              <w14:schemeClr w14:val="tx1"/>
            </w14:solidFill>
          </w14:textFill>
        </w:rPr>
        <w:t>1.磋商保证金：无</w:t>
      </w:r>
    </w:p>
    <w:p w14:paraId="7F98E311">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kern w:val="0"/>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w:t>
      </w:r>
      <w:r>
        <w:rPr>
          <w:rFonts w:hint="eastAsia" w:ascii="宋体" w:hAnsi="宋体" w:eastAsia="宋体" w:cs="宋体"/>
          <w:color w:val="000000" w:themeColor="text1"/>
          <w:kern w:val="0"/>
          <w:highlight w:val="none"/>
          <w14:textFill>
            <w14:solidFill>
              <w14:schemeClr w14:val="tx1"/>
            </w14:solidFill>
          </w14:textFill>
        </w:rPr>
        <w:t>本项目需要落实的政府采购政策：</w:t>
      </w:r>
    </w:p>
    <w:p w14:paraId="274BFE3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（1）政府采购促进中小企业发展。</w:t>
      </w:r>
    </w:p>
    <w:p w14:paraId="29641AFC">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（2）政府采购支持采用本国产品的政策。</w:t>
      </w:r>
    </w:p>
    <w:p w14:paraId="006C0653">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（3）强制采购节能产品；优先采购节能产品、环境标志产品。</w:t>
      </w:r>
    </w:p>
    <w:p w14:paraId="4B3B4A49">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（4）政府采购促进残疾人就业政策。</w:t>
      </w:r>
    </w:p>
    <w:p w14:paraId="3C9DABD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（5）政府采购支持监狱企业发展。</w:t>
      </w:r>
    </w:p>
    <w:p w14:paraId="07D60377">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3.网上查询地址</w:t>
      </w:r>
    </w:p>
    <w:p w14:paraId="384FB41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http://www.ccgp.gov.cn（中国政府采购网）、http://zfcg.gxzf.gov.cn/（广西壮族自治区政府采购网）、http://zfcg.czj.gxgg.gov.cn/（贵港市政府采购网）、http://ggzy.jgswj.gxzf.gov.cn/ggggzy/全国公共资源交易平台（广西·贵港）</w:t>
      </w:r>
    </w:p>
    <w:p w14:paraId="64BC913F">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4.监督部门</w:t>
      </w:r>
    </w:p>
    <w:p w14:paraId="7366E53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名    称：</w:t>
      </w:r>
      <w:r>
        <w:rPr>
          <w:rFonts w:hint="eastAsia" w:ascii="宋体" w:hAnsi="宋体" w:eastAsia="宋体" w:cs="宋体"/>
          <w:color w:val="000000" w:themeColor="text1"/>
          <w:kern w:val="0"/>
          <w:szCs w:val="21"/>
          <w:highlight w:val="none"/>
          <w:lang w:val="en-US" w:eastAsia="zh-CN"/>
          <w14:textFill>
            <w14:solidFill>
              <w14:schemeClr w14:val="tx1"/>
            </w14:solidFill>
          </w14:textFill>
        </w:rPr>
        <w:t>贵港市港南区财政局政府采购监督管理股</w:t>
      </w:r>
    </w:p>
    <w:p w14:paraId="0B01B937">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电    话：</w:t>
      </w:r>
      <w:r>
        <w:rPr>
          <w:rFonts w:hint="eastAsia" w:ascii="宋体" w:hAnsi="宋体" w:eastAsia="宋体" w:cs="宋体"/>
          <w:color w:val="000000" w:themeColor="text1"/>
          <w:kern w:val="0"/>
          <w:szCs w:val="21"/>
          <w:highlight w:val="none"/>
          <w:lang w:val="en-US" w:eastAsia="zh-CN"/>
          <w14:textFill>
            <w14:solidFill>
              <w14:schemeClr w14:val="tx1"/>
            </w14:solidFill>
          </w14:textFill>
        </w:rPr>
        <w:t>0775-4327666</w:t>
      </w:r>
    </w:p>
    <w:p w14:paraId="769C58D5">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708D21F">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6.未被“信用中国”（www.creditchina.gov.cn）、中国政府采购网（www.ccgp.gov.cn）列入失信被执行人、重大税收违法失信主体、政府采购严重违法失信行为记录名单。</w:t>
      </w:r>
    </w:p>
    <w:p w14:paraId="5871DB15">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7.供应商竞标注意事项</w:t>
      </w:r>
    </w:p>
    <w:p w14:paraId="22EE9D15">
      <w:pPr>
        <w:keepNext w:val="0"/>
        <w:keepLines w:val="0"/>
        <w:pageBreakBefore w:val="0"/>
        <w:widowControl/>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（1）本项目为全流程电子化采购项目，通过广西政府采购云平台（</w:t>
      </w:r>
      <w:r>
        <w:rPr>
          <w:rFonts w:hint="eastAsia" w:ascii="宋体" w:hAnsi="宋体" w:eastAsia="宋体" w:cs="宋体"/>
          <w:color w:val="000000" w:themeColor="text1"/>
          <w:sz w:val="18"/>
          <w:szCs w:val="18"/>
          <w:highlight w:val="none"/>
          <w14:textFill>
            <w14:solidFill>
              <w14:schemeClr w14:val="tx1"/>
            </w14:solidFill>
          </w14:textFill>
        </w:rPr>
        <w:t>https：//www.gcy.zfcg.gxzf.gov.cn/</w:t>
      </w:r>
      <w:r>
        <w:rPr>
          <w:rFonts w:hint="eastAsia" w:ascii="宋体" w:hAnsi="宋体" w:eastAsia="宋体" w:cs="宋体"/>
          <w:color w:val="000000" w:themeColor="text1"/>
          <w:szCs w:val="21"/>
          <w:highlight w:val="none"/>
          <w14:textFill>
            <w14:solidFill>
              <w14:schemeClr w14:val="tx1"/>
            </w14:solidFill>
          </w14:textFill>
        </w:rPr>
        <w:t>）实行在线电子竞标，供应商应按照本项目竞争性磋商文件和广西政府采购云平台的要求编制、加密后在提交响应文件截止时间前通过网络上传至广西政府采购云平台（加密的电子响应文件是指</w:t>
      </w:r>
      <w:r>
        <w:rPr>
          <w:rFonts w:hint="eastAsia" w:ascii="宋体" w:hAnsi="宋体" w:eastAsia="宋体" w:cs="宋体"/>
          <w:color w:val="000000" w:themeColor="text1"/>
          <w:highlight w:val="none"/>
          <w14:textFill>
            <w14:solidFill>
              <w14:schemeClr w14:val="tx1"/>
            </w14:solidFill>
          </w14:textFill>
        </w:rPr>
        <w:t>后缀名为“jmbs”的文件</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b/>
          <w:color w:val="000000" w:themeColor="text1"/>
          <w:szCs w:val="21"/>
          <w:highlight w:val="none"/>
          <w14:textFill>
            <w14:solidFill>
              <w14:schemeClr w14:val="tx1"/>
            </w14:solidFill>
          </w14:textFill>
        </w:rPr>
        <w:t>供应商在广西政府采购云平台提交电子响应文件时，请填写参加远程采购活动经办人联系方式。</w:t>
      </w:r>
      <w:r>
        <w:rPr>
          <w:rFonts w:hint="eastAsia" w:ascii="宋体" w:hAnsi="宋体" w:eastAsia="宋体" w:cs="宋体"/>
          <w:color w:val="000000" w:themeColor="text1"/>
          <w:szCs w:val="21"/>
          <w:highlight w:val="none"/>
          <w14:textFill>
            <w14:solidFill>
              <w14:schemeClr w14:val="tx1"/>
            </w14:solidFill>
          </w14:textFill>
        </w:rPr>
        <w:t>供应商登录广西政府采购云平台，依次进入“服务中心－项目采购－操作流程－电子招投标－</w:t>
      </w:r>
      <w:r>
        <w:rPr>
          <w:rFonts w:hint="eastAsia" w:ascii="宋体" w:hAnsi="宋体" w:eastAsia="宋体" w:cs="宋体"/>
          <w:color w:val="000000" w:themeColor="text1"/>
          <w:highlight w:val="none"/>
          <w14:textFill>
            <w14:solidFill>
              <w14:schemeClr w14:val="tx1"/>
            </w14:solidFill>
          </w14:textFill>
        </w:rPr>
        <w:t>政府采购项目电子交易管理操作指南－供应商</w:t>
      </w:r>
      <w:r>
        <w:rPr>
          <w:rFonts w:hint="eastAsia" w:ascii="宋体" w:hAnsi="宋体" w:eastAsia="宋体" w:cs="宋体"/>
          <w:color w:val="000000" w:themeColor="text1"/>
          <w:szCs w:val="21"/>
          <w:highlight w:val="none"/>
          <w14:textFill>
            <w14:solidFill>
              <w14:schemeClr w14:val="tx1"/>
            </w14:solidFill>
          </w14:textFill>
        </w:rPr>
        <w:t>”查看电子竞标具体操作流程。</w:t>
      </w:r>
    </w:p>
    <w:p w14:paraId="370CEA0C">
      <w:pPr>
        <w:keepNext w:val="0"/>
        <w:keepLines w:val="0"/>
        <w:pageBreakBefore w:val="0"/>
        <w:widowControl/>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eastAsia="宋体" w:cs="宋体"/>
          <w:color w:val="000000" w:themeColor="text1"/>
          <w:kern w:val="0"/>
          <w:szCs w:val="21"/>
          <w:highlight w:val="none"/>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依次进入“服务中心－入驻与配置”中查看CA数字证书办理操作流程。</w:t>
      </w:r>
      <w:r>
        <w:rPr>
          <w:rFonts w:hint="eastAsia" w:ascii="宋体" w:hAnsi="宋体" w:eastAsia="宋体" w:cs="宋体"/>
          <w:bCs/>
          <w:color w:val="000000" w:themeColor="text1"/>
          <w:kern w:val="0"/>
          <w:szCs w:val="21"/>
          <w:highlight w:val="none"/>
          <w14:textFill>
            <w14:solidFill>
              <w14:schemeClr w14:val="tx1"/>
            </w14:solidFill>
          </w14:textFill>
        </w:rPr>
        <w:t>如在操作过程中遇到问题或者需要技术支持，请致电客服热线：95763或者0771-3381253</w:t>
      </w:r>
      <w:r>
        <w:rPr>
          <w:rFonts w:hint="eastAsia" w:ascii="宋体" w:hAnsi="宋体" w:eastAsia="宋体" w:cs="宋体"/>
          <w:color w:val="000000" w:themeColor="text1"/>
          <w:szCs w:val="21"/>
          <w:highlight w:val="none"/>
          <w14:textFill>
            <w14:solidFill>
              <w14:schemeClr w14:val="tx1"/>
            </w14:solidFill>
          </w14:textFill>
        </w:rPr>
        <w:t>）。</w:t>
      </w:r>
    </w:p>
    <w:p w14:paraId="057BA9C7">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（3）CA证书在线解密：首次响应文件开启时，需携带制作响应文件时用来加密的有效数字证书（CA认证）登录广西政府采购云平台电子开标大厅现场按规定时间对加密的响应文件进行解密，否则后果自负。</w:t>
      </w:r>
    </w:p>
    <w:p w14:paraId="742CDB7B">
      <w:pPr>
        <w:keepNext w:val="0"/>
        <w:keepLines w:val="0"/>
        <w:pageBreakBefore w:val="0"/>
        <w:widowControl/>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eastAsia="宋体" w:cs="宋体"/>
          <w:bCs/>
          <w:color w:val="000000" w:themeColor="text1"/>
          <w:szCs w:val="21"/>
          <w:highlight w:val="none"/>
          <w14:textFill>
            <w14:solidFill>
              <w14:schemeClr w14:val="tx1"/>
            </w14:solidFill>
          </w14:textFill>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77ECF39E">
      <w:pPr>
        <w:keepNext w:val="0"/>
        <w:keepLines w:val="0"/>
        <w:pageBreakBefore w:val="0"/>
        <w:kinsoku/>
        <w:wordWrap/>
        <w:overflowPunct/>
        <w:topLinePunct w:val="0"/>
        <w:autoSpaceDE/>
        <w:autoSpaceDN/>
        <w:bidi w:val="0"/>
        <w:adjustRightInd/>
        <w:spacing w:line="440" w:lineRule="exact"/>
        <w:ind w:firstLine="308" w:firstLineChars="147"/>
        <w:textAlignment w:val="auto"/>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（4）供应商需要在具备有摄像头及语音功能且互联网网络状况良好的电脑登录广西政府采购云平台远程开标大厅参与本次磋商，否则后果自负。</w:t>
      </w:r>
    </w:p>
    <w:p w14:paraId="584AF101">
      <w:pPr>
        <w:keepNext w:val="0"/>
        <w:keepLines w:val="0"/>
        <w:pageBreakBefore w:val="0"/>
        <w:kinsoku/>
        <w:wordWrap/>
        <w:overflowPunct/>
        <w:topLinePunct w:val="0"/>
        <w:autoSpaceDE/>
        <w:autoSpaceDN/>
        <w:bidi w:val="0"/>
        <w:adjustRightInd/>
        <w:spacing w:line="440" w:lineRule="exact"/>
        <w:ind w:firstLine="354" w:firstLineChars="147"/>
        <w:textAlignment w:val="auto"/>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八、凡对本次采购提出询问，请按以下方式联系。</w:t>
      </w:r>
      <w:bookmarkEnd w:id="42"/>
      <w:bookmarkEnd w:id="43"/>
      <w:bookmarkEnd w:id="44"/>
      <w:bookmarkEnd w:id="45"/>
      <w:bookmarkEnd w:id="46"/>
    </w:p>
    <w:bookmarkEnd w:id="1"/>
    <w:p w14:paraId="4E0C8FE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1.采购人信息</w:t>
      </w:r>
    </w:p>
    <w:p w14:paraId="4F0F639A">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  称：</w:t>
      </w:r>
      <w:r>
        <w:rPr>
          <w:rFonts w:hint="eastAsia" w:ascii="宋体" w:hAnsi="宋体" w:eastAsia="宋体" w:cs="宋体"/>
          <w:color w:val="000000" w:themeColor="text1"/>
          <w:szCs w:val="21"/>
          <w:highlight w:val="none"/>
          <w:lang w:eastAsia="zh-CN"/>
          <w14:textFill>
            <w14:solidFill>
              <w14:schemeClr w14:val="tx1"/>
            </w14:solidFill>
          </w14:textFill>
        </w:rPr>
        <w:t xml:space="preserve">贵港市港南区民政局 </w:t>
      </w:r>
    </w:p>
    <w:p w14:paraId="7BC30BFD">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  址：广西壮族自治区贵港市港南区港南路27号</w:t>
      </w:r>
    </w:p>
    <w:p w14:paraId="1D1D54DD">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联系方式：</w:t>
      </w:r>
      <w:r>
        <w:rPr>
          <w:rFonts w:hint="eastAsia" w:ascii="宋体" w:hAnsi="宋体" w:eastAsia="宋体" w:cs="宋体"/>
          <w:color w:val="000000" w:themeColor="text1"/>
          <w:szCs w:val="21"/>
          <w:highlight w:val="none"/>
          <w:lang w:eastAsia="zh-CN"/>
          <w14:textFill>
            <w14:solidFill>
              <w14:schemeClr w14:val="tx1"/>
            </w14:solidFill>
          </w14:textFill>
        </w:rPr>
        <w:t>0775-</w:t>
      </w:r>
      <w:r>
        <w:rPr>
          <w:rFonts w:hint="eastAsia" w:ascii="宋体" w:hAnsi="宋体" w:eastAsia="宋体" w:cs="宋体"/>
          <w:color w:val="000000" w:themeColor="text1"/>
          <w:szCs w:val="21"/>
          <w:highlight w:val="none"/>
          <w:lang w:val="en-US" w:eastAsia="zh-CN"/>
          <w14:textFill>
            <w14:solidFill>
              <w14:schemeClr w14:val="tx1"/>
            </w14:solidFill>
          </w14:textFill>
        </w:rPr>
        <w:t>2910508</w:t>
      </w:r>
    </w:p>
    <w:p w14:paraId="326646DA">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2.采购代理机构信息</w:t>
      </w:r>
    </w:p>
    <w:p w14:paraId="47B27AB4">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  称：</w:t>
      </w:r>
      <w:r>
        <w:rPr>
          <w:rFonts w:hint="eastAsia" w:ascii="宋体" w:hAnsi="宋体" w:eastAsia="宋体" w:cs="宋体"/>
          <w:color w:val="000000" w:themeColor="text1"/>
          <w:szCs w:val="21"/>
          <w:highlight w:val="none"/>
          <w:lang w:eastAsia="zh-CN"/>
          <w14:textFill>
            <w14:solidFill>
              <w14:schemeClr w14:val="tx1"/>
            </w14:solidFill>
          </w14:textFill>
        </w:rPr>
        <w:t>广西建</w:t>
      </w:r>
      <w:r>
        <w:rPr>
          <w:rFonts w:hint="eastAsia" w:ascii="宋体" w:hAnsi="宋体" w:cs="宋体"/>
          <w:color w:val="000000" w:themeColor="text1"/>
          <w:szCs w:val="21"/>
          <w:highlight w:val="none"/>
          <w:lang w:val="en-US" w:eastAsia="zh-CN"/>
          <w14:textFill>
            <w14:solidFill>
              <w14:schemeClr w14:val="tx1"/>
            </w14:solidFill>
          </w14:textFill>
        </w:rPr>
        <w:t>文</w:t>
      </w:r>
      <w:r>
        <w:rPr>
          <w:rFonts w:hint="eastAsia" w:ascii="宋体" w:hAnsi="宋体" w:eastAsia="宋体" w:cs="宋体"/>
          <w:color w:val="000000" w:themeColor="text1"/>
          <w:szCs w:val="21"/>
          <w:highlight w:val="none"/>
          <w:lang w:eastAsia="zh-CN"/>
          <w14:textFill>
            <w14:solidFill>
              <w14:schemeClr w14:val="tx1"/>
            </w14:solidFill>
          </w14:textFill>
        </w:rPr>
        <w:t>工程咨询有限公司</w:t>
      </w:r>
    </w:p>
    <w:p w14:paraId="7B33A06F">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址：</w:t>
      </w:r>
      <w:r>
        <w:rPr>
          <w:rFonts w:hint="eastAsia" w:ascii="宋体" w:hAnsi="宋体" w:eastAsia="宋体" w:cs="宋体"/>
          <w:color w:val="000000" w:themeColor="text1"/>
          <w:szCs w:val="21"/>
          <w:highlight w:val="none"/>
          <w:lang w:eastAsia="zh-CN"/>
          <w14:textFill>
            <w14:solidFill>
              <w14:schemeClr w14:val="tx1"/>
            </w14:solidFill>
          </w14:textFill>
        </w:rPr>
        <w:t>贵港市港北区解放北路龙圣新村小区(黄志英房屋)</w:t>
      </w:r>
    </w:p>
    <w:p w14:paraId="269B65C3">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联系方式：</w:t>
      </w:r>
      <w:r>
        <w:rPr>
          <w:rFonts w:hint="eastAsia" w:ascii="宋体" w:hAnsi="宋体" w:eastAsia="宋体" w:cs="宋体"/>
          <w:color w:val="000000" w:themeColor="text1"/>
          <w:szCs w:val="21"/>
          <w:highlight w:val="none"/>
          <w:lang w:eastAsia="zh-CN"/>
          <w14:textFill>
            <w14:solidFill>
              <w14:schemeClr w14:val="tx1"/>
            </w14:solidFill>
          </w14:textFill>
        </w:rPr>
        <w:t>0775-2918485</w:t>
      </w:r>
    </w:p>
    <w:p w14:paraId="08B9B932">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bookmarkStart w:id="47" w:name="_Toc28359098"/>
      <w:bookmarkStart w:id="48" w:name="_Toc35393808"/>
      <w:bookmarkStart w:id="49" w:name="_Toc28359021"/>
      <w:bookmarkStart w:id="50" w:name="_Toc35393639"/>
      <w:r>
        <w:rPr>
          <w:rFonts w:hint="eastAsia" w:ascii="宋体" w:hAnsi="宋体" w:eastAsia="宋体" w:cs="宋体"/>
          <w:color w:val="000000" w:themeColor="text1"/>
          <w:szCs w:val="21"/>
          <w:highlight w:val="none"/>
          <w14:textFill>
            <w14:solidFill>
              <w14:schemeClr w14:val="tx1"/>
            </w14:solidFill>
          </w14:textFill>
        </w:rPr>
        <w:t>3.项目联系方式</w:t>
      </w:r>
      <w:bookmarkEnd w:id="47"/>
      <w:bookmarkEnd w:id="48"/>
      <w:bookmarkEnd w:id="49"/>
      <w:bookmarkEnd w:id="50"/>
    </w:p>
    <w:p w14:paraId="0004A390">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项目联系人：</w:t>
      </w:r>
      <w:r>
        <w:rPr>
          <w:rFonts w:hint="eastAsia" w:ascii="宋体" w:hAnsi="宋体" w:cs="宋体"/>
          <w:color w:val="000000" w:themeColor="text1"/>
          <w:szCs w:val="21"/>
          <w:highlight w:val="none"/>
          <w:lang w:val="en-US" w:eastAsia="zh-CN"/>
          <w14:textFill>
            <w14:solidFill>
              <w14:schemeClr w14:val="tx1"/>
            </w14:solidFill>
          </w14:textFill>
        </w:rPr>
        <w:t>杨工、</w:t>
      </w:r>
      <w:r>
        <w:rPr>
          <w:rFonts w:hint="eastAsia" w:ascii="宋体" w:hAnsi="宋体" w:eastAsia="宋体" w:cs="宋体"/>
          <w:color w:val="000000" w:themeColor="text1"/>
          <w:szCs w:val="21"/>
          <w:highlight w:val="none"/>
          <w:lang w:eastAsia="zh-CN"/>
          <w14:textFill>
            <w14:solidFill>
              <w14:schemeClr w14:val="tx1"/>
            </w14:solidFill>
          </w14:textFill>
        </w:rPr>
        <w:t>邓</w:t>
      </w:r>
      <w:r>
        <w:rPr>
          <w:rFonts w:hint="eastAsia" w:ascii="宋体" w:hAnsi="宋体" w:eastAsia="宋体" w:cs="宋体"/>
          <w:color w:val="000000" w:themeColor="text1"/>
          <w:szCs w:val="21"/>
          <w:highlight w:val="none"/>
          <w14:textFill>
            <w14:solidFill>
              <w14:schemeClr w14:val="tx1"/>
            </w14:solidFill>
          </w14:textFill>
        </w:rPr>
        <w:t>工</w:t>
      </w:r>
    </w:p>
    <w:p w14:paraId="5F280FC0">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话：</w:t>
      </w:r>
      <w:r>
        <w:rPr>
          <w:rFonts w:hint="eastAsia" w:ascii="宋体" w:hAnsi="宋体" w:eastAsia="宋体" w:cs="宋体"/>
          <w:color w:val="000000" w:themeColor="text1"/>
          <w:szCs w:val="21"/>
          <w:highlight w:val="none"/>
          <w:lang w:eastAsia="zh-CN"/>
          <w14:textFill>
            <w14:solidFill>
              <w14:schemeClr w14:val="tx1"/>
            </w14:solidFill>
          </w14:textFill>
        </w:rPr>
        <w:t>0775-2918485</w:t>
      </w:r>
      <w:r>
        <w:rPr>
          <w:rFonts w:hint="eastAsia" w:ascii="宋体" w:hAnsi="宋体" w:eastAsia="宋体" w:cs="宋体"/>
          <w:color w:val="000000" w:themeColor="text1"/>
          <w:szCs w:val="21"/>
          <w:highlight w:val="none"/>
          <w14:textFill>
            <w14:solidFill>
              <w14:schemeClr w14:val="tx1"/>
            </w14:solidFill>
          </w14:textFill>
        </w:rPr>
        <w:br w:type="page"/>
      </w:r>
    </w:p>
    <w:p w14:paraId="1EF12FAA">
      <w:pPr>
        <w:pStyle w:val="2"/>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宋体" w:hAnsi="宋体" w:eastAsia="宋体" w:cs="宋体"/>
          <w:color w:val="000000" w:themeColor="text1"/>
          <w:sz w:val="40"/>
          <w:szCs w:val="40"/>
          <w:highlight w:val="none"/>
          <w14:textFill>
            <w14:solidFill>
              <w14:schemeClr w14:val="tx1"/>
            </w14:solidFill>
          </w14:textFill>
        </w:rPr>
      </w:pPr>
      <w:bookmarkStart w:id="51" w:name="_Toc29015"/>
      <w:r>
        <w:rPr>
          <w:rFonts w:hint="eastAsia" w:ascii="宋体" w:hAnsi="宋体" w:eastAsia="宋体" w:cs="宋体"/>
          <w:color w:val="000000" w:themeColor="text1"/>
          <w:sz w:val="40"/>
          <w:szCs w:val="40"/>
          <w:highlight w:val="none"/>
          <w14:textFill>
            <w14:solidFill>
              <w14:schemeClr w14:val="tx1"/>
            </w14:solidFill>
          </w14:textFill>
        </w:rPr>
        <w:t>第二章</w:t>
      </w:r>
      <w:r>
        <w:rPr>
          <w:rFonts w:hint="eastAsia" w:ascii="宋体" w:hAnsi="宋体" w:eastAsia="宋体" w:cs="宋体"/>
          <w:color w:val="000000" w:themeColor="text1"/>
          <w:sz w:val="40"/>
          <w:szCs w:val="40"/>
          <w:highlight w:val="none"/>
          <w:lang w:val="en-US" w:eastAsia="zh-CN"/>
          <w14:textFill>
            <w14:solidFill>
              <w14:schemeClr w14:val="tx1"/>
            </w14:solidFill>
          </w14:textFill>
        </w:rPr>
        <w:t xml:space="preserve"> </w:t>
      </w:r>
      <w:r>
        <w:rPr>
          <w:rFonts w:hint="eastAsia" w:ascii="宋体" w:hAnsi="宋体" w:eastAsia="宋体" w:cs="宋体"/>
          <w:color w:val="000000" w:themeColor="text1"/>
          <w:sz w:val="40"/>
          <w:szCs w:val="40"/>
          <w:highlight w:val="none"/>
          <w14:textFill>
            <w14:solidFill>
              <w14:schemeClr w14:val="tx1"/>
            </w14:solidFill>
          </w14:textFill>
        </w:rPr>
        <w:t>供应商须知</w:t>
      </w:r>
      <w:bookmarkEnd w:id="51"/>
    </w:p>
    <w:p w14:paraId="25BE4A5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供应商须知前附表</w:t>
      </w:r>
    </w:p>
    <w:p w14:paraId="10371E03">
      <w:pPr>
        <w:spacing w:line="400" w:lineRule="exact"/>
        <w:jc w:val="center"/>
        <w:rPr>
          <w:rFonts w:hint="eastAsia" w:ascii="宋体" w:hAnsi="宋体" w:eastAsia="宋体" w:cs="宋体"/>
          <w:b/>
          <w:color w:val="000000" w:themeColor="text1"/>
          <w:sz w:val="32"/>
          <w:szCs w:val="32"/>
          <w:highlight w:val="none"/>
          <w14:textFill>
            <w14:solidFill>
              <w14:schemeClr w14:val="tx1"/>
            </w14:solidFill>
          </w14:textFill>
        </w:rPr>
      </w:pPr>
    </w:p>
    <w:tbl>
      <w:tblPr>
        <w:tblStyle w:val="42"/>
        <w:tblW w:w="9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8646"/>
      </w:tblGrid>
      <w:tr w14:paraId="40D076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2D871F39">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条款号</w:t>
            </w:r>
          </w:p>
        </w:tc>
        <w:tc>
          <w:tcPr>
            <w:tcW w:w="8646" w:type="dxa"/>
          </w:tcPr>
          <w:p w14:paraId="33C5A826">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内    容</w:t>
            </w:r>
          </w:p>
        </w:tc>
      </w:tr>
      <w:tr w14:paraId="225E4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85EC4EC">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p>
        </w:tc>
        <w:tc>
          <w:tcPr>
            <w:tcW w:w="8646" w:type="dxa"/>
            <w:vAlign w:val="center"/>
          </w:tcPr>
          <w:p w14:paraId="06B562F6">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1.供应商的资格条件</w:t>
            </w:r>
            <w:r>
              <w:rPr>
                <w:rFonts w:hint="eastAsia" w:ascii="宋体" w:hAnsi="宋体" w:eastAsia="宋体" w:cs="宋体"/>
                <w:color w:val="000000" w:themeColor="text1"/>
                <w:szCs w:val="21"/>
                <w:highlight w:val="none"/>
                <w14:textFill>
                  <w14:solidFill>
                    <w14:schemeClr w14:val="tx1"/>
                  </w14:solidFill>
                </w14:textFill>
              </w:rPr>
              <w:t>：详见竞争性磋商公告或者邀请函</w:t>
            </w:r>
          </w:p>
          <w:p w14:paraId="77A226F2">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宋体"/>
                <w:bCs/>
                <w:color w:val="000000" w:themeColor="text1"/>
                <w:szCs w:val="21"/>
                <w:highlight w:val="none"/>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出现下列情形之一的，不得参加政府采购活动：</w:t>
            </w:r>
          </w:p>
          <w:p w14:paraId="22BCF8DE">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6A4264E">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0CBB5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5D745A3">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5.1</w:t>
            </w:r>
          </w:p>
        </w:tc>
        <w:tc>
          <w:tcPr>
            <w:tcW w:w="8646" w:type="dxa"/>
            <w:vAlign w:val="center"/>
          </w:tcPr>
          <w:p w14:paraId="7E97483E">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是否接受联合体竞标: 否</w:t>
            </w:r>
          </w:p>
        </w:tc>
      </w:tr>
      <w:tr w14:paraId="2EC5B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B13BF04">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6.2</w:t>
            </w:r>
          </w:p>
        </w:tc>
        <w:tc>
          <w:tcPr>
            <w:tcW w:w="8646" w:type="dxa"/>
            <w:vAlign w:val="center"/>
          </w:tcPr>
          <w:p w14:paraId="0F93A8F7">
            <w:pPr>
              <w:pStyle w:val="16"/>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sym w:font="Wingdings 2" w:char="F052"/>
            </w:r>
            <w:r>
              <w:rPr>
                <w:rFonts w:hint="eastAsia" w:ascii="宋体" w:hAnsi="宋体" w:eastAsia="宋体" w:cs="宋体"/>
                <w:color w:val="000000" w:themeColor="text1"/>
                <w:szCs w:val="21"/>
                <w:highlight w:val="none"/>
                <w14:textFill>
                  <w14:solidFill>
                    <w14:schemeClr w14:val="tx1"/>
                  </w14:solidFill>
                </w14:textFill>
              </w:rPr>
              <w:t>不允许分包</w:t>
            </w:r>
          </w:p>
        </w:tc>
      </w:tr>
      <w:tr w14:paraId="1B6F0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2A9ECE8">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12.1.1</w:t>
            </w:r>
          </w:p>
        </w:tc>
        <w:tc>
          <w:tcPr>
            <w:tcW w:w="8646" w:type="dxa"/>
            <w:vAlign w:val="center"/>
          </w:tcPr>
          <w:p w14:paraId="7BF27863">
            <w:pPr>
              <w:snapToGrid w:val="0"/>
              <w:spacing w:line="360" w:lineRule="auto"/>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资格证明文件</w:t>
            </w:r>
          </w:p>
          <w:p w14:paraId="200174C3">
            <w:pPr>
              <w:pStyle w:val="16"/>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1.法人或者其他组织的营业执照等证明文件（如营业执照或事业单位法人证书或执业许可证等），自然人的身份证复印件；</w:t>
            </w:r>
            <w:r>
              <w:rPr>
                <w:rFonts w:hint="eastAsia" w:ascii="宋体" w:hAnsi="宋体" w:eastAsia="宋体" w:cs="宋体"/>
                <w:b/>
                <w:bCs/>
                <w:color w:val="000000" w:themeColor="text1"/>
                <w:szCs w:val="21"/>
                <w:highlight w:val="none"/>
                <w14:textFill>
                  <w14:solidFill>
                    <w14:schemeClr w14:val="tx1"/>
                  </w14:solidFill>
                </w14:textFill>
              </w:rPr>
              <w:t>（必须提供，否则响应文件按无效响应处理）</w:t>
            </w:r>
          </w:p>
          <w:p w14:paraId="72E92DFC">
            <w:pPr>
              <w:snapToGrid w:val="0"/>
              <w:spacing w:line="360" w:lineRule="auto"/>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2.贵港市政府采购项目投标资格承诺函（格式后附）；</w:t>
            </w:r>
            <w:r>
              <w:rPr>
                <w:rFonts w:hint="eastAsia" w:ascii="宋体" w:hAnsi="宋体" w:eastAsia="宋体" w:cs="宋体"/>
                <w:b/>
                <w:bCs/>
                <w:color w:val="000000" w:themeColor="text1"/>
                <w:szCs w:val="21"/>
                <w:highlight w:val="none"/>
                <w14:textFill>
                  <w14:solidFill>
                    <w14:schemeClr w14:val="tx1"/>
                  </w14:solidFill>
                </w14:textFill>
              </w:rPr>
              <w:t>（必须提供，否则响应文件按无效响应处理）</w:t>
            </w:r>
          </w:p>
          <w:p w14:paraId="769611E2">
            <w:pPr>
              <w:snapToGrid w:val="0"/>
              <w:spacing w:line="360" w:lineRule="auto"/>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3.供应商直接控股、管理关系信息表（格式后附）；</w:t>
            </w:r>
            <w:r>
              <w:rPr>
                <w:rFonts w:hint="eastAsia" w:ascii="宋体" w:hAnsi="宋体" w:eastAsia="宋体" w:cs="宋体"/>
                <w:b/>
                <w:bCs/>
                <w:color w:val="000000" w:themeColor="text1"/>
                <w:szCs w:val="21"/>
                <w:highlight w:val="none"/>
                <w14:textFill>
                  <w14:solidFill>
                    <w14:schemeClr w14:val="tx1"/>
                  </w14:solidFill>
                </w14:textFill>
              </w:rPr>
              <w:t>（必须提供，否则响应文件按无效响应处理）</w:t>
            </w:r>
          </w:p>
          <w:p w14:paraId="7638F652">
            <w:pPr>
              <w:snapToGrid w:val="0"/>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4.竞标声明（格式后附）；</w:t>
            </w:r>
            <w:r>
              <w:rPr>
                <w:rFonts w:hint="eastAsia" w:ascii="宋体" w:hAnsi="宋体" w:eastAsia="宋体" w:cs="宋体"/>
                <w:b/>
                <w:bCs/>
                <w:color w:val="000000" w:themeColor="text1"/>
                <w:szCs w:val="21"/>
                <w:highlight w:val="none"/>
                <w14:textFill>
                  <w14:solidFill>
                    <w14:schemeClr w14:val="tx1"/>
                  </w14:solidFill>
                </w14:textFill>
              </w:rPr>
              <w:t>（必须提供，否则响应文件按无效响应处理）</w:t>
            </w:r>
          </w:p>
          <w:p w14:paraId="1B2CD43E">
            <w:pPr>
              <w:snapToGrid w:val="0"/>
              <w:spacing w:line="360" w:lineRule="auto"/>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5.供应商《中小企业声明函》或《残疾人福利性单位声明函》或监狱企业证明（由省级以上监狱管理局、戒毒管理局（含新疆生产建设兵团）出具的属于监狱企业的证明文件）；</w:t>
            </w:r>
            <w:r>
              <w:rPr>
                <w:rFonts w:hint="eastAsia" w:ascii="宋体" w:hAnsi="宋体" w:eastAsia="宋体" w:cs="宋体"/>
                <w:b/>
                <w:color w:val="000000" w:themeColor="text1"/>
                <w:szCs w:val="21"/>
                <w:highlight w:val="none"/>
                <w14:textFill>
                  <w14:solidFill>
                    <w14:schemeClr w14:val="tx1"/>
                  </w14:solidFill>
                </w14:textFill>
              </w:rPr>
              <w:t>（必须提供，否则响应文件按无效响应处理）</w:t>
            </w:r>
          </w:p>
          <w:p w14:paraId="46BFFF20">
            <w:pPr>
              <w:snapToGrid w:val="0"/>
              <w:spacing w:line="360" w:lineRule="auto"/>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6.特定资格要求：</w:t>
            </w:r>
            <w:r>
              <w:rPr>
                <w:rFonts w:hint="eastAsia" w:ascii="宋体" w:hAnsi="宋体" w:eastAsia="宋体" w:cs="宋体"/>
                <w:b/>
                <w:color w:val="000000" w:themeColor="text1"/>
                <w:szCs w:val="21"/>
                <w:highlight w:val="none"/>
                <w14:textFill>
                  <w14:solidFill>
                    <w14:schemeClr w14:val="tx1"/>
                  </w14:solidFill>
                </w14:textFill>
              </w:rPr>
              <w:t>【必须提供，否则响应文件按无效处理】</w:t>
            </w:r>
          </w:p>
          <w:p w14:paraId="54114E23">
            <w:pPr>
              <w:snapToGrid w:val="0"/>
              <w:spacing w:line="360" w:lineRule="auto"/>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（1）供应商须具备建筑工程施工总承包叁级以上（含叁级）资质，具备省级及以上建设行政主管部门颁发的安全生产许可证，并在人员、设备、资金、技术能力等方面具有相应施工能力的供应商。</w:t>
            </w:r>
          </w:p>
          <w:p w14:paraId="45988504">
            <w:pPr>
              <w:snapToGrid w:val="0"/>
              <w:spacing w:line="360" w:lineRule="auto"/>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2）拟投入本工程的项目经理具备建筑工程专业贰级以上（含贰级）注册建造师执业资格，具备有效的安全生产考核合格证书（B类）。本项目不接受有在建、已中标未开工或已列为本项目或其他项目中标候选人第一名的建造师作为项目经理。</w:t>
            </w:r>
          </w:p>
          <w:p w14:paraId="2F4D45B1">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7.除磋商文件规定必须提供以外，供应商认为需要提供的其他证明材料；</w:t>
            </w:r>
          </w:p>
          <w:p w14:paraId="6E67B3F1">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注：以上标明“必须提供”的材料属于扫描件的，必须加盖供应商</w:t>
            </w:r>
            <w:r>
              <w:rPr>
                <w:rFonts w:hint="eastAsia" w:ascii="宋体" w:hAnsi="宋体" w:eastAsia="宋体" w:cs="宋体"/>
                <w:b/>
                <w:color w:val="000000" w:themeColor="text1"/>
                <w:highlight w:val="none"/>
                <w14:textFill>
                  <w14:solidFill>
                    <w14:schemeClr w14:val="tx1"/>
                  </w14:solidFill>
                </w14:textFill>
              </w:rPr>
              <w:t>电子签章</w:t>
            </w:r>
            <w:r>
              <w:rPr>
                <w:rFonts w:hint="eastAsia" w:ascii="宋体" w:hAnsi="宋体" w:eastAsia="宋体" w:cs="宋体"/>
                <w:b/>
                <w:color w:val="000000" w:themeColor="text1"/>
                <w:szCs w:val="21"/>
                <w:highlight w:val="none"/>
                <w14:textFill>
                  <w14:solidFill>
                    <w14:schemeClr w14:val="tx1"/>
                  </w14:solidFill>
                </w14:textFill>
              </w:rPr>
              <w:t>，否则响应文件按无效处理。</w:t>
            </w:r>
          </w:p>
        </w:tc>
      </w:tr>
      <w:tr w14:paraId="7A0E7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DB481F9">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12.1.2</w:t>
            </w:r>
          </w:p>
        </w:tc>
        <w:tc>
          <w:tcPr>
            <w:tcW w:w="8646" w:type="dxa"/>
            <w:vAlign w:val="center"/>
          </w:tcPr>
          <w:p w14:paraId="60EAE5F4">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报价文件</w:t>
            </w:r>
          </w:p>
          <w:p w14:paraId="2E8499D5">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1.竞标函（格式后附）；（</w:t>
            </w:r>
            <w:r>
              <w:rPr>
                <w:rFonts w:hint="eastAsia" w:ascii="宋体" w:hAnsi="宋体" w:eastAsia="宋体" w:cs="宋体"/>
                <w:b/>
                <w:color w:val="000000" w:themeColor="text1"/>
                <w:szCs w:val="21"/>
                <w:highlight w:val="none"/>
                <w14:textFill>
                  <w14:solidFill>
                    <w14:schemeClr w14:val="tx1"/>
                  </w14:solidFill>
                </w14:textFill>
              </w:rPr>
              <w:t>必须提供，否则响应文件按无效处理</w:t>
            </w:r>
            <w:r>
              <w:rPr>
                <w:rFonts w:hint="eastAsia" w:ascii="宋体" w:hAnsi="宋体" w:eastAsia="宋体" w:cs="宋体"/>
                <w:color w:val="000000" w:themeColor="text1"/>
                <w:szCs w:val="21"/>
                <w:highlight w:val="none"/>
                <w14:textFill>
                  <w14:solidFill>
                    <w14:schemeClr w14:val="tx1"/>
                  </w14:solidFill>
                </w14:textFill>
              </w:rPr>
              <w:t>）</w:t>
            </w:r>
          </w:p>
          <w:p w14:paraId="307455DB">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2.工程量清单报价有关资料</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b/>
                <w:color w:val="000000" w:themeColor="text1"/>
                <w:szCs w:val="21"/>
                <w:highlight w:val="none"/>
                <w14:textFill>
                  <w14:solidFill>
                    <w14:schemeClr w14:val="tx1"/>
                  </w14:solidFill>
                </w14:textFill>
              </w:rPr>
              <w:t>必须提供，否则响应文件按无效处理</w:t>
            </w:r>
            <w:r>
              <w:rPr>
                <w:rFonts w:hint="eastAsia" w:ascii="宋体" w:hAnsi="宋体" w:eastAsia="宋体" w:cs="宋体"/>
                <w:color w:val="000000" w:themeColor="text1"/>
                <w:szCs w:val="21"/>
                <w:highlight w:val="none"/>
                <w14:textFill>
                  <w14:solidFill>
                    <w14:schemeClr w14:val="tx1"/>
                  </w14:solidFill>
                </w14:textFill>
              </w:rPr>
              <w:t>）</w:t>
            </w:r>
          </w:p>
        </w:tc>
      </w:tr>
      <w:tr w14:paraId="47DBD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8333900">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12.1.3</w:t>
            </w:r>
          </w:p>
        </w:tc>
        <w:tc>
          <w:tcPr>
            <w:tcW w:w="8646" w:type="dxa"/>
            <w:vAlign w:val="center"/>
          </w:tcPr>
          <w:p w14:paraId="001E7A03">
            <w:pPr>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商务技术文件</w:t>
            </w:r>
          </w:p>
          <w:p w14:paraId="2C3B83BB">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1.无串通竞标行为的承诺函（格式后附）；（</w:t>
            </w:r>
            <w:r>
              <w:rPr>
                <w:rFonts w:hint="eastAsia" w:ascii="宋体" w:hAnsi="宋体" w:eastAsia="宋体" w:cs="宋体"/>
                <w:b/>
                <w:color w:val="000000" w:themeColor="text1"/>
                <w:szCs w:val="21"/>
                <w:highlight w:val="none"/>
                <w14:textFill>
                  <w14:solidFill>
                    <w14:schemeClr w14:val="tx1"/>
                  </w14:solidFill>
                </w14:textFill>
              </w:rPr>
              <w:t>必须提供，否则响应文件按无效处理</w:t>
            </w:r>
            <w:r>
              <w:rPr>
                <w:rFonts w:hint="eastAsia" w:ascii="宋体" w:hAnsi="宋体" w:eastAsia="宋体" w:cs="宋体"/>
                <w:color w:val="000000" w:themeColor="text1"/>
                <w:szCs w:val="21"/>
                <w:highlight w:val="none"/>
                <w14:textFill>
                  <w14:solidFill>
                    <w14:schemeClr w14:val="tx1"/>
                  </w14:solidFill>
                </w14:textFill>
              </w:rPr>
              <w:t>）</w:t>
            </w:r>
          </w:p>
          <w:p w14:paraId="02397115">
            <w:pPr>
              <w:snapToGrid w:val="0"/>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2.法定代表人身份证明书及法定代表人有效身份证正反面扫描件（格式后附）；（</w:t>
            </w:r>
            <w:r>
              <w:rPr>
                <w:rFonts w:hint="eastAsia" w:ascii="宋体" w:hAnsi="宋体" w:eastAsia="宋体" w:cs="宋体"/>
                <w:b/>
                <w:color w:val="000000" w:themeColor="text1"/>
                <w:szCs w:val="21"/>
                <w:highlight w:val="none"/>
                <w14:textFill>
                  <w14:solidFill>
                    <w14:schemeClr w14:val="tx1"/>
                  </w14:solidFill>
                </w14:textFill>
              </w:rPr>
              <w:t>必须提供，否则响应文件按无效处理</w:t>
            </w:r>
            <w:r>
              <w:rPr>
                <w:rFonts w:hint="eastAsia" w:ascii="宋体" w:hAnsi="宋体" w:eastAsia="宋体" w:cs="宋体"/>
                <w:color w:val="000000" w:themeColor="text1"/>
                <w:szCs w:val="21"/>
                <w:highlight w:val="none"/>
                <w14:textFill>
                  <w14:solidFill>
                    <w14:schemeClr w14:val="tx1"/>
                  </w14:solidFill>
                </w14:textFill>
              </w:rPr>
              <w:t>）</w:t>
            </w:r>
          </w:p>
          <w:p w14:paraId="70B3F3D0">
            <w:pPr>
              <w:spacing w:line="360" w:lineRule="auto"/>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3.授权委托书及委托代理人有效身份证正反面扫描件（格式后附）；（</w:t>
            </w:r>
            <w:r>
              <w:rPr>
                <w:rFonts w:hint="eastAsia" w:ascii="宋体" w:hAnsi="宋体" w:eastAsia="宋体" w:cs="宋体"/>
                <w:b/>
                <w:color w:val="000000" w:themeColor="text1"/>
                <w:szCs w:val="21"/>
                <w:highlight w:val="none"/>
                <w14:textFill>
                  <w14:solidFill>
                    <w14:schemeClr w14:val="tx1"/>
                  </w14:solidFill>
                </w14:textFill>
              </w:rPr>
              <w:t>委托时必须提供，否则响应文件按无效处理</w:t>
            </w:r>
            <w:r>
              <w:rPr>
                <w:rFonts w:hint="eastAsia" w:ascii="宋体" w:hAnsi="宋体" w:eastAsia="宋体" w:cs="宋体"/>
                <w:color w:val="000000" w:themeColor="text1"/>
                <w:szCs w:val="21"/>
                <w:highlight w:val="none"/>
                <w14:textFill>
                  <w14:solidFill>
                    <w14:schemeClr w14:val="tx1"/>
                  </w14:solidFill>
                </w14:textFill>
              </w:rPr>
              <w:t>）</w:t>
            </w:r>
          </w:p>
          <w:p w14:paraId="429D73D1">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4.施工组织设计（格式自拟）；（</w:t>
            </w:r>
            <w:r>
              <w:rPr>
                <w:rFonts w:hint="eastAsia" w:ascii="宋体" w:hAnsi="宋体" w:eastAsia="宋体" w:cs="宋体"/>
                <w:b/>
                <w:color w:val="000000" w:themeColor="text1"/>
                <w:szCs w:val="21"/>
                <w:highlight w:val="none"/>
                <w14:textFill>
                  <w14:solidFill>
                    <w14:schemeClr w14:val="tx1"/>
                  </w14:solidFill>
                </w14:textFill>
              </w:rPr>
              <w:t>必须提供，否则响应文件按无效处理</w:t>
            </w:r>
            <w:r>
              <w:rPr>
                <w:rFonts w:hint="eastAsia" w:ascii="宋体" w:hAnsi="宋体" w:eastAsia="宋体" w:cs="宋体"/>
                <w:color w:val="000000" w:themeColor="text1"/>
                <w:szCs w:val="21"/>
                <w:highlight w:val="none"/>
                <w14:textFill>
                  <w14:solidFill>
                    <w14:schemeClr w14:val="tx1"/>
                  </w14:solidFill>
                </w14:textFill>
              </w:rPr>
              <w:t>）</w:t>
            </w:r>
          </w:p>
          <w:p w14:paraId="2D70F012">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5.项目管理机构配备情况表及主要人员简历表（格式后附）；（</w:t>
            </w:r>
            <w:r>
              <w:rPr>
                <w:rFonts w:hint="eastAsia" w:ascii="宋体" w:hAnsi="宋体" w:eastAsia="宋体" w:cs="宋体"/>
                <w:b/>
                <w:color w:val="000000" w:themeColor="text1"/>
                <w:szCs w:val="21"/>
                <w:highlight w:val="none"/>
                <w14:textFill>
                  <w14:solidFill>
                    <w14:schemeClr w14:val="tx1"/>
                  </w14:solidFill>
                </w14:textFill>
              </w:rPr>
              <w:t>必须提供，否则响应文件按无效处理</w:t>
            </w:r>
            <w:r>
              <w:rPr>
                <w:rFonts w:hint="eastAsia" w:ascii="宋体" w:hAnsi="宋体" w:eastAsia="宋体" w:cs="宋体"/>
                <w:color w:val="000000" w:themeColor="text1"/>
                <w:szCs w:val="21"/>
                <w:highlight w:val="none"/>
                <w14:textFill>
                  <w14:solidFill>
                    <w14:schemeClr w14:val="tx1"/>
                  </w14:solidFill>
                </w14:textFill>
              </w:rPr>
              <w:t xml:space="preserve">） </w:t>
            </w:r>
          </w:p>
          <w:p w14:paraId="60B69F87">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6.供应商认为需要提供的其他有关资料。</w:t>
            </w:r>
          </w:p>
          <w:p w14:paraId="5912F8B3">
            <w:pPr>
              <w:spacing w:line="360" w:lineRule="auto"/>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注：以上标明“必须提供”的材料属于扫描件的，必须加盖供应商电子签章，否则响应文件按无效处理。</w:t>
            </w:r>
          </w:p>
        </w:tc>
      </w:tr>
      <w:tr w14:paraId="6202F7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719136E">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15.1</w:t>
            </w:r>
          </w:p>
        </w:tc>
        <w:tc>
          <w:tcPr>
            <w:tcW w:w="8646" w:type="dxa"/>
            <w:vAlign w:val="center"/>
          </w:tcPr>
          <w:p w14:paraId="780B3BD3">
            <w:pPr>
              <w:spacing w:line="360" w:lineRule="auto"/>
              <w:contextualSpacing/>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竞标报价应按磋商文件中“竞标报价表”格式填写。</w:t>
            </w:r>
          </w:p>
        </w:tc>
      </w:tr>
      <w:tr w14:paraId="76DAB5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6EA4254">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15.2</w:t>
            </w:r>
          </w:p>
        </w:tc>
        <w:tc>
          <w:tcPr>
            <w:tcW w:w="8646" w:type="dxa"/>
            <w:vAlign w:val="center"/>
          </w:tcPr>
          <w:p w14:paraId="03FF60D8">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本项目采用</w:t>
            </w:r>
            <w:r>
              <w:rPr>
                <w:rFonts w:hint="eastAsia" w:ascii="宋体" w:hAnsi="宋体" w:eastAsia="宋体" w:cs="宋体"/>
                <w:color w:val="000000" w:themeColor="text1"/>
                <w:szCs w:val="21"/>
                <w:highlight w:val="none"/>
                <w:lang w:val="en-US" w:eastAsia="zh-CN"/>
                <w14:textFill>
                  <w14:solidFill>
                    <w14:schemeClr w14:val="tx1"/>
                  </w14:solidFill>
                </w14:textFill>
              </w:rPr>
              <w:t>人民币</w:t>
            </w:r>
            <w:r>
              <w:rPr>
                <w:rFonts w:hint="eastAsia" w:ascii="宋体" w:hAnsi="宋体" w:eastAsia="宋体" w:cs="宋体"/>
                <w:color w:val="000000" w:themeColor="text1"/>
                <w:szCs w:val="21"/>
                <w:highlight w:val="none"/>
                <w14:textFill>
                  <w14:solidFill>
                    <w14:schemeClr w14:val="tx1"/>
                  </w14:solidFill>
                </w14:textFill>
              </w:rPr>
              <w:t>报价</w:t>
            </w:r>
          </w:p>
          <w:p w14:paraId="7FD53EB3">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采购预算金额：人民币捌拾贰万元整（¥820000.00）</w:t>
            </w:r>
          </w:p>
          <w:p w14:paraId="4D64AB99">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最高限价：</w:t>
            </w:r>
            <w:r>
              <w:rPr>
                <w:rFonts w:hint="eastAsia" w:ascii="宋体" w:hAnsi="宋体" w:cs="宋体"/>
                <w:color w:val="000000" w:themeColor="text1"/>
                <w:szCs w:val="21"/>
                <w:highlight w:val="none"/>
                <w:lang w:val="en-US" w:eastAsia="zh-CN"/>
                <w14:textFill>
                  <w14:solidFill>
                    <w14:schemeClr w14:val="tx1"/>
                  </w14:solidFill>
                </w14:textFill>
              </w:rPr>
              <w:t>人民币捌拾壹万捌仟伍佰陆拾元肆角陆分（¥818560.46）</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p>
          <w:p w14:paraId="362D49D5">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注：供应商的总报价超出采购预算价或最高限价的均作无效磋商处理。</w:t>
            </w:r>
          </w:p>
          <w:p w14:paraId="7732E727">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报价包括：为实施和完成合同工程所需的劳务、材料、机械、质检（自检）、安装、缺陷修复、管理、保险、税费、利润等费用，以及合同明示或暗示的所有责任、义务和一般风险。</w:t>
            </w:r>
          </w:p>
        </w:tc>
      </w:tr>
      <w:tr w14:paraId="799AC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F669DC7">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15.3</w:t>
            </w:r>
          </w:p>
        </w:tc>
        <w:tc>
          <w:tcPr>
            <w:tcW w:w="8646" w:type="dxa"/>
            <w:vAlign w:val="center"/>
          </w:tcPr>
          <w:p w14:paraId="5EBFA7F1">
            <w:pPr>
              <w:spacing w:line="360" w:lineRule="auto"/>
              <w:contextualSpacing/>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本工程增值税计税方法：</w:t>
            </w:r>
            <w:r>
              <w:rPr>
                <w:rFonts w:hint="eastAsia" w:ascii="宋体" w:hAnsi="宋体" w:eastAsia="宋体" w:cs="宋体"/>
                <w:color w:val="000000" w:themeColor="text1"/>
                <w:szCs w:val="21"/>
                <w:highlight w:val="none"/>
                <w14:textFill>
                  <w14:solidFill>
                    <w14:schemeClr w14:val="tx1"/>
                  </w14:solidFill>
                </w14:textFill>
              </w:rPr>
              <w:sym w:font="Wingdings 2" w:char="0052"/>
            </w:r>
            <w:r>
              <w:rPr>
                <w:rFonts w:hint="eastAsia" w:ascii="宋体" w:hAnsi="宋体" w:eastAsia="宋体" w:cs="宋体"/>
                <w:color w:val="000000" w:themeColor="text1"/>
                <w:highlight w:val="none"/>
                <w14:textFill>
                  <w14:solidFill>
                    <w14:schemeClr w14:val="tx1"/>
                  </w14:solidFill>
                </w14:textFill>
              </w:rPr>
              <w:t>一般计税法；</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简易计税法</w:t>
            </w:r>
          </w:p>
        </w:tc>
      </w:tr>
      <w:tr w14:paraId="7366A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10911D0">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16.2</w:t>
            </w:r>
          </w:p>
        </w:tc>
        <w:tc>
          <w:tcPr>
            <w:tcW w:w="8646" w:type="dxa"/>
            <w:vAlign w:val="center"/>
          </w:tcPr>
          <w:p w14:paraId="13FD31A8">
            <w:pPr>
              <w:pStyle w:val="13"/>
              <w:widowControl w:val="0"/>
              <w:tabs>
                <w:tab w:val="clear" w:pos="454"/>
              </w:tabs>
              <w:snapToGrid w:val="0"/>
              <w:spacing w:afterLines="0" w:line="360" w:lineRule="auto"/>
              <w:ind w:left="283" w:hanging="283" w:hangingChars="135"/>
              <w:rPr>
                <w:rFonts w:hint="eastAsia" w:ascii="宋体" w:hAnsi="宋体" w:eastAsia="宋体" w:cs="宋体"/>
                <w:color w:val="000000" w:themeColor="text1"/>
                <w:kern w:val="2"/>
                <w:sz w:val="21"/>
                <w:szCs w:val="21"/>
                <w:highlight w:val="none"/>
                <w14:textFill>
                  <w14:solidFill>
                    <w14:schemeClr w14:val="tx1"/>
                  </w14:solidFill>
                </w14:textFill>
              </w:rPr>
            </w:pPr>
            <w:r>
              <w:rPr>
                <w:rFonts w:hint="eastAsia" w:ascii="宋体" w:hAnsi="宋体" w:eastAsia="宋体" w:cs="宋体"/>
                <w:color w:val="000000" w:themeColor="text1"/>
                <w:kern w:val="2"/>
                <w:sz w:val="21"/>
                <w:szCs w:val="21"/>
                <w:highlight w:val="none"/>
                <w14:textFill>
                  <w14:solidFill>
                    <w14:schemeClr w14:val="tx1"/>
                  </w14:solidFill>
                </w14:textFill>
              </w:rPr>
              <w:t>竞标有效期：自首次响应文件提交截止之日起</w:t>
            </w:r>
            <w:r>
              <w:rPr>
                <w:rFonts w:hint="eastAsia" w:ascii="宋体" w:hAnsi="宋体" w:cs="宋体"/>
                <w:color w:val="000000" w:themeColor="text1"/>
                <w:kern w:val="2"/>
                <w:sz w:val="21"/>
                <w:szCs w:val="21"/>
                <w:highlight w:val="none"/>
                <w:u w:val="single"/>
                <w:lang w:val="en-US" w:eastAsia="zh-CN"/>
                <w14:textFill>
                  <w14:solidFill>
                    <w14:schemeClr w14:val="tx1"/>
                  </w14:solidFill>
                </w14:textFill>
              </w:rPr>
              <w:t xml:space="preserve"> 60 </w:t>
            </w:r>
            <w:r>
              <w:rPr>
                <w:rFonts w:hint="eastAsia" w:ascii="宋体" w:hAnsi="宋体" w:eastAsia="宋体" w:cs="宋体"/>
                <w:color w:val="000000" w:themeColor="text1"/>
                <w:kern w:val="2"/>
                <w:sz w:val="21"/>
                <w:szCs w:val="21"/>
                <w:highlight w:val="none"/>
                <w14:textFill>
                  <w14:solidFill>
                    <w14:schemeClr w14:val="tx1"/>
                  </w14:solidFill>
                </w14:textFill>
              </w:rPr>
              <w:t>日。</w:t>
            </w:r>
          </w:p>
        </w:tc>
      </w:tr>
      <w:tr w14:paraId="376C5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6" w:hRule="atLeast"/>
          <w:jc w:val="center"/>
        </w:trPr>
        <w:tc>
          <w:tcPr>
            <w:tcW w:w="992" w:type="dxa"/>
            <w:vAlign w:val="center"/>
          </w:tcPr>
          <w:p w14:paraId="44F007D7">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17.1</w:t>
            </w:r>
          </w:p>
        </w:tc>
        <w:tc>
          <w:tcPr>
            <w:tcW w:w="8646" w:type="dxa"/>
            <w:vAlign w:val="center"/>
          </w:tcPr>
          <w:p w14:paraId="47698DA9">
            <w:pPr>
              <w:autoSpaceDE w:val="0"/>
              <w:autoSpaceDN w:val="0"/>
              <w:snapToGrid w:val="0"/>
              <w:spacing w:line="360" w:lineRule="auto"/>
              <w:textAlignment w:val="bottom"/>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磋商保证金：无</w:t>
            </w:r>
          </w:p>
        </w:tc>
      </w:tr>
      <w:tr w14:paraId="6AC72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3110F2F">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19</w:t>
            </w:r>
          </w:p>
        </w:tc>
        <w:tc>
          <w:tcPr>
            <w:tcW w:w="8646" w:type="dxa"/>
            <w:vAlign w:val="center"/>
          </w:tcPr>
          <w:p w14:paraId="508072F6">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本项目不接受</w:t>
            </w:r>
            <w:r>
              <w:rPr>
                <w:rFonts w:hint="eastAsia" w:ascii="宋体" w:hAnsi="宋体" w:eastAsia="宋体" w:cs="宋体"/>
                <w:color w:val="000000" w:themeColor="text1"/>
                <w:highlight w:val="none"/>
                <w14:textFill>
                  <w14:solidFill>
                    <w14:schemeClr w14:val="tx1"/>
                  </w14:solidFill>
                </w14:textFill>
              </w:rPr>
              <w:t>电子</w:t>
            </w:r>
            <w:r>
              <w:rPr>
                <w:rFonts w:hint="eastAsia" w:ascii="宋体" w:hAnsi="宋体" w:eastAsia="宋体" w:cs="宋体"/>
                <w:color w:val="000000" w:themeColor="text1"/>
                <w:szCs w:val="21"/>
                <w:highlight w:val="none"/>
                <w14:textFill>
                  <w14:solidFill>
                    <w14:schemeClr w14:val="tx1"/>
                  </w14:solidFill>
                </w14:textFill>
              </w:rPr>
              <w:t>备份响应文件</w:t>
            </w:r>
          </w:p>
        </w:tc>
      </w:tr>
      <w:tr w14:paraId="448D3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662A820">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20.1</w:t>
            </w:r>
          </w:p>
        </w:tc>
        <w:tc>
          <w:tcPr>
            <w:tcW w:w="8646" w:type="dxa"/>
            <w:vAlign w:val="center"/>
          </w:tcPr>
          <w:p w14:paraId="41D8DC85">
            <w:pPr>
              <w:spacing w:line="360" w:lineRule="auto"/>
              <w:contextualSpacing/>
              <w:jc w:val="left"/>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响应文件提交截止时间：详见竞争性磋商公告</w:t>
            </w:r>
          </w:p>
          <w:p w14:paraId="3790AEC3">
            <w:pPr>
              <w:spacing w:line="360" w:lineRule="auto"/>
              <w:contextualSpacing/>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响应文件提交地点：详见竞争性磋商公告</w:t>
            </w:r>
          </w:p>
        </w:tc>
      </w:tr>
      <w:tr w14:paraId="31B6E8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97DC026">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24.1</w:t>
            </w:r>
          </w:p>
        </w:tc>
        <w:tc>
          <w:tcPr>
            <w:tcW w:w="8646" w:type="dxa"/>
            <w:vAlign w:val="center"/>
          </w:tcPr>
          <w:p w14:paraId="684171C8">
            <w:pPr>
              <w:snapToGrid w:val="0"/>
              <w:spacing w:line="360" w:lineRule="auto"/>
              <w:jc w:val="left"/>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磋商小组的人数：</w:t>
            </w:r>
            <w:r>
              <w:rPr>
                <w:rFonts w:hint="eastAsia" w:ascii="宋体" w:hAnsi="宋体" w:eastAsia="宋体" w:cs="宋体"/>
                <w:color w:val="000000" w:themeColor="text1"/>
                <w:szCs w:val="21"/>
                <w:highlight w:val="none"/>
                <w:u w:val="single"/>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人。</w:t>
            </w:r>
          </w:p>
        </w:tc>
      </w:tr>
      <w:tr w14:paraId="17D53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10D4CC5">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25</w:t>
            </w:r>
          </w:p>
        </w:tc>
        <w:tc>
          <w:tcPr>
            <w:tcW w:w="8646" w:type="dxa"/>
            <w:vAlign w:val="center"/>
          </w:tcPr>
          <w:p w14:paraId="06471509">
            <w:pPr>
              <w:snapToGrid w:val="0"/>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首次响应文件开启时间详见“竞争性磋商公告”</w:t>
            </w:r>
          </w:p>
          <w:p w14:paraId="6FFEAA39">
            <w:pPr>
              <w:snapToGrid w:val="0"/>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首次响应文件解密时间：</w:t>
            </w:r>
            <w:r>
              <w:rPr>
                <w:rFonts w:hint="eastAsia" w:ascii="宋体" w:hAnsi="宋体" w:eastAsia="宋体" w:cs="宋体"/>
                <w:color w:val="000000" w:themeColor="text1"/>
                <w:highlight w:val="none"/>
                <w:u w:val="single"/>
                <w14:textFill>
                  <w14:solidFill>
                    <w14:schemeClr w14:val="tx1"/>
                  </w14:solidFill>
                </w14:textFill>
              </w:rPr>
              <w:t>30</w:t>
            </w:r>
            <w:r>
              <w:rPr>
                <w:rFonts w:hint="eastAsia" w:ascii="宋体" w:hAnsi="宋体" w:eastAsia="宋体" w:cs="宋体"/>
                <w:color w:val="000000" w:themeColor="text1"/>
                <w:highlight w:val="none"/>
                <w14:textFill>
                  <w14:solidFill>
                    <w14:schemeClr w14:val="tx1"/>
                  </w14:solidFill>
                </w14:textFill>
              </w:rPr>
              <w:t>分钟</w:t>
            </w:r>
          </w:p>
        </w:tc>
      </w:tr>
      <w:tr w14:paraId="63131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14:paraId="68A48A0D">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26.3</w:t>
            </w:r>
          </w:p>
        </w:tc>
        <w:tc>
          <w:tcPr>
            <w:tcW w:w="8646" w:type="dxa"/>
            <w:vAlign w:val="center"/>
          </w:tcPr>
          <w:p w14:paraId="0B50FEAD">
            <w:pPr>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商务要求评审中允许负偏离的条款数为</w:t>
            </w:r>
            <w:r>
              <w:rPr>
                <w:rFonts w:hint="eastAsia" w:ascii="宋体" w:hAnsi="宋体" w:eastAsia="宋体" w:cs="宋体"/>
                <w:color w:val="000000" w:themeColor="text1"/>
                <w:szCs w:val="21"/>
                <w:highlight w:val="none"/>
                <w:u w:val="single"/>
                <w14:textFill>
                  <w14:solidFill>
                    <w14:schemeClr w14:val="tx1"/>
                  </w14:solidFill>
                </w14:textFill>
              </w:rPr>
              <w:t>0</w:t>
            </w:r>
            <w:r>
              <w:rPr>
                <w:rFonts w:hint="eastAsia" w:ascii="宋体" w:hAnsi="宋体" w:eastAsia="宋体" w:cs="宋体"/>
                <w:color w:val="000000" w:themeColor="text1"/>
                <w:szCs w:val="21"/>
                <w:highlight w:val="none"/>
                <w14:textFill>
                  <w14:solidFill>
                    <w14:schemeClr w14:val="tx1"/>
                  </w14:solidFill>
                </w14:textFill>
              </w:rPr>
              <w:t>项。</w:t>
            </w:r>
          </w:p>
          <w:p w14:paraId="3D46E02E">
            <w:pPr>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技术要求评审中允许负偏离的条款数为</w:t>
            </w:r>
            <w:r>
              <w:rPr>
                <w:rFonts w:hint="eastAsia" w:ascii="宋体" w:hAnsi="宋体" w:eastAsia="宋体" w:cs="宋体"/>
                <w:color w:val="000000" w:themeColor="text1"/>
                <w:szCs w:val="21"/>
                <w:highlight w:val="none"/>
                <w:u w:val="single"/>
                <w14:textFill>
                  <w14:solidFill>
                    <w14:schemeClr w14:val="tx1"/>
                  </w14:solidFill>
                </w14:textFill>
              </w:rPr>
              <w:t>0</w:t>
            </w:r>
            <w:r>
              <w:rPr>
                <w:rFonts w:hint="eastAsia" w:ascii="宋体" w:hAnsi="宋体" w:eastAsia="宋体" w:cs="宋体"/>
                <w:color w:val="000000" w:themeColor="text1"/>
                <w:szCs w:val="21"/>
                <w:highlight w:val="none"/>
                <w14:textFill>
                  <w14:solidFill>
                    <w14:schemeClr w14:val="tx1"/>
                  </w14:solidFill>
                </w14:textFill>
              </w:rPr>
              <w:t>项。</w:t>
            </w:r>
          </w:p>
        </w:tc>
      </w:tr>
      <w:tr w14:paraId="4A3CC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EE9C001">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28.1</w:t>
            </w:r>
          </w:p>
        </w:tc>
        <w:tc>
          <w:tcPr>
            <w:tcW w:w="8646" w:type="dxa"/>
            <w:vAlign w:val="center"/>
          </w:tcPr>
          <w:p w14:paraId="1877E299">
            <w:pPr>
              <w:autoSpaceDE w:val="0"/>
              <w:autoSpaceDN w:val="0"/>
              <w:snapToGrid w:val="0"/>
              <w:spacing w:line="360" w:lineRule="auto"/>
              <w:textAlignment w:val="bottom"/>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☑本项目不收取履约保证金。</w:t>
            </w:r>
          </w:p>
        </w:tc>
      </w:tr>
      <w:tr w14:paraId="65B41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7D27543">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29.1</w:t>
            </w:r>
          </w:p>
        </w:tc>
        <w:tc>
          <w:tcPr>
            <w:tcW w:w="8646" w:type="dxa"/>
            <w:vAlign w:val="center"/>
          </w:tcPr>
          <w:p w14:paraId="7FE93D77">
            <w:pPr>
              <w:autoSpaceDE w:val="0"/>
              <w:autoSpaceDN w:val="0"/>
              <w:snapToGrid w:val="0"/>
              <w:spacing w:line="360" w:lineRule="auto"/>
              <w:textAlignment w:val="bottom"/>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签订合同携带的证明材料： </w:t>
            </w:r>
          </w:p>
          <w:p w14:paraId="31E7EBED">
            <w:pPr>
              <w:autoSpaceDE w:val="0"/>
              <w:autoSpaceDN w:val="0"/>
              <w:snapToGrid w:val="0"/>
              <w:spacing w:line="360" w:lineRule="auto"/>
              <w:textAlignment w:val="bottom"/>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委托代理人负责签订合同的，须携带授权委托书及委托代理人身份证原件等其他资格证件。</w:t>
            </w:r>
          </w:p>
          <w:p w14:paraId="2952B9F1">
            <w:pPr>
              <w:snapToGrid w:val="0"/>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法定代表人负责签订合同的，须携带法定代表人身份证明原件及身份证原件等其他证明材料。</w:t>
            </w:r>
          </w:p>
        </w:tc>
      </w:tr>
      <w:tr w14:paraId="2B6D0F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95789AF">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31.2</w:t>
            </w:r>
          </w:p>
        </w:tc>
        <w:tc>
          <w:tcPr>
            <w:tcW w:w="8646" w:type="dxa"/>
            <w:vAlign w:val="center"/>
          </w:tcPr>
          <w:p w14:paraId="3E49E42D">
            <w:pPr>
              <w:autoSpaceDE w:val="0"/>
              <w:autoSpaceDN w:val="0"/>
              <w:snapToGrid w:val="0"/>
              <w:spacing w:line="360" w:lineRule="auto"/>
              <w:textAlignment w:val="bottom"/>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接收质疑函方式：以书面形式</w:t>
            </w:r>
          </w:p>
          <w:p w14:paraId="33C377E0">
            <w:pPr>
              <w:autoSpaceDE w:val="0"/>
              <w:autoSpaceDN w:val="0"/>
              <w:snapToGrid w:val="0"/>
              <w:spacing w:line="360" w:lineRule="auto"/>
              <w:textAlignment w:val="bottom"/>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质疑联系部门：</w:t>
            </w:r>
            <w:r>
              <w:rPr>
                <w:rFonts w:hint="eastAsia" w:ascii="宋体" w:hAnsi="宋体" w:eastAsia="宋体" w:cs="宋体"/>
                <w:color w:val="000000" w:themeColor="text1"/>
                <w:szCs w:val="21"/>
                <w:highlight w:val="none"/>
                <w:lang w:eastAsia="zh-CN"/>
                <w14:textFill>
                  <w14:solidFill>
                    <w14:schemeClr w14:val="tx1"/>
                  </w14:solidFill>
                </w14:textFill>
              </w:rPr>
              <w:t>广西建文工程咨询有限公司</w:t>
            </w:r>
          </w:p>
          <w:p w14:paraId="6CDAAAEF">
            <w:pPr>
              <w:autoSpaceDE w:val="0"/>
              <w:autoSpaceDN w:val="0"/>
              <w:snapToGrid w:val="0"/>
              <w:spacing w:line="360" w:lineRule="auto"/>
              <w:textAlignment w:val="bottom"/>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联系电话：</w:t>
            </w:r>
            <w:r>
              <w:rPr>
                <w:rFonts w:hint="eastAsia" w:ascii="宋体" w:hAnsi="宋体" w:eastAsia="宋体" w:cs="宋体"/>
                <w:color w:val="000000" w:themeColor="text1"/>
                <w:szCs w:val="21"/>
                <w:highlight w:val="none"/>
                <w:lang w:eastAsia="zh-CN"/>
                <w14:textFill>
                  <w14:solidFill>
                    <w14:schemeClr w14:val="tx1"/>
                  </w14:solidFill>
                </w14:textFill>
              </w:rPr>
              <w:t>0775-2918485</w:t>
            </w:r>
          </w:p>
          <w:p w14:paraId="1BDC7582">
            <w:pPr>
              <w:autoSpaceDE w:val="0"/>
              <w:autoSpaceDN w:val="0"/>
              <w:snapToGrid w:val="0"/>
              <w:spacing w:line="360" w:lineRule="auto"/>
              <w:textAlignment w:val="bottom"/>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通讯地址：</w:t>
            </w:r>
            <w:r>
              <w:rPr>
                <w:rFonts w:hint="eastAsia" w:ascii="宋体" w:hAnsi="宋体" w:eastAsia="宋体" w:cs="宋体"/>
                <w:color w:val="000000" w:themeColor="text1"/>
                <w:szCs w:val="21"/>
                <w:highlight w:val="none"/>
                <w:lang w:eastAsia="zh-CN"/>
                <w14:textFill>
                  <w14:solidFill>
                    <w14:schemeClr w14:val="tx1"/>
                  </w14:solidFill>
                </w14:textFill>
              </w:rPr>
              <w:t>贵港市港北区解放北路龙圣新村小区(黄志英房屋)</w:t>
            </w:r>
          </w:p>
          <w:p w14:paraId="7394B83E">
            <w:pPr>
              <w:autoSpaceDE w:val="0"/>
              <w:autoSpaceDN w:val="0"/>
              <w:snapToGrid w:val="0"/>
              <w:spacing w:line="360" w:lineRule="auto"/>
              <w:textAlignment w:val="bottom"/>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业务时间：工作日每天上午8时00分到12时00分，下午3时00分到6时00分。</w:t>
            </w:r>
          </w:p>
        </w:tc>
      </w:tr>
      <w:tr w14:paraId="4A5DE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1F18CBE">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32.1</w:t>
            </w:r>
          </w:p>
        </w:tc>
        <w:tc>
          <w:tcPr>
            <w:tcW w:w="8646" w:type="dxa"/>
            <w:vAlign w:val="center"/>
          </w:tcPr>
          <w:p w14:paraId="7AB1013A">
            <w:pPr>
              <w:pStyle w:val="24"/>
              <w:snapToGrid w:val="0"/>
              <w:spacing w:line="360" w:lineRule="auto"/>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1.采购代理费收取方式：</w:t>
            </w:r>
          </w:p>
          <w:p w14:paraId="738914B7">
            <w:pPr>
              <w:pStyle w:val="24"/>
              <w:snapToGrid w:val="0"/>
              <w:spacing w:line="360" w:lineRule="auto"/>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w:t>
            </w:r>
            <w:r>
              <w:rPr>
                <w:rFonts w:hint="eastAsia" w:ascii="宋体" w:hAnsi="宋体" w:eastAsia="宋体" w:cs="宋体"/>
                <w:b/>
                <w:bCs/>
                <w:color w:val="000000" w:themeColor="text1"/>
                <w:sz w:val="21"/>
                <w:highlight w:val="none"/>
                <w:u w:val="single"/>
                <w14:textFill>
                  <w14:solidFill>
                    <w14:schemeClr w14:val="tx1"/>
                  </w14:solidFill>
                </w14:textFill>
              </w:rPr>
              <w:t>本项目代理服务费由成交供应商向采购代理机构支付</w:t>
            </w:r>
            <w:r>
              <w:rPr>
                <w:rFonts w:hint="eastAsia" w:ascii="宋体" w:hAnsi="宋体" w:eastAsia="宋体" w:cs="宋体"/>
                <w:color w:val="000000" w:themeColor="text1"/>
                <w:sz w:val="21"/>
                <w:highlight w:val="none"/>
                <w14:textFill>
                  <w14:solidFill>
                    <w14:schemeClr w14:val="tx1"/>
                  </w14:solidFill>
                </w14:textFill>
              </w:rPr>
              <w:t>。</w:t>
            </w:r>
          </w:p>
          <w:p w14:paraId="6CEC9A0D">
            <w:pPr>
              <w:pStyle w:val="24"/>
              <w:snapToGrid w:val="0"/>
              <w:spacing w:line="360" w:lineRule="auto"/>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□采购人支付。</w:t>
            </w:r>
          </w:p>
          <w:p w14:paraId="4BDEE261">
            <w:pPr>
              <w:pStyle w:val="24"/>
              <w:snapToGrid w:val="0"/>
              <w:spacing w:line="360" w:lineRule="auto"/>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2.采购代理费收取标准：</w:t>
            </w:r>
          </w:p>
          <w:p w14:paraId="409F6E3E">
            <w:pPr>
              <w:pStyle w:val="24"/>
              <w:snapToGrid w:val="0"/>
              <w:spacing w:line="360" w:lineRule="auto"/>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w:t>
            </w:r>
            <w:r>
              <w:rPr>
                <w:rFonts w:hint="eastAsia" w:ascii="宋体" w:hAnsi="宋体" w:eastAsia="宋体" w:cs="宋体"/>
                <w:b/>
                <w:bCs/>
                <w:color w:val="000000" w:themeColor="text1"/>
                <w:sz w:val="21"/>
                <w:highlight w:val="none"/>
                <w:u w:val="single"/>
                <w14:textFill>
                  <w14:solidFill>
                    <w14:schemeClr w14:val="tx1"/>
                  </w14:solidFill>
                </w14:textFill>
              </w:rPr>
              <w:t>根据国家发展改革委《关于进一步放开建设项目专业服务价格的通知》发改价格〔2015〕299号文件</w:t>
            </w:r>
            <w:r>
              <w:rPr>
                <w:rFonts w:hint="eastAsia" w:ascii="宋体" w:hAnsi="宋体" w:eastAsia="宋体" w:cs="宋体"/>
                <w:b/>
                <w:bCs/>
                <w:color w:val="000000" w:themeColor="text1"/>
                <w:sz w:val="21"/>
                <w:highlight w:val="none"/>
                <w:u w:val="single"/>
                <w:lang w:val="en-US" w:eastAsia="zh-CN"/>
                <w14:textFill>
                  <w14:solidFill>
                    <w14:schemeClr w14:val="tx1"/>
                  </w14:solidFill>
                </w14:textFill>
              </w:rPr>
              <w:t>计取</w:t>
            </w:r>
            <w:r>
              <w:rPr>
                <w:rFonts w:hint="eastAsia" w:ascii="宋体" w:hAnsi="宋体" w:eastAsia="宋体" w:cs="宋体"/>
                <w:b/>
                <w:bCs/>
                <w:color w:val="000000" w:themeColor="text1"/>
                <w:sz w:val="21"/>
                <w:highlight w:val="none"/>
                <w:u w:val="single"/>
                <w14:textFill>
                  <w14:solidFill>
                    <w14:schemeClr w14:val="tx1"/>
                  </w14:solidFill>
                </w14:textFill>
              </w:rPr>
              <w:t>，具体金额</w:t>
            </w:r>
            <w:r>
              <w:rPr>
                <w:rFonts w:hint="eastAsia" w:ascii="宋体" w:hAnsi="宋体" w:eastAsia="宋体" w:cs="宋体"/>
                <w:b/>
                <w:bCs/>
                <w:color w:val="000000" w:themeColor="text1"/>
                <w:sz w:val="21"/>
                <w:highlight w:val="none"/>
                <w:u w:val="single"/>
                <w:lang w:val="en-US" w:eastAsia="zh-CN"/>
                <w14:textFill>
                  <w14:solidFill>
                    <w14:schemeClr w14:val="tx1"/>
                  </w14:solidFill>
                </w14:textFill>
              </w:rPr>
              <w:t>为人民币柒仟玖佰伍拾肆元整（¥7954.00），由成交人向采购代理机构一次性付清。</w:t>
            </w:r>
          </w:p>
          <w:p w14:paraId="3F55138B">
            <w:pPr>
              <w:pStyle w:val="24"/>
              <w:snapToGrid w:val="0"/>
              <w:spacing w:line="360" w:lineRule="auto"/>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3. 采购代理费收取银行账户</w:t>
            </w:r>
          </w:p>
          <w:p w14:paraId="6FD9569B">
            <w:pPr>
              <w:pStyle w:val="24"/>
              <w:snapToGrid w:val="0"/>
              <w:spacing w:line="360" w:lineRule="auto"/>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开户名称：广西建文工程咨询有限公司</w:t>
            </w:r>
          </w:p>
          <w:p w14:paraId="6A0321FF">
            <w:pPr>
              <w:pStyle w:val="24"/>
              <w:snapToGrid w:val="0"/>
              <w:spacing w:line="360" w:lineRule="auto"/>
              <w:rPr>
                <w:rFonts w:hint="eastAsia" w:ascii="宋体" w:hAnsi="宋体" w:eastAsia="宋体" w:cs="宋体"/>
                <w:color w:val="000000" w:themeColor="text1"/>
                <w:sz w:val="21"/>
                <w:highlight w:val="none"/>
                <w:lang w:eastAsia="zh-CN"/>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开户银行：</w:t>
            </w:r>
            <w:r>
              <w:rPr>
                <w:rFonts w:hint="eastAsia" w:ascii="宋体" w:hAnsi="宋体" w:eastAsia="宋体" w:cs="宋体"/>
                <w:color w:val="000000" w:themeColor="text1"/>
                <w:sz w:val="21"/>
                <w:highlight w:val="none"/>
                <w:lang w:eastAsia="zh-CN"/>
                <w14:textFill>
                  <w14:solidFill>
                    <w14:schemeClr w14:val="tx1"/>
                  </w14:solidFill>
                </w14:textFill>
              </w:rPr>
              <w:t>广西北部湾银行股份有限公司贵港分行</w:t>
            </w:r>
          </w:p>
          <w:p w14:paraId="258FFA9D">
            <w:pPr>
              <w:pStyle w:val="24"/>
              <w:snapToGrid w:val="0"/>
              <w:spacing w:line="360" w:lineRule="auto"/>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银行账号：</w:t>
            </w:r>
            <w:r>
              <w:rPr>
                <w:rFonts w:hint="eastAsia" w:ascii="宋体" w:hAnsi="宋体" w:eastAsia="宋体" w:cs="宋体"/>
                <w:color w:val="000000" w:themeColor="text1"/>
                <w:sz w:val="21"/>
                <w:highlight w:val="none"/>
                <w:lang w:eastAsia="zh-CN"/>
                <w14:textFill>
                  <w14:solidFill>
                    <w14:schemeClr w14:val="tx1"/>
                  </w14:solidFill>
                </w14:textFill>
              </w:rPr>
              <w:t>805018842671129</w:t>
            </w:r>
          </w:p>
        </w:tc>
      </w:tr>
      <w:tr w14:paraId="551E2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E7EDD46">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33.1</w:t>
            </w:r>
          </w:p>
        </w:tc>
        <w:tc>
          <w:tcPr>
            <w:tcW w:w="8646" w:type="dxa"/>
            <w:vAlign w:val="center"/>
          </w:tcPr>
          <w:p w14:paraId="33FB9209">
            <w:pPr>
              <w:pStyle w:val="24"/>
              <w:snapToGrid w:val="0"/>
              <w:spacing w:line="360" w:lineRule="auto"/>
              <w:rPr>
                <w:rFonts w:hint="eastAsia" w:ascii="宋体" w:hAnsi="宋体" w:eastAsia="宋体" w:cs="宋体"/>
                <w:color w:val="000000" w:themeColor="text1"/>
                <w:kern w:val="2"/>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05FE1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FF0BCD2">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33.2</w:t>
            </w:r>
          </w:p>
        </w:tc>
        <w:tc>
          <w:tcPr>
            <w:tcW w:w="8646" w:type="dxa"/>
            <w:vAlign w:val="center"/>
          </w:tcPr>
          <w:p w14:paraId="5188BE6C">
            <w:pPr>
              <w:pStyle w:val="24"/>
              <w:snapToGrid w:val="0"/>
              <w:spacing w:line="360" w:lineRule="auto"/>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农民工工资保证金：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帐户，也可以使用银行保函。工程竣工验收结算经审定后，按照规定程序，将农民工工资保证金没有使用或剩余的金额退还给承包人。</w:t>
            </w:r>
          </w:p>
        </w:tc>
      </w:tr>
      <w:tr w14:paraId="174E7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F081866">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33.3</w:t>
            </w:r>
          </w:p>
        </w:tc>
        <w:tc>
          <w:tcPr>
            <w:tcW w:w="8646" w:type="dxa"/>
            <w:vAlign w:val="center"/>
          </w:tcPr>
          <w:p w14:paraId="749CF56A">
            <w:pPr>
              <w:pStyle w:val="24"/>
              <w:snapToGrid w:val="0"/>
              <w:spacing w:line="360" w:lineRule="auto"/>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447FE728">
            <w:pPr>
              <w:pStyle w:val="24"/>
              <w:snapToGrid w:val="0"/>
              <w:spacing w:line="360" w:lineRule="auto"/>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bCs/>
                <w:color w:val="000000" w:themeColor="text1"/>
                <w:sz w:val="21"/>
                <w:highlight w:val="none"/>
                <w14:textFill>
                  <w14:solidFill>
                    <w14:schemeClr w14:val="tx1"/>
                  </w14:solidFill>
                </w14:textFill>
              </w:rPr>
              <w:t>2.本磋商文件所称的“</w:t>
            </w:r>
            <w:r>
              <w:rPr>
                <w:rFonts w:hint="eastAsia" w:ascii="宋体" w:hAnsi="宋体" w:eastAsia="宋体" w:cs="宋体"/>
                <w:color w:val="000000" w:themeColor="text1"/>
                <w:sz w:val="21"/>
                <w:highlight w:val="none"/>
                <w14:textFill>
                  <w14:solidFill>
                    <w14:schemeClr w14:val="tx1"/>
                  </w14:solidFill>
                </w14:textFill>
              </w:rPr>
              <w:t>电子签章</w:t>
            </w:r>
            <w:r>
              <w:rPr>
                <w:rFonts w:hint="eastAsia" w:ascii="宋体" w:hAnsi="宋体" w:eastAsia="宋体" w:cs="宋体"/>
                <w:bCs/>
                <w:color w:val="000000" w:themeColor="text1"/>
                <w:sz w:val="21"/>
                <w:highlight w:val="none"/>
                <w14:textFill>
                  <w14:solidFill>
                    <w14:schemeClr w14:val="tx1"/>
                  </w14:solidFill>
                </w14:textFill>
              </w:rPr>
              <w:t>”、“电子签名”</w:t>
            </w:r>
            <w:r>
              <w:rPr>
                <w:rFonts w:hint="eastAsia" w:ascii="宋体" w:hAnsi="宋体" w:eastAsia="宋体" w:cs="宋体"/>
                <w:color w:val="000000" w:themeColor="text1"/>
                <w:sz w:val="21"/>
                <w:highlight w:val="none"/>
                <w14:textFill>
                  <w14:solidFill>
                    <w14:schemeClr w14:val="tx1"/>
                  </w14:solidFill>
                </w14:textFill>
              </w:rPr>
              <w:t>，是指经广西政府采购云平台认可的CA认证的电子签名数据为表现形式的印章，可用于签署电子响应文件，电子印章与实物印章具有同等法律效力，不因其采用电子化表现形式而否定其法律效力。</w:t>
            </w:r>
          </w:p>
          <w:p w14:paraId="79D3C8E9">
            <w:pPr>
              <w:pStyle w:val="24"/>
              <w:snapToGrid w:val="0"/>
              <w:spacing w:line="360" w:lineRule="auto"/>
              <w:rPr>
                <w:rFonts w:hint="eastAsia" w:ascii="宋体" w:hAnsi="宋体" w:eastAsia="宋体" w:cs="宋体"/>
                <w:bCs/>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3.供应商为其他组织时，本磋商文件规定的法定代表人指负责人。本磋商文件所称负责人是指参加竞标的其他组织</w:t>
            </w:r>
            <w:r>
              <w:rPr>
                <w:rFonts w:hint="eastAsia" w:ascii="宋体" w:hAnsi="宋体" w:eastAsia="宋体" w:cs="宋体"/>
                <w:bCs/>
                <w:color w:val="000000" w:themeColor="text1"/>
                <w:sz w:val="21"/>
                <w:highlight w:val="none"/>
                <w14:textFill>
                  <w14:solidFill>
                    <w14:schemeClr w14:val="tx1"/>
                  </w14:solidFill>
                </w14:textFill>
              </w:rPr>
              <w:t>营业执照或者执业许可证等证照上的</w:t>
            </w:r>
            <w:r>
              <w:rPr>
                <w:rFonts w:hint="eastAsia" w:ascii="宋体" w:hAnsi="宋体" w:eastAsia="宋体" w:cs="宋体"/>
                <w:color w:val="000000" w:themeColor="text1"/>
                <w:sz w:val="21"/>
                <w:highlight w:val="none"/>
                <w14:textFill>
                  <w14:solidFill>
                    <w14:schemeClr w14:val="tx1"/>
                  </w14:solidFill>
                </w14:textFill>
              </w:rPr>
              <w:t>负责人</w:t>
            </w:r>
            <w:r>
              <w:rPr>
                <w:rFonts w:hint="eastAsia" w:ascii="宋体" w:hAnsi="宋体" w:eastAsia="宋体" w:cs="宋体"/>
                <w:bCs/>
                <w:color w:val="000000" w:themeColor="text1"/>
                <w:sz w:val="21"/>
                <w:highlight w:val="none"/>
                <w14:textFill>
                  <w14:solidFill>
                    <w14:schemeClr w14:val="tx1"/>
                  </w14:solidFill>
                </w14:textFill>
              </w:rPr>
              <w:t>。</w:t>
            </w:r>
          </w:p>
          <w:p w14:paraId="4CCF9B9D">
            <w:pPr>
              <w:pStyle w:val="24"/>
              <w:snapToGrid w:val="0"/>
              <w:spacing w:line="360" w:lineRule="auto"/>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4.本磋商文件中描述供应商的“签字”是指供应商的法定代表人或者委托代理人亲自在文件规定签署处亲笔写上个人的名字的行为，私章、签字章、印鉴、影印等其他形式均不能代替亲笔签字。</w:t>
            </w:r>
          </w:p>
          <w:p w14:paraId="5391B15F">
            <w:pPr>
              <w:pStyle w:val="24"/>
              <w:snapToGrid w:val="0"/>
              <w:spacing w:line="360" w:lineRule="auto"/>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5.本磋商文件所称的“以上”“以下”“以内”“届满”，包括本数；所称的“不满”“超过”“以外”，不包括本数。</w:t>
            </w:r>
          </w:p>
        </w:tc>
      </w:tr>
    </w:tbl>
    <w:p w14:paraId="37B04990">
      <w:pPr>
        <w:spacing w:line="400" w:lineRule="exact"/>
        <w:jc w:val="center"/>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br w:type="page"/>
      </w:r>
      <w:r>
        <w:rPr>
          <w:rFonts w:hint="eastAsia" w:ascii="宋体" w:hAnsi="宋体" w:eastAsia="宋体" w:cs="宋体"/>
          <w:b/>
          <w:color w:val="000000" w:themeColor="text1"/>
          <w:sz w:val="32"/>
          <w:szCs w:val="32"/>
          <w:highlight w:val="none"/>
          <w14:textFill>
            <w14:solidFill>
              <w14:schemeClr w14:val="tx1"/>
            </w14:solidFill>
          </w14:textFill>
        </w:rPr>
        <w:t>供应商须知正文</w:t>
      </w:r>
    </w:p>
    <w:p w14:paraId="0102EF09">
      <w:pPr>
        <w:spacing w:line="400" w:lineRule="exact"/>
        <w:jc w:val="center"/>
        <w:rPr>
          <w:rFonts w:hint="eastAsia" w:ascii="宋体" w:hAnsi="宋体" w:eastAsia="宋体" w:cs="宋体"/>
          <w:b/>
          <w:color w:val="000000" w:themeColor="text1"/>
          <w:sz w:val="32"/>
          <w:szCs w:val="32"/>
          <w:highlight w:val="none"/>
          <w14:textFill>
            <w14:solidFill>
              <w14:schemeClr w14:val="tx1"/>
            </w14:solidFill>
          </w14:textFill>
        </w:rPr>
      </w:pPr>
    </w:p>
    <w:p w14:paraId="6898D7F3">
      <w:pPr>
        <w:pStyle w:val="3"/>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eastAsia="宋体" w:cs="Times New Roman"/>
          <w:color w:val="000000" w:themeColor="text1"/>
          <w:highlight w:val="none"/>
          <w14:textFill>
            <w14:solidFill>
              <w14:schemeClr w14:val="tx1"/>
            </w14:solidFill>
          </w14:textFill>
        </w:rPr>
      </w:pPr>
      <w:r>
        <w:rPr>
          <w:rFonts w:hint="eastAsia" w:eastAsia="宋体" w:cs="Times New Roman"/>
          <w:color w:val="000000" w:themeColor="text1"/>
          <w:highlight w:val="none"/>
          <w14:textFill>
            <w14:solidFill>
              <w14:schemeClr w14:val="tx1"/>
            </w14:solidFill>
          </w14:textFill>
        </w:rPr>
        <w:t>一、总则</w:t>
      </w:r>
    </w:p>
    <w:p w14:paraId="4AA18182">
      <w:pPr>
        <w:spacing w:line="400" w:lineRule="exact"/>
        <w:rPr>
          <w:rFonts w:hint="eastAsia" w:ascii="宋体" w:hAnsi="宋体" w:eastAsia="宋体" w:cs="宋体"/>
          <w:color w:val="000000" w:themeColor="text1"/>
          <w:szCs w:val="21"/>
          <w:highlight w:val="none"/>
          <w14:textFill>
            <w14:solidFill>
              <w14:schemeClr w14:val="tx1"/>
            </w14:solidFill>
          </w14:textFill>
        </w:rPr>
      </w:pPr>
    </w:p>
    <w:p w14:paraId="30F243AD">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1.适用范围</w:t>
      </w:r>
    </w:p>
    <w:p w14:paraId="591B0974">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7D469D86">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1.2本竞争性磋商文件（以下简称磋商文件）适用于本项目的所有采购程序和环节（法律、法规另有规定的，从其规定）</w:t>
      </w:r>
      <w:r>
        <w:rPr>
          <w:rFonts w:hint="eastAsia" w:ascii="宋体" w:hAnsi="宋体" w:eastAsia="宋体" w:cs="宋体"/>
          <w:color w:val="000000" w:themeColor="text1"/>
          <w:spacing w:val="-6"/>
          <w:szCs w:val="21"/>
          <w:highlight w:val="none"/>
          <w14:textFill>
            <w14:solidFill>
              <w14:schemeClr w14:val="tx1"/>
            </w14:solidFill>
          </w14:textFill>
        </w:rPr>
        <w:t>。</w:t>
      </w:r>
    </w:p>
    <w:p w14:paraId="19161D96">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2.定义</w:t>
      </w:r>
    </w:p>
    <w:p w14:paraId="0079B95F">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2.1“采购人”是指依法进行政府采购的国家机关、事业单位、团体组织。</w:t>
      </w:r>
    </w:p>
    <w:p w14:paraId="58C915A0">
      <w:pPr>
        <w:spacing w:line="360" w:lineRule="auto"/>
        <w:ind w:firstLine="420" w:firstLineChars="20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2.2“采购代理机构”是指政府采购集中采购机构和集中采购机构以外的采购代理机构。</w:t>
      </w:r>
    </w:p>
    <w:p w14:paraId="354F8A19">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2.3“供应商”是指向采购人提供货物、工程或者服务的法人、其他组织或者自然人。</w:t>
      </w:r>
    </w:p>
    <w:p w14:paraId="4771A065">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2.4“工程”是指建设工程，包括建筑物和构筑物的新建、改建、扩建、装修、拆除、修缮等。</w:t>
      </w:r>
    </w:p>
    <w:p w14:paraId="6D232F2F">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2.5“竞标”是指供应商按照本项目竞争性磋商公告或者邀请函规定的方式获取磋商文件、提交响应文件并希望获得标的的行为。</w:t>
      </w:r>
    </w:p>
    <w:p w14:paraId="79D61EDF">
      <w:pPr>
        <w:spacing w:line="360" w:lineRule="auto"/>
        <w:ind w:firstLine="420" w:firstLineChars="200"/>
        <w:contextualSpacing/>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2.6“书面形式”是指合同书、信件和数据电文（包括电报、电传、传真、电子数据交换和电子邮件）等可以有形地表现所载内容的形式。</w:t>
      </w:r>
    </w:p>
    <w:p w14:paraId="266B5A82">
      <w:pPr>
        <w:spacing w:line="360" w:lineRule="auto"/>
        <w:ind w:firstLine="420" w:firstLineChars="200"/>
        <w:contextualSpacing/>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2.7“响应文件”是指：供应商根据本磋商文件要求，编制包含资格证明、报价、商务技术等所有内容的文件</w:t>
      </w:r>
      <w:r>
        <w:rPr>
          <w:rFonts w:hint="eastAsia" w:ascii="宋体" w:hAnsi="宋体" w:eastAsia="宋体" w:cs="宋体"/>
          <w:color w:val="000000" w:themeColor="text1"/>
          <w:spacing w:val="-6"/>
          <w:szCs w:val="21"/>
          <w:highlight w:val="none"/>
          <w14:textFill>
            <w14:solidFill>
              <w14:schemeClr w14:val="tx1"/>
            </w14:solidFill>
          </w14:textFill>
        </w:rPr>
        <w:t>。</w:t>
      </w:r>
    </w:p>
    <w:p w14:paraId="7F7BECB0">
      <w:pPr>
        <w:spacing w:line="360" w:lineRule="auto"/>
        <w:ind w:firstLine="420" w:firstLineChars="200"/>
        <w:contextualSpacing/>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2.8“实质性要求”是指磋商文件中已经指明不满足则响应文件按无效处理的条款，或者不能负偏离的条款，或者采购需求中带“▲”的条款。</w:t>
      </w:r>
    </w:p>
    <w:p w14:paraId="5034165F">
      <w:pPr>
        <w:spacing w:line="360" w:lineRule="auto"/>
        <w:ind w:firstLine="420" w:firstLineChars="200"/>
        <w:contextualSpacing/>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2.9“正偏离”，是指响应文件对磋商文件“采购需求”中有关条款作出的响应优于条款要求并有利于采购人的情形。</w:t>
      </w:r>
    </w:p>
    <w:p w14:paraId="794B0CDB">
      <w:pPr>
        <w:spacing w:line="360" w:lineRule="auto"/>
        <w:ind w:firstLine="420" w:firstLineChars="200"/>
        <w:contextualSpacing/>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2.10“负偏离”，是指响应文件对磋商文件“采购需求”中有关条款作出的响应不满足条款要求，导致采购人要求不能得到满足的情形。</w:t>
      </w:r>
    </w:p>
    <w:p w14:paraId="4F391F4D">
      <w:pPr>
        <w:spacing w:line="360" w:lineRule="auto"/>
        <w:ind w:firstLine="420" w:firstLineChars="200"/>
        <w:contextualSpacing/>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2.11“允许负偏离的条款”是指采购需求中的不属于“实质性要求”的条款。</w:t>
      </w:r>
    </w:p>
    <w:p w14:paraId="5D729C9F">
      <w:pPr>
        <w:spacing w:line="360" w:lineRule="auto"/>
        <w:ind w:firstLine="420" w:firstLineChars="200"/>
        <w:contextualSpacing/>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2.12“首次报价”是指供应商提交的首次响应文件中的报价。</w:t>
      </w:r>
    </w:p>
    <w:p w14:paraId="10EF5CD3">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3.供应商的资格条件</w:t>
      </w:r>
    </w:p>
    <w:p w14:paraId="49C8D50E">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供应商的资格条件详见“供应商须知前附表”。</w:t>
      </w:r>
    </w:p>
    <w:p w14:paraId="38A26216">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4.竞标费用</w:t>
      </w:r>
    </w:p>
    <w:p w14:paraId="4899C454">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供应商应承担参与本次采购活动有关的所有费用，包括但不限于获取磋商文件、勘查现场、编制和提交响应文件、参加磋商与应答、签订合同等，不论竞标结果如何，均应自行承担。</w:t>
      </w:r>
    </w:p>
    <w:p w14:paraId="4E0D984A">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5.联合体竞标</w:t>
      </w:r>
    </w:p>
    <w:p w14:paraId="7A983D8C">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5.1本项目是否接受联合体竞标，详见“供应商须知前附表”。</w:t>
      </w:r>
    </w:p>
    <w:p w14:paraId="3D7E2EED">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5.2</w:t>
      </w:r>
      <w:r>
        <w:rPr>
          <w:rFonts w:hint="eastAsia" w:ascii="宋体" w:hAnsi="宋体" w:eastAsia="宋体" w:cs="宋体"/>
          <w:color w:val="000000" w:themeColor="text1"/>
          <w:highlight w:val="none"/>
          <w14:textFill>
            <w14:solidFill>
              <w14:schemeClr w14:val="tx1"/>
            </w14:solidFill>
          </w14:textFill>
        </w:rPr>
        <w:t>如接受联合体竞标，</w:t>
      </w:r>
      <w:r>
        <w:rPr>
          <w:rFonts w:hint="eastAsia" w:ascii="宋体" w:hAnsi="宋体" w:eastAsia="宋体" w:cs="宋体"/>
          <w:color w:val="000000" w:themeColor="text1"/>
          <w:szCs w:val="21"/>
          <w:highlight w:val="none"/>
          <w14:textFill>
            <w14:solidFill>
              <w14:schemeClr w14:val="tx1"/>
            </w14:solidFill>
          </w14:textFill>
        </w:rPr>
        <w:t>联合体竞标要求详见“供应商须知前附表”。</w:t>
      </w:r>
    </w:p>
    <w:p w14:paraId="2CDB18BC">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5.3</w:t>
      </w:r>
      <w:bookmarkStart w:id="52" w:name="_Hlk66782192"/>
      <w:r>
        <w:rPr>
          <w:rFonts w:hint="eastAsia" w:ascii="宋体" w:hAnsi="宋体" w:eastAsia="宋体" w:cs="宋体"/>
          <w:color w:val="000000" w:themeColor="text1"/>
          <w:szCs w:val="21"/>
          <w:highlight w:val="none"/>
          <w14:textFill>
            <w14:solidFill>
              <w14:schemeClr w14:val="tx1"/>
            </w14:solidFill>
          </w14:textFill>
        </w:rPr>
        <w:t>根据《政府采购促进中小企业发展管理办法》（财库〔2020〕46号）第九条第二款及《广西壮族自治区财政厅关于贯彻落实政府采购支持中小企业发展政策的通知》（桂财采〔2022〕31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1%-2%的扣除，用扣除后的价格参加评审。</w:t>
      </w:r>
      <w:bookmarkEnd w:id="52"/>
    </w:p>
    <w:p w14:paraId="6C50A795">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6.转包与分包</w:t>
      </w:r>
    </w:p>
    <w:p w14:paraId="6D39DD50">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bookmarkStart w:id="53" w:name="_Toc254970532"/>
      <w:bookmarkStart w:id="54" w:name="_Toc254970673"/>
      <w:r>
        <w:rPr>
          <w:rFonts w:hint="eastAsia" w:ascii="宋体" w:hAnsi="宋体" w:eastAsia="宋体" w:cs="宋体"/>
          <w:color w:val="000000" w:themeColor="text1"/>
          <w:szCs w:val="21"/>
          <w:highlight w:val="none"/>
          <w14:textFill>
            <w14:solidFill>
              <w14:schemeClr w14:val="tx1"/>
            </w14:solidFill>
          </w14:textFill>
        </w:rPr>
        <w:t>6.1本项目不允许转包。</w:t>
      </w:r>
    </w:p>
    <w:p w14:paraId="5FEC2C57">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6.2本项目是否允许分包详见“供应商须知前附表”，本项目不允许违法分包。允许分包的非主体、非关键性工作，根据法律法规规定承担该工作需要资质或者行政许可的，如该工作由供应商自行承担，供应商应具备相应的资质或者行政许可，如供应商不具备相应的资质或者行政许可必须采用分包的方式，但分包供应商应具备相应资质或者行政许可。</w:t>
      </w:r>
    </w:p>
    <w:p w14:paraId="026DDD33">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4BCBADF7">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7.特别说明</w:t>
      </w:r>
      <w:bookmarkEnd w:id="53"/>
      <w:bookmarkEnd w:id="54"/>
    </w:p>
    <w:p w14:paraId="5FDDBEAA">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bookmarkStart w:id="55" w:name="_8.1提供相同品牌产品且通过资格审查、符合性审查的不同投标人参加同一合"/>
      <w:bookmarkEnd w:id="55"/>
      <w:r>
        <w:rPr>
          <w:rFonts w:hint="eastAsia" w:ascii="宋体" w:hAnsi="宋体" w:eastAsia="宋体" w:cs="宋体"/>
          <w:color w:val="000000" w:themeColor="text1"/>
          <w:szCs w:val="21"/>
          <w:highlight w:val="none"/>
          <w14:textFill>
            <w14:solidFill>
              <w14:schemeClr w14:val="tx1"/>
            </w14:solidFill>
          </w14:textFill>
        </w:rPr>
        <w:t>7.1</w:t>
      </w:r>
      <w:bookmarkStart w:id="56" w:name="_Hlk65832145"/>
      <w:r>
        <w:rPr>
          <w:rFonts w:hint="eastAsia" w:ascii="宋体" w:hAnsi="宋体" w:eastAsia="宋体" w:cs="宋体"/>
          <w:color w:val="000000" w:themeColor="text1"/>
          <w:szCs w:val="21"/>
          <w:highlight w:val="none"/>
          <w14:textFill>
            <w14:solidFill>
              <w14:schemeClr w14:val="tx1"/>
            </w14:solidFill>
          </w14:textFill>
        </w:rPr>
        <w:t>如果本磋商文件要求提供供应商或制造商的资格、信誉、荣誉、业绩与企业认证等材料的，资格、信誉、荣誉、业绩与企业认证等必须为供应商或者制造商所拥有或自身获得 。</w:t>
      </w:r>
    </w:p>
    <w:bookmarkEnd w:id="56"/>
    <w:p w14:paraId="58E859BF">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7.2供应商应仔细阅读磋商文件的所有内容，按照磋商文件的要求提交响应文件，并对所提供的全部资料的真实性承担法律责任。</w:t>
      </w:r>
    </w:p>
    <w:p w14:paraId="64C7D3FE">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7.3供应商在竞标活动中提供任何虚假材料谋取成交的，将报财政部门查处；签订合同后发现的，成交供应商须依照《中华人民共和国消费者权益保护法》规定赔偿采购人，且民事赔偿并不免除违法供应商的行政与刑事责任。</w:t>
      </w:r>
    </w:p>
    <w:p w14:paraId="611CAEC8">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7.4在政府采购活动中，采购人员及相关人员与供应商有下列利害关系之一的，应当回避：</w:t>
      </w:r>
    </w:p>
    <w:p w14:paraId="246A23FF">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（1）参加采购活动前3年内与供应商存在劳动关系；</w:t>
      </w:r>
    </w:p>
    <w:p w14:paraId="16F3B259">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（2）参加采购活动前3年内担任供应商的董事、监事；</w:t>
      </w:r>
    </w:p>
    <w:p w14:paraId="1E0DC977">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（3）参加采购活动前3年内是供应商的控股股东或者实际控制人；</w:t>
      </w:r>
    </w:p>
    <w:p w14:paraId="11F69880">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（4）与供应商的法定代表人或者负责人有夫妻、直系血亲、三代以内旁系血亲或者近姻亲关系；</w:t>
      </w:r>
    </w:p>
    <w:p w14:paraId="3C4517CE">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（5）与供应商有其他可能影响政府采购活动公平、公正进行的关系。</w:t>
      </w:r>
    </w:p>
    <w:p w14:paraId="41AF013E">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1CF8555">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7.5有下列情形之一的视为供应商相互串通竞标，响应文件将被视为无效：</w:t>
      </w:r>
    </w:p>
    <w:p w14:paraId="413AF79A">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（1）不同供应商的响应文件由同一单位或者个人编制； </w:t>
      </w:r>
    </w:p>
    <w:p w14:paraId="0E39B42D">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（2）不同供应商委托同一单位或者个人办理竞标事宜；</w:t>
      </w:r>
    </w:p>
    <w:p w14:paraId="56C1E508">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（3）不同的供应商的响应文件载明的项目管理员为同一个人；</w:t>
      </w:r>
    </w:p>
    <w:p w14:paraId="677C5712">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（4）不同供应商的响应文件异常一致或者报价呈规律性差异；</w:t>
      </w:r>
    </w:p>
    <w:p w14:paraId="28252E59">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（5）不同供应商的响应文件相互混装；</w:t>
      </w:r>
    </w:p>
    <w:p w14:paraId="356FD9E2">
      <w:pPr>
        <w:tabs>
          <w:tab w:val="left" w:pos="6931"/>
        </w:tabs>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（6）不同供应商的磋商保证金从同一单位或者个人账户转出。</w:t>
      </w:r>
      <w:r>
        <w:rPr>
          <w:rFonts w:hint="eastAsia" w:ascii="宋体" w:hAnsi="宋体" w:eastAsia="宋体" w:cs="宋体"/>
          <w:color w:val="000000" w:themeColor="text1"/>
          <w:szCs w:val="21"/>
          <w:highlight w:val="none"/>
          <w14:textFill>
            <w14:solidFill>
              <w14:schemeClr w14:val="tx1"/>
            </w14:solidFill>
          </w14:textFill>
        </w:rPr>
        <w:tab/>
      </w:r>
    </w:p>
    <w:p w14:paraId="1F068CDE">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7.6供应商有下列情形之一的，属于恶意串通行为，将报同级监督管理部门：</w:t>
      </w:r>
    </w:p>
    <w:p w14:paraId="5956EB5A">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（1）供应商直接或者间接从采购人或者采购代理机构处获得其他供应商的相关信息并修改其响应文件；</w:t>
      </w:r>
    </w:p>
    <w:p w14:paraId="768FB934">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（2）供应商按照采购人或者采购代理机构的授意撤换、修改响应文件；</w:t>
      </w:r>
    </w:p>
    <w:p w14:paraId="02C0F41C">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（3）供应商之间协商报价、技术方案等响应文件或者响应文件的实质性内容；</w:t>
      </w:r>
    </w:p>
    <w:p w14:paraId="3F617F28">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（4）属于同一集团、协会、商会等组织成员的供应商按照该组织要求协同参加政府采购活动；</w:t>
      </w:r>
    </w:p>
    <w:p w14:paraId="1A580916">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（5）供应商之间事先约定一致抬高或者压低报价，或者在政府采购活动中事先约定轮流以高价位或者低价位成交，或者事先约定由某一特定供应商成交，然后再参加竞标；</w:t>
      </w:r>
    </w:p>
    <w:p w14:paraId="3E615C85">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（6）供应商之间商定部分供应商放弃参加政府采购活动或者放弃成交；</w:t>
      </w:r>
    </w:p>
    <w:p w14:paraId="382737C1">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（7）供应商与采购人或者采购代理机构之间、供应商相互之间，为谋求特定供应商成交或者排斥其他供应商的其他串通行为。</w:t>
      </w:r>
    </w:p>
    <w:p w14:paraId="5392ADFF">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0AF78A1E">
      <w:pPr>
        <w:pStyle w:val="3"/>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eastAsia="宋体" w:cs="Times New Roman"/>
          <w:color w:val="000000" w:themeColor="text1"/>
          <w:highlight w:val="none"/>
          <w14:textFill>
            <w14:solidFill>
              <w14:schemeClr w14:val="tx1"/>
            </w14:solidFill>
          </w14:textFill>
        </w:rPr>
      </w:pPr>
      <w:bookmarkStart w:id="57" w:name="_Toc254970534"/>
      <w:bookmarkStart w:id="58" w:name="_Toc254970675"/>
      <w:r>
        <w:rPr>
          <w:rFonts w:hint="eastAsia" w:eastAsia="宋体" w:cs="Times New Roman"/>
          <w:color w:val="000000" w:themeColor="text1"/>
          <w:highlight w:val="none"/>
          <w14:textFill>
            <w14:solidFill>
              <w14:schemeClr w14:val="tx1"/>
            </w14:solidFill>
          </w14:textFill>
        </w:rPr>
        <w:t>二、磋商文件</w:t>
      </w:r>
      <w:bookmarkEnd w:id="57"/>
      <w:bookmarkEnd w:id="58"/>
    </w:p>
    <w:p w14:paraId="557A5D11">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5251298B">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8.磋商文件的构成</w:t>
      </w:r>
    </w:p>
    <w:p w14:paraId="0EB3A792">
      <w:pPr>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第一章  竞争性磋商公告；</w:t>
      </w:r>
    </w:p>
    <w:p w14:paraId="1D303900">
      <w:pPr>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第二章  供应商须知； </w:t>
      </w:r>
    </w:p>
    <w:p w14:paraId="5E0767E0">
      <w:pPr>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第三章  采购需求；</w:t>
      </w:r>
    </w:p>
    <w:p w14:paraId="5D28E306">
      <w:pPr>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第四章  评审程序、评审方法和评审标准；</w:t>
      </w:r>
    </w:p>
    <w:p w14:paraId="049A578B">
      <w:pPr>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第五章  工程量清单及图纸；</w:t>
      </w:r>
    </w:p>
    <w:p w14:paraId="301D145D">
      <w:pPr>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第六章  响应文件格式；</w:t>
      </w:r>
    </w:p>
    <w:p w14:paraId="66A2F558">
      <w:pPr>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第七章  合同文本。</w:t>
      </w:r>
    </w:p>
    <w:p w14:paraId="14AB2EB4">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9.供应商的询问</w:t>
      </w:r>
    </w:p>
    <w:p w14:paraId="062B5AEE">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供应商应认真阅读磋商文件的采购需求，如供应商对磋商文件有疑问的，如要求采购人作出澄清或者修改的，供应商尽可能在提交首次响应文件截止之日前，以书面形式向采购人、采购代理机构提出。</w:t>
      </w:r>
    </w:p>
    <w:p w14:paraId="484BFE07">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10.磋商文件的澄清和修改</w:t>
      </w:r>
    </w:p>
    <w:p w14:paraId="265D3AC5">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提交首次响应文件截止之日前，采购人或者采购代理机构可以对已发出的磋商文件进行必要的澄清或者修改，澄清或者修改的内容作为磋商文件的组成部分。澄清或者修改的内容可能影响响应文件编制的，采购人或者采购代理机构应当在提交首次响应文件截止之日3个工作日前，以书面形式通知所有获取磋商文件的供应商，不足3个工作日的，应当顺延提交首次响应文件截止之日。</w:t>
      </w:r>
    </w:p>
    <w:p w14:paraId="61A46471">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7AAE2AD3">
      <w:pPr>
        <w:pStyle w:val="3"/>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eastAsia="宋体" w:cs="Times New Roman"/>
          <w:color w:val="000000" w:themeColor="text1"/>
          <w:highlight w:val="none"/>
          <w14:textFill>
            <w14:solidFill>
              <w14:schemeClr w14:val="tx1"/>
            </w14:solidFill>
          </w14:textFill>
        </w:rPr>
      </w:pPr>
      <w:r>
        <w:rPr>
          <w:rFonts w:hint="eastAsia" w:eastAsia="宋体" w:cs="Times New Roman"/>
          <w:color w:val="000000" w:themeColor="text1"/>
          <w:highlight w:val="none"/>
          <w14:textFill>
            <w14:solidFill>
              <w14:schemeClr w14:val="tx1"/>
            </w14:solidFill>
          </w14:textFill>
        </w:rPr>
        <w:t>三、响应文件的编制</w:t>
      </w:r>
    </w:p>
    <w:p w14:paraId="06ADD073">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55227F8D">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11.响应文件的编制原则</w:t>
      </w:r>
    </w:p>
    <w:p w14:paraId="278431C5">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供应商必须按照磋商文件的要求编制响应文件，并对其提交的响应文件的真实性、合法性承担法律责任。响应文件必须对磋商文件作出实质性响应。</w:t>
      </w:r>
    </w:p>
    <w:p w14:paraId="15761B79">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12.响应文件的组成</w:t>
      </w:r>
    </w:p>
    <w:p w14:paraId="6F08C0AE">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12.1响应文件由资格证明文件、报价文件、商务技术文件三部分组成。</w:t>
      </w:r>
    </w:p>
    <w:p w14:paraId="3DD4B73E">
      <w:pPr>
        <w:spacing w:line="360" w:lineRule="auto"/>
        <w:ind w:left="840" w:leftChars="200" w:hanging="420" w:hanging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12.1.1资格证明文件：详见“供应商须知前附表”</w:t>
      </w:r>
    </w:p>
    <w:p w14:paraId="24868BE2">
      <w:pPr>
        <w:spacing w:line="360" w:lineRule="auto"/>
        <w:ind w:left="840" w:leftChars="200" w:hanging="420" w:hanging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12.1.2报价文件：详见“供应商须知前附表”</w:t>
      </w:r>
    </w:p>
    <w:p w14:paraId="58B12615">
      <w:pPr>
        <w:spacing w:line="360" w:lineRule="auto"/>
        <w:ind w:left="840" w:leftChars="200" w:hanging="420" w:hanging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12.1.3商务技术文件：详见“供应商须知前附表”</w:t>
      </w:r>
    </w:p>
    <w:p w14:paraId="1F0ECA53">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13.计量单位</w:t>
      </w:r>
    </w:p>
    <w:p w14:paraId="15748BB3">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磋商文件已有明确规定的，使用磋商文件规定的计量单位；磋商文件没有规定的，应采用中华人民共和国法定计量单位，货币种类为人民币，否则视同未响应。</w:t>
      </w:r>
    </w:p>
    <w:p w14:paraId="332018B0">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14.竞标的风险</w:t>
      </w:r>
    </w:p>
    <w:p w14:paraId="715FD66D">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供应商没有按照磋商文件要求提供全部资料，或者供应商没有对磋商文件在各方面作出实质性响应可能导致其响应无效，是供应商应当考虑的风险。</w:t>
      </w:r>
    </w:p>
    <w:p w14:paraId="04B2002C">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15.竞标报价</w:t>
      </w:r>
    </w:p>
    <w:p w14:paraId="3BBD531A">
      <w:pPr>
        <w:tabs>
          <w:tab w:val="left" w:pos="2492"/>
        </w:tabs>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15.1竞标报价应按磋商文件中“竞标报价表”格式填写。</w:t>
      </w:r>
    </w:p>
    <w:p w14:paraId="6929F258">
      <w:pPr>
        <w:tabs>
          <w:tab w:val="left" w:pos="2492"/>
        </w:tabs>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15.2竞标报价的内容见“供应商须知前附表”。</w:t>
      </w:r>
    </w:p>
    <w:p w14:paraId="09431B60">
      <w:pPr>
        <w:tabs>
          <w:tab w:val="left" w:pos="2492"/>
        </w:tabs>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15.3本项目的增值税计税方法见“供应商须知前附表”。</w:t>
      </w:r>
    </w:p>
    <w:p w14:paraId="6E7DD996">
      <w:pPr>
        <w:spacing w:line="360" w:lineRule="auto"/>
        <w:ind w:left="426" w:leftChars="203"/>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15.4竞标报价要求</w:t>
      </w:r>
    </w:p>
    <w:p w14:paraId="6D1133AB">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15.4.1供应商的竞标报价应符合以下要求，否则响应文件按无效处理：</w:t>
      </w:r>
    </w:p>
    <w:p w14:paraId="47F821C7">
      <w:pPr>
        <w:spacing w:line="360" w:lineRule="auto"/>
        <w:ind w:left="420" w:left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（1）供应商必须就“采购需求”中所竞标的每个分标的全部内容分别作完整唯一总价报价，</w:t>
      </w:r>
    </w:p>
    <w:p w14:paraId="1534B679">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不得存在漏项报价；</w:t>
      </w:r>
    </w:p>
    <w:p w14:paraId="2248F801">
      <w:pPr>
        <w:numPr>
          <w:ilvl w:val="0"/>
          <w:numId w:val="1"/>
        </w:num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供应商必须就所竞标的分标的单项内容作唯一报价。</w:t>
      </w:r>
    </w:p>
    <w:p w14:paraId="645F131B">
      <w:pPr>
        <w:numPr>
          <w:ilvl w:val="0"/>
          <w:numId w:val="1"/>
        </w:num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供应商竞标报价（含总报价和单项报价）如明显低于其他通过符合性审查供应商的报价，有可能不能诚信履约的，磋商小组可</w:t>
      </w:r>
      <w:r>
        <w:rPr>
          <w:rFonts w:hint="eastAsia" w:ascii="宋体" w:hAnsi="宋体" w:eastAsia="宋体" w:cs="宋体"/>
          <w:color w:val="000000" w:themeColor="text1"/>
          <w:sz w:val="22"/>
          <w:szCs w:val="22"/>
          <w:highlight w:val="none"/>
          <w14:textFill>
            <w14:solidFill>
              <w14:schemeClr w14:val="tx1"/>
            </w14:solidFill>
          </w14:textFill>
        </w:rPr>
        <w:t>要求其在评标现场合理的时间内提供书面说明</w:t>
      </w:r>
      <w:r>
        <w:rPr>
          <w:rFonts w:hint="eastAsia" w:ascii="宋体" w:hAnsi="宋体" w:eastAsia="宋体" w:cs="宋体"/>
          <w:color w:val="000000" w:themeColor="text1"/>
          <w:szCs w:val="21"/>
          <w:highlight w:val="none"/>
          <w14:textFill>
            <w14:solidFill>
              <w14:schemeClr w14:val="tx1"/>
            </w14:solidFill>
          </w14:textFill>
        </w:rPr>
        <w:t>。如无法提供说明，或者说明不足以证明合理性的，经磋商小组评定，响应文件按无效处理。</w:t>
      </w:r>
    </w:p>
    <w:p w14:paraId="2E6CDD5C">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15.4.2竞标报价（包含首次报价、最后报价）超过所竞标分标规定的采购预算金额或者最高限价的，其响应文件将按无效处理。</w:t>
      </w:r>
    </w:p>
    <w:p w14:paraId="2174D124">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15.4.3</w:t>
      </w:r>
      <w:bookmarkStart w:id="59" w:name="_Hlk42592874"/>
      <w:r>
        <w:rPr>
          <w:rFonts w:hint="eastAsia" w:ascii="宋体" w:hAnsi="宋体" w:eastAsia="宋体" w:cs="宋体"/>
          <w:color w:val="000000" w:themeColor="text1"/>
          <w:szCs w:val="21"/>
          <w:highlight w:val="none"/>
          <w14:textFill>
            <w14:solidFill>
              <w14:schemeClr w14:val="tx1"/>
            </w14:solidFill>
          </w14:textFill>
        </w:rPr>
        <w:t>竞标报价（包含首次报价、最后报价）超过分项采购预算金额或者最高限价的（如有要求），其响应文件将按无效处理。</w:t>
      </w:r>
    </w:p>
    <w:p w14:paraId="198806D5">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15.4.4供应商在提交响应文件截止时间前修改竞标函中的竞标总报价，应同时修改响应文件“已标价工程量清单”(如有)中的相应报价。此修改须符合本须知正文第20条、第21条的有关要求。</w:t>
      </w:r>
    </w:p>
    <w:bookmarkEnd w:id="59"/>
    <w:p w14:paraId="127AC810">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16.竞标有效期</w:t>
      </w:r>
    </w:p>
    <w:p w14:paraId="0B59C783">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16.1竞标有效期是指为保证采购人有足够的时间在提交响应文件后完成评审、确定成交供应商、合同签订等工作而要求供应商提交的响应文件在一定时间内保持有效的期限。</w:t>
      </w:r>
    </w:p>
    <w:p w14:paraId="0E479AD3">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16.2 竞标有效期应由供应商按“供应商须知前附表”规定的期限作出响应。</w:t>
      </w:r>
    </w:p>
    <w:p w14:paraId="6C0B46E6">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16.3供应商的响应文件在竞标有效期内均保持有效。</w:t>
      </w:r>
    </w:p>
    <w:p w14:paraId="07ABD2E1">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17.磋商保证金</w:t>
      </w:r>
    </w:p>
    <w:p w14:paraId="65C5B5D0">
      <w:pPr>
        <w:spacing w:line="360" w:lineRule="auto"/>
        <w:ind w:left="420" w:left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17.1供应商须按“供应商须知前附表”的规定提交磋商保证金。</w:t>
      </w:r>
    </w:p>
    <w:p w14:paraId="6CDCCF9E">
      <w:pPr>
        <w:spacing w:line="360" w:lineRule="auto"/>
        <w:ind w:left="420" w:left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17.2磋商保证金的退还</w:t>
      </w:r>
    </w:p>
    <w:p w14:paraId="6E15BF2E">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bookmarkStart w:id="60" w:name="_Hlk66782243"/>
      <w:r>
        <w:rPr>
          <w:rFonts w:hint="eastAsia" w:ascii="宋体" w:hAnsi="宋体" w:eastAsia="宋体" w:cs="宋体"/>
          <w:color w:val="000000" w:themeColor="text1"/>
          <w:szCs w:val="21"/>
          <w:highlight w:val="none"/>
          <w14:textFill>
            <w14:solidFill>
              <w14:schemeClr w14:val="tx1"/>
            </w14:solidFill>
          </w14:textFill>
        </w:rPr>
        <w:t>未成交供应商的磋商保证金自成交通知书发出之日起5个工作日内退还；成交供应商的磋商保证金自签订合同之日起5个工作日内退还或者转为成交供应商的履约保证金。</w:t>
      </w:r>
      <w:bookmarkEnd w:id="60"/>
    </w:p>
    <w:p w14:paraId="53543F5F">
      <w:pPr>
        <w:spacing w:line="360" w:lineRule="auto"/>
        <w:ind w:left="420" w:left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17.3磋商保证金不计息。</w:t>
      </w:r>
    </w:p>
    <w:p w14:paraId="620FFC7F">
      <w:pPr>
        <w:spacing w:line="360" w:lineRule="auto"/>
        <w:ind w:left="420" w:left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17.4供应商有下列情形之一的，磋商保证金将不予退还： </w:t>
      </w:r>
    </w:p>
    <w:p w14:paraId="1A567DF0">
      <w:pPr>
        <w:spacing w:line="360" w:lineRule="auto"/>
        <w:ind w:left="420" w:left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（1）供应商在提交响应文件截止时间后撤回响应文件的；</w:t>
      </w:r>
    </w:p>
    <w:p w14:paraId="032A25F3">
      <w:pPr>
        <w:spacing w:line="360" w:lineRule="auto"/>
        <w:ind w:left="420" w:left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（2）未按规定提交履约保证金的；</w:t>
      </w:r>
    </w:p>
    <w:p w14:paraId="02FE92E1">
      <w:pPr>
        <w:spacing w:line="360" w:lineRule="auto"/>
        <w:ind w:left="420" w:left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（3）供应商在响应文件中提供虚假材料的；</w:t>
      </w:r>
    </w:p>
    <w:p w14:paraId="7B556CAC">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（4）除因不可抗力或者磋商文件认可的情形以外，成交供应商不与采购人签订合同的；</w:t>
      </w:r>
    </w:p>
    <w:p w14:paraId="1736F666">
      <w:pPr>
        <w:spacing w:line="360" w:lineRule="auto"/>
        <w:ind w:left="420" w:left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（5）供应商与采购人、其他供应商或者采购代理机构恶意串通的；</w:t>
      </w:r>
    </w:p>
    <w:p w14:paraId="329752E4">
      <w:pPr>
        <w:spacing w:line="360" w:lineRule="auto"/>
        <w:ind w:left="420" w:left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（6）法律法规规定的其他情形。</w:t>
      </w:r>
    </w:p>
    <w:p w14:paraId="7253B244">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18.响应文件编制的要求</w:t>
      </w:r>
    </w:p>
    <w:p w14:paraId="0FEAD8D0">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18.1供应商应先安装“广西政府采购云电子交易客户端”（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14:paraId="3F8C4BA6">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18.2为确保网上操作合法、有效和安全，供应商应当在提交响应文件截止时间前完成在广西政府采购云平台的身份认证，确保在电子竞标过程中能够对相关数据电文进行加密和使用电子签章。</w:t>
      </w:r>
    </w:p>
    <w:p w14:paraId="043EFFF7">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18.3响应文件须由供应商在规定位置签字、盖章（具体以供应商须知前附表或响应文件格式规定为准），否则按无效响应处理。</w:t>
      </w:r>
    </w:p>
    <w:p w14:paraId="7FEE6657">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18.4响应文件中标注的供应商名称应与主体资格证明（如营业执照或者事业单位法人证书或者执业许可证或者登记证书等）及公章一致，否则其响应文件按无效处理。</w:t>
      </w:r>
    </w:p>
    <w:p w14:paraId="77D91FF9">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5FAC83C6">
      <w:pPr>
        <w:spacing w:line="360" w:lineRule="auto"/>
        <w:ind w:firstLine="482"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19.电子</w:t>
      </w:r>
      <w:r>
        <w:rPr>
          <w:rFonts w:hint="eastAsia" w:ascii="宋体" w:hAnsi="宋体" w:eastAsia="宋体" w:cs="宋体"/>
          <w:b/>
          <w:color w:val="000000" w:themeColor="text1"/>
          <w:sz w:val="24"/>
          <w:highlight w:val="none"/>
          <w14:textFill>
            <w14:solidFill>
              <w14:schemeClr w14:val="tx1"/>
            </w14:solidFill>
          </w14:textFill>
        </w:rPr>
        <w:t>备份响应文件</w:t>
      </w:r>
    </w:p>
    <w:p w14:paraId="7848278E">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电子备份响应文件是指通过“广西政府采购云电子投标客户端”在线编制生成且后缀名为“bfbs”的文件，是否接受电子备份响应文件</w:t>
      </w:r>
      <w:r>
        <w:rPr>
          <w:rFonts w:hint="eastAsia" w:ascii="宋体" w:hAnsi="宋体" w:eastAsia="宋体" w:cs="宋体"/>
          <w:bCs/>
          <w:color w:val="000000" w:themeColor="text1"/>
          <w:szCs w:val="21"/>
          <w:highlight w:val="none"/>
          <w14:textFill>
            <w14:solidFill>
              <w14:schemeClr w14:val="tx1"/>
            </w14:solidFill>
          </w14:textFill>
        </w:rPr>
        <w:t>详见在“供应商须知前附表”。</w:t>
      </w:r>
    </w:p>
    <w:p w14:paraId="0322709F">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20.响应文件的提交</w:t>
      </w:r>
    </w:p>
    <w:p w14:paraId="5B4724F4">
      <w:pPr>
        <w:spacing w:line="360" w:lineRule="auto"/>
        <w:ind w:firstLine="420" w:firstLineChars="200"/>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20.1供应商必须按“供应商须知前附表”规定的</w:t>
      </w:r>
      <w:r>
        <w:rPr>
          <w:rFonts w:hint="eastAsia" w:ascii="宋体" w:hAnsi="宋体" w:eastAsia="宋体" w:cs="宋体"/>
          <w:color w:val="000000" w:themeColor="text1"/>
          <w:szCs w:val="21"/>
          <w:highlight w:val="none"/>
          <w14:textFill>
            <w14:solidFill>
              <w14:schemeClr w14:val="tx1"/>
            </w14:solidFill>
          </w14:textFill>
        </w:rPr>
        <w:t>时间及</w:t>
      </w:r>
      <w:r>
        <w:rPr>
          <w:rFonts w:hint="eastAsia" w:ascii="宋体" w:hAnsi="宋体" w:eastAsia="宋体" w:cs="宋体"/>
          <w:bCs/>
          <w:color w:val="000000" w:themeColor="text1"/>
          <w:szCs w:val="21"/>
          <w:highlight w:val="none"/>
          <w14:textFill>
            <w14:solidFill>
              <w14:schemeClr w14:val="tx1"/>
            </w14:solidFill>
          </w14:textFill>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eastAsia="宋体" w:cs="宋体"/>
          <w:color w:val="000000" w:themeColor="text1"/>
          <w:szCs w:val="21"/>
          <w:highlight w:val="none"/>
          <w14:textFill>
            <w14:solidFill>
              <w14:schemeClr w14:val="tx1"/>
            </w14:solidFill>
          </w14:textFill>
        </w:rPr>
        <w:t>广西政府采购云平台</w:t>
      </w:r>
      <w:r>
        <w:rPr>
          <w:rFonts w:hint="eastAsia" w:ascii="宋体" w:hAnsi="宋体" w:eastAsia="宋体" w:cs="宋体"/>
          <w:bCs/>
          <w:color w:val="000000" w:themeColor="text1"/>
          <w:szCs w:val="21"/>
          <w:highlight w:val="none"/>
          <w14:textFill>
            <w14:solidFill>
              <w14:schemeClr w14:val="tx1"/>
            </w14:solidFill>
          </w14:textFill>
        </w:rPr>
        <w:t>。</w:t>
      </w:r>
    </w:p>
    <w:p w14:paraId="53619064">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20.2未在规定时间内提交或者未按照磋商文件要求加密的电子响应文件，广西政府采购云平台将拒收。</w:t>
      </w:r>
    </w:p>
    <w:p w14:paraId="60ED1E73">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21.首次响应文件的补充、修改与撤回</w:t>
      </w:r>
    </w:p>
    <w:p w14:paraId="03B5FE9E">
      <w:pPr>
        <w:spacing w:line="360" w:lineRule="auto"/>
        <w:ind w:firstLine="420" w:firstLineChars="200"/>
        <w:rPr>
          <w:rFonts w:hint="eastAsia" w:ascii="宋体" w:hAnsi="宋体" w:eastAsia="宋体" w:cs="宋体"/>
          <w:bCs/>
          <w:color w:val="000000" w:themeColor="text1"/>
          <w:szCs w:val="21"/>
          <w:highlight w:val="none"/>
          <w14:textFill>
            <w14:solidFill>
              <w14:schemeClr w14:val="tx1"/>
            </w14:solidFill>
          </w14:textFill>
        </w:rPr>
      </w:pPr>
      <w:bookmarkStart w:id="61" w:name="_Toc254970543"/>
      <w:bookmarkStart w:id="62" w:name="_Toc254970684"/>
      <w:r>
        <w:rPr>
          <w:rFonts w:hint="eastAsia" w:ascii="宋体" w:hAnsi="宋体" w:eastAsia="宋体" w:cs="宋体"/>
          <w:bCs/>
          <w:color w:val="000000" w:themeColor="text1"/>
          <w:szCs w:val="21"/>
          <w:highlight w:val="none"/>
          <w14:textFill>
            <w14:solidFill>
              <w14:schemeClr w14:val="tx1"/>
            </w14:solidFill>
          </w14:textFill>
        </w:rPr>
        <w:t>21.1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注：补充、修改或者撤回方式可登录广西政府采购云平台，进入“服务中心”中查看“电子投标文件制作与投送教程”）</w:t>
      </w:r>
    </w:p>
    <w:bookmarkEnd w:id="61"/>
    <w:bookmarkEnd w:id="62"/>
    <w:p w14:paraId="77F5A8E5">
      <w:pPr>
        <w:pStyle w:val="159"/>
        <w:spacing w:before="0"/>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21.2在提交响应文件截止时间前，除供应商补充、修改或者撤回响应文件外，任何单位和个人不得解密或提取响应文件。</w:t>
      </w:r>
    </w:p>
    <w:p w14:paraId="265D4D8F">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bookmarkStart w:id="63" w:name="_Hlk45702405"/>
      <w:r>
        <w:rPr>
          <w:rFonts w:hint="eastAsia" w:ascii="宋体" w:hAnsi="宋体" w:eastAsia="宋体" w:cs="宋体"/>
          <w:b/>
          <w:bCs/>
          <w:color w:val="000000" w:themeColor="text1"/>
          <w:sz w:val="24"/>
          <w:highlight w:val="none"/>
          <w14:textFill>
            <w14:solidFill>
              <w14:schemeClr w14:val="tx1"/>
            </w14:solidFill>
          </w14:textFill>
        </w:rPr>
        <w:t>22.响应文件的退回</w:t>
      </w:r>
    </w:p>
    <w:p w14:paraId="64751DDF">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采购人和采购代理机构对已提交的响应文件概不退回。</w:t>
      </w:r>
    </w:p>
    <w:p w14:paraId="7C07D351">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23.截止时间后的撤回</w:t>
      </w:r>
    </w:p>
    <w:p w14:paraId="5342CC6D">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供应商在响应文件提交截止时间后向采购人、采购代理机构书面申请撤回响应文件的，将根据本须知正文第17.4条的规定不予退还其磋商保证金。</w:t>
      </w:r>
    </w:p>
    <w:bookmarkEnd w:id="63"/>
    <w:p w14:paraId="44A95122">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2E9A4F88">
      <w:pPr>
        <w:pStyle w:val="3"/>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eastAsia="宋体" w:cs="Times New Roman"/>
          <w:color w:val="000000" w:themeColor="text1"/>
          <w:highlight w:val="none"/>
          <w14:textFill>
            <w14:solidFill>
              <w14:schemeClr w14:val="tx1"/>
            </w14:solidFill>
          </w14:textFill>
        </w:rPr>
      </w:pPr>
      <w:r>
        <w:rPr>
          <w:rFonts w:hint="eastAsia" w:eastAsia="宋体" w:cs="Times New Roman"/>
          <w:color w:val="000000" w:themeColor="text1"/>
          <w:highlight w:val="none"/>
          <w14:textFill>
            <w14:solidFill>
              <w14:schemeClr w14:val="tx1"/>
            </w14:solidFill>
          </w14:textFill>
        </w:rPr>
        <w:t>四、评审及磋商</w:t>
      </w:r>
    </w:p>
    <w:p w14:paraId="70E9E780">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58630432">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24.磋商小组成立</w:t>
      </w:r>
    </w:p>
    <w:p w14:paraId="69A4E52D">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w:t>
      </w:r>
    </w:p>
    <w:p w14:paraId="75F8E894">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8FF71EB">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24.3</w:t>
      </w:r>
      <w:r>
        <w:rPr>
          <w:rFonts w:hint="eastAsia" w:ascii="宋体" w:hAnsi="宋体" w:eastAsia="宋体" w:cs="宋体"/>
          <w:bCs/>
          <w:color w:val="000000" w:themeColor="text1"/>
          <w:szCs w:val="21"/>
          <w:highlight w:val="none"/>
          <w14:textFill>
            <w14:solidFill>
              <w14:schemeClr w14:val="tx1"/>
            </w14:solidFill>
          </w14:textFill>
        </w:rPr>
        <w:t>采购代理机构</w:t>
      </w:r>
      <w:r>
        <w:rPr>
          <w:rFonts w:hint="eastAsia" w:ascii="宋体" w:hAnsi="宋体" w:eastAsia="宋体" w:cs="宋体"/>
          <w:bCs/>
          <w:color w:val="000000" w:themeColor="text1"/>
          <w:highlight w:val="none"/>
          <w14:textFill>
            <w14:solidFill>
              <w14:schemeClr w14:val="tx1"/>
            </w14:solidFill>
          </w14:textFill>
        </w:rPr>
        <w:t>应当</w:t>
      </w:r>
      <w:r>
        <w:rPr>
          <w:rFonts w:hint="eastAsia" w:ascii="宋体" w:hAnsi="宋体" w:eastAsia="宋体" w:cs="宋体"/>
          <w:bCs/>
          <w:color w:val="000000" w:themeColor="text1"/>
          <w:szCs w:val="21"/>
          <w:highlight w:val="none"/>
          <w14:textFill>
            <w14:solidFill>
              <w14:schemeClr w14:val="tx1"/>
            </w14:solidFill>
          </w14:textFill>
        </w:rPr>
        <w:t>基于广西政府采购云平台</w:t>
      </w:r>
      <w:r>
        <w:rPr>
          <w:rFonts w:hint="eastAsia" w:ascii="宋体" w:hAnsi="宋体" w:eastAsia="宋体" w:cs="宋体"/>
          <w:bCs/>
          <w:color w:val="000000" w:themeColor="text1"/>
          <w:highlight w:val="none"/>
          <w14:textFill>
            <w14:solidFill>
              <w14:schemeClr w14:val="tx1"/>
            </w14:solidFill>
          </w14:textFill>
        </w:rPr>
        <w:t>抽（选）取</w:t>
      </w:r>
      <w:r>
        <w:rPr>
          <w:rFonts w:hint="eastAsia" w:ascii="宋体" w:hAnsi="宋体" w:eastAsia="宋体" w:cs="宋体"/>
          <w:bCs/>
          <w:color w:val="000000" w:themeColor="text1"/>
          <w:szCs w:val="21"/>
          <w:highlight w:val="none"/>
          <w14:textFill>
            <w14:solidFill>
              <w14:schemeClr w14:val="tx1"/>
            </w14:solidFill>
          </w14:textFill>
        </w:rPr>
        <w:t>评审专家。</w:t>
      </w:r>
    </w:p>
    <w:p w14:paraId="2AC243D3">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25.首次响应文件的开启和解密</w:t>
      </w:r>
    </w:p>
    <w:p w14:paraId="79B0CE5D">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采购代理机构将在“供应商须知前附表”规定的时</w:t>
      </w:r>
      <w:r>
        <w:rPr>
          <w:rFonts w:hint="eastAsia" w:ascii="宋体" w:hAnsi="宋体" w:eastAsia="宋体" w:cs="宋体"/>
          <w:color w:val="000000" w:themeColor="text1"/>
          <w:highlight w:val="none"/>
          <w14:textFill>
            <w14:solidFill>
              <w14:schemeClr w14:val="tx1"/>
            </w14:solidFill>
          </w14:textFill>
        </w:rPr>
        <w:t>间通过电子交易平台组织响应文件开启，供应商的法定代表人或其委托代理人须携带加密时所用的CA锁，按平台提示和磋商文件的规定登录到广西政府采购云平台电子开标大厅签到，采购代理机构依托广西政府采购云平台向各供应商发出电子加密响应文件【开始解密】通知，由供应商按</w:t>
      </w:r>
      <w:r>
        <w:rPr>
          <w:rFonts w:hint="eastAsia" w:ascii="宋体" w:hAnsi="宋体" w:eastAsia="宋体" w:cs="宋体"/>
          <w:bCs/>
          <w:color w:val="000000" w:themeColor="text1"/>
          <w:szCs w:val="21"/>
          <w:highlight w:val="none"/>
          <w14:textFill>
            <w14:solidFill>
              <w14:schemeClr w14:val="tx1"/>
            </w14:solidFill>
          </w14:textFill>
        </w:rPr>
        <w:t>“供应商须知前附表”</w:t>
      </w:r>
      <w:r>
        <w:rPr>
          <w:rFonts w:hint="eastAsia" w:ascii="宋体" w:hAnsi="宋体" w:eastAsia="宋体" w:cs="宋体"/>
          <w:color w:val="000000" w:themeColor="text1"/>
          <w:highlight w:val="none"/>
          <w14:textFill>
            <w14:solidFill>
              <w14:schemeClr w14:val="tx1"/>
            </w14:solidFill>
          </w14:textFill>
        </w:rPr>
        <w:t>规定的时间内自行进行响应文件解密。</w:t>
      </w:r>
      <w:r>
        <w:rPr>
          <w:rFonts w:hint="eastAsia" w:ascii="宋体" w:hAnsi="宋体" w:eastAsia="宋体" w:cs="宋体"/>
          <w:b/>
          <w:color w:val="000000" w:themeColor="text1"/>
          <w:highlight w:val="none"/>
          <w14:textFill>
            <w14:solidFill>
              <w14:schemeClr w14:val="tx1"/>
            </w14:solidFill>
          </w14:textFill>
        </w:rPr>
        <w:t>供应商未在规定的时间内解密响应文件或者解密失败的，供应商</w:t>
      </w:r>
      <w:r>
        <w:rPr>
          <w:rFonts w:hint="eastAsia" w:ascii="宋体" w:hAnsi="宋体" w:eastAsia="宋体" w:cs="宋体"/>
          <w:b/>
          <w:color w:val="000000" w:themeColor="text1"/>
          <w:szCs w:val="21"/>
          <w:highlight w:val="none"/>
          <w14:textFill>
            <w14:solidFill>
              <w14:schemeClr w14:val="tx1"/>
            </w14:solidFill>
          </w14:textFill>
        </w:rPr>
        <w:t>的响应文件按无效处理</w:t>
      </w:r>
      <w:r>
        <w:rPr>
          <w:rFonts w:hint="eastAsia" w:ascii="宋体" w:hAnsi="宋体" w:eastAsia="宋体" w:cs="宋体"/>
          <w:b/>
          <w:color w:val="000000" w:themeColor="text1"/>
          <w:highlight w:val="none"/>
          <w14:textFill>
            <w14:solidFill>
              <w14:schemeClr w14:val="tx1"/>
            </w14:solidFill>
          </w14:textFill>
        </w:rPr>
        <w:t>。</w:t>
      </w:r>
    </w:p>
    <w:p w14:paraId="0EE9C863">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26.评审程序、评审方法和评审标准</w:t>
      </w:r>
    </w:p>
    <w:p w14:paraId="39B94885">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26.1本项目的评审方法为综合评分法。</w:t>
      </w:r>
    </w:p>
    <w:p w14:paraId="141FE5E5">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26.2磋商小组按照“第四章 评审程序、评审方法和评审标准”规定的方法、评审因素、标准和程序对响应文件进行评审并推荐成交候选供应商。</w:t>
      </w:r>
    </w:p>
    <w:p w14:paraId="26C331EC">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26.3 商务/技术要求允许负偏离的条款数详见“供应商须知前附表”。</w:t>
      </w:r>
    </w:p>
    <w:p w14:paraId="295EF943">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26.4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3B8D409A">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26.5电子交易活动的中止。采购过程中出现以下情形，导致电子交易平台无法正常运行，或者无法保证电子交易的公平、公正和安全时，采购机构可中止电子交易活动：</w:t>
      </w:r>
    </w:p>
    <w:p w14:paraId="34F435CD">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（1）电子交易平台发生故障而无法登录访问的；</w:t>
      </w:r>
    </w:p>
    <w:p w14:paraId="17C0DBDB">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（2）电子交易平台应用或数据库出现错误，不能进行正常操作的；</w:t>
      </w:r>
    </w:p>
    <w:p w14:paraId="5CBF26FD">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（3）电子交易平台发现严重安全漏洞，有潜在泄密危险的；</w:t>
      </w:r>
    </w:p>
    <w:p w14:paraId="2C47AE39">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（4）病毒发作导致不能进行正常操作的；</w:t>
      </w:r>
    </w:p>
    <w:p w14:paraId="54F39347">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（5）其他无法保证电子交易的公平、公正和安全的情况。</w:t>
      </w:r>
    </w:p>
    <w:p w14:paraId="1F65EB14">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23F82167">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27.确定成交供应商及结果公告</w:t>
      </w:r>
    </w:p>
    <w:p w14:paraId="01263CAC">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27.1采购代理机构应当在评审结束后2个工作日内将评审报告送采购人确认。采购人应当在收到评审报告后2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32F23434">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27.2采购代理机构应当在</w:t>
      </w:r>
      <w:r>
        <w:rPr>
          <w:rFonts w:hint="eastAsia" w:ascii="宋体" w:hAnsi="宋体" w:eastAsia="宋体" w:cs="宋体"/>
          <w:color w:val="000000" w:themeColor="text1"/>
          <w:kern w:val="0"/>
          <w:szCs w:val="21"/>
          <w:highlight w:val="none"/>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64" w:name="_Hlk66782294"/>
      <w:r>
        <w:rPr>
          <w:rFonts w:hint="eastAsia" w:ascii="宋体" w:hAnsi="宋体" w:eastAsia="宋体" w:cs="宋体"/>
          <w:color w:val="000000" w:themeColor="text1"/>
          <w:szCs w:val="21"/>
          <w:highlight w:val="none"/>
          <w14:textFill>
            <w14:solidFill>
              <w14:schemeClr w14:val="tx1"/>
            </w14:solidFill>
          </w14:textFill>
        </w:rPr>
        <w:t>成交供应商享受《政府采购促进中小企业发展管理办法》（财库〔2020〕46号）规定的中小企业扶持政策的，采购人、采购代理机构应当随成交结果公开成交供应商的《中小企业声明函》。</w:t>
      </w:r>
      <w:bookmarkEnd w:id="64"/>
    </w:p>
    <w:p w14:paraId="10C97EB2">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27.3出现下列情形之一的，采购人或者采购代理机构应当终止竞争性磋商采购活动，发布项目终止公告并说明原因，重新开展采购活动：</w:t>
      </w:r>
    </w:p>
    <w:p w14:paraId="1D0E1C70">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（1）因情况变化，不再符合规定的竞争性磋商采购方式适用情形的；</w:t>
      </w:r>
    </w:p>
    <w:p w14:paraId="4165C57F">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（2）出现影响采购公正的违法、违规行为的；</w:t>
      </w:r>
    </w:p>
    <w:p w14:paraId="7856824C">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（3）除“第四章 评审程序、评审方法和评审标准”第4.3条规定的情形外，在采购过程中符合要求的供应商或者报价未超过采购预算的供应商不足3家的。</w:t>
      </w:r>
    </w:p>
    <w:p w14:paraId="29D18802">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27.4 在采购活动中因重大变故，采购任务取消的，采购人或者采购代理机构应当终止采购活动，通知所有参加采购活动的供应商，并将项目实施情况和采购任务取消原因报送本级财政部门。</w:t>
      </w:r>
    </w:p>
    <w:p w14:paraId="665B8BDE">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28.履约保证金</w:t>
      </w:r>
    </w:p>
    <w:p w14:paraId="6111A700">
      <w:pPr>
        <w:spacing w:line="360" w:lineRule="auto"/>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28.1履约保证金的金额、提交方式、退付的时间和条件详见 “供应商须知前附表”。成交供应商未按规定提交履约保证金的，视为拒绝</w:t>
      </w:r>
      <w:r>
        <w:rPr>
          <w:rFonts w:hint="eastAsia" w:ascii="宋体" w:hAnsi="宋体" w:eastAsia="宋体" w:cs="宋体"/>
          <w:color w:val="000000" w:themeColor="text1"/>
          <w:highlight w:val="none"/>
          <w14:textFill>
            <w14:solidFill>
              <w14:schemeClr w14:val="tx1"/>
            </w14:solidFill>
          </w14:textFill>
        </w:rPr>
        <w:t>与采购人</w:t>
      </w:r>
      <w:r>
        <w:rPr>
          <w:rFonts w:hint="eastAsia" w:ascii="宋体" w:hAnsi="宋体" w:eastAsia="宋体" w:cs="宋体"/>
          <w:color w:val="000000" w:themeColor="text1"/>
          <w:szCs w:val="21"/>
          <w:highlight w:val="none"/>
          <w14:textFill>
            <w14:solidFill>
              <w14:schemeClr w14:val="tx1"/>
            </w14:solidFill>
          </w14:textFill>
        </w:rPr>
        <w:t>签订合同。</w:t>
      </w:r>
    </w:p>
    <w:p w14:paraId="7D40A5A7">
      <w:pPr>
        <w:spacing w:line="360" w:lineRule="auto"/>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28.2在履约保证金退还日期前，若成交供应商的开户名称、开户银行、账号有变动的，请以书面形式通知履约保证金收取单位，否则由此产生的后果由成交供应商自行承担。</w:t>
      </w:r>
    </w:p>
    <w:p w14:paraId="34200522">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29.签订合同</w:t>
      </w:r>
    </w:p>
    <w:p w14:paraId="4B71C0CB">
      <w:pPr>
        <w:spacing w:line="360" w:lineRule="auto"/>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29.1签订电子采购合同：成交供应商领取电子成交通知书后，在</w:t>
      </w:r>
      <w:r>
        <w:rPr>
          <w:rFonts w:hint="eastAsia" w:ascii="宋体" w:hAnsi="宋体" w:eastAsia="宋体" w:cs="宋体"/>
          <w:color w:val="000000" w:themeColor="text1"/>
          <w:szCs w:val="21"/>
          <w:highlight w:val="none"/>
          <w:lang w:val="zh-CN"/>
          <w14:textFill>
            <w14:solidFill>
              <w14:schemeClr w14:val="tx1"/>
            </w14:solidFill>
          </w14:textFill>
        </w:rPr>
        <w:t>规定的日期、时间、地点，由法定代表人或其授权代表与采购人代表签订电子采购合同。如成交供应商为联合体的，由联合体成员各方法定代表人或其授权代表与采购人代表签订合同。</w:t>
      </w:r>
    </w:p>
    <w:p w14:paraId="65FE049C">
      <w:pPr>
        <w:spacing w:line="360" w:lineRule="auto"/>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线下签订纸质合同：供应商领取成交通知书后，按“供应商须知前附表”规定向采购人出示相关证明材料，经采购人核验合格后方可签订合同。</w:t>
      </w:r>
    </w:p>
    <w:p w14:paraId="5D03BED8">
      <w:pPr>
        <w:spacing w:line="360" w:lineRule="auto"/>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29.2签订合同时间：按成交通知书规定的时间与采购人签订合同。</w:t>
      </w:r>
    </w:p>
    <w:p w14:paraId="73BD4D11">
      <w:pPr>
        <w:spacing w:line="360" w:lineRule="auto"/>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404274E5">
      <w:pPr>
        <w:spacing w:line="360" w:lineRule="auto"/>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08B4870">
      <w:pPr>
        <w:spacing w:line="360" w:lineRule="auto"/>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29.5采购人或成交供应商不得单方面向合同另一方提出任何磋商文件没有约定的条件或不合理的要求，作为签订合同的条件；也不得协商另行订立背离磋商文件和合同实质性内容的协议。</w:t>
      </w:r>
    </w:p>
    <w:p w14:paraId="0A66C2F6">
      <w:pPr>
        <w:spacing w:line="360" w:lineRule="auto"/>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29.6如签订合同并生效后，供应商无故拒绝或延期，除按照合同条款处理外，将承担相应的法律责任。</w:t>
      </w:r>
    </w:p>
    <w:p w14:paraId="23521BC7">
      <w:pPr>
        <w:spacing w:line="360" w:lineRule="auto"/>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200074EA">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30.政府采购合同公告</w:t>
      </w:r>
    </w:p>
    <w:p w14:paraId="4C9203C2">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18A6FFA6">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31. 询问、质疑和投诉</w:t>
      </w:r>
    </w:p>
    <w:p w14:paraId="59AA326F">
      <w:pPr>
        <w:pStyle w:val="7"/>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31.1供应商对政府采购活动事项有疑问的，可以向采购人、采购代理机构提出询问，采购人或者采购代理机构应当在3个工作日内对供应商依法提出的询问作出答复，</w:t>
      </w:r>
      <w:r>
        <w:rPr>
          <w:rFonts w:hint="eastAsia" w:ascii="宋体" w:hAnsi="宋体" w:eastAsia="宋体" w:cs="宋体"/>
          <w:color w:val="000000" w:themeColor="text1"/>
          <w:szCs w:val="21"/>
          <w:highlight w:val="none"/>
          <w14:textFill>
            <w14:solidFill>
              <w14:schemeClr w14:val="tx1"/>
            </w14:solidFill>
          </w14:textFill>
        </w:rPr>
        <w:t>但答复的内容不得涉及商业秘密</w:t>
      </w:r>
      <w:r>
        <w:rPr>
          <w:rFonts w:hint="eastAsia" w:ascii="宋体" w:hAnsi="宋体" w:eastAsia="宋体" w:cs="宋体"/>
          <w:color w:val="000000" w:themeColor="text1"/>
          <w:highlight w:val="none"/>
          <w14:textFill>
            <w14:solidFill>
              <w14:schemeClr w14:val="tx1"/>
            </w14:solidFill>
          </w14:textFill>
        </w:rPr>
        <w:t>。</w:t>
      </w:r>
    </w:p>
    <w:p w14:paraId="715DAFD4">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宋体"/>
          <w:color w:val="000000" w:themeColor="text1"/>
          <w:highlight w:val="none"/>
          <w:shd w:val="clear" w:color="auto" w:fill="FFFFFF"/>
          <w14:textFill>
            <w14:solidFill>
              <w14:schemeClr w14:val="tx1"/>
            </w14:solidFill>
          </w14:textFill>
        </w:rPr>
        <w:t>接收质疑函的方式、联系部门、联系电话和通讯地址等信息详见</w:t>
      </w:r>
      <w:r>
        <w:rPr>
          <w:rFonts w:hint="eastAsia" w:ascii="宋体" w:hAnsi="宋体" w:eastAsia="宋体" w:cs="宋体"/>
          <w:color w:val="000000" w:themeColor="text1"/>
          <w:szCs w:val="21"/>
          <w:highlight w:val="none"/>
          <w14:textFill>
            <w14:solidFill>
              <w14:schemeClr w14:val="tx1"/>
            </w14:solidFill>
          </w14:textFill>
        </w:rPr>
        <w:t>“供应商须知前附表”</w:t>
      </w:r>
      <w:r>
        <w:rPr>
          <w:rFonts w:hint="eastAsia" w:ascii="宋体" w:hAnsi="宋体" w:eastAsia="宋体" w:cs="宋体"/>
          <w:color w:val="000000" w:themeColor="text1"/>
          <w:highlight w:val="none"/>
          <w14:textFill>
            <w14:solidFill>
              <w14:schemeClr w14:val="tx1"/>
            </w14:solidFill>
          </w14:textFill>
        </w:rPr>
        <w:t>。具体质疑起算时间如下：</w:t>
      </w:r>
    </w:p>
    <w:p w14:paraId="322F3A3F">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（1）对可以质疑的磋商文件提出质疑的，为获取磋商文件之日或者竞争性磋商公告期限届满之日；</w:t>
      </w:r>
    </w:p>
    <w:p w14:paraId="58DA61D2">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（2）对采购过程提出质疑的，为各采购程序环节结束之日；</w:t>
      </w:r>
    </w:p>
    <w:p w14:paraId="4CE79473">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（3）对成交结果提出质疑的，为成交结果公告期限届满之日。</w:t>
      </w:r>
    </w:p>
    <w:p w14:paraId="6B36CD7A">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3075A906">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31.4 供应商提出质疑应当提交质疑函和必要的证明材料，针对同一采购程序环节的质疑必须在法定质疑期内一次性提出。质疑函应当包括下列内容</w:t>
      </w:r>
      <w:r>
        <w:rPr>
          <w:rFonts w:hint="eastAsia" w:ascii="宋体" w:hAnsi="宋体" w:eastAsia="宋体" w:cs="宋体"/>
          <w:bCs/>
          <w:color w:val="000000" w:themeColor="text1"/>
          <w:highlight w:val="none"/>
          <w14:textFill>
            <w14:solidFill>
              <w14:schemeClr w14:val="tx1"/>
            </w14:solidFill>
          </w14:textFill>
        </w:rPr>
        <w:t>（质疑函格式后附）</w:t>
      </w:r>
      <w:r>
        <w:rPr>
          <w:rFonts w:hint="eastAsia" w:ascii="宋体" w:hAnsi="宋体" w:eastAsia="宋体" w:cs="宋体"/>
          <w:color w:val="000000" w:themeColor="text1"/>
          <w:highlight w:val="none"/>
          <w14:textFill>
            <w14:solidFill>
              <w14:schemeClr w14:val="tx1"/>
            </w14:solidFill>
          </w14:textFill>
        </w:rPr>
        <w:t>：</w:t>
      </w:r>
    </w:p>
    <w:p w14:paraId="2CE20DA4">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（1）供应商的姓名或者名称、地址、邮编、联系人及联系电话；</w:t>
      </w:r>
    </w:p>
    <w:p w14:paraId="77322AD6">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（2）质疑项目的名称、编号；</w:t>
      </w:r>
    </w:p>
    <w:p w14:paraId="5AA240E9">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（3）具体、明确的质疑事项和与质疑事项相关的请求；</w:t>
      </w:r>
    </w:p>
    <w:p w14:paraId="1DA11D83">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（4）事实依据；</w:t>
      </w:r>
    </w:p>
    <w:p w14:paraId="48F5EF86">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（5）必要的法律依据；</w:t>
      </w:r>
    </w:p>
    <w:p w14:paraId="1DF2C5B8">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（6）提出质疑的日期。</w:t>
      </w:r>
    </w:p>
    <w:p w14:paraId="0597D5C0">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2CEFD92E">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31.5采购人、采购代理机构认为供应商质疑不成立，或者成立但未对成交结果构成影响的，继续开展采购活动；认为供应商质疑成立且影响或者可能影响成交结果的，按照下列情况处理：</w:t>
      </w:r>
    </w:p>
    <w:p w14:paraId="086B768E">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（一）对采购文件提出的质疑，依法通过澄清或者修改可以继续开展采购活动的，澄清或者修改采购文件后继续开展采购活动；否则应当修改采购文件后重新开展采购活动。</w:t>
      </w:r>
    </w:p>
    <w:p w14:paraId="1DAFEBF2">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（二）对采购过程或者成交结果提出的质疑，合格供应商符合法定数量时，可以从合格的成交候选人中另行确定成交供应商的，应当依法另行确定成交供应商；否则应当重新开展采购活动。</w:t>
      </w:r>
    </w:p>
    <w:p w14:paraId="00FB6BE6">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质疑答复导致成交结果改变的，采购人或者采购代理机构应当将有关情况书面报告本级财政部门。</w:t>
      </w:r>
    </w:p>
    <w:p w14:paraId="486706E2">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337FEC03">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32.其他内容</w:t>
      </w:r>
    </w:p>
    <w:p w14:paraId="4D8E0136">
      <w:pPr>
        <w:tabs>
          <w:tab w:val="left" w:pos="2835"/>
        </w:tabs>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32.1代理服务收取标准及缴费账户详见“供应商须知前附表”。</w:t>
      </w:r>
    </w:p>
    <w:p w14:paraId="5BD15174">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33.需要补充的其他内容</w:t>
      </w:r>
    </w:p>
    <w:p w14:paraId="082EAB02">
      <w:pPr>
        <w:pStyle w:val="24"/>
        <w:spacing w:line="360" w:lineRule="auto"/>
        <w:ind w:firstLine="420" w:firstLineChars="200"/>
        <w:textAlignment w:val="center"/>
        <w:rPr>
          <w:rFonts w:hint="eastAsia" w:ascii="宋体" w:hAnsi="宋体" w:eastAsia="宋体" w:cs="宋体"/>
          <w:color w:val="000000" w:themeColor="text1"/>
          <w:kern w:val="2"/>
          <w:sz w:val="21"/>
          <w:highlight w:val="none"/>
          <w14:textFill>
            <w14:solidFill>
              <w14:schemeClr w14:val="tx1"/>
            </w14:solidFill>
          </w14:textFill>
        </w:rPr>
      </w:pPr>
      <w:r>
        <w:rPr>
          <w:rFonts w:hint="eastAsia" w:ascii="宋体" w:hAnsi="宋体" w:eastAsia="宋体" w:cs="宋体"/>
          <w:color w:val="000000" w:themeColor="text1"/>
          <w:kern w:val="2"/>
          <w:sz w:val="21"/>
          <w:highlight w:val="none"/>
          <w14:textFill>
            <w14:solidFill>
              <w14:schemeClr w14:val="tx1"/>
            </w14:solidFill>
          </w14:textFill>
        </w:rPr>
        <w:t>33.1本磋商文件解释规则详见“供应商须知前附表”。</w:t>
      </w:r>
    </w:p>
    <w:p w14:paraId="0163135E">
      <w:pPr>
        <w:pStyle w:val="24"/>
        <w:spacing w:line="360" w:lineRule="auto"/>
        <w:ind w:firstLine="420" w:firstLineChars="200"/>
        <w:textAlignment w:val="center"/>
        <w:rPr>
          <w:rFonts w:hint="eastAsia" w:ascii="宋体" w:hAnsi="宋体" w:eastAsia="宋体" w:cs="宋体"/>
          <w:color w:val="000000" w:themeColor="text1"/>
          <w:kern w:val="2"/>
          <w:sz w:val="21"/>
          <w:highlight w:val="none"/>
          <w14:textFill>
            <w14:solidFill>
              <w14:schemeClr w14:val="tx1"/>
            </w14:solidFill>
          </w14:textFill>
        </w:rPr>
      </w:pPr>
      <w:r>
        <w:rPr>
          <w:rFonts w:hint="eastAsia" w:ascii="宋体" w:hAnsi="宋体" w:eastAsia="宋体" w:cs="宋体"/>
          <w:color w:val="000000" w:themeColor="text1"/>
          <w:kern w:val="2"/>
          <w:sz w:val="21"/>
          <w:highlight w:val="none"/>
          <w14:textFill>
            <w14:solidFill>
              <w14:schemeClr w14:val="tx1"/>
            </w14:solidFill>
          </w14:textFill>
        </w:rPr>
        <w:t>33.2农民工工资保证金见“供应商须知前附表”。</w:t>
      </w:r>
    </w:p>
    <w:p w14:paraId="50EAB3FF">
      <w:pPr>
        <w:pStyle w:val="24"/>
        <w:spacing w:line="360" w:lineRule="auto"/>
        <w:ind w:firstLine="420" w:firstLineChars="200"/>
        <w:textAlignment w:val="center"/>
        <w:rPr>
          <w:rFonts w:hint="eastAsia" w:ascii="宋体" w:hAnsi="宋体" w:eastAsia="宋体" w:cs="宋体"/>
          <w:color w:val="000000" w:themeColor="text1"/>
          <w:kern w:val="2"/>
          <w:sz w:val="21"/>
          <w:highlight w:val="none"/>
          <w14:textFill>
            <w14:solidFill>
              <w14:schemeClr w14:val="tx1"/>
            </w14:solidFill>
          </w14:textFill>
        </w:rPr>
      </w:pPr>
      <w:r>
        <w:rPr>
          <w:rFonts w:hint="eastAsia" w:ascii="宋体" w:hAnsi="宋体" w:eastAsia="宋体" w:cs="宋体"/>
          <w:color w:val="000000" w:themeColor="text1"/>
          <w:kern w:val="2"/>
          <w:sz w:val="21"/>
          <w:highlight w:val="none"/>
          <w14:textFill>
            <w14:solidFill>
              <w14:schemeClr w14:val="tx1"/>
            </w14:solidFill>
          </w14:textFill>
        </w:rPr>
        <w:t>33.3 其他事项详见“供应商须知前附表”。</w:t>
      </w:r>
    </w:p>
    <w:p w14:paraId="570815FA">
      <w:pPr>
        <w:pStyle w:val="24"/>
        <w:spacing w:line="360" w:lineRule="auto"/>
        <w:ind w:firstLine="420" w:firstLineChars="200"/>
        <w:textAlignment w:val="center"/>
        <w:rPr>
          <w:rFonts w:hint="eastAsia" w:ascii="宋体" w:hAnsi="宋体" w:eastAsia="宋体" w:cs="宋体"/>
          <w:color w:val="000000" w:themeColor="text1"/>
          <w:kern w:val="2"/>
          <w:sz w:val="21"/>
          <w:highlight w:val="none"/>
          <w14:textFill>
            <w14:solidFill>
              <w14:schemeClr w14:val="tx1"/>
            </w14:solidFill>
          </w14:textFill>
        </w:rPr>
      </w:pPr>
      <w:r>
        <w:rPr>
          <w:rFonts w:hint="eastAsia" w:ascii="宋体" w:hAnsi="宋体" w:eastAsia="宋体" w:cs="宋体"/>
          <w:color w:val="000000" w:themeColor="text1"/>
          <w:kern w:val="2"/>
          <w:sz w:val="21"/>
          <w:highlight w:val="none"/>
          <w14:textFill>
            <w14:solidFill>
              <w14:schemeClr w14:val="tx1"/>
            </w14:solidFill>
          </w14:textFill>
        </w:rPr>
        <w:t>33.4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6C40030A">
      <w:pPr>
        <w:pStyle w:val="24"/>
        <w:spacing w:line="360" w:lineRule="auto"/>
        <w:ind w:firstLine="420" w:firstLineChars="200"/>
        <w:contextualSpacing/>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6EC1940F">
      <w:pPr>
        <w:pStyle w:val="24"/>
        <w:spacing w:line="360" w:lineRule="auto"/>
        <w:ind w:firstLine="420" w:firstLineChars="200"/>
        <w:contextualSpacing/>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（2）在工程采购项目中，工程由中小企业承建，即工程施工单位为中小企业，不对其中涉及的货物的制造商和服务的承接商作出要求；</w:t>
      </w:r>
    </w:p>
    <w:p w14:paraId="135A065A">
      <w:pPr>
        <w:pStyle w:val="24"/>
        <w:spacing w:line="360" w:lineRule="auto"/>
        <w:ind w:firstLine="420" w:firstLineChars="200"/>
        <w:contextualSpacing/>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14:paraId="7FB26AC1">
      <w:pPr>
        <w:pStyle w:val="24"/>
        <w:spacing w:line="360" w:lineRule="auto"/>
        <w:ind w:firstLine="420" w:firstLineChars="200"/>
        <w:contextualSpacing/>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kern w:val="2"/>
          <w:sz w:val="21"/>
          <w:highlight w:val="none"/>
          <w14:textFill>
            <w14:solidFill>
              <w14:schemeClr w14:val="tx1"/>
            </w14:solidFill>
          </w14:textFill>
        </w:rPr>
        <w:t>在货物采购项目中，供应商提供的货物既有中小企业制造货物，也有大型企业制造货物的，不享受本磋商文件规定的中小企业扶持政策。以联合体形式参加政府采购活动，联合体各方均为</w:t>
      </w:r>
      <w:r>
        <w:rPr>
          <w:rFonts w:hint="eastAsia" w:ascii="宋体" w:hAnsi="宋体" w:eastAsia="宋体" w:cs="宋体"/>
          <w:color w:val="000000" w:themeColor="text1"/>
          <w:sz w:val="21"/>
          <w:highlight w:val="none"/>
          <w14:textFill>
            <w14:solidFill>
              <w14:schemeClr w14:val="tx1"/>
            </w14:solidFill>
          </w14:textFill>
        </w:rPr>
        <w:t>中小企业的，联合体视同中小企业。其中，联合体各方均为小微企业的，联合体视同小微企业。</w:t>
      </w:r>
    </w:p>
    <w:p w14:paraId="7AB679ED">
      <w:pPr>
        <w:pStyle w:val="24"/>
        <w:spacing w:line="360" w:lineRule="auto"/>
        <w:ind w:firstLine="420" w:firstLineChars="200"/>
        <w:contextualSpacing/>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依据本磋商文件规定享受扶持政策获得政府采购合同的，小微企业不得将合同分包给大中型企业，中型企业不得将合同分包给大型企业。</w:t>
      </w:r>
    </w:p>
    <w:p w14:paraId="45707734">
      <w:pPr>
        <w:pStyle w:val="2"/>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宋体" w:hAnsi="宋体" w:eastAsia="宋体" w:cs="宋体"/>
          <w:color w:val="000000" w:themeColor="text1"/>
          <w:sz w:val="40"/>
          <w:szCs w:val="40"/>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br w:type="page"/>
      </w:r>
      <w:bookmarkStart w:id="65" w:name="_Toc21572"/>
      <w:r>
        <w:rPr>
          <w:rFonts w:hint="eastAsia" w:ascii="宋体" w:hAnsi="宋体" w:eastAsia="宋体" w:cs="宋体"/>
          <w:color w:val="000000" w:themeColor="text1"/>
          <w:sz w:val="40"/>
          <w:szCs w:val="40"/>
          <w:highlight w:val="none"/>
          <w14:textFill>
            <w14:solidFill>
              <w14:schemeClr w14:val="tx1"/>
            </w14:solidFill>
          </w14:textFill>
        </w:rPr>
        <w:t>第三章</w:t>
      </w:r>
      <w:r>
        <w:rPr>
          <w:rFonts w:hint="eastAsia" w:ascii="宋体" w:hAnsi="宋体" w:eastAsia="宋体" w:cs="宋体"/>
          <w:color w:val="000000" w:themeColor="text1"/>
          <w:sz w:val="40"/>
          <w:szCs w:val="40"/>
          <w:highlight w:val="none"/>
          <w:lang w:val="en-US" w:eastAsia="zh-CN"/>
          <w14:textFill>
            <w14:solidFill>
              <w14:schemeClr w14:val="tx1"/>
            </w14:solidFill>
          </w14:textFill>
        </w:rPr>
        <w:t xml:space="preserve"> </w:t>
      </w:r>
      <w:r>
        <w:rPr>
          <w:rFonts w:hint="eastAsia" w:ascii="宋体" w:hAnsi="宋体" w:eastAsia="宋体" w:cs="宋体"/>
          <w:color w:val="000000" w:themeColor="text1"/>
          <w:sz w:val="40"/>
          <w:szCs w:val="40"/>
          <w:highlight w:val="none"/>
          <w14:textFill>
            <w14:solidFill>
              <w14:schemeClr w14:val="tx1"/>
            </w14:solidFill>
          </w14:textFill>
        </w:rPr>
        <w:t>采购需求</w:t>
      </w:r>
      <w:bookmarkEnd w:id="65"/>
    </w:p>
    <w:p w14:paraId="0699D458">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说明：</w:t>
      </w:r>
    </w:p>
    <w:p w14:paraId="5673EE43">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 为落实政府采购政策需满足的要求</w:t>
      </w:r>
      <w:r>
        <w:rPr>
          <w:rFonts w:hint="eastAsia" w:ascii="宋体" w:hAnsi="宋体" w:eastAsia="宋体" w:cs="宋体"/>
          <w:color w:val="000000" w:themeColor="text1"/>
          <w:szCs w:val="21"/>
          <w:highlight w:val="none"/>
          <w14:textFill>
            <w14:solidFill>
              <w14:schemeClr w14:val="tx1"/>
            </w14:solidFill>
          </w14:textFill>
        </w:rPr>
        <w:t>：</w:t>
      </w:r>
    </w:p>
    <w:p w14:paraId="38886651">
      <w:pPr>
        <w:keepNext w:val="0"/>
        <w:keepLines w:val="0"/>
        <w:pageBreakBefore w:val="0"/>
        <w:kinsoku/>
        <w:wordWrap/>
        <w:overflowPunct/>
        <w:topLinePunct w:val="0"/>
        <w:autoSpaceDE/>
        <w:autoSpaceDN/>
        <w:bidi w:val="0"/>
        <w:adjustRightInd/>
        <w:snapToGrid/>
        <w:spacing w:line="440" w:lineRule="exact"/>
        <w:ind w:firstLine="424" w:firstLineChars="202"/>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（1）政府采购促进中小企业发展。</w:t>
      </w:r>
    </w:p>
    <w:p w14:paraId="63CA136E">
      <w:pPr>
        <w:keepNext w:val="0"/>
        <w:keepLines w:val="0"/>
        <w:pageBreakBefore w:val="0"/>
        <w:kinsoku/>
        <w:wordWrap/>
        <w:overflowPunct/>
        <w:topLinePunct w:val="0"/>
        <w:autoSpaceDE/>
        <w:autoSpaceDN/>
        <w:bidi w:val="0"/>
        <w:adjustRightInd/>
        <w:snapToGrid/>
        <w:spacing w:line="440" w:lineRule="exact"/>
        <w:ind w:firstLine="424" w:firstLineChars="202"/>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（2）政府采购支持采用本国产品的政策。</w:t>
      </w:r>
    </w:p>
    <w:p w14:paraId="5A585347">
      <w:pPr>
        <w:keepNext w:val="0"/>
        <w:keepLines w:val="0"/>
        <w:pageBreakBefore w:val="0"/>
        <w:kinsoku/>
        <w:wordWrap/>
        <w:overflowPunct/>
        <w:topLinePunct w:val="0"/>
        <w:autoSpaceDE/>
        <w:autoSpaceDN/>
        <w:bidi w:val="0"/>
        <w:adjustRightInd/>
        <w:snapToGrid/>
        <w:spacing w:line="440" w:lineRule="exact"/>
        <w:ind w:firstLine="424" w:firstLineChars="202"/>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（3）强制采购节能产品；优先采购节能产品、环境标志产品。</w:t>
      </w:r>
    </w:p>
    <w:p w14:paraId="097FAF5A">
      <w:pPr>
        <w:keepNext w:val="0"/>
        <w:keepLines w:val="0"/>
        <w:pageBreakBefore w:val="0"/>
        <w:kinsoku/>
        <w:wordWrap/>
        <w:overflowPunct/>
        <w:topLinePunct w:val="0"/>
        <w:autoSpaceDE/>
        <w:autoSpaceDN/>
        <w:bidi w:val="0"/>
        <w:adjustRightInd/>
        <w:snapToGrid/>
        <w:spacing w:line="440" w:lineRule="exact"/>
        <w:ind w:firstLine="424" w:firstLineChars="202"/>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（4）政府采购促进残疾人就业政策。</w:t>
      </w:r>
    </w:p>
    <w:p w14:paraId="0276BA09">
      <w:pPr>
        <w:keepNext w:val="0"/>
        <w:keepLines w:val="0"/>
        <w:pageBreakBefore w:val="0"/>
        <w:kinsoku/>
        <w:wordWrap/>
        <w:overflowPunct/>
        <w:topLinePunct w:val="0"/>
        <w:autoSpaceDE/>
        <w:autoSpaceDN/>
        <w:bidi w:val="0"/>
        <w:adjustRightInd/>
        <w:snapToGrid/>
        <w:spacing w:line="440" w:lineRule="exact"/>
        <w:ind w:firstLine="424" w:firstLineChars="202"/>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（5）政府采购支持监狱企业发展。</w:t>
      </w:r>
    </w:p>
    <w:p w14:paraId="1FCB9070">
      <w:pPr>
        <w:keepNext w:val="0"/>
        <w:keepLines w:val="0"/>
        <w:pageBreakBefore w:val="0"/>
        <w:kinsoku/>
        <w:wordWrap/>
        <w:overflowPunct/>
        <w:topLinePunct w:val="0"/>
        <w:autoSpaceDE/>
        <w:autoSpaceDN/>
        <w:bidi w:val="0"/>
        <w:adjustRightInd/>
        <w:snapToGrid/>
        <w:spacing w:line="440" w:lineRule="exact"/>
        <w:ind w:firstLine="424" w:firstLineChars="202"/>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 “实质性要求”是指采购需求中带“▲”的条款或者不能负偏离的条款或者已经指明不满足按响应文件按无效处理的条款。</w:t>
      </w:r>
    </w:p>
    <w:p w14:paraId="63665125">
      <w:pPr>
        <w:keepNext w:val="0"/>
        <w:keepLines w:val="0"/>
        <w:pageBreakBefore w:val="0"/>
        <w:kinsoku/>
        <w:wordWrap/>
        <w:overflowPunct/>
        <w:topLinePunct w:val="0"/>
        <w:autoSpaceDE/>
        <w:autoSpaceDN/>
        <w:bidi w:val="0"/>
        <w:adjustRightInd/>
        <w:snapToGrid/>
        <w:spacing w:line="440" w:lineRule="exact"/>
        <w:ind w:firstLine="424" w:firstLineChars="202"/>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t>供应商必须自行为其竞标产品侵犯他人的知识产权或者专利成果的行为承担相应法律责任。</w:t>
      </w:r>
    </w:p>
    <w:tbl>
      <w:tblPr>
        <w:tblStyle w:val="4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5"/>
        <w:gridCol w:w="1556"/>
        <w:gridCol w:w="172"/>
        <w:gridCol w:w="857"/>
        <w:gridCol w:w="942"/>
        <w:gridCol w:w="5397"/>
      </w:tblGrid>
      <w:tr w14:paraId="14171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55" w:type="dxa"/>
            <w:vAlign w:val="center"/>
          </w:tcPr>
          <w:p w14:paraId="05DF49BB">
            <w:pPr>
              <w:keepNext w:val="0"/>
              <w:keepLines w:val="0"/>
              <w:pageBreakBefore w:val="0"/>
              <w:tabs>
                <w:tab w:val="left" w:pos="180"/>
                <w:tab w:val="left" w:pos="1620"/>
              </w:tabs>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1728" w:type="dxa"/>
            <w:gridSpan w:val="2"/>
            <w:vAlign w:val="center"/>
          </w:tcPr>
          <w:p w14:paraId="621C2EE6">
            <w:pPr>
              <w:keepNext w:val="0"/>
              <w:keepLines w:val="0"/>
              <w:pageBreakBefore w:val="0"/>
              <w:tabs>
                <w:tab w:val="left" w:pos="180"/>
                <w:tab w:val="left" w:pos="1620"/>
              </w:tabs>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标的的名称</w:t>
            </w:r>
          </w:p>
        </w:tc>
        <w:tc>
          <w:tcPr>
            <w:tcW w:w="857" w:type="dxa"/>
            <w:vAlign w:val="center"/>
          </w:tcPr>
          <w:p w14:paraId="6E400E96">
            <w:pPr>
              <w:keepNext w:val="0"/>
              <w:keepLines w:val="0"/>
              <w:pageBreakBefore w:val="0"/>
              <w:tabs>
                <w:tab w:val="left" w:pos="180"/>
                <w:tab w:val="left" w:pos="1620"/>
              </w:tabs>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数量及单位</w:t>
            </w:r>
          </w:p>
        </w:tc>
        <w:tc>
          <w:tcPr>
            <w:tcW w:w="942" w:type="dxa"/>
            <w:vAlign w:val="center"/>
          </w:tcPr>
          <w:p w14:paraId="74CCAE9F">
            <w:pPr>
              <w:keepNext w:val="0"/>
              <w:keepLines w:val="0"/>
              <w:pageBreakBefore w:val="0"/>
              <w:tabs>
                <w:tab w:val="left" w:pos="180"/>
                <w:tab w:val="left" w:pos="1620"/>
              </w:tabs>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所属</w:t>
            </w:r>
          </w:p>
          <w:p w14:paraId="2A7C72F3">
            <w:pPr>
              <w:keepNext w:val="0"/>
              <w:keepLines w:val="0"/>
              <w:pageBreakBefore w:val="0"/>
              <w:tabs>
                <w:tab w:val="left" w:pos="180"/>
                <w:tab w:val="left" w:pos="1620"/>
              </w:tabs>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行业</w:t>
            </w:r>
          </w:p>
        </w:tc>
        <w:tc>
          <w:tcPr>
            <w:tcW w:w="5397" w:type="dxa"/>
            <w:vAlign w:val="center"/>
          </w:tcPr>
          <w:p w14:paraId="0352A1D5">
            <w:pPr>
              <w:keepNext w:val="0"/>
              <w:keepLines w:val="0"/>
              <w:pageBreakBefore w:val="0"/>
              <w:tabs>
                <w:tab w:val="left" w:pos="180"/>
                <w:tab w:val="left" w:pos="1620"/>
              </w:tabs>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▲技术要求</w:t>
            </w:r>
          </w:p>
        </w:tc>
      </w:tr>
      <w:tr w14:paraId="2470E5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55" w:type="dxa"/>
            <w:vAlign w:val="center"/>
          </w:tcPr>
          <w:p w14:paraId="5591925C">
            <w:pPr>
              <w:keepNext w:val="0"/>
              <w:keepLines w:val="0"/>
              <w:pageBreakBefore w:val="0"/>
              <w:tabs>
                <w:tab w:val="left" w:pos="180"/>
                <w:tab w:val="left" w:pos="1620"/>
              </w:tabs>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1728" w:type="dxa"/>
            <w:gridSpan w:val="2"/>
            <w:vAlign w:val="center"/>
          </w:tcPr>
          <w:p w14:paraId="4CA8C7EF">
            <w:pPr>
              <w:keepNext w:val="0"/>
              <w:keepLines w:val="0"/>
              <w:pageBreakBefore w:val="0"/>
              <w:tabs>
                <w:tab w:val="left" w:pos="180"/>
                <w:tab w:val="left" w:pos="1620"/>
              </w:tabs>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贵港市港南区养老服务中心附属设施建设项目</w:t>
            </w:r>
          </w:p>
        </w:tc>
        <w:tc>
          <w:tcPr>
            <w:tcW w:w="857" w:type="dxa"/>
            <w:vAlign w:val="center"/>
          </w:tcPr>
          <w:p w14:paraId="020B06FA">
            <w:pPr>
              <w:keepNext w:val="0"/>
              <w:keepLines w:val="0"/>
              <w:pageBreakBefore w:val="0"/>
              <w:tabs>
                <w:tab w:val="left" w:pos="180"/>
                <w:tab w:val="left" w:pos="1620"/>
              </w:tabs>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1项</w:t>
            </w:r>
          </w:p>
        </w:tc>
        <w:tc>
          <w:tcPr>
            <w:tcW w:w="942" w:type="dxa"/>
            <w:vAlign w:val="center"/>
          </w:tcPr>
          <w:p w14:paraId="7C174E8D">
            <w:pPr>
              <w:keepNext w:val="0"/>
              <w:keepLines w:val="0"/>
              <w:pageBreakBefore w:val="0"/>
              <w:tabs>
                <w:tab w:val="left" w:pos="180"/>
                <w:tab w:val="left" w:pos="1620"/>
              </w:tabs>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建筑业</w:t>
            </w:r>
          </w:p>
        </w:tc>
        <w:tc>
          <w:tcPr>
            <w:tcW w:w="5397" w:type="dxa"/>
            <w:vAlign w:val="center"/>
          </w:tcPr>
          <w:p w14:paraId="1EF19F40">
            <w:pPr>
              <w:pStyle w:val="16"/>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1.</w:t>
            </w:r>
            <w:r>
              <w:rPr>
                <w:rFonts w:hint="eastAsia" w:ascii="宋体" w:hAnsi="宋体" w:eastAsia="宋体" w:cs="宋体"/>
                <w:color w:val="000000" w:themeColor="text1"/>
                <w:highlight w:val="none"/>
                <w:lang w:val="en-US" w:eastAsia="zh-CN"/>
                <w14:textFill>
                  <w14:solidFill>
                    <w14:schemeClr w14:val="tx1"/>
                  </w14:solidFill>
                </w14:textFill>
              </w:rPr>
              <w:t>项目概况：低压侧安装低压进线柜、低压自动电容补偿柜、低压出线柜及安装低压配电系统电缆出线；室外敷设聚乙烯PE给水管道200米等。具体内容详见工程量清单及设计图纸。</w:t>
            </w:r>
          </w:p>
          <w:p w14:paraId="0BEB4C25">
            <w:pPr>
              <w:pStyle w:val="16"/>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2.</w:t>
            </w:r>
            <w:r>
              <w:rPr>
                <w:rFonts w:hint="eastAsia" w:ascii="宋体" w:hAnsi="宋体" w:eastAsia="宋体" w:cs="宋体"/>
                <w:color w:val="000000" w:themeColor="text1"/>
                <w:highlight w:val="none"/>
                <w:lang w:val="en-US" w:eastAsia="zh-CN"/>
                <w14:textFill>
                  <w14:solidFill>
                    <w14:schemeClr w14:val="tx1"/>
                  </w14:solidFill>
                </w14:textFill>
              </w:rPr>
              <w:t>建设单位：</w:t>
            </w:r>
            <w:r>
              <w:rPr>
                <w:rFonts w:hint="eastAsia" w:ascii="宋体" w:hAnsi="宋体" w:cs="宋体"/>
                <w:color w:val="000000" w:themeColor="text1"/>
                <w:highlight w:val="none"/>
                <w:lang w:eastAsia="zh-CN"/>
                <w14:textFill>
                  <w14:solidFill>
                    <w14:schemeClr w14:val="tx1"/>
                  </w14:solidFill>
                </w14:textFill>
              </w:rPr>
              <w:t>贵港市港南区民政局</w:t>
            </w:r>
          </w:p>
          <w:p w14:paraId="05D159B4">
            <w:pPr>
              <w:pStyle w:val="16"/>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lang w:val="en-US" w:eastAsia="zh-CN"/>
                <w14:textFill>
                  <w14:solidFill>
                    <w14:schemeClr w14:val="tx1"/>
                  </w14:solidFill>
                </w14:textFill>
              </w:rPr>
              <w:t>建设地点：贵港市港南区东津镇石连村冲口屯</w:t>
            </w:r>
            <w:r>
              <w:rPr>
                <w:rFonts w:hint="eastAsia" w:ascii="宋体" w:hAnsi="宋体" w:eastAsia="宋体" w:cs="宋体"/>
                <w:b w:val="0"/>
                <w:bCs/>
                <w:color w:val="000000" w:themeColor="text1"/>
                <w:szCs w:val="21"/>
                <w:highlight w:val="none"/>
                <w14:textFill>
                  <w14:solidFill>
                    <w14:schemeClr w14:val="tx1"/>
                  </w14:solidFill>
                </w14:textFill>
              </w:rPr>
              <w:t>。</w:t>
            </w:r>
          </w:p>
          <w:p w14:paraId="5463F78C">
            <w:pPr>
              <w:pStyle w:val="16"/>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highlight w:val="none"/>
                <w:lang w:val="en-US" w:eastAsia="zh-CN"/>
                <w14:textFill>
                  <w14:solidFill>
                    <w14:schemeClr w14:val="tx1"/>
                  </w14:solidFill>
                </w14:textFill>
              </w:rPr>
              <w:t>资金来源及出资比例：</w:t>
            </w:r>
            <w:r>
              <w:rPr>
                <w:rFonts w:hint="eastAsia" w:ascii="宋体" w:hAnsi="宋体" w:eastAsia="宋体" w:cs="宋体"/>
                <w:color w:val="000000" w:themeColor="text1"/>
                <w:highlight w:val="none"/>
                <w:lang w:eastAsia="zh-CN"/>
                <w14:textFill>
                  <w14:solidFill>
                    <w14:schemeClr w14:val="tx1"/>
                  </w14:solidFill>
                </w14:textFill>
              </w:rPr>
              <w:t>财政资金100%。</w:t>
            </w:r>
          </w:p>
          <w:p w14:paraId="751A9BD1">
            <w:pPr>
              <w:pStyle w:val="16"/>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5.</w:t>
            </w:r>
            <w:r>
              <w:rPr>
                <w:rFonts w:hint="eastAsia" w:ascii="宋体" w:hAnsi="宋体" w:eastAsia="宋体" w:cs="宋体"/>
                <w:color w:val="000000" w:themeColor="text1"/>
                <w:highlight w:val="none"/>
                <w:lang w:eastAsia="zh-CN"/>
                <w14:textFill>
                  <w14:solidFill>
                    <w14:schemeClr w14:val="tx1"/>
                  </w14:solidFill>
                </w14:textFill>
              </w:rPr>
              <w:t>合同形式：固定综合单价。</w:t>
            </w:r>
          </w:p>
        </w:tc>
      </w:tr>
      <w:tr w14:paraId="1F473F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579" w:type="dxa"/>
            <w:gridSpan w:val="6"/>
            <w:tcBorders>
              <w:top w:val="single" w:color="auto" w:sz="4" w:space="0"/>
              <w:left w:val="single" w:color="auto" w:sz="4" w:space="0"/>
              <w:bottom w:val="single" w:color="auto" w:sz="4" w:space="0"/>
              <w:right w:val="single" w:color="auto" w:sz="4" w:space="0"/>
            </w:tcBorders>
          </w:tcPr>
          <w:p w14:paraId="1A21D724">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b/>
                <w:color w:val="000000" w:themeColor="text1"/>
                <w:szCs w:val="21"/>
                <w:highlight w:val="none"/>
                <w14:textFill>
                  <w14:solidFill>
                    <w14:schemeClr w14:val="tx1"/>
                  </w14:solidFill>
                </w14:textFill>
              </w:rPr>
              <w:t>商务要求：</w:t>
            </w:r>
          </w:p>
        </w:tc>
      </w:tr>
      <w:tr w14:paraId="56C39B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11" w:type="dxa"/>
            <w:gridSpan w:val="2"/>
            <w:tcBorders>
              <w:top w:val="single" w:color="auto" w:sz="4" w:space="0"/>
              <w:left w:val="single" w:color="auto" w:sz="4" w:space="0"/>
              <w:bottom w:val="single" w:color="auto" w:sz="4" w:space="0"/>
              <w:right w:val="single" w:color="auto" w:sz="4" w:space="0"/>
            </w:tcBorders>
            <w:vAlign w:val="center"/>
          </w:tcPr>
          <w:p w14:paraId="49CAAE5E">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Cs w:val="21"/>
                <w:highlight w:val="none"/>
                <w:lang w:eastAsia="zh-CN"/>
                <w14:textFill>
                  <w14:solidFill>
                    <w14:schemeClr w14:val="tx1"/>
                  </w14:solidFill>
                </w14:textFill>
              </w:rPr>
              <w:t>要求工期</w:t>
            </w:r>
          </w:p>
        </w:tc>
        <w:tc>
          <w:tcPr>
            <w:tcW w:w="7368" w:type="dxa"/>
            <w:gridSpan w:val="4"/>
            <w:tcBorders>
              <w:top w:val="single" w:color="auto" w:sz="4" w:space="0"/>
              <w:left w:val="single" w:color="auto" w:sz="4" w:space="0"/>
              <w:bottom w:val="single" w:color="auto" w:sz="4" w:space="0"/>
              <w:right w:val="single" w:color="auto" w:sz="4" w:space="0"/>
            </w:tcBorders>
            <w:vAlign w:val="center"/>
          </w:tcPr>
          <w:p w14:paraId="7F901D5E">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45</w:t>
            </w:r>
            <w:r>
              <w:rPr>
                <w:rFonts w:hint="eastAsia" w:ascii="宋体" w:hAnsi="宋体" w:eastAsia="宋体" w:cs="宋体"/>
                <w:b w:val="0"/>
                <w:bCs/>
                <w:color w:val="000000" w:themeColor="text1"/>
                <w:szCs w:val="21"/>
                <w:highlight w:val="none"/>
                <w:lang w:eastAsia="zh-CN"/>
                <w14:textFill>
                  <w14:solidFill>
                    <w14:schemeClr w14:val="tx1"/>
                  </w14:solidFill>
                </w14:textFill>
              </w:rPr>
              <w:t>日历天。</w:t>
            </w:r>
          </w:p>
        </w:tc>
      </w:tr>
      <w:tr w14:paraId="1EA1C8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11" w:type="dxa"/>
            <w:gridSpan w:val="2"/>
            <w:tcBorders>
              <w:top w:val="single" w:color="auto" w:sz="4" w:space="0"/>
              <w:left w:val="single" w:color="auto" w:sz="4" w:space="0"/>
              <w:bottom w:val="single" w:color="auto" w:sz="4" w:space="0"/>
              <w:right w:val="single" w:color="auto" w:sz="4" w:space="0"/>
            </w:tcBorders>
            <w:vAlign w:val="center"/>
          </w:tcPr>
          <w:p w14:paraId="7270B4C9">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质量要求</w:t>
            </w:r>
          </w:p>
        </w:tc>
        <w:tc>
          <w:tcPr>
            <w:tcW w:w="7368" w:type="dxa"/>
            <w:gridSpan w:val="4"/>
            <w:tcBorders>
              <w:top w:val="single" w:color="auto" w:sz="4" w:space="0"/>
              <w:left w:val="single" w:color="auto" w:sz="4" w:space="0"/>
              <w:bottom w:val="single" w:color="auto" w:sz="4" w:space="0"/>
              <w:right w:val="single" w:color="auto" w:sz="4" w:space="0"/>
            </w:tcBorders>
            <w:vAlign w:val="center"/>
          </w:tcPr>
          <w:p w14:paraId="6AF6DDBE">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符合国家施工质量验收规范合格标准。</w:t>
            </w:r>
          </w:p>
        </w:tc>
      </w:tr>
      <w:tr w14:paraId="2C5F57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11" w:type="dxa"/>
            <w:gridSpan w:val="2"/>
            <w:tcBorders>
              <w:top w:val="single" w:color="auto" w:sz="4" w:space="0"/>
              <w:left w:val="single" w:color="auto" w:sz="4" w:space="0"/>
              <w:bottom w:val="single" w:color="auto" w:sz="4" w:space="0"/>
              <w:right w:val="single" w:color="auto" w:sz="4" w:space="0"/>
            </w:tcBorders>
            <w:vAlign w:val="center"/>
          </w:tcPr>
          <w:p w14:paraId="3719A13E">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合同签订时间</w:t>
            </w:r>
          </w:p>
        </w:tc>
        <w:tc>
          <w:tcPr>
            <w:tcW w:w="7368" w:type="dxa"/>
            <w:gridSpan w:val="4"/>
            <w:tcBorders>
              <w:top w:val="single" w:color="auto" w:sz="4" w:space="0"/>
              <w:left w:val="single" w:color="auto" w:sz="4" w:space="0"/>
              <w:bottom w:val="single" w:color="auto" w:sz="4" w:space="0"/>
              <w:right w:val="single" w:color="auto" w:sz="4" w:space="0"/>
            </w:tcBorders>
            <w:vAlign w:val="center"/>
          </w:tcPr>
          <w:p w14:paraId="23D7DA6A">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自成交通知书发出之日起25日内</w:t>
            </w:r>
            <w:r>
              <w:rPr>
                <w:rFonts w:hint="eastAsia" w:ascii="宋体" w:hAnsi="宋体" w:cs="宋体"/>
                <w:color w:val="000000" w:themeColor="text1"/>
                <w:szCs w:val="21"/>
                <w:highlight w:val="none"/>
                <w:lang w:eastAsia="zh-CN"/>
                <w14:textFill>
                  <w14:solidFill>
                    <w14:schemeClr w14:val="tx1"/>
                  </w14:solidFill>
                </w14:textFill>
              </w:rPr>
              <w:t>。</w:t>
            </w:r>
          </w:p>
        </w:tc>
      </w:tr>
      <w:tr w14:paraId="2E71C7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11" w:type="dxa"/>
            <w:gridSpan w:val="2"/>
            <w:tcBorders>
              <w:top w:val="single" w:color="auto" w:sz="4" w:space="0"/>
              <w:left w:val="single" w:color="auto" w:sz="4" w:space="0"/>
              <w:bottom w:val="single" w:color="auto" w:sz="4" w:space="0"/>
              <w:right w:val="single" w:color="auto" w:sz="4" w:space="0"/>
            </w:tcBorders>
            <w:vAlign w:val="center"/>
          </w:tcPr>
          <w:p w14:paraId="660E7332">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付款条件</w:t>
            </w:r>
          </w:p>
          <w:p w14:paraId="292F982B">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（进度和方式）</w:t>
            </w:r>
          </w:p>
        </w:tc>
        <w:tc>
          <w:tcPr>
            <w:tcW w:w="7368" w:type="dxa"/>
            <w:gridSpan w:val="4"/>
            <w:tcBorders>
              <w:top w:val="single" w:color="auto" w:sz="4" w:space="0"/>
              <w:left w:val="single" w:color="auto" w:sz="4" w:space="0"/>
              <w:bottom w:val="single" w:color="auto" w:sz="4" w:space="0"/>
              <w:right w:val="single" w:color="auto" w:sz="4" w:space="0"/>
            </w:tcBorders>
            <w:vAlign w:val="center"/>
          </w:tcPr>
          <w:p w14:paraId="4906C0D5">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 xml:space="preserve">本项目预付款支付比例为合同价的30%，合同签订后承包人进场施工后10个工作日内支付； </w:t>
            </w:r>
          </w:p>
          <w:p w14:paraId="721B1584">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工程进度款原则上按月支付，</w:t>
            </w:r>
            <w:r>
              <w:rPr>
                <w:rFonts w:hint="eastAsia" w:ascii="宋体" w:hAnsi="宋体" w:eastAsia="宋体" w:cs="宋体"/>
                <w:color w:val="000000" w:themeColor="text1"/>
                <w:szCs w:val="21"/>
                <w:highlight w:val="none"/>
                <w:lang w:val="en-US" w:eastAsia="zh-CN"/>
                <w14:textFill>
                  <w14:solidFill>
                    <w14:schemeClr w14:val="tx1"/>
                  </w14:solidFill>
                </w14:textFill>
              </w:rPr>
              <w:t>工程进度款支付限额为已完成工程量的80%，合同外（工程变更部分和现场签证引起的费用等）进度款支付金额为已完成工程量的60%；</w:t>
            </w:r>
          </w:p>
          <w:p w14:paraId="01857766">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lang w:val="en-US" w:eastAsia="zh-CN"/>
                <w14:textFill>
                  <w14:solidFill>
                    <w14:schemeClr w14:val="tx1"/>
                  </w14:solidFill>
                </w14:textFill>
              </w:rPr>
              <w:t>工程竣工且验收合格后，发包人支付工程合同价款的90%作为工程款。</w:t>
            </w:r>
          </w:p>
          <w:p w14:paraId="21ED7A19">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lang w:val="en-US" w:eastAsia="zh-CN"/>
                <w14:textFill>
                  <w14:solidFill>
                    <w14:schemeClr w14:val="tx1"/>
                  </w14:solidFill>
                </w14:textFill>
              </w:rPr>
              <w:t>竣工结算审计后，发包人支付至结算审定价款的97%。剩余3%作为工程质量保证金，待工程缺陷责任期满经双方复检书面确认乙方无违约行为后，甲方支付至工程结算价款的100%。</w:t>
            </w:r>
          </w:p>
        </w:tc>
      </w:tr>
      <w:tr w14:paraId="2B762B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11" w:type="dxa"/>
            <w:gridSpan w:val="2"/>
            <w:tcBorders>
              <w:top w:val="single" w:color="auto" w:sz="4" w:space="0"/>
              <w:left w:val="single" w:color="auto" w:sz="4" w:space="0"/>
              <w:bottom w:val="single" w:color="auto" w:sz="4" w:space="0"/>
              <w:right w:val="single" w:color="auto" w:sz="4" w:space="0"/>
            </w:tcBorders>
            <w:vAlign w:val="center"/>
          </w:tcPr>
          <w:p w14:paraId="0D6A267D">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工程质量缺陷责任期</w:t>
            </w:r>
          </w:p>
        </w:tc>
        <w:tc>
          <w:tcPr>
            <w:tcW w:w="7368" w:type="dxa"/>
            <w:gridSpan w:val="4"/>
            <w:tcBorders>
              <w:top w:val="single" w:color="auto" w:sz="4" w:space="0"/>
              <w:left w:val="single" w:color="auto" w:sz="4" w:space="0"/>
              <w:bottom w:val="single" w:color="auto" w:sz="4" w:space="0"/>
              <w:right w:val="single" w:color="auto" w:sz="4" w:space="0"/>
            </w:tcBorders>
            <w:vAlign w:val="center"/>
          </w:tcPr>
          <w:p w14:paraId="3677F3E7">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工程缺陷责任期为12个月（最长不超过24个月），缺陷责任期自工程竣工验收合格之日起计算。单位工程先于全部工程进行验收，单位工程缺陷责任期自单位工程验收合格之日起算。</w:t>
            </w:r>
          </w:p>
        </w:tc>
      </w:tr>
      <w:tr w14:paraId="290EA5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11" w:type="dxa"/>
            <w:gridSpan w:val="2"/>
            <w:tcBorders>
              <w:top w:val="single" w:color="auto" w:sz="4" w:space="0"/>
              <w:left w:val="single" w:color="auto" w:sz="4" w:space="0"/>
              <w:bottom w:val="single" w:color="auto" w:sz="4" w:space="0"/>
              <w:right w:val="single" w:color="auto" w:sz="4" w:space="0"/>
            </w:tcBorders>
            <w:vAlign w:val="center"/>
          </w:tcPr>
          <w:p w14:paraId="5E072E30">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竞标报价</w:t>
            </w:r>
          </w:p>
        </w:tc>
        <w:tc>
          <w:tcPr>
            <w:tcW w:w="7368" w:type="dxa"/>
            <w:gridSpan w:val="4"/>
            <w:tcBorders>
              <w:top w:val="single" w:color="auto" w:sz="4" w:space="0"/>
              <w:left w:val="single" w:color="auto" w:sz="4" w:space="0"/>
              <w:bottom w:val="single" w:color="auto" w:sz="4" w:space="0"/>
              <w:right w:val="single" w:color="auto" w:sz="4" w:space="0"/>
            </w:tcBorders>
            <w:vAlign w:val="center"/>
          </w:tcPr>
          <w:p w14:paraId="64A4BEF5">
            <w:pPr>
              <w:keepNext w:val="0"/>
              <w:keepLines w:val="0"/>
              <w:pageBreakBefore w:val="0"/>
              <w:kinsoku/>
              <w:wordWrap/>
              <w:overflowPunct/>
              <w:topLinePunct w:val="0"/>
              <w:autoSpaceDE/>
              <w:autoSpaceDN/>
              <w:bidi w:val="0"/>
              <w:adjustRightInd/>
              <w:snapToGrid/>
              <w:spacing w:line="440" w:lineRule="exact"/>
              <w:contextualSpacing/>
              <w:jc w:val="left"/>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lang w:val="en-US" w:eastAsia="zh-CN"/>
                <w14:textFill>
                  <w14:solidFill>
                    <w14:schemeClr w14:val="tx1"/>
                  </w14:solidFill>
                </w14:textFill>
              </w:rPr>
              <w:t>本项目采购人民币报价。</w:t>
            </w:r>
          </w:p>
          <w:p w14:paraId="2151CA4C">
            <w:pPr>
              <w:keepNext w:val="0"/>
              <w:keepLines w:val="0"/>
              <w:pageBreakBefore w:val="0"/>
              <w:kinsoku/>
              <w:wordWrap/>
              <w:overflowPunct/>
              <w:topLinePunct w:val="0"/>
              <w:autoSpaceDE/>
              <w:autoSpaceDN/>
              <w:bidi w:val="0"/>
              <w:adjustRightInd/>
              <w:snapToGrid/>
              <w:spacing w:line="440" w:lineRule="exact"/>
              <w:contextualSpacing/>
              <w:jc w:val="left"/>
              <w:textAlignment w:val="auto"/>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采购预算金额：</w:t>
            </w:r>
            <w:r>
              <w:rPr>
                <w:rFonts w:hint="eastAsia" w:ascii="宋体" w:hAnsi="宋体" w:cs="宋体"/>
                <w:color w:val="000000" w:themeColor="text1"/>
                <w:szCs w:val="21"/>
                <w:highlight w:val="none"/>
                <w:lang w:val="en-US" w:eastAsia="zh-CN"/>
                <w14:textFill>
                  <w14:solidFill>
                    <w14:schemeClr w14:val="tx1"/>
                  </w14:solidFill>
                </w14:textFill>
              </w:rPr>
              <w:t>人民币捌拾贰万元整（¥820000.00）</w:t>
            </w:r>
          </w:p>
          <w:p w14:paraId="6C086BBA">
            <w:pPr>
              <w:keepNext w:val="0"/>
              <w:keepLines w:val="0"/>
              <w:pageBreakBefore w:val="0"/>
              <w:kinsoku/>
              <w:wordWrap/>
              <w:overflowPunct/>
              <w:topLinePunct w:val="0"/>
              <w:autoSpaceDE/>
              <w:autoSpaceDN/>
              <w:bidi w:val="0"/>
              <w:adjustRightInd/>
              <w:snapToGrid/>
              <w:spacing w:line="440" w:lineRule="exact"/>
              <w:contextualSpacing/>
              <w:jc w:val="left"/>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最高限价：</w:t>
            </w:r>
            <w:r>
              <w:rPr>
                <w:rFonts w:hint="eastAsia" w:ascii="宋体" w:hAnsi="宋体" w:cs="宋体"/>
                <w:color w:val="000000" w:themeColor="text1"/>
                <w:szCs w:val="21"/>
                <w:highlight w:val="none"/>
                <w:lang w:val="en-US" w:eastAsia="zh-CN"/>
                <w14:textFill>
                  <w14:solidFill>
                    <w14:schemeClr w14:val="tx1"/>
                  </w14:solidFill>
                </w14:textFill>
              </w:rPr>
              <w:t>人民币捌拾壹万捌仟伍佰陆拾元肆角陆分（¥818560.46）</w:t>
            </w:r>
            <w:r>
              <w:rPr>
                <w:rFonts w:hint="eastAsia" w:ascii="宋体" w:hAnsi="宋体" w:eastAsia="宋体" w:cs="宋体"/>
                <w:color w:val="000000" w:themeColor="text1"/>
                <w:szCs w:val="21"/>
                <w:highlight w:val="none"/>
                <w:lang w:val="en-US" w:eastAsia="zh-CN"/>
                <w14:textFill>
                  <w14:solidFill>
                    <w14:schemeClr w14:val="tx1"/>
                  </w14:solidFill>
                </w14:textFill>
              </w:rPr>
              <w:t>。</w:t>
            </w:r>
          </w:p>
          <w:p w14:paraId="6C764B1D">
            <w:pPr>
              <w:keepNext w:val="0"/>
              <w:keepLines w:val="0"/>
              <w:pageBreakBefore w:val="0"/>
              <w:kinsoku/>
              <w:wordWrap/>
              <w:overflowPunct/>
              <w:topLinePunct w:val="0"/>
              <w:autoSpaceDE/>
              <w:autoSpaceDN/>
              <w:bidi w:val="0"/>
              <w:adjustRightInd/>
              <w:snapToGrid/>
              <w:spacing w:line="440" w:lineRule="exact"/>
              <w:contextualSpacing/>
              <w:jc w:val="left"/>
              <w:textAlignment w:val="auto"/>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注：供应商的总报价超出采购预算价或最高限价的均作无效磋商处理。</w:t>
            </w:r>
          </w:p>
          <w:p w14:paraId="6057F2E8">
            <w:pPr>
              <w:keepNext w:val="0"/>
              <w:keepLines w:val="0"/>
              <w:pageBreakBefore w:val="0"/>
              <w:kinsoku/>
              <w:wordWrap/>
              <w:overflowPunct/>
              <w:topLinePunct w:val="0"/>
              <w:autoSpaceDE/>
              <w:autoSpaceDN/>
              <w:bidi w:val="0"/>
              <w:adjustRightInd/>
              <w:snapToGrid/>
              <w:spacing w:line="440" w:lineRule="exact"/>
              <w:contextualSpacing/>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报价包括：为实施和完成合同工程所需的劳务、材料、机械、质检（自检）、安装、缺陷修复、管理、保险、税费、利润等费用，以及合同明示或暗示的所有责任、义务和一般风险。</w:t>
            </w:r>
          </w:p>
        </w:tc>
      </w:tr>
      <w:tr w14:paraId="74983A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11" w:type="dxa"/>
            <w:gridSpan w:val="2"/>
            <w:tcBorders>
              <w:top w:val="single" w:color="auto" w:sz="4" w:space="0"/>
              <w:left w:val="single" w:color="auto" w:sz="4" w:space="0"/>
              <w:bottom w:val="single" w:color="auto" w:sz="4" w:space="0"/>
              <w:right w:val="single" w:color="auto" w:sz="4" w:space="0"/>
            </w:tcBorders>
            <w:vAlign w:val="center"/>
          </w:tcPr>
          <w:p w14:paraId="6A94C069">
            <w:pPr>
              <w:keepNext w:val="0"/>
              <w:keepLines w:val="0"/>
              <w:pageBreakBefore w:val="0"/>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验收标准</w:t>
            </w:r>
          </w:p>
        </w:tc>
        <w:tc>
          <w:tcPr>
            <w:tcW w:w="7368" w:type="dxa"/>
            <w:gridSpan w:val="4"/>
            <w:tcBorders>
              <w:top w:val="single" w:color="auto" w:sz="4" w:space="0"/>
              <w:left w:val="single" w:color="auto" w:sz="4" w:space="0"/>
              <w:bottom w:val="single" w:color="auto" w:sz="4" w:space="0"/>
              <w:right w:val="single" w:color="auto" w:sz="4" w:space="0"/>
            </w:tcBorders>
            <w:vAlign w:val="center"/>
          </w:tcPr>
          <w:p w14:paraId="3BF2FA66">
            <w:pPr>
              <w:keepNext w:val="0"/>
              <w:keepLines w:val="0"/>
              <w:pageBreakBefore w:val="0"/>
              <w:kinsoku/>
              <w:wordWrap/>
              <w:overflowPunct/>
              <w:topLinePunct w:val="0"/>
              <w:autoSpaceDE/>
              <w:autoSpaceDN/>
              <w:bidi w:val="0"/>
              <w:adjustRightInd/>
              <w:snapToGrid/>
              <w:spacing w:line="440" w:lineRule="exact"/>
              <w:contextualSpacing/>
              <w:jc w:val="left"/>
              <w:textAlignment w:val="auto"/>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Times New Roman" w:hAnsi="Times New Roman" w:eastAsia="宋体" w:cs="宋体"/>
                <w:color w:val="000000" w:themeColor="text1"/>
                <w14:textFill>
                  <w14:solidFill>
                    <w14:schemeClr w14:val="tx1"/>
                  </w14:solidFill>
                </w14:textFill>
              </w:rPr>
              <w:t>符合国家质量验收规范合格标准。</w:t>
            </w:r>
          </w:p>
        </w:tc>
      </w:tr>
    </w:tbl>
    <w:p w14:paraId="69426B73">
      <w:pPr>
        <w:keepNext w:val="0"/>
        <w:keepLines w:val="0"/>
        <w:pageBreakBefore w:val="0"/>
        <w:tabs>
          <w:tab w:val="left" w:pos="180"/>
          <w:tab w:val="left" w:pos="1620"/>
        </w:tabs>
        <w:kinsoku/>
        <w:wordWrap/>
        <w:overflowPunct/>
        <w:topLinePunct w:val="0"/>
        <w:autoSpaceDE/>
        <w:autoSpaceDN/>
        <w:bidi w:val="0"/>
        <w:adjustRightInd/>
        <w:snapToGrid/>
        <w:spacing w:line="440" w:lineRule="exact"/>
        <w:ind w:firstLine="422" w:firstLineChars="200"/>
        <w:textAlignment w:val="auto"/>
        <w:rPr>
          <w:rFonts w:hint="eastAsia" w:ascii="宋体" w:hAnsi="宋体" w:eastAsia="宋体" w:cs="宋体"/>
          <w:b/>
          <w:bCs/>
          <w:color w:val="000000" w:themeColor="text1"/>
          <w:szCs w:val="21"/>
          <w:highlight w:val="none"/>
          <w14:textFill>
            <w14:solidFill>
              <w14:schemeClr w14:val="tx1"/>
            </w14:solidFill>
          </w14:textFill>
        </w:rPr>
      </w:pPr>
    </w:p>
    <w:p w14:paraId="469F292A">
      <w:pP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br w:type="page"/>
      </w:r>
    </w:p>
    <w:p w14:paraId="137DDF76">
      <w:pPr>
        <w:pStyle w:val="3"/>
        <w:keepNext/>
        <w:keepLines/>
        <w:pageBreakBefore w:val="0"/>
        <w:widowControl w:val="0"/>
        <w:kinsoku/>
        <w:wordWrap/>
        <w:overflowPunct/>
        <w:topLinePunct w:val="0"/>
        <w:autoSpaceDE/>
        <w:autoSpaceDN/>
        <w:bidi w:val="0"/>
        <w:adjustRightInd/>
        <w:snapToGrid/>
        <w:spacing w:before="0" w:after="0" w:line="600" w:lineRule="exact"/>
        <w:ind w:left="0" w:leftChars="0" w:firstLine="0" w:firstLineChars="0"/>
        <w:jc w:val="center"/>
        <w:textAlignment w:val="auto"/>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附件1：中小微企业划型标准</w:t>
      </w:r>
    </w:p>
    <w:tbl>
      <w:tblPr>
        <w:tblStyle w:val="42"/>
        <w:tblW w:w="0" w:type="auto"/>
        <w:jc w:val="center"/>
        <w:tblLayout w:type="fixed"/>
        <w:tblCellMar>
          <w:top w:w="0" w:type="dxa"/>
          <w:left w:w="108" w:type="dxa"/>
          <w:bottom w:w="0" w:type="dxa"/>
          <w:right w:w="108" w:type="dxa"/>
        </w:tblCellMar>
      </w:tblPr>
      <w:tblGrid>
        <w:gridCol w:w="1903"/>
        <w:gridCol w:w="1783"/>
        <w:gridCol w:w="1252"/>
        <w:gridCol w:w="1937"/>
        <w:gridCol w:w="1663"/>
        <w:gridCol w:w="1269"/>
      </w:tblGrid>
      <w:tr w14:paraId="5ACBCDC3">
        <w:tblPrEx>
          <w:tblCellMar>
            <w:top w:w="0" w:type="dxa"/>
            <w:left w:w="108" w:type="dxa"/>
            <w:bottom w:w="0" w:type="dxa"/>
            <w:right w:w="108" w:type="dxa"/>
          </w:tblCellMar>
        </w:tblPrEx>
        <w:trPr>
          <w:trHeight w:val="541" w:hRule="atLeast"/>
          <w:jc w:val="center"/>
        </w:trPr>
        <w:tc>
          <w:tcPr>
            <w:tcW w:w="1903" w:type="dxa"/>
            <w:tcBorders>
              <w:top w:val="single" w:color="auto" w:sz="4" w:space="0"/>
              <w:left w:val="single" w:color="auto" w:sz="4" w:space="0"/>
              <w:bottom w:val="single" w:color="auto" w:sz="4" w:space="0"/>
              <w:right w:val="single" w:color="auto" w:sz="4" w:space="0"/>
            </w:tcBorders>
            <w:noWrap w:val="0"/>
            <w:vAlign w:val="center"/>
          </w:tcPr>
          <w:p w14:paraId="4727628F">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行业名称</w:t>
            </w:r>
          </w:p>
        </w:tc>
        <w:tc>
          <w:tcPr>
            <w:tcW w:w="1783" w:type="dxa"/>
            <w:tcBorders>
              <w:top w:val="single" w:color="auto" w:sz="4" w:space="0"/>
              <w:left w:val="nil"/>
              <w:bottom w:val="single" w:color="auto" w:sz="4" w:space="0"/>
              <w:right w:val="single" w:color="auto" w:sz="4" w:space="0"/>
            </w:tcBorders>
            <w:noWrap w:val="0"/>
            <w:vAlign w:val="center"/>
          </w:tcPr>
          <w:p w14:paraId="0A13F4D7">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指标名称</w:t>
            </w:r>
          </w:p>
        </w:tc>
        <w:tc>
          <w:tcPr>
            <w:tcW w:w="1252" w:type="dxa"/>
            <w:tcBorders>
              <w:top w:val="single" w:color="auto" w:sz="4" w:space="0"/>
              <w:left w:val="nil"/>
              <w:bottom w:val="single" w:color="auto" w:sz="4" w:space="0"/>
              <w:right w:val="single" w:color="auto" w:sz="4" w:space="0"/>
            </w:tcBorders>
            <w:noWrap w:val="0"/>
            <w:vAlign w:val="center"/>
          </w:tcPr>
          <w:p w14:paraId="03F19689">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计量单位</w:t>
            </w:r>
          </w:p>
        </w:tc>
        <w:tc>
          <w:tcPr>
            <w:tcW w:w="1937" w:type="dxa"/>
            <w:tcBorders>
              <w:top w:val="single" w:color="auto" w:sz="4" w:space="0"/>
              <w:left w:val="nil"/>
              <w:bottom w:val="single" w:color="auto" w:sz="4" w:space="0"/>
              <w:right w:val="single" w:color="auto" w:sz="4" w:space="0"/>
            </w:tcBorders>
            <w:noWrap w:val="0"/>
            <w:vAlign w:val="center"/>
          </w:tcPr>
          <w:p w14:paraId="2B121530">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中型</w:t>
            </w:r>
          </w:p>
        </w:tc>
        <w:tc>
          <w:tcPr>
            <w:tcW w:w="1663" w:type="dxa"/>
            <w:tcBorders>
              <w:top w:val="single" w:color="auto" w:sz="4" w:space="0"/>
              <w:left w:val="nil"/>
              <w:bottom w:val="single" w:color="auto" w:sz="4" w:space="0"/>
              <w:right w:val="single" w:color="auto" w:sz="4" w:space="0"/>
            </w:tcBorders>
            <w:noWrap w:val="0"/>
            <w:vAlign w:val="center"/>
          </w:tcPr>
          <w:p w14:paraId="1D88E689">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小型</w:t>
            </w:r>
          </w:p>
        </w:tc>
        <w:tc>
          <w:tcPr>
            <w:tcW w:w="1269" w:type="dxa"/>
            <w:tcBorders>
              <w:top w:val="single" w:color="auto" w:sz="4" w:space="0"/>
              <w:left w:val="nil"/>
              <w:bottom w:val="single" w:color="auto" w:sz="4" w:space="0"/>
              <w:right w:val="single" w:color="auto" w:sz="4" w:space="0"/>
            </w:tcBorders>
            <w:noWrap w:val="0"/>
            <w:vAlign w:val="center"/>
          </w:tcPr>
          <w:p w14:paraId="55595CDE">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微型</w:t>
            </w:r>
          </w:p>
        </w:tc>
      </w:tr>
      <w:tr w14:paraId="352D1B77">
        <w:tblPrEx>
          <w:tblCellMar>
            <w:top w:w="0" w:type="dxa"/>
            <w:left w:w="108" w:type="dxa"/>
            <w:bottom w:w="0" w:type="dxa"/>
            <w:right w:w="108" w:type="dxa"/>
          </w:tblCellMar>
        </w:tblPrEx>
        <w:trPr>
          <w:trHeight w:val="0" w:hRule="atLeast"/>
          <w:jc w:val="center"/>
        </w:trPr>
        <w:tc>
          <w:tcPr>
            <w:tcW w:w="1903" w:type="dxa"/>
            <w:tcBorders>
              <w:top w:val="nil"/>
              <w:left w:val="single" w:color="auto" w:sz="4" w:space="0"/>
              <w:bottom w:val="single" w:color="auto" w:sz="4" w:space="0"/>
              <w:right w:val="single" w:color="auto" w:sz="4" w:space="0"/>
            </w:tcBorders>
            <w:noWrap w:val="0"/>
            <w:vAlign w:val="center"/>
          </w:tcPr>
          <w:p w14:paraId="55DF9F95">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农、林、牧、渔</w:t>
            </w:r>
          </w:p>
        </w:tc>
        <w:tc>
          <w:tcPr>
            <w:tcW w:w="1783" w:type="dxa"/>
            <w:tcBorders>
              <w:top w:val="nil"/>
              <w:left w:val="nil"/>
              <w:bottom w:val="single" w:color="auto" w:sz="4" w:space="0"/>
              <w:right w:val="single" w:color="auto" w:sz="4" w:space="0"/>
            </w:tcBorders>
            <w:noWrap w:val="0"/>
            <w:vAlign w:val="center"/>
          </w:tcPr>
          <w:p w14:paraId="64296BD6">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营业收入（Y）</w:t>
            </w:r>
          </w:p>
        </w:tc>
        <w:tc>
          <w:tcPr>
            <w:tcW w:w="1252" w:type="dxa"/>
            <w:tcBorders>
              <w:top w:val="nil"/>
              <w:left w:val="nil"/>
              <w:bottom w:val="single" w:color="auto" w:sz="4" w:space="0"/>
              <w:right w:val="single" w:color="auto" w:sz="4" w:space="0"/>
            </w:tcBorders>
            <w:noWrap w:val="0"/>
            <w:vAlign w:val="center"/>
          </w:tcPr>
          <w:p w14:paraId="7836116B">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万元</w:t>
            </w:r>
          </w:p>
        </w:tc>
        <w:tc>
          <w:tcPr>
            <w:tcW w:w="1937" w:type="dxa"/>
            <w:tcBorders>
              <w:top w:val="nil"/>
              <w:left w:val="nil"/>
              <w:bottom w:val="single" w:color="auto" w:sz="4" w:space="0"/>
              <w:right w:val="single" w:color="auto" w:sz="4" w:space="0"/>
            </w:tcBorders>
            <w:noWrap w:val="0"/>
            <w:vAlign w:val="center"/>
          </w:tcPr>
          <w:p w14:paraId="5D3ABC5B">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500≤Y＜20000</w:t>
            </w:r>
          </w:p>
        </w:tc>
        <w:tc>
          <w:tcPr>
            <w:tcW w:w="1663" w:type="dxa"/>
            <w:tcBorders>
              <w:top w:val="nil"/>
              <w:left w:val="nil"/>
              <w:bottom w:val="single" w:color="auto" w:sz="4" w:space="0"/>
              <w:right w:val="single" w:color="auto" w:sz="4" w:space="0"/>
            </w:tcBorders>
            <w:noWrap w:val="0"/>
            <w:vAlign w:val="center"/>
          </w:tcPr>
          <w:p w14:paraId="2A5C0C56">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50≤Y＜500</w:t>
            </w:r>
          </w:p>
        </w:tc>
        <w:tc>
          <w:tcPr>
            <w:tcW w:w="1269" w:type="dxa"/>
            <w:tcBorders>
              <w:top w:val="nil"/>
              <w:left w:val="nil"/>
              <w:bottom w:val="single" w:color="auto" w:sz="4" w:space="0"/>
              <w:right w:val="single" w:color="auto" w:sz="4" w:space="0"/>
            </w:tcBorders>
            <w:noWrap w:val="0"/>
            <w:vAlign w:val="center"/>
          </w:tcPr>
          <w:p w14:paraId="44AFD083">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Y＜50</w:t>
            </w:r>
          </w:p>
        </w:tc>
      </w:tr>
      <w:tr w14:paraId="1B58F78D">
        <w:tblPrEx>
          <w:tblCellMar>
            <w:top w:w="0" w:type="dxa"/>
            <w:left w:w="108" w:type="dxa"/>
            <w:bottom w:w="0" w:type="dxa"/>
            <w:right w:w="108" w:type="dxa"/>
          </w:tblCellMar>
        </w:tblPrEx>
        <w:trPr>
          <w:trHeight w:val="0" w:hRule="atLeast"/>
          <w:jc w:val="center"/>
        </w:trPr>
        <w:tc>
          <w:tcPr>
            <w:tcW w:w="1903" w:type="dxa"/>
            <w:vMerge w:val="restart"/>
            <w:tcBorders>
              <w:top w:val="nil"/>
              <w:left w:val="single" w:color="auto" w:sz="4" w:space="0"/>
              <w:bottom w:val="single" w:color="auto" w:sz="4" w:space="0"/>
              <w:right w:val="single" w:color="auto" w:sz="4" w:space="0"/>
            </w:tcBorders>
            <w:noWrap w:val="0"/>
            <w:vAlign w:val="center"/>
          </w:tcPr>
          <w:p w14:paraId="1594451F">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工业</w:t>
            </w:r>
          </w:p>
        </w:tc>
        <w:tc>
          <w:tcPr>
            <w:tcW w:w="1783" w:type="dxa"/>
            <w:tcBorders>
              <w:top w:val="nil"/>
              <w:left w:val="nil"/>
              <w:bottom w:val="single" w:color="auto" w:sz="4" w:space="0"/>
              <w:right w:val="single" w:color="auto" w:sz="4" w:space="0"/>
            </w:tcBorders>
            <w:noWrap w:val="0"/>
            <w:vAlign w:val="center"/>
          </w:tcPr>
          <w:p w14:paraId="655B1BF6">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从业人员（X）</w:t>
            </w:r>
          </w:p>
        </w:tc>
        <w:tc>
          <w:tcPr>
            <w:tcW w:w="1252" w:type="dxa"/>
            <w:tcBorders>
              <w:top w:val="nil"/>
              <w:left w:val="nil"/>
              <w:bottom w:val="single" w:color="auto" w:sz="4" w:space="0"/>
              <w:right w:val="single" w:color="auto" w:sz="4" w:space="0"/>
            </w:tcBorders>
            <w:noWrap w:val="0"/>
            <w:vAlign w:val="center"/>
          </w:tcPr>
          <w:p w14:paraId="63D94EC8">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w:t>
            </w:r>
          </w:p>
        </w:tc>
        <w:tc>
          <w:tcPr>
            <w:tcW w:w="1937" w:type="dxa"/>
            <w:tcBorders>
              <w:top w:val="nil"/>
              <w:left w:val="nil"/>
              <w:bottom w:val="single" w:color="auto" w:sz="4" w:space="0"/>
              <w:right w:val="single" w:color="auto" w:sz="4" w:space="0"/>
            </w:tcBorders>
            <w:noWrap w:val="0"/>
            <w:vAlign w:val="center"/>
          </w:tcPr>
          <w:p w14:paraId="2A6BABE8">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300≤X＜1000</w:t>
            </w:r>
          </w:p>
        </w:tc>
        <w:tc>
          <w:tcPr>
            <w:tcW w:w="1663" w:type="dxa"/>
            <w:tcBorders>
              <w:top w:val="nil"/>
              <w:left w:val="nil"/>
              <w:bottom w:val="single" w:color="auto" w:sz="4" w:space="0"/>
              <w:right w:val="single" w:color="auto" w:sz="4" w:space="0"/>
            </w:tcBorders>
            <w:noWrap w:val="0"/>
            <w:vAlign w:val="center"/>
          </w:tcPr>
          <w:p w14:paraId="23E93D87">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20≤X＜300</w:t>
            </w:r>
          </w:p>
        </w:tc>
        <w:tc>
          <w:tcPr>
            <w:tcW w:w="1269" w:type="dxa"/>
            <w:tcBorders>
              <w:top w:val="nil"/>
              <w:left w:val="nil"/>
              <w:bottom w:val="single" w:color="auto" w:sz="4" w:space="0"/>
              <w:right w:val="single" w:color="auto" w:sz="4" w:space="0"/>
            </w:tcBorders>
            <w:noWrap w:val="0"/>
            <w:vAlign w:val="center"/>
          </w:tcPr>
          <w:p w14:paraId="3CD64068">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X＜20</w:t>
            </w:r>
          </w:p>
        </w:tc>
      </w:tr>
      <w:tr w14:paraId="3751A793">
        <w:tblPrEx>
          <w:tblCellMar>
            <w:top w:w="0" w:type="dxa"/>
            <w:left w:w="108" w:type="dxa"/>
            <w:bottom w:w="0" w:type="dxa"/>
            <w:right w:w="108" w:type="dxa"/>
          </w:tblCellMar>
        </w:tblPrEx>
        <w:trPr>
          <w:trHeight w:val="0" w:hRule="atLeast"/>
          <w:jc w:val="center"/>
        </w:trPr>
        <w:tc>
          <w:tcPr>
            <w:tcW w:w="1903" w:type="dxa"/>
            <w:vMerge w:val="continue"/>
            <w:tcBorders>
              <w:top w:val="nil"/>
              <w:left w:val="single" w:color="auto" w:sz="4" w:space="0"/>
              <w:bottom w:val="single" w:color="auto" w:sz="4" w:space="0"/>
              <w:right w:val="single" w:color="auto" w:sz="4" w:space="0"/>
            </w:tcBorders>
            <w:noWrap w:val="0"/>
            <w:vAlign w:val="center"/>
          </w:tcPr>
          <w:p w14:paraId="1CCE672C">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p>
        </w:tc>
        <w:tc>
          <w:tcPr>
            <w:tcW w:w="1783" w:type="dxa"/>
            <w:tcBorders>
              <w:top w:val="nil"/>
              <w:left w:val="nil"/>
              <w:bottom w:val="single" w:color="auto" w:sz="4" w:space="0"/>
              <w:right w:val="single" w:color="auto" w:sz="4" w:space="0"/>
            </w:tcBorders>
            <w:noWrap w:val="0"/>
            <w:vAlign w:val="center"/>
          </w:tcPr>
          <w:p w14:paraId="6099DFE9">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营业收入（Y）</w:t>
            </w:r>
          </w:p>
        </w:tc>
        <w:tc>
          <w:tcPr>
            <w:tcW w:w="1252" w:type="dxa"/>
            <w:tcBorders>
              <w:top w:val="nil"/>
              <w:left w:val="nil"/>
              <w:bottom w:val="single" w:color="auto" w:sz="4" w:space="0"/>
              <w:right w:val="single" w:color="auto" w:sz="4" w:space="0"/>
            </w:tcBorders>
            <w:noWrap w:val="0"/>
            <w:vAlign w:val="center"/>
          </w:tcPr>
          <w:p w14:paraId="02230F2F">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万元</w:t>
            </w:r>
          </w:p>
        </w:tc>
        <w:tc>
          <w:tcPr>
            <w:tcW w:w="1937" w:type="dxa"/>
            <w:tcBorders>
              <w:top w:val="nil"/>
              <w:left w:val="nil"/>
              <w:bottom w:val="single" w:color="auto" w:sz="4" w:space="0"/>
              <w:right w:val="single" w:color="auto" w:sz="4" w:space="0"/>
            </w:tcBorders>
            <w:noWrap w:val="0"/>
            <w:vAlign w:val="center"/>
          </w:tcPr>
          <w:p w14:paraId="1685134C">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2000≤Y＜40000</w:t>
            </w:r>
          </w:p>
        </w:tc>
        <w:tc>
          <w:tcPr>
            <w:tcW w:w="1663" w:type="dxa"/>
            <w:tcBorders>
              <w:top w:val="nil"/>
              <w:left w:val="nil"/>
              <w:bottom w:val="single" w:color="auto" w:sz="4" w:space="0"/>
              <w:right w:val="single" w:color="auto" w:sz="4" w:space="0"/>
            </w:tcBorders>
            <w:noWrap w:val="0"/>
            <w:vAlign w:val="center"/>
          </w:tcPr>
          <w:p w14:paraId="1F739B5A">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300≤Y＜2000</w:t>
            </w:r>
          </w:p>
        </w:tc>
        <w:tc>
          <w:tcPr>
            <w:tcW w:w="1269" w:type="dxa"/>
            <w:tcBorders>
              <w:top w:val="nil"/>
              <w:left w:val="nil"/>
              <w:bottom w:val="single" w:color="auto" w:sz="4" w:space="0"/>
              <w:right w:val="single" w:color="auto" w:sz="4" w:space="0"/>
            </w:tcBorders>
            <w:noWrap w:val="0"/>
            <w:vAlign w:val="center"/>
          </w:tcPr>
          <w:p w14:paraId="7113FDB3">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Y＜300</w:t>
            </w:r>
          </w:p>
        </w:tc>
      </w:tr>
      <w:tr w14:paraId="71405C04">
        <w:tblPrEx>
          <w:tblCellMar>
            <w:top w:w="0" w:type="dxa"/>
            <w:left w:w="108" w:type="dxa"/>
            <w:bottom w:w="0" w:type="dxa"/>
            <w:right w:w="108" w:type="dxa"/>
          </w:tblCellMar>
        </w:tblPrEx>
        <w:trPr>
          <w:trHeight w:val="0" w:hRule="atLeast"/>
          <w:jc w:val="center"/>
        </w:trPr>
        <w:tc>
          <w:tcPr>
            <w:tcW w:w="1903" w:type="dxa"/>
            <w:vMerge w:val="restart"/>
            <w:tcBorders>
              <w:top w:val="nil"/>
              <w:left w:val="single" w:color="auto" w:sz="4" w:space="0"/>
              <w:bottom w:val="single" w:color="auto" w:sz="4" w:space="0"/>
              <w:right w:val="single" w:color="auto" w:sz="4" w:space="0"/>
            </w:tcBorders>
            <w:shd w:val="clear" w:color="auto" w:fill="DCE6F2" w:themeFill="accent1" w:themeFillTint="32"/>
            <w:noWrap w:val="0"/>
            <w:vAlign w:val="center"/>
          </w:tcPr>
          <w:p w14:paraId="62F296D4">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建筑业</w:t>
            </w:r>
          </w:p>
        </w:tc>
        <w:tc>
          <w:tcPr>
            <w:tcW w:w="1783" w:type="dxa"/>
            <w:tcBorders>
              <w:top w:val="nil"/>
              <w:left w:val="nil"/>
              <w:bottom w:val="single" w:color="auto" w:sz="4" w:space="0"/>
              <w:right w:val="single" w:color="auto" w:sz="4" w:space="0"/>
            </w:tcBorders>
            <w:shd w:val="clear" w:color="auto" w:fill="DCE6F2" w:themeFill="accent1" w:themeFillTint="32"/>
            <w:noWrap w:val="0"/>
            <w:vAlign w:val="center"/>
          </w:tcPr>
          <w:p w14:paraId="33D59ABE">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营业收入（Y）</w:t>
            </w:r>
          </w:p>
        </w:tc>
        <w:tc>
          <w:tcPr>
            <w:tcW w:w="1252" w:type="dxa"/>
            <w:tcBorders>
              <w:top w:val="nil"/>
              <w:left w:val="nil"/>
              <w:bottom w:val="single" w:color="auto" w:sz="4" w:space="0"/>
              <w:right w:val="single" w:color="auto" w:sz="4" w:space="0"/>
            </w:tcBorders>
            <w:shd w:val="clear" w:color="auto" w:fill="DCE6F2" w:themeFill="accent1" w:themeFillTint="32"/>
            <w:noWrap w:val="0"/>
            <w:vAlign w:val="center"/>
          </w:tcPr>
          <w:p w14:paraId="23D45603">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万元</w:t>
            </w:r>
          </w:p>
        </w:tc>
        <w:tc>
          <w:tcPr>
            <w:tcW w:w="1937" w:type="dxa"/>
            <w:tcBorders>
              <w:top w:val="nil"/>
              <w:left w:val="nil"/>
              <w:bottom w:val="single" w:color="auto" w:sz="4" w:space="0"/>
              <w:right w:val="single" w:color="auto" w:sz="4" w:space="0"/>
            </w:tcBorders>
            <w:shd w:val="clear" w:color="auto" w:fill="DCE6F2" w:themeFill="accent1" w:themeFillTint="32"/>
            <w:noWrap w:val="0"/>
            <w:vAlign w:val="center"/>
          </w:tcPr>
          <w:p w14:paraId="033E0A7C">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6000≤Y＜80000</w:t>
            </w:r>
          </w:p>
        </w:tc>
        <w:tc>
          <w:tcPr>
            <w:tcW w:w="1663" w:type="dxa"/>
            <w:tcBorders>
              <w:top w:val="nil"/>
              <w:left w:val="nil"/>
              <w:bottom w:val="single" w:color="auto" w:sz="4" w:space="0"/>
              <w:right w:val="single" w:color="auto" w:sz="4" w:space="0"/>
            </w:tcBorders>
            <w:shd w:val="clear" w:color="auto" w:fill="DCE6F2" w:themeFill="accent1" w:themeFillTint="32"/>
            <w:noWrap w:val="0"/>
            <w:vAlign w:val="center"/>
          </w:tcPr>
          <w:p w14:paraId="681C9D16">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300≤Y＜6000</w:t>
            </w:r>
          </w:p>
        </w:tc>
        <w:tc>
          <w:tcPr>
            <w:tcW w:w="1269" w:type="dxa"/>
            <w:tcBorders>
              <w:top w:val="nil"/>
              <w:left w:val="nil"/>
              <w:bottom w:val="single" w:color="auto" w:sz="4" w:space="0"/>
              <w:right w:val="single" w:color="auto" w:sz="4" w:space="0"/>
            </w:tcBorders>
            <w:shd w:val="clear" w:color="auto" w:fill="DCE6F2" w:themeFill="accent1" w:themeFillTint="32"/>
            <w:noWrap w:val="0"/>
            <w:vAlign w:val="center"/>
          </w:tcPr>
          <w:p w14:paraId="370CE9DB">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Y＜300</w:t>
            </w:r>
          </w:p>
        </w:tc>
      </w:tr>
      <w:tr w14:paraId="27F6FC8C">
        <w:tblPrEx>
          <w:tblCellMar>
            <w:top w:w="0" w:type="dxa"/>
            <w:left w:w="108" w:type="dxa"/>
            <w:bottom w:w="0" w:type="dxa"/>
            <w:right w:w="108" w:type="dxa"/>
          </w:tblCellMar>
        </w:tblPrEx>
        <w:trPr>
          <w:trHeight w:val="0" w:hRule="atLeast"/>
          <w:jc w:val="center"/>
        </w:trPr>
        <w:tc>
          <w:tcPr>
            <w:tcW w:w="1903" w:type="dxa"/>
            <w:vMerge w:val="continue"/>
            <w:tcBorders>
              <w:top w:val="nil"/>
              <w:left w:val="single" w:color="auto" w:sz="4" w:space="0"/>
              <w:bottom w:val="single" w:color="auto" w:sz="4" w:space="0"/>
              <w:right w:val="single" w:color="auto" w:sz="4" w:space="0"/>
            </w:tcBorders>
            <w:shd w:val="clear" w:color="auto" w:fill="DCE6F2" w:themeFill="accent1" w:themeFillTint="32"/>
            <w:noWrap w:val="0"/>
            <w:vAlign w:val="center"/>
          </w:tcPr>
          <w:p w14:paraId="513D0558">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p>
        </w:tc>
        <w:tc>
          <w:tcPr>
            <w:tcW w:w="1783" w:type="dxa"/>
            <w:tcBorders>
              <w:top w:val="nil"/>
              <w:left w:val="nil"/>
              <w:bottom w:val="single" w:color="auto" w:sz="4" w:space="0"/>
              <w:right w:val="single" w:color="auto" w:sz="4" w:space="0"/>
            </w:tcBorders>
            <w:shd w:val="clear" w:color="auto" w:fill="DCE6F2" w:themeFill="accent1" w:themeFillTint="32"/>
            <w:noWrap w:val="0"/>
            <w:vAlign w:val="center"/>
          </w:tcPr>
          <w:p w14:paraId="02C46CC2">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资产总额（Z）</w:t>
            </w:r>
          </w:p>
        </w:tc>
        <w:tc>
          <w:tcPr>
            <w:tcW w:w="1252" w:type="dxa"/>
            <w:tcBorders>
              <w:top w:val="nil"/>
              <w:left w:val="nil"/>
              <w:bottom w:val="single" w:color="auto" w:sz="4" w:space="0"/>
              <w:right w:val="single" w:color="auto" w:sz="4" w:space="0"/>
            </w:tcBorders>
            <w:shd w:val="clear" w:color="auto" w:fill="DCE6F2" w:themeFill="accent1" w:themeFillTint="32"/>
            <w:noWrap w:val="0"/>
            <w:vAlign w:val="center"/>
          </w:tcPr>
          <w:p w14:paraId="38E5C0E9">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万元</w:t>
            </w:r>
          </w:p>
        </w:tc>
        <w:tc>
          <w:tcPr>
            <w:tcW w:w="1937" w:type="dxa"/>
            <w:tcBorders>
              <w:top w:val="nil"/>
              <w:left w:val="nil"/>
              <w:bottom w:val="single" w:color="auto" w:sz="4" w:space="0"/>
              <w:right w:val="single" w:color="auto" w:sz="4" w:space="0"/>
            </w:tcBorders>
            <w:shd w:val="clear" w:color="auto" w:fill="DCE6F2" w:themeFill="accent1" w:themeFillTint="32"/>
            <w:noWrap w:val="0"/>
            <w:vAlign w:val="center"/>
          </w:tcPr>
          <w:p w14:paraId="59F396C0">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5000≤Z＜80000</w:t>
            </w:r>
          </w:p>
        </w:tc>
        <w:tc>
          <w:tcPr>
            <w:tcW w:w="1663" w:type="dxa"/>
            <w:tcBorders>
              <w:top w:val="nil"/>
              <w:left w:val="nil"/>
              <w:bottom w:val="single" w:color="auto" w:sz="4" w:space="0"/>
              <w:right w:val="single" w:color="auto" w:sz="4" w:space="0"/>
            </w:tcBorders>
            <w:shd w:val="clear" w:color="auto" w:fill="DCE6F2" w:themeFill="accent1" w:themeFillTint="32"/>
            <w:noWrap w:val="0"/>
            <w:vAlign w:val="center"/>
          </w:tcPr>
          <w:p w14:paraId="4C7C7836">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300≤Z＜5000</w:t>
            </w:r>
          </w:p>
        </w:tc>
        <w:tc>
          <w:tcPr>
            <w:tcW w:w="1269" w:type="dxa"/>
            <w:tcBorders>
              <w:top w:val="nil"/>
              <w:left w:val="nil"/>
              <w:bottom w:val="single" w:color="auto" w:sz="4" w:space="0"/>
              <w:right w:val="single" w:color="auto" w:sz="4" w:space="0"/>
            </w:tcBorders>
            <w:shd w:val="clear" w:color="auto" w:fill="DCE6F2" w:themeFill="accent1" w:themeFillTint="32"/>
            <w:noWrap w:val="0"/>
            <w:vAlign w:val="center"/>
          </w:tcPr>
          <w:p w14:paraId="7C0CE040">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Z＜300</w:t>
            </w:r>
          </w:p>
        </w:tc>
      </w:tr>
      <w:tr w14:paraId="4D649C4C">
        <w:tblPrEx>
          <w:tblCellMar>
            <w:top w:w="0" w:type="dxa"/>
            <w:left w:w="108" w:type="dxa"/>
            <w:bottom w:w="0" w:type="dxa"/>
            <w:right w:w="108" w:type="dxa"/>
          </w:tblCellMar>
        </w:tblPrEx>
        <w:trPr>
          <w:trHeight w:val="0" w:hRule="atLeast"/>
          <w:jc w:val="center"/>
        </w:trPr>
        <w:tc>
          <w:tcPr>
            <w:tcW w:w="1903" w:type="dxa"/>
            <w:vMerge w:val="restart"/>
            <w:tcBorders>
              <w:top w:val="nil"/>
              <w:left w:val="single" w:color="auto" w:sz="4" w:space="0"/>
              <w:bottom w:val="single" w:color="auto" w:sz="4" w:space="0"/>
              <w:right w:val="single" w:color="auto" w:sz="4" w:space="0"/>
            </w:tcBorders>
            <w:noWrap w:val="0"/>
            <w:vAlign w:val="center"/>
          </w:tcPr>
          <w:p w14:paraId="76A3AC79">
            <w:pPr>
              <w:keepNext w:val="0"/>
              <w:keepLines w:val="0"/>
              <w:pageBreakBefore w:val="0"/>
              <w:widowControl/>
              <w:kinsoku/>
              <w:wordWrap/>
              <w:overflowPunct/>
              <w:topLinePunct w:val="0"/>
              <w:autoSpaceDE w:val="0"/>
              <w:autoSpaceDN w:val="0"/>
              <w:bidi w:val="0"/>
              <w:adjustRightInd/>
              <w:snapToGrid/>
              <w:spacing w:line="360" w:lineRule="exact"/>
              <w:ind w:firstLine="316" w:firstLineChars="150"/>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批发业</w:t>
            </w:r>
          </w:p>
        </w:tc>
        <w:tc>
          <w:tcPr>
            <w:tcW w:w="1783" w:type="dxa"/>
            <w:tcBorders>
              <w:top w:val="nil"/>
              <w:left w:val="nil"/>
              <w:bottom w:val="single" w:color="auto" w:sz="4" w:space="0"/>
              <w:right w:val="single" w:color="auto" w:sz="4" w:space="0"/>
            </w:tcBorders>
            <w:noWrap w:val="0"/>
            <w:vAlign w:val="center"/>
          </w:tcPr>
          <w:p w14:paraId="1F4B08BC">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从业人员（X）</w:t>
            </w:r>
          </w:p>
        </w:tc>
        <w:tc>
          <w:tcPr>
            <w:tcW w:w="1252" w:type="dxa"/>
            <w:tcBorders>
              <w:top w:val="nil"/>
              <w:left w:val="nil"/>
              <w:bottom w:val="single" w:color="auto" w:sz="4" w:space="0"/>
              <w:right w:val="single" w:color="auto" w:sz="4" w:space="0"/>
            </w:tcBorders>
            <w:noWrap w:val="0"/>
            <w:vAlign w:val="center"/>
          </w:tcPr>
          <w:p w14:paraId="730BD8A5">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w:t>
            </w:r>
          </w:p>
        </w:tc>
        <w:tc>
          <w:tcPr>
            <w:tcW w:w="1937" w:type="dxa"/>
            <w:tcBorders>
              <w:top w:val="nil"/>
              <w:left w:val="nil"/>
              <w:bottom w:val="single" w:color="auto" w:sz="4" w:space="0"/>
              <w:right w:val="single" w:color="auto" w:sz="4" w:space="0"/>
            </w:tcBorders>
            <w:noWrap w:val="0"/>
            <w:vAlign w:val="center"/>
          </w:tcPr>
          <w:p w14:paraId="22E7D6CF">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20≤X＜200</w:t>
            </w:r>
          </w:p>
        </w:tc>
        <w:tc>
          <w:tcPr>
            <w:tcW w:w="1663" w:type="dxa"/>
            <w:tcBorders>
              <w:top w:val="nil"/>
              <w:left w:val="nil"/>
              <w:bottom w:val="single" w:color="auto" w:sz="4" w:space="0"/>
              <w:right w:val="single" w:color="auto" w:sz="4" w:space="0"/>
            </w:tcBorders>
            <w:noWrap w:val="0"/>
            <w:vAlign w:val="center"/>
          </w:tcPr>
          <w:p w14:paraId="10AC76D9">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5≤X＜20</w:t>
            </w:r>
          </w:p>
        </w:tc>
        <w:tc>
          <w:tcPr>
            <w:tcW w:w="1269" w:type="dxa"/>
            <w:tcBorders>
              <w:top w:val="nil"/>
              <w:left w:val="nil"/>
              <w:bottom w:val="single" w:color="auto" w:sz="4" w:space="0"/>
              <w:right w:val="single" w:color="auto" w:sz="4" w:space="0"/>
            </w:tcBorders>
            <w:noWrap w:val="0"/>
            <w:vAlign w:val="center"/>
          </w:tcPr>
          <w:p w14:paraId="16F0B241">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X＜5</w:t>
            </w:r>
          </w:p>
        </w:tc>
      </w:tr>
      <w:tr w14:paraId="135CF604">
        <w:tblPrEx>
          <w:tblCellMar>
            <w:top w:w="0" w:type="dxa"/>
            <w:left w:w="108" w:type="dxa"/>
            <w:bottom w:w="0" w:type="dxa"/>
            <w:right w:w="108" w:type="dxa"/>
          </w:tblCellMar>
        </w:tblPrEx>
        <w:trPr>
          <w:trHeight w:val="0" w:hRule="atLeast"/>
          <w:jc w:val="center"/>
        </w:trPr>
        <w:tc>
          <w:tcPr>
            <w:tcW w:w="1903" w:type="dxa"/>
            <w:vMerge w:val="continue"/>
            <w:tcBorders>
              <w:top w:val="nil"/>
              <w:left w:val="single" w:color="auto" w:sz="4" w:space="0"/>
              <w:bottom w:val="single" w:color="auto" w:sz="4" w:space="0"/>
              <w:right w:val="single" w:color="auto" w:sz="4" w:space="0"/>
            </w:tcBorders>
            <w:noWrap w:val="0"/>
            <w:vAlign w:val="center"/>
          </w:tcPr>
          <w:p w14:paraId="0B0E24CF">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p>
        </w:tc>
        <w:tc>
          <w:tcPr>
            <w:tcW w:w="1783" w:type="dxa"/>
            <w:tcBorders>
              <w:top w:val="nil"/>
              <w:left w:val="nil"/>
              <w:bottom w:val="single" w:color="auto" w:sz="4" w:space="0"/>
              <w:right w:val="single" w:color="auto" w:sz="4" w:space="0"/>
            </w:tcBorders>
            <w:noWrap w:val="0"/>
            <w:vAlign w:val="center"/>
          </w:tcPr>
          <w:p w14:paraId="7148DB6F">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营业收入（Y）</w:t>
            </w:r>
          </w:p>
        </w:tc>
        <w:tc>
          <w:tcPr>
            <w:tcW w:w="1252" w:type="dxa"/>
            <w:tcBorders>
              <w:top w:val="nil"/>
              <w:left w:val="nil"/>
              <w:bottom w:val="single" w:color="auto" w:sz="4" w:space="0"/>
              <w:right w:val="single" w:color="auto" w:sz="4" w:space="0"/>
            </w:tcBorders>
            <w:noWrap w:val="0"/>
            <w:vAlign w:val="center"/>
          </w:tcPr>
          <w:p w14:paraId="2168BA2B">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万元</w:t>
            </w:r>
          </w:p>
        </w:tc>
        <w:tc>
          <w:tcPr>
            <w:tcW w:w="1937" w:type="dxa"/>
            <w:tcBorders>
              <w:top w:val="nil"/>
              <w:left w:val="nil"/>
              <w:bottom w:val="single" w:color="auto" w:sz="4" w:space="0"/>
              <w:right w:val="single" w:color="auto" w:sz="4" w:space="0"/>
            </w:tcBorders>
            <w:noWrap w:val="0"/>
            <w:vAlign w:val="center"/>
          </w:tcPr>
          <w:p w14:paraId="3DD89AC6">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5000≤Y＜40000</w:t>
            </w:r>
          </w:p>
        </w:tc>
        <w:tc>
          <w:tcPr>
            <w:tcW w:w="1663" w:type="dxa"/>
            <w:tcBorders>
              <w:top w:val="nil"/>
              <w:left w:val="nil"/>
              <w:bottom w:val="single" w:color="auto" w:sz="4" w:space="0"/>
              <w:right w:val="single" w:color="auto" w:sz="4" w:space="0"/>
            </w:tcBorders>
            <w:noWrap w:val="0"/>
            <w:vAlign w:val="center"/>
          </w:tcPr>
          <w:p w14:paraId="31A9F66C">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1000≤Y＜5000</w:t>
            </w:r>
          </w:p>
        </w:tc>
        <w:tc>
          <w:tcPr>
            <w:tcW w:w="1269" w:type="dxa"/>
            <w:tcBorders>
              <w:top w:val="nil"/>
              <w:left w:val="nil"/>
              <w:bottom w:val="single" w:color="auto" w:sz="4" w:space="0"/>
              <w:right w:val="single" w:color="auto" w:sz="4" w:space="0"/>
            </w:tcBorders>
            <w:noWrap w:val="0"/>
            <w:vAlign w:val="center"/>
          </w:tcPr>
          <w:p w14:paraId="763217FE">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Y＜1000</w:t>
            </w:r>
          </w:p>
        </w:tc>
      </w:tr>
      <w:tr w14:paraId="580ED3B0">
        <w:tblPrEx>
          <w:tblCellMar>
            <w:top w:w="0" w:type="dxa"/>
            <w:left w:w="108" w:type="dxa"/>
            <w:bottom w:w="0" w:type="dxa"/>
            <w:right w:w="108" w:type="dxa"/>
          </w:tblCellMar>
        </w:tblPrEx>
        <w:trPr>
          <w:trHeight w:val="0" w:hRule="atLeast"/>
          <w:jc w:val="center"/>
        </w:trPr>
        <w:tc>
          <w:tcPr>
            <w:tcW w:w="1903" w:type="dxa"/>
            <w:vMerge w:val="restart"/>
            <w:tcBorders>
              <w:top w:val="nil"/>
              <w:left w:val="single" w:color="auto" w:sz="4" w:space="0"/>
              <w:bottom w:val="single" w:color="auto" w:sz="4" w:space="0"/>
              <w:right w:val="single" w:color="auto" w:sz="4" w:space="0"/>
            </w:tcBorders>
            <w:noWrap w:val="0"/>
            <w:vAlign w:val="center"/>
          </w:tcPr>
          <w:p w14:paraId="58C97654">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零售业</w:t>
            </w:r>
          </w:p>
        </w:tc>
        <w:tc>
          <w:tcPr>
            <w:tcW w:w="1783" w:type="dxa"/>
            <w:tcBorders>
              <w:top w:val="nil"/>
              <w:left w:val="nil"/>
              <w:bottom w:val="single" w:color="auto" w:sz="4" w:space="0"/>
              <w:right w:val="single" w:color="auto" w:sz="4" w:space="0"/>
            </w:tcBorders>
            <w:noWrap w:val="0"/>
            <w:vAlign w:val="center"/>
          </w:tcPr>
          <w:p w14:paraId="199C5D2E">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从业人员（X）</w:t>
            </w:r>
          </w:p>
        </w:tc>
        <w:tc>
          <w:tcPr>
            <w:tcW w:w="1252" w:type="dxa"/>
            <w:tcBorders>
              <w:top w:val="nil"/>
              <w:left w:val="nil"/>
              <w:bottom w:val="single" w:color="auto" w:sz="4" w:space="0"/>
              <w:right w:val="single" w:color="auto" w:sz="4" w:space="0"/>
            </w:tcBorders>
            <w:noWrap w:val="0"/>
            <w:vAlign w:val="center"/>
          </w:tcPr>
          <w:p w14:paraId="1A8E0451">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w:t>
            </w:r>
          </w:p>
        </w:tc>
        <w:tc>
          <w:tcPr>
            <w:tcW w:w="1937" w:type="dxa"/>
            <w:tcBorders>
              <w:top w:val="nil"/>
              <w:left w:val="nil"/>
              <w:bottom w:val="single" w:color="auto" w:sz="4" w:space="0"/>
              <w:right w:val="single" w:color="auto" w:sz="4" w:space="0"/>
            </w:tcBorders>
            <w:noWrap w:val="0"/>
            <w:vAlign w:val="center"/>
          </w:tcPr>
          <w:p w14:paraId="422C2BBA">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50≤X＜300</w:t>
            </w:r>
          </w:p>
        </w:tc>
        <w:tc>
          <w:tcPr>
            <w:tcW w:w="1663" w:type="dxa"/>
            <w:tcBorders>
              <w:top w:val="nil"/>
              <w:left w:val="nil"/>
              <w:bottom w:val="single" w:color="auto" w:sz="4" w:space="0"/>
              <w:right w:val="single" w:color="auto" w:sz="4" w:space="0"/>
            </w:tcBorders>
            <w:noWrap w:val="0"/>
            <w:vAlign w:val="center"/>
          </w:tcPr>
          <w:p w14:paraId="6950EFFE">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10≤X＜50</w:t>
            </w:r>
          </w:p>
        </w:tc>
        <w:tc>
          <w:tcPr>
            <w:tcW w:w="1269" w:type="dxa"/>
            <w:tcBorders>
              <w:top w:val="nil"/>
              <w:left w:val="nil"/>
              <w:bottom w:val="single" w:color="auto" w:sz="4" w:space="0"/>
              <w:right w:val="single" w:color="auto" w:sz="4" w:space="0"/>
            </w:tcBorders>
            <w:noWrap w:val="0"/>
            <w:vAlign w:val="center"/>
          </w:tcPr>
          <w:p w14:paraId="16EABFD1">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X＜10</w:t>
            </w:r>
          </w:p>
        </w:tc>
      </w:tr>
      <w:tr w14:paraId="695A4AAB">
        <w:tblPrEx>
          <w:tblCellMar>
            <w:top w:w="0" w:type="dxa"/>
            <w:left w:w="108" w:type="dxa"/>
            <w:bottom w:w="0" w:type="dxa"/>
            <w:right w:w="108" w:type="dxa"/>
          </w:tblCellMar>
        </w:tblPrEx>
        <w:trPr>
          <w:trHeight w:val="0" w:hRule="atLeast"/>
          <w:jc w:val="center"/>
        </w:trPr>
        <w:tc>
          <w:tcPr>
            <w:tcW w:w="1903" w:type="dxa"/>
            <w:vMerge w:val="continue"/>
            <w:tcBorders>
              <w:top w:val="nil"/>
              <w:left w:val="single" w:color="auto" w:sz="4" w:space="0"/>
              <w:bottom w:val="single" w:color="auto" w:sz="4" w:space="0"/>
              <w:right w:val="single" w:color="auto" w:sz="4" w:space="0"/>
            </w:tcBorders>
            <w:noWrap w:val="0"/>
            <w:vAlign w:val="center"/>
          </w:tcPr>
          <w:p w14:paraId="6449A3EC">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p>
        </w:tc>
        <w:tc>
          <w:tcPr>
            <w:tcW w:w="1783" w:type="dxa"/>
            <w:tcBorders>
              <w:top w:val="nil"/>
              <w:left w:val="nil"/>
              <w:bottom w:val="single" w:color="auto" w:sz="4" w:space="0"/>
              <w:right w:val="single" w:color="auto" w:sz="4" w:space="0"/>
            </w:tcBorders>
            <w:noWrap w:val="0"/>
            <w:vAlign w:val="center"/>
          </w:tcPr>
          <w:p w14:paraId="17FC7B9B">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营业收入（Y）</w:t>
            </w:r>
          </w:p>
        </w:tc>
        <w:tc>
          <w:tcPr>
            <w:tcW w:w="1252" w:type="dxa"/>
            <w:tcBorders>
              <w:top w:val="nil"/>
              <w:left w:val="nil"/>
              <w:bottom w:val="single" w:color="auto" w:sz="4" w:space="0"/>
              <w:right w:val="single" w:color="auto" w:sz="4" w:space="0"/>
            </w:tcBorders>
            <w:noWrap w:val="0"/>
            <w:vAlign w:val="center"/>
          </w:tcPr>
          <w:p w14:paraId="29CF32FB">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万元</w:t>
            </w:r>
          </w:p>
        </w:tc>
        <w:tc>
          <w:tcPr>
            <w:tcW w:w="1937" w:type="dxa"/>
            <w:tcBorders>
              <w:top w:val="nil"/>
              <w:left w:val="nil"/>
              <w:bottom w:val="single" w:color="auto" w:sz="4" w:space="0"/>
              <w:right w:val="single" w:color="auto" w:sz="4" w:space="0"/>
            </w:tcBorders>
            <w:noWrap w:val="0"/>
            <w:vAlign w:val="center"/>
          </w:tcPr>
          <w:p w14:paraId="2AD10F73">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500≤Y＜20000</w:t>
            </w:r>
          </w:p>
        </w:tc>
        <w:tc>
          <w:tcPr>
            <w:tcW w:w="1663" w:type="dxa"/>
            <w:tcBorders>
              <w:top w:val="nil"/>
              <w:left w:val="nil"/>
              <w:bottom w:val="single" w:color="auto" w:sz="4" w:space="0"/>
              <w:right w:val="single" w:color="auto" w:sz="4" w:space="0"/>
            </w:tcBorders>
            <w:noWrap w:val="0"/>
            <w:vAlign w:val="center"/>
          </w:tcPr>
          <w:p w14:paraId="1F698BA1">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100≤Y＜500</w:t>
            </w:r>
          </w:p>
        </w:tc>
        <w:tc>
          <w:tcPr>
            <w:tcW w:w="1269" w:type="dxa"/>
            <w:tcBorders>
              <w:top w:val="nil"/>
              <w:left w:val="nil"/>
              <w:bottom w:val="single" w:color="auto" w:sz="4" w:space="0"/>
              <w:right w:val="single" w:color="auto" w:sz="4" w:space="0"/>
            </w:tcBorders>
            <w:noWrap w:val="0"/>
            <w:vAlign w:val="center"/>
          </w:tcPr>
          <w:p w14:paraId="36274DB7">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Y＜100</w:t>
            </w:r>
          </w:p>
        </w:tc>
      </w:tr>
      <w:tr w14:paraId="34F64BF6">
        <w:tblPrEx>
          <w:tblCellMar>
            <w:top w:w="0" w:type="dxa"/>
            <w:left w:w="108" w:type="dxa"/>
            <w:bottom w:w="0" w:type="dxa"/>
            <w:right w:w="108" w:type="dxa"/>
          </w:tblCellMar>
        </w:tblPrEx>
        <w:trPr>
          <w:trHeight w:val="0" w:hRule="atLeast"/>
          <w:jc w:val="center"/>
        </w:trPr>
        <w:tc>
          <w:tcPr>
            <w:tcW w:w="1903" w:type="dxa"/>
            <w:vMerge w:val="restart"/>
            <w:tcBorders>
              <w:top w:val="nil"/>
              <w:left w:val="single" w:color="auto" w:sz="4" w:space="0"/>
              <w:bottom w:val="single" w:color="auto" w:sz="4" w:space="0"/>
              <w:right w:val="single" w:color="auto" w:sz="4" w:space="0"/>
            </w:tcBorders>
            <w:noWrap w:val="0"/>
            <w:vAlign w:val="center"/>
          </w:tcPr>
          <w:p w14:paraId="328C230A">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交通运输业</w:t>
            </w:r>
          </w:p>
        </w:tc>
        <w:tc>
          <w:tcPr>
            <w:tcW w:w="1783" w:type="dxa"/>
            <w:tcBorders>
              <w:top w:val="nil"/>
              <w:left w:val="nil"/>
              <w:bottom w:val="single" w:color="auto" w:sz="4" w:space="0"/>
              <w:right w:val="single" w:color="auto" w:sz="4" w:space="0"/>
            </w:tcBorders>
            <w:noWrap w:val="0"/>
            <w:vAlign w:val="center"/>
          </w:tcPr>
          <w:p w14:paraId="15B486D0">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从业人员（X）</w:t>
            </w:r>
          </w:p>
        </w:tc>
        <w:tc>
          <w:tcPr>
            <w:tcW w:w="1252" w:type="dxa"/>
            <w:tcBorders>
              <w:top w:val="nil"/>
              <w:left w:val="nil"/>
              <w:bottom w:val="single" w:color="auto" w:sz="4" w:space="0"/>
              <w:right w:val="single" w:color="auto" w:sz="4" w:space="0"/>
            </w:tcBorders>
            <w:noWrap w:val="0"/>
            <w:vAlign w:val="center"/>
          </w:tcPr>
          <w:p w14:paraId="1D5F41E5">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w:t>
            </w:r>
          </w:p>
        </w:tc>
        <w:tc>
          <w:tcPr>
            <w:tcW w:w="1937" w:type="dxa"/>
            <w:tcBorders>
              <w:top w:val="nil"/>
              <w:left w:val="nil"/>
              <w:bottom w:val="single" w:color="auto" w:sz="4" w:space="0"/>
              <w:right w:val="single" w:color="auto" w:sz="4" w:space="0"/>
            </w:tcBorders>
            <w:noWrap w:val="0"/>
            <w:vAlign w:val="center"/>
          </w:tcPr>
          <w:p w14:paraId="1F386283">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300≤X＜1000</w:t>
            </w:r>
          </w:p>
        </w:tc>
        <w:tc>
          <w:tcPr>
            <w:tcW w:w="1663" w:type="dxa"/>
            <w:tcBorders>
              <w:top w:val="nil"/>
              <w:left w:val="nil"/>
              <w:bottom w:val="single" w:color="auto" w:sz="4" w:space="0"/>
              <w:right w:val="single" w:color="auto" w:sz="4" w:space="0"/>
            </w:tcBorders>
            <w:noWrap w:val="0"/>
            <w:vAlign w:val="center"/>
          </w:tcPr>
          <w:p w14:paraId="3B0E4508">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20≤X＜300</w:t>
            </w:r>
          </w:p>
        </w:tc>
        <w:tc>
          <w:tcPr>
            <w:tcW w:w="1269" w:type="dxa"/>
            <w:tcBorders>
              <w:top w:val="nil"/>
              <w:left w:val="nil"/>
              <w:bottom w:val="single" w:color="auto" w:sz="4" w:space="0"/>
              <w:right w:val="single" w:color="auto" w:sz="4" w:space="0"/>
            </w:tcBorders>
            <w:noWrap w:val="0"/>
            <w:vAlign w:val="center"/>
          </w:tcPr>
          <w:p w14:paraId="4CB6B282">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X＜20</w:t>
            </w:r>
          </w:p>
        </w:tc>
      </w:tr>
      <w:tr w14:paraId="25B5F9FD">
        <w:tblPrEx>
          <w:tblCellMar>
            <w:top w:w="0" w:type="dxa"/>
            <w:left w:w="108" w:type="dxa"/>
            <w:bottom w:w="0" w:type="dxa"/>
            <w:right w:w="108" w:type="dxa"/>
          </w:tblCellMar>
        </w:tblPrEx>
        <w:trPr>
          <w:trHeight w:val="0" w:hRule="atLeast"/>
          <w:jc w:val="center"/>
        </w:trPr>
        <w:tc>
          <w:tcPr>
            <w:tcW w:w="1903" w:type="dxa"/>
            <w:vMerge w:val="continue"/>
            <w:tcBorders>
              <w:top w:val="nil"/>
              <w:left w:val="single" w:color="auto" w:sz="4" w:space="0"/>
              <w:bottom w:val="single" w:color="auto" w:sz="4" w:space="0"/>
              <w:right w:val="single" w:color="auto" w:sz="4" w:space="0"/>
            </w:tcBorders>
            <w:noWrap w:val="0"/>
            <w:vAlign w:val="center"/>
          </w:tcPr>
          <w:p w14:paraId="7540F6C4">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p>
        </w:tc>
        <w:tc>
          <w:tcPr>
            <w:tcW w:w="1783" w:type="dxa"/>
            <w:tcBorders>
              <w:top w:val="nil"/>
              <w:left w:val="nil"/>
              <w:bottom w:val="single" w:color="auto" w:sz="4" w:space="0"/>
              <w:right w:val="single" w:color="auto" w:sz="4" w:space="0"/>
            </w:tcBorders>
            <w:noWrap w:val="0"/>
            <w:vAlign w:val="center"/>
          </w:tcPr>
          <w:p w14:paraId="39826749">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营业收入（Y）</w:t>
            </w:r>
          </w:p>
        </w:tc>
        <w:tc>
          <w:tcPr>
            <w:tcW w:w="1252" w:type="dxa"/>
            <w:tcBorders>
              <w:top w:val="nil"/>
              <w:left w:val="nil"/>
              <w:bottom w:val="single" w:color="auto" w:sz="4" w:space="0"/>
              <w:right w:val="single" w:color="auto" w:sz="4" w:space="0"/>
            </w:tcBorders>
            <w:noWrap w:val="0"/>
            <w:vAlign w:val="center"/>
          </w:tcPr>
          <w:p w14:paraId="40A566A8">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万元</w:t>
            </w:r>
          </w:p>
        </w:tc>
        <w:tc>
          <w:tcPr>
            <w:tcW w:w="1937" w:type="dxa"/>
            <w:tcBorders>
              <w:top w:val="nil"/>
              <w:left w:val="nil"/>
              <w:bottom w:val="single" w:color="auto" w:sz="4" w:space="0"/>
              <w:right w:val="single" w:color="auto" w:sz="4" w:space="0"/>
            </w:tcBorders>
            <w:noWrap w:val="0"/>
            <w:vAlign w:val="center"/>
          </w:tcPr>
          <w:p w14:paraId="46170D23">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3000≤Y＜30000</w:t>
            </w:r>
          </w:p>
        </w:tc>
        <w:tc>
          <w:tcPr>
            <w:tcW w:w="1663" w:type="dxa"/>
            <w:tcBorders>
              <w:top w:val="nil"/>
              <w:left w:val="nil"/>
              <w:bottom w:val="single" w:color="auto" w:sz="4" w:space="0"/>
              <w:right w:val="single" w:color="auto" w:sz="4" w:space="0"/>
            </w:tcBorders>
            <w:noWrap w:val="0"/>
            <w:vAlign w:val="center"/>
          </w:tcPr>
          <w:p w14:paraId="67A15DA8">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200≤Y＜3000</w:t>
            </w:r>
          </w:p>
        </w:tc>
        <w:tc>
          <w:tcPr>
            <w:tcW w:w="1269" w:type="dxa"/>
            <w:tcBorders>
              <w:top w:val="nil"/>
              <w:left w:val="nil"/>
              <w:bottom w:val="single" w:color="auto" w:sz="4" w:space="0"/>
              <w:right w:val="single" w:color="auto" w:sz="4" w:space="0"/>
            </w:tcBorders>
            <w:noWrap w:val="0"/>
            <w:vAlign w:val="center"/>
          </w:tcPr>
          <w:p w14:paraId="60135067">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Y＜200</w:t>
            </w:r>
          </w:p>
        </w:tc>
      </w:tr>
      <w:tr w14:paraId="1C5D6056">
        <w:tblPrEx>
          <w:tblCellMar>
            <w:top w:w="0" w:type="dxa"/>
            <w:left w:w="108" w:type="dxa"/>
            <w:bottom w:w="0" w:type="dxa"/>
            <w:right w:w="108" w:type="dxa"/>
          </w:tblCellMar>
        </w:tblPrEx>
        <w:trPr>
          <w:trHeight w:val="0" w:hRule="atLeast"/>
          <w:jc w:val="center"/>
        </w:trPr>
        <w:tc>
          <w:tcPr>
            <w:tcW w:w="1903" w:type="dxa"/>
            <w:vMerge w:val="restart"/>
            <w:tcBorders>
              <w:top w:val="nil"/>
              <w:left w:val="single" w:color="auto" w:sz="4" w:space="0"/>
              <w:bottom w:val="single" w:color="auto" w:sz="4" w:space="0"/>
              <w:right w:val="single" w:color="auto" w:sz="4" w:space="0"/>
            </w:tcBorders>
            <w:noWrap w:val="0"/>
            <w:vAlign w:val="center"/>
          </w:tcPr>
          <w:p w14:paraId="0933B5B0">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仓储业</w:t>
            </w:r>
          </w:p>
        </w:tc>
        <w:tc>
          <w:tcPr>
            <w:tcW w:w="1783" w:type="dxa"/>
            <w:tcBorders>
              <w:top w:val="nil"/>
              <w:left w:val="nil"/>
              <w:bottom w:val="single" w:color="auto" w:sz="4" w:space="0"/>
              <w:right w:val="single" w:color="auto" w:sz="4" w:space="0"/>
            </w:tcBorders>
            <w:noWrap w:val="0"/>
            <w:vAlign w:val="center"/>
          </w:tcPr>
          <w:p w14:paraId="0110C490">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从业人员（X）</w:t>
            </w:r>
          </w:p>
        </w:tc>
        <w:tc>
          <w:tcPr>
            <w:tcW w:w="1252" w:type="dxa"/>
            <w:tcBorders>
              <w:top w:val="nil"/>
              <w:left w:val="nil"/>
              <w:bottom w:val="single" w:color="auto" w:sz="4" w:space="0"/>
              <w:right w:val="single" w:color="auto" w:sz="4" w:space="0"/>
            </w:tcBorders>
            <w:noWrap w:val="0"/>
            <w:vAlign w:val="center"/>
          </w:tcPr>
          <w:p w14:paraId="5025F612">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w:t>
            </w:r>
          </w:p>
        </w:tc>
        <w:tc>
          <w:tcPr>
            <w:tcW w:w="1937" w:type="dxa"/>
            <w:tcBorders>
              <w:top w:val="nil"/>
              <w:left w:val="nil"/>
              <w:bottom w:val="single" w:color="auto" w:sz="4" w:space="0"/>
              <w:right w:val="single" w:color="auto" w:sz="4" w:space="0"/>
            </w:tcBorders>
            <w:noWrap w:val="0"/>
            <w:vAlign w:val="center"/>
          </w:tcPr>
          <w:p w14:paraId="025CDDB6">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100≤X＜200</w:t>
            </w:r>
          </w:p>
        </w:tc>
        <w:tc>
          <w:tcPr>
            <w:tcW w:w="1663" w:type="dxa"/>
            <w:tcBorders>
              <w:top w:val="nil"/>
              <w:left w:val="nil"/>
              <w:bottom w:val="single" w:color="auto" w:sz="4" w:space="0"/>
              <w:right w:val="single" w:color="auto" w:sz="4" w:space="0"/>
            </w:tcBorders>
            <w:noWrap w:val="0"/>
            <w:vAlign w:val="center"/>
          </w:tcPr>
          <w:p w14:paraId="3A05EAD5">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20≤X＜100</w:t>
            </w:r>
          </w:p>
        </w:tc>
        <w:tc>
          <w:tcPr>
            <w:tcW w:w="1269" w:type="dxa"/>
            <w:tcBorders>
              <w:top w:val="nil"/>
              <w:left w:val="nil"/>
              <w:bottom w:val="single" w:color="auto" w:sz="4" w:space="0"/>
              <w:right w:val="single" w:color="auto" w:sz="4" w:space="0"/>
            </w:tcBorders>
            <w:noWrap w:val="0"/>
            <w:vAlign w:val="center"/>
          </w:tcPr>
          <w:p w14:paraId="60D14EBA">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X＜20</w:t>
            </w:r>
          </w:p>
        </w:tc>
      </w:tr>
      <w:tr w14:paraId="4CFC222A">
        <w:tblPrEx>
          <w:tblCellMar>
            <w:top w:w="0" w:type="dxa"/>
            <w:left w:w="108" w:type="dxa"/>
            <w:bottom w:w="0" w:type="dxa"/>
            <w:right w:w="108" w:type="dxa"/>
          </w:tblCellMar>
        </w:tblPrEx>
        <w:trPr>
          <w:trHeight w:val="0" w:hRule="atLeast"/>
          <w:jc w:val="center"/>
        </w:trPr>
        <w:tc>
          <w:tcPr>
            <w:tcW w:w="1903" w:type="dxa"/>
            <w:vMerge w:val="continue"/>
            <w:tcBorders>
              <w:top w:val="nil"/>
              <w:left w:val="single" w:color="auto" w:sz="4" w:space="0"/>
              <w:bottom w:val="single" w:color="auto" w:sz="4" w:space="0"/>
              <w:right w:val="single" w:color="auto" w:sz="4" w:space="0"/>
            </w:tcBorders>
            <w:noWrap w:val="0"/>
            <w:vAlign w:val="center"/>
          </w:tcPr>
          <w:p w14:paraId="56478B0A">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p>
        </w:tc>
        <w:tc>
          <w:tcPr>
            <w:tcW w:w="1783" w:type="dxa"/>
            <w:tcBorders>
              <w:top w:val="nil"/>
              <w:left w:val="nil"/>
              <w:bottom w:val="single" w:color="auto" w:sz="4" w:space="0"/>
              <w:right w:val="single" w:color="auto" w:sz="4" w:space="0"/>
            </w:tcBorders>
            <w:noWrap w:val="0"/>
            <w:vAlign w:val="center"/>
          </w:tcPr>
          <w:p w14:paraId="344571FD">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营业收入（Y）</w:t>
            </w:r>
          </w:p>
        </w:tc>
        <w:tc>
          <w:tcPr>
            <w:tcW w:w="1252" w:type="dxa"/>
            <w:tcBorders>
              <w:top w:val="nil"/>
              <w:left w:val="nil"/>
              <w:bottom w:val="single" w:color="auto" w:sz="4" w:space="0"/>
              <w:right w:val="single" w:color="auto" w:sz="4" w:space="0"/>
            </w:tcBorders>
            <w:noWrap w:val="0"/>
            <w:vAlign w:val="center"/>
          </w:tcPr>
          <w:p w14:paraId="07F801FA">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万元</w:t>
            </w:r>
          </w:p>
        </w:tc>
        <w:tc>
          <w:tcPr>
            <w:tcW w:w="1937" w:type="dxa"/>
            <w:tcBorders>
              <w:top w:val="nil"/>
              <w:left w:val="nil"/>
              <w:bottom w:val="single" w:color="auto" w:sz="4" w:space="0"/>
              <w:right w:val="single" w:color="auto" w:sz="4" w:space="0"/>
            </w:tcBorders>
            <w:noWrap w:val="0"/>
            <w:vAlign w:val="center"/>
          </w:tcPr>
          <w:p w14:paraId="4386D219">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1000≤Y＜30000</w:t>
            </w:r>
          </w:p>
        </w:tc>
        <w:tc>
          <w:tcPr>
            <w:tcW w:w="1663" w:type="dxa"/>
            <w:tcBorders>
              <w:top w:val="nil"/>
              <w:left w:val="nil"/>
              <w:bottom w:val="single" w:color="auto" w:sz="4" w:space="0"/>
              <w:right w:val="single" w:color="auto" w:sz="4" w:space="0"/>
            </w:tcBorders>
            <w:noWrap w:val="0"/>
            <w:vAlign w:val="center"/>
          </w:tcPr>
          <w:p w14:paraId="729523B5">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100≤Y＜1000</w:t>
            </w:r>
          </w:p>
        </w:tc>
        <w:tc>
          <w:tcPr>
            <w:tcW w:w="1269" w:type="dxa"/>
            <w:tcBorders>
              <w:top w:val="nil"/>
              <w:left w:val="nil"/>
              <w:bottom w:val="single" w:color="auto" w:sz="4" w:space="0"/>
              <w:right w:val="single" w:color="auto" w:sz="4" w:space="0"/>
            </w:tcBorders>
            <w:noWrap w:val="0"/>
            <w:vAlign w:val="center"/>
          </w:tcPr>
          <w:p w14:paraId="2AD2E75A">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Y＜100</w:t>
            </w:r>
          </w:p>
        </w:tc>
      </w:tr>
      <w:tr w14:paraId="1ABFDCD5">
        <w:tblPrEx>
          <w:tblCellMar>
            <w:top w:w="0" w:type="dxa"/>
            <w:left w:w="108" w:type="dxa"/>
            <w:bottom w:w="0" w:type="dxa"/>
            <w:right w:w="108" w:type="dxa"/>
          </w:tblCellMar>
        </w:tblPrEx>
        <w:trPr>
          <w:trHeight w:val="0" w:hRule="atLeast"/>
          <w:jc w:val="center"/>
        </w:trPr>
        <w:tc>
          <w:tcPr>
            <w:tcW w:w="1903" w:type="dxa"/>
            <w:vMerge w:val="restart"/>
            <w:tcBorders>
              <w:top w:val="nil"/>
              <w:left w:val="single" w:color="auto" w:sz="4" w:space="0"/>
              <w:bottom w:val="single" w:color="auto" w:sz="4" w:space="0"/>
              <w:right w:val="single" w:color="auto" w:sz="4" w:space="0"/>
            </w:tcBorders>
            <w:noWrap w:val="0"/>
            <w:vAlign w:val="center"/>
          </w:tcPr>
          <w:p w14:paraId="6B44F8F0">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邮政业</w:t>
            </w:r>
          </w:p>
        </w:tc>
        <w:tc>
          <w:tcPr>
            <w:tcW w:w="1783" w:type="dxa"/>
            <w:tcBorders>
              <w:top w:val="nil"/>
              <w:left w:val="nil"/>
              <w:bottom w:val="single" w:color="auto" w:sz="4" w:space="0"/>
              <w:right w:val="single" w:color="auto" w:sz="4" w:space="0"/>
            </w:tcBorders>
            <w:noWrap w:val="0"/>
            <w:vAlign w:val="center"/>
          </w:tcPr>
          <w:p w14:paraId="06C6BCFF">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从业人员（X）</w:t>
            </w:r>
          </w:p>
        </w:tc>
        <w:tc>
          <w:tcPr>
            <w:tcW w:w="1252" w:type="dxa"/>
            <w:tcBorders>
              <w:top w:val="nil"/>
              <w:left w:val="nil"/>
              <w:bottom w:val="single" w:color="auto" w:sz="4" w:space="0"/>
              <w:right w:val="single" w:color="auto" w:sz="4" w:space="0"/>
            </w:tcBorders>
            <w:noWrap w:val="0"/>
            <w:vAlign w:val="center"/>
          </w:tcPr>
          <w:p w14:paraId="7616450A">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w:t>
            </w:r>
          </w:p>
        </w:tc>
        <w:tc>
          <w:tcPr>
            <w:tcW w:w="1937" w:type="dxa"/>
            <w:tcBorders>
              <w:top w:val="nil"/>
              <w:left w:val="nil"/>
              <w:bottom w:val="single" w:color="auto" w:sz="4" w:space="0"/>
              <w:right w:val="single" w:color="auto" w:sz="4" w:space="0"/>
            </w:tcBorders>
            <w:noWrap w:val="0"/>
            <w:vAlign w:val="center"/>
          </w:tcPr>
          <w:p w14:paraId="3A315D60">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300≤X＜1000</w:t>
            </w:r>
          </w:p>
        </w:tc>
        <w:tc>
          <w:tcPr>
            <w:tcW w:w="1663" w:type="dxa"/>
            <w:tcBorders>
              <w:top w:val="nil"/>
              <w:left w:val="nil"/>
              <w:bottom w:val="single" w:color="auto" w:sz="4" w:space="0"/>
              <w:right w:val="single" w:color="auto" w:sz="4" w:space="0"/>
            </w:tcBorders>
            <w:noWrap w:val="0"/>
            <w:vAlign w:val="center"/>
          </w:tcPr>
          <w:p w14:paraId="0E4ACCB8">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20≤X＜300</w:t>
            </w:r>
          </w:p>
        </w:tc>
        <w:tc>
          <w:tcPr>
            <w:tcW w:w="1269" w:type="dxa"/>
            <w:tcBorders>
              <w:top w:val="nil"/>
              <w:left w:val="nil"/>
              <w:bottom w:val="single" w:color="auto" w:sz="4" w:space="0"/>
              <w:right w:val="single" w:color="auto" w:sz="4" w:space="0"/>
            </w:tcBorders>
            <w:noWrap w:val="0"/>
            <w:vAlign w:val="center"/>
          </w:tcPr>
          <w:p w14:paraId="2E6EAB2F">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X＜20</w:t>
            </w:r>
          </w:p>
        </w:tc>
      </w:tr>
      <w:tr w14:paraId="69F143B2">
        <w:tblPrEx>
          <w:tblCellMar>
            <w:top w:w="0" w:type="dxa"/>
            <w:left w:w="108" w:type="dxa"/>
            <w:bottom w:w="0" w:type="dxa"/>
            <w:right w:w="108" w:type="dxa"/>
          </w:tblCellMar>
        </w:tblPrEx>
        <w:trPr>
          <w:trHeight w:val="0" w:hRule="atLeast"/>
          <w:jc w:val="center"/>
        </w:trPr>
        <w:tc>
          <w:tcPr>
            <w:tcW w:w="1903" w:type="dxa"/>
            <w:vMerge w:val="continue"/>
            <w:tcBorders>
              <w:top w:val="nil"/>
              <w:left w:val="single" w:color="auto" w:sz="4" w:space="0"/>
              <w:bottom w:val="single" w:color="auto" w:sz="4" w:space="0"/>
              <w:right w:val="single" w:color="auto" w:sz="4" w:space="0"/>
            </w:tcBorders>
            <w:noWrap w:val="0"/>
            <w:vAlign w:val="center"/>
          </w:tcPr>
          <w:p w14:paraId="09DDBE50">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p>
        </w:tc>
        <w:tc>
          <w:tcPr>
            <w:tcW w:w="1783" w:type="dxa"/>
            <w:tcBorders>
              <w:top w:val="nil"/>
              <w:left w:val="nil"/>
              <w:bottom w:val="single" w:color="auto" w:sz="4" w:space="0"/>
              <w:right w:val="single" w:color="auto" w:sz="4" w:space="0"/>
            </w:tcBorders>
            <w:noWrap w:val="0"/>
            <w:vAlign w:val="center"/>
          </w:tcPr>
          <w:p w14:paraId="72D87F84">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营业收入（Y）</w:t>
            </w:r>
          </w:p>
        </w:tc>
        <w:tc>
          <w:tcPr>
            <w:tcW w:w="1252" w:type="dxa"/>
            <w:tcBorders>
              <w:top w:val="nil"/>
              <w:left w:val="nil"/>
              <w:bottom w:val="single" w:color="auto" w:sz="4" w:space="0"/>
              <w:right w:val="single" w:color="auto" w:sz="4" w:space="0"/>
            </w:tcBorders>
            <w:noWrap w:val="0"/>
            <w:vAlign w:val="center"/>
          </w:tcPr>
          <w:p w14:paraId="0C50C1CD">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万元</w:t>
            </w:r>
          </w:p>
        </w:tc>
        <w:tc>
          <w:tcPr>
            <w:tcW w:w="1937" w:type="dxa"/>
            <w:tcBorders>
              <w:top w:val="nil"/>
              <w:left w:val="nil"/>
              <w:bottom w:val="single" w:color="auto" w:sz="4" w:space="0"/>
              <w:right w:val="single" w:color="auto" w:sz="4" w:space="0"/>
            </w:tcBorders>
            <w:noWrap w:val="0"/>
            <w:vAlign w:val="center"/>
          </w:tcPr>
          <w:p w14:paraId="3B11C4A7">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2000≤Y＜30000</w:t>
            </w:r>
          </w:p>
        </w:tc>
        <w:tc>
          <w:tcPr>
            <w:tcW w:w="1663" w:type="dxa"/>
            <w:tcBorders>
              <w:top w:val="nil"/>
              <w:left w:val="nil"/>
              <w:bottom w:val="single" w:color="auto" w:sz="4" w:space="0"/>
              <w:right w:val="single" w:color="auto" w:sz="4" w:space="0"/>
            </w:tcBorders>
            <w:noWrap w:val="0"/>
            <w:vAlign w:val="center"/>
          </w:tcPr>
          <w:p w14:paraId="1DED7A8D">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100≤Y＜2000</w:t>
            </w:r>
          </w:p>
        </w:tc>
        <w:tc>
          <w:tcPr>
            <w:tcW w:w="1269" w:type="dxa"/>
            <w:tcBorders>
              <w:top w:val="nil"/>
              <w:left w:val="nil"/>
              <w:bottom w:val="single" w:color="auto" w:sz="4" w:space="0"/>
              <w:right w:val="single" w:color="auto" w:sz="4" w:space="0"/>
            </w:tcBorders>
            <w:noWrap w:val="0"/>
            <w:vAlign w:val="center"/>
          </w:tcPr>
          <w:p w14:paraId="6F406166">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Y＜100</w:t>
            </w:r>
          </w:p>
        </w:tc>
      </w:tr>
      <w:tr w14:paraId="406CD546">
        <w:tblPrEx>
          <w:tblCellMar>
            <w:top w:w="0" w:type="dxa"/>
            <w:left w:w="108" w:type="dxa"/>
            <w:bottom w:w="0" w:type="dxa"/>
            <w:right w:w="108" w:type="dxa"/>
          </w:tblCellMar>
        </w:tblPrEx>
        <w:trPr>
          <w:trHeight w:val="0" w:hRule="atLeast"/>
          <w:jc w:val="center"/>
        </w:trPr>
        <w:tc>
          <w:tcPr>
            <w:tcW w:w="1903" w:type="dxa"/>
            <w:vMerge w:val="restart"/>
            <w:tcBorders>
              <w:top w:val="nil"/>
              <w:left w:val="single" w:color="auto" w:sz="4" w:space="0"/>
              <w:bottom w:val="single" w:color="auto" w:sz="4" w:space="0"/>
              <w:right w:val="single" w:color="auto" w:sz="4" w:space="0"/>
            </w:tcBorders>
            <w:noWrap w:val="0"/>
            <w:vAlign w:val="center"/>
          </w:tcPr>
          <w:p w14:paraId="1E583324">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住宿业</w:t>
            </w:r>
          </w:p>
        </w:tc>
        <w:tc>
          <w:tcPr>
            <w:tcW w:w="1783" w:type="dxa"/>
            <w:tcBorders>
              <w:top w:val="nil"/>
              <w:left w:val="nil"/>
              <w:bottom w:val="single" w:color="auto" w:sz="4" w:space="0"/>
              <w:right w:val="single" w:color="auto" w:sz="4" w:space="0"/>
            </w:tcBorders>
            <w:noWrap w:val="0"/>
            <w:vAlign w:val="center"/>
          </w:tcPr>
          <w:p w14:paraId="6198C5C6">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从业人员（X）</w:t>
            </w:r>
          </w:p>
        </w:tc>
        <w:tc>
          <w:tcPr>
            <w:tcW w:w="1252" w:type="dxa"/>
            <w:tcBorders>
              <w:top w:val="nil"/>
              <w:left w:val="nil"/>
              <w:bottom w:val="single" w:color="auto" w:sz="4" w:space="0"/>
              <w:right w:val="single" w:color="auto" w:sz="4" w:space="0"/>
            </w:tcBorders>
            <w:noWrap w:val="0"/>
            <w:vAlign w:val="center"/>
          </w:tcPr>
          <w:p w14:paraId="762C5F45">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w:t>
            </w:r>
          </w:p>
        </w:tc>
        <w:tc>
          <w:tcPr>
            <w:tcW w:w="1937" w:type="dxa"/>
            <w:tcBorders>
              <w:top w:val="nil"/>
              <w:left w:val="nil"/>
              <w:bottom w:val="single" w:color="auto" w:sz="4" w:space="0"/>
              <w:right w:val="single" w:color="auto" w:sz="4" w:space="0"/>
            </w:tcBorders>
            <w:noWrap w:val="0"/>
            <w:vAlign w:val="center"/>
          </w:tcPr>
          <w:p w14:paraId="7205FA83">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100≤X＜300</w:t>
            </w:r>
          </w:p>
        </w:tc>
        <w:tc>
          <w:tcPr>
            <w:tcW w:w="1663" w:type="dxa"/>
            <w:tcBorders>
              <w:top w:val="nil"/>
              <w:left w:val="nil"/>
              <w:bottom w:val="single" w:color="auto" w:sz="4" w:space="0"/>
              <w:right w:val="single" w:color="auto" w:sz="4" w:space="0"/>
            </w:tcBorders>
            <w:noWrap w:val="0"/>
            <w:vAlign w:val="center"/>
          </w:tcPr>
          <w:p w14:paraId="24802CAD">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10≤X＜100</w:t>
            </w:r>
          </w:p>
        </w:tc>
        <w:tc>
          <w:tcPr>
            <w:tcW w:w="1269" w:type="dxa"/>
            <w:tcBorders>
              <w:top w:val="nil"/>
              <w:left w:val="nil"/>
              <w:bottom w:val="single" w:color="auto" w:sz="4" w:space="0"/>
              <w:right w:val="single" w:color="auto" w:sz="4" w:space="0"/>
            </w:tcBorders>
            <w:noWrap w:val="0"/>
            <w:vAlign w:val="center"/>
          </w:tcPr>
          <w:p w14:paraId="54F8E4A7">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X＜10</w:t>
            </w:r>
          </w:p>
        </w:tc>
      </w:tr>
      <w:tr w14:paraId="3FD9CC52">
        <w:tblPrEx>
          <w:tblCellMar>
            <w:top w:w="0" w:type="dxa"/>
            <w:left w:w="108" w:type="dxa"/>
            <w:bottom w:w="0" w:type="dxa"/>
            <w:right w:w="108" w:type="dxa"/>
          </w:tblCellMar>
        </w:tblPrEx>
        <w:trPr>
          <w:trHeight w:val="0" w:hRule="atLeast"/>
          <w:jc w:val="center"/>
        </w:trPr>
        <w:tc>
          <w:tcPr>
            <w:tcW w:w="1903" w:type="dxa"/>
            <w:vMerge w:val="continue"/>
            <w:tcBorders>
              <w:top w:val="nil"/>
              <w:left w:val="single" w:color="auto" w:sz="4" w:space="0"/>
              <w:bottom w:val="single" w:color="auto" w:sz="4" w:space="0"/>
              <w:right w:val="single" w:color="auto" w:sz="4" w:space="0"/>
            </w:tcBorders>
            <w:noWrap w:val="0"/>
            <w:vAlign w:val="center"/>
          </w:tcPr>
          <w:p w14:paraId="39E1D26E">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p>
        </w:tc>
        <w:tc>
          <w:tcPr>
            <w:tcW w:w="1783" w:type="dxa"/>
            <w:tcBorders>
              <w:top w:val="nil"/>
              <w:left w:val="nil"/>
              <w:bottom w:val="single" w:color="auto" w:sz="4" w:space="0"/>
              <w:right w:val="single" w:color="auto" w:sz="4" w:space="0"/>
            </w:tcBorders>
            <w:noWrap w:val="0"/>
            <w:vAlign w:val="center"/>
          </w:tcPr>
          <w:p w14:paraId="4FDEA859">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营业收入（Y）</w:t>
            </w:r>
          </w:p>
        </w:tc>
        <w:tc>
          <w:tcPr>
            <w:tcW w:w="1252" w:type="dxa"/>
            <w:tcBorders>
              <w:top w:val="nil"/>
              <w:left w:val="nil"/>
              <w:bottom w:val="single" w:color="auto" w:sz="4" w:space="0"/>
              <w:right w:val="single" w:color="auto" w:sz="4" w:space="0"/>
            </w:tcBorders>
            <w:noWrap w:val="0"/>
            <w:vAlign w:val="center"/>
          </w:tcPr>
          <w:p w14:paraId="2655EFBA">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万元</w:t>
            </w:r>
          </w:p>
        </w:tc>
        <w:tc>
          <w:tcPr>
            <w:tcW w:w="1937" w:type="dxa"/>
            <w:tcBorders>
              <w:top w:val="nil"/>
              <w:left w:val="nil"/>
              <w:bottom w:val="single" w:color="auto" w:sz="4" w:space="0"/>
              <w:right w:val="single" w:color="auto" w:sz="4" w:space="0"/>
            </w:tcBorders>
            <w:noWrap w:val="0"/>
            <w:vAlign w:val="center"/>
          </w:tcPr>
          <w:p w14:paraId="61784F77">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2000≤Y＜10000</w:t>
            </w:r>
          </w:p>
        </w:tc>
        <w:tc>
          <w:tcPr>
            <w:tcW w:w="1663" w:type="dxa"/>
            <w:tcBorders>
              <w:top w:val="nil"/>
              <w:left w:val="nil"/>
              <w:bottom w:val="single" w:color="auto" w:sz="4" w:space="0"/>
              <w:right w:val="single" w:color="auto" w:sz="4" w:space="0"/>
            </w:tcBorders>
            <w:noWrap w:val="0"/>
            <w:vAlign w:val="center"/>
          </w:tcPr>
          <w:p w14:paraId="417ABCC6">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100≤Y＜2000</w:t>
            </w:r>
          </w:p>
        </w:tc>
        <w:tc>
          <w:tcPr>
            <w:tcW w:w="1269" w:type="dxa"/>
            <w:tcBorders>
              <w:top w:val="nil"/>
              <w:left w:val="nil"/>
              <w:bottom w:val="single" w:color="auto" w:sz="4" w:space="0"/>
              <w:right w:val="single" w:color="auto" w:sz="4" w:space="0"/>
            </w:tcBorders>
            <w:noWrap w:val="0"/>
            <w:vAlign w:val="center"/>
          </w:tcPr>
          <w:p w14:paraId="23F54756">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Y＜100</w:t>
            </w:r>
          </w:p>
        </w:tc>
      </w:tr>
      <w:tr w14:paraId="7ADA9164">
        <w:tblPrEx>
          <w:tblCellMar>
            <w:top w:w="0" w:type="dxa"/>
            <w:left w:w="108" w:type="dxa"/>
            <w:bottom w:w="0" w:type="dxa"/>
            <w:right w:w="108" w:type="dxa"/>
          </w:tblCellMar>
        </w:tblPrEx>
        <w:trPr>
          <w:trHeight w:val="0" w:hRule="atLeast"/>
          <w:jc w:val="center"/>
        </w:trPr>
        <w:tc>
          <w:tcPr>
            <w:tcW w:w="1903" w:type="dxa"/>
            <w:vMerge w:val="restart"/>
            <w:tcBorders>
              <w:top w:val="nil"/>
              <w:left w:val="single" w:color="auto" w:sz="4" w:space="0"/>
              <w:bottom w:val="single" w:color="auto" w:sz="4" w:space="0"/>
              <w:right w:val="single" w:color="auto" w:sz="4" w:space="0"/>
            </w:tcBorders>
            <w:noWrap w:val="0"/>
            <w:vAlign w:val="center"/>
          </w:tcPr>
          <w:p w14:paraId="25EEBBF0">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餐饮业</w:t>
            </w:r>
          </w:p>
        </w:tc>
        <w:tc>
          <w:tcPr>
            <w:tcW w:w="1783" w:type="dxa"/>
            <w:tcBorders>
              <w:top w:val="nil"/>
              <w:left w:val="nil"/>
              <w:bottom w:val="single" w:color="auto" w:sz="4" w:space="0"/>
              <w:right w:val="single" w:color="auto" w:sz="4" w:space="0"/>
            </w:tcBorders>
            <w:noWrap w:val="0"/>
            <w:vAlign w:val="center"/>
          </w:tcPr>
          <w:p w14:paraId="16C3AADB">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从业人员（X）</w:t>
            </w:r>
          </w:p>
        </w:tc>
        <w:tc>
          <w:tcPr>
            <w:tcW w:w="1252" w:type="dxa"/>
            <w:tcBorders>
              <w:top w:val="nil"/>
              <w:left w:val="nil"/>
              <w:bottom w:val="single" w:color="auto" w:sz="4" w:space="0"/>
              <w:right w:val="single" w:color="auto" w:sz="4" w:space="0"/>
            </w:tcBorders>
            <w:noWrap w:val="0"/>
            <w:vAlign w:val="center"/>
          </w:tcPr>
          <w:p w14:paraId="17A9C896">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w:t>
            </w:r>
          </w:p>
        </w:tc>
        <w:tc>
          <w:tcPr>
            <w:tcW w:w="1937" w:type="dxa"/>
            <w:tcBorders>
              <w:top w:val="nil"/>
              <w:left w:val="nil"/>
              <w:bottom w:val="single" w:color="auto" w:sz="4" w:space="0"/>
              <w:right w:val="single" w:color="auto" w:sz="4" w:space="0"/>
            </w:tcBorders>
            <w:noWrap w:val="0"/>
            <w:vAlign w:val="center"/>
          </w:tcPr>
          <w:p w14:paraId="50B4689B">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100≤X＜300</w:t>
            </w:r>
          </w:p>
        </w:tc>
        <w:tc>
          <w:tcPr>
            <w:tcW w:w="1663" w:type="dxa"/>
            <w:tcBorders>
              <w:top w:val="nil"/>
              <w:left w:val="nil"/>
              <w:bottom w:val="single" w:color="auto" w:sz="4" w:space="0"/>
              <w:right w:val="single" w:color="auto" w:sz="4" w:space="0"/>
            </w:tcBorders>
            <w:noWrap w:val="0"/>
            <w:vAlign w:val="center"/>
          </w:tcPr>
          <w:p w14:paraId="4C1E7161">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10≤X＜100</w:t>
            </w:r>
          </w:p>
        </w:tc>
        <w:tc>
          <w:tcPr>
            <w:tcW w:w="1269" w:type="dxa"/>
            <w:tcBorders>
              <w:top w:val="nil"/>
              <w:left w:val="nil"/>
              <w:bottom w:val="single" w:color="auto" w:sz="4" w:space="0"/>
              <w:right w:val="single" w:color="auto" w:sz="4" w:space="0"/>
            </w:tcBorders>
            <w:noWrap w:val="0"/>
            <w:vAlign w:val="center"/>
          </w:tcPr>
          <w:p w14:paraId="3DEA088F">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X＜10</w:t>
            </w:r>
          </w:p>
        </w:tc>
      </w:tr>
      <w:tr w14:paraId="17D7F589">
        <w:tblPrEx>
          <w:tblCellMar>
            <w:top w:w="0" w:type="dxa"/>
            <w:left w:w="108" w:type="dxa"/>
            <w:bottom w:w="0" w:type="dxa"/>
            <w:right w:w="108" w:type="dxa"/>
          </w:tblCellMar>
        </w:tblPrEx>
        <w:trPr>
          <w:trHeight w:val="0" w:hRule="atLeast"/>
          <w:jc w:val="center"/>
        </w:trPr>
        <w:tc>
          <w:tcPr>
            <w:tcW w:w="1903" w:type="dxa"/>
            <w:vMerge w:val="continue"/>
            <w:tcBorders>
              <w:top w:val="nil"/>
              <w:left w:val="single" w:color="auto" w:sz="4" w:space="0"/>
              <w:bottom w:val="single" w:color="auto" w:sz="4" w:space="0"/>
              <w:right w:val="single" w:color="auto" w:sz="4" w:space="0"/>
            </w:tcBorders>
            <w:noWrap w:val="0"/>
            <w:vAlign w:val="center"/>
          </w:tcPr>
          <w:p w14:paraId="5EFA2220">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p>
        </w:tc>
        <w:tc>
          <w:tcPr>
            <w:tcW w:w="1783" w:type="dxa"/>
            <w:tcBorders>
              <w:top w:val="nil"/>
              <w:left w:val="nil"/>
              <w:bottom w:val="single" w:color="auto" w:sz="4" w:space="0"/>
              <w:right w:val="single" w:color="auto" w:sz="4" w:space="0"/>
            </w:tcBorders>
            <w:noWrap w:val="0"/>
            <w:vAlign w:val="center"/>
          </w:tcPr>
          <w:p w14:paraId="1059DFE6">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营业收入（Y）</w:t>
            </w:r>
          </w:p>
        </w:tc>
        <w:tc>
          <w:tcPr>
            <w:tcW w:w="1252" w:type="dxa"/>
            <w:tcBorders>
              <w:top w:val="nil"/>
              <w:left w:val="nil"/>
              <w:bottom w:val="single" w:color="auto" w:sz="4" w:space="0"/>
              <w:right w:val="single" w:color="auto" w:sz="4" w:space="0"/>
            </w:tcBorders>
            <w:noWrap w:val="0"/>
            <w:vAlign w:val="center"/>
          </w:tcPr>
          <w:p w14:paraId="51B245D0">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万元</w:t>
            </w:r>
          </w:p>
        </w:tc>
        <w:tc>
          <w:tcPr>
            <w:tcW w:w="1937" w:type="dxa"/>
            <w:tcBorders>
              <w:top w:val="nil"/>
              <w:left w:val="nil"/>
              <w:bottom w:val="single" w:color="auto" w:sz="4" w:space="0"/>
              <w:right w:val="single" w:color="auto" w:sz="4" w:space="0"/>
            </w:tcBorders>
            <w:noWrap w:val="0"/>
            <w:vAlign w:val="center"/>
          </w:tcPr>
          <w:p w14:paraId="2396B6D1">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2000≤Y＜10000</w:t>
            </w:r>
          </w:p>
        </w:tc>
        <w:tc>
          <w:tcPr>
            <w:tcW w:w="1663" w:type="dxa"/>
            <w:tcBorders>
              <w:top w:val="nil"/>
              <w:left w:val="nil"/>
              <w:bottom w:val="single" w:color="auto" w:sz="4" w:space="0"/>
              <w:right w:val="single" w:color="auto" w:sz="4" w:space="0"/>
            </w:tcBorders>
            <w:noWrap w:val="0"/>
            <w:vAlign w:val="center"/>
          </w:tcPr>
          <w:p w14:paraId="2A2A4AB7">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100≤Y＜2000</w:t>
            </w:r>
          </w:p>
        </w:tc>
        <w:tc>
          <w:tcPr>
            <w:tcW w:w="1269" w:type="dxa"/>
            <w:tcBorders>
              <w:top w:val="nil"/>
              <w:left w:val="nil"/>
              <w:bottom w:val="single" w:color="auto" w:sz="4" w:space="0"/>
              <w:right w:val="single" w:color="auto" w:sz="4" w:space="0"/>
            </w:tcBorders>
            <w:noWrap w:val="0"/>
            <w:vAlign w:val="center"/>
          </w:tcPr>
          <w:p w14:paraId="15B503BE">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Y＜100</w:t>
            </w:r>
          </w:p>
        </w:tc>
      </w:tr>
      <w:tr w14:paraId="1BB2572E">
        <w:tblPrEx>
          <w:tblCellMar>
            <w:top w:w="0" w:type="dxa"/>
            <w:left w:w="108" w:type="dxa"/>
            <w:bottom w:w="0" w:type="dxa"/>
            <w:right w:w="108" w:type="dxa"/>
          </w:tblCellMar>
        </w:tblPrEx>
        <w:trPr>
          <w:trHeight w:val="0" w:hRule="atLeast"/>
          <w:jc w:val="center"/>
        </w:trPr>
        <w:tc>
          <w:tcPr>
            <w:tcW w:w="1903" w:type="dxa"/>
            <w:vMerge w:val="restart"/>
            <w:tcBorders>
              <w:top w:val="nil"/>
              <w:left w:val="single" w:color="auto" w:sz="4" w:space="0"/>
              <w:bottom w:val="single" w:color="auto" w:sz="4" w:space="0"/>
              <w:right w:val="single" w:color="auto" w:sz="4" w:space="0"/>
            </w:tcBorders>
            <w:noWrap w:val="0"/>
            <w:vAlign w:val="center"/>
          </w:tcPr>
          <w:p w14:paraId="075F7D17">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信息传输业</w:t>
            </w:r>
          </w:p>
        </w:tc>
        <w:tc>
          <w:tcPr>
            <w:tcW w:w="1783" w:type="dxa"/>
            <w:tcBorders>
              <w:top w:val="nil"/>
              <w:left w:val="nil"/>
              <w:bottom w:val="single" w:color="auto" w:sz="4" w:space="0"/>
              <w:right w:val="single" w:color="auto" w:sz="4" w:space="0"/>
            </w:tcBorders>
            <w:noWrap w:val="0"/>
            <w:vAlign w:val="center"/>
          </w:tcPr>
          <w:p w14:paraId="261C5925">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从业人员（X）</w:t>
            </w:r>
          </w:p>
        </w:tc>
        <w:tc>
          <w:tcPr>
            <w:tcW w:w="1252" w:type="dxa"/>
            <w:tcBorders>
              <w:top w:val="nil"/>
              <w:left w:val="nil"/>
              <w:bottom w:val="single" w:color="auto" w:sz="4" w:space="0"/>
              <w:right w:val="single" w:color="auto" w:sz="4" w:space="0"/>
            </w:tcBorders>
            <w:noWrap w:val="0"/>
            <w:vAlign w:val="center"/>
          </w:tcPr>
          <w:p w14:paraId="33BD8778">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w:t>
            </w:r>
          </w:p>
        </w:tc>
        <w:tc>
          <w:tcPr>
            <w:tcW w:w="1937" w:type="dxa"/>
            <w:tcBorders>
              <w:top w:val="nil"/>
              <w:left w:val="nil"/>
              <w:bottom w:val="single" w:color="auto" w:sz="4" w:space="0"/>
              <w:right w:val="single" w:color="auto" w:sz="4" w:space="0"/>
            </w:tcBorders>
            <w:noWrap w:val="0"/>
            <w:vAlign w:val="center"/>
          </w:tcPr>
          <w:p w14:paraId="098D4538">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100≤X＜2000</w:t>
            </w:r>
          </w:p>
        </w:tc>
        <w:tc>
          <w:tcPr>
            <w:tcW w:w="1663" w:type="dxa"/>
            <w:tcBorders>
              <w:top w:val="nil"/>
              <w:left w:val="nil"/>
              <w:bottom w:val="single" w:color="auto" w:sz="4" w:space="0"/>
              <w:right w:val="single" w:color="auto" w:sz="4" w:space="0"/>
            </w:tcBorders>
            <w:noWrap w:val="0"/>
            <w:vAlign w:val="center"/>
          </w:tcPr>
          <w:p w14:paraId="797D5A9B">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10≤X＜100</w:t>
            </w:r>
          </w:p>
        </w:tc>
        <w:tc>
          <w:tcPr>
            <w:tcW w:w="1269" w:type="dxa"/>
            <w:tcBorders>
              <w:top w:val="nil"/>
              <w:left w:val="nil"/>
              <w:bottom w:val="single" w:color="auto" w:sz="4" w:space="0"/>
              <w:right w:val="single" w:color="auto" w:sz="4" w:space="0"/>
            </w:tcBorders>
            <w:noWrap w:val="0"/>
            <w:vAlign w:val="center"/>
          </w:tcPr>
          <w:p w14:paraId="0EC75DE6">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X＜10</w:t>
            </w:r>
          </w:p>
        </w:tc>
      </w:tr>
      <w:tr w14:paraId="423A871A">
        <w:tblPrEx>
          <w:tblCellMar>
            <w:top w:w="0" w:type="dxa"/>
            <w:left w:w="108" w:type="dxa"/>
            <w:bottom w:w="0" w:type="dxa"/>
            <w:right w:w="108" w:type="dxa"/>
          </w:tblCellMar>
        </w:tblPrEx>
        <w:trPr>
          <w:trHeight w:val="0" w:hRule="atLeast"/>
          <w:jc w:val="center"/>
        </w:trPr>
        <w:tc>
          <w:tcPr>
            <w:tcW w:w="1903" w:type="dxa"/>
            <w:vMerge w:val="continue"/>
            <w:tcBorders>
              <w:top w:val="nil"/>
              <w:left w:val="single" w:color="auto" w:sz="4" w:space="0"/>
              <w:bottom w:val="single" w:color="auto" w:sz="4" w:space="0"/>
              <w:right w:val="single" w:color="auto" w:sz="4" w:space="0"/>
            </w:tcBorders>
            <w:noWrap w:val="0"/>
            <w:vAlign w:val="center"/>
          </w:tcPr>
          <w:p w14:paraId="791D827C">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p>
        </w:tc>
        <w:tc>
          <w:tcPr>
            <w:tcW w:w="1783" w:type="dxa"/>
            <w:tcBorders>
              <w:top w:val="nil"/>
              <w:left w:val="nil"/>
              <w:bottom w:val="single" w:color="auto" w:sz="4" w:space="0"/>
              <w:right w:val="single" w:color="auto" w:sz="4" w:space="0"/>
            </w:tcBorders>
            <w:noWrap w:val="0"/>
            <w:vAlign w:val="center"/>
          </w:tcPr>
          <w:p w14:paraId="6B0E18E3">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营业收入（Y）</w:t>
            </w:r>
          </w:p>
        </w:tc>
        <w:tc>
          <w:tcPr>
            <w:tcW w:w="1252" w:type="dxa"/>
            <w:tcBorders>
              <w:top w:val="nil"/>
              <w:left w:val="nil"/>
              <w:bottom w:val="single" w:color="auto" w:sz="4" w:space="0"/>
              <w:right w:val="single" w:color="auto" w:sz="4" w:space="0"/>
            </w:tcBorders>
            <w:noWrap w:val="0"/>
            <w:vAlign w:val="center"/>
          </w:tcPr>
          <w:p w14:paraId="7AD0517C">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万元</w:t>
            </w:r>
          </w:p>
        </w:tc>
        <w:tc>
          <w:tcPr>
            <w:tcW w:w="1937" w:type="dxa"/>
            <w:tcBorders>
              <w:top w:val="nil"/>
              <w:left w:val="nil"/>
              <w:bottom w:val="single" w:color="auto" w:sz="4" w:space="0"/>
              <w:right w:val="single" w:color="auto" w:sz="4" w:space="0"/>
            </w:tcBorders>
            <w:noWrap w:val="0"/>
            <w:vAlign w:val="center"/>
          </w:tcPr>
          <w:p w14:paraId="4CBF840F">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1000≤Y＜100000</w:t>
            </w:r>
          </w:p>
        </w:tc>
        <w:tc>
          <w:tcPr>
            <w:tcW w:w="1663" w:type="dxa"/>
            <w:tcBorders>
              <w:top w:val="nil"/>
              <w:left w:val="nil"/>
              <w:bottom w:val="single" w:color="auto" w:sz="4" w:space="0"/>
              <w:right w:val="single" w:color="auto" w:sz="4" w:space="0"/>
            </w:tcBorders>
            <w:noWrap w:val="0"/>
            <w:vAlign w:val="center"/>
          </w:tcPr>
          <w:p w14:paraId="77FC4643">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100≤Y＜1000</w:t>
            </w:r>
          </w:p>
        </w:tc>
        <w:tc>
          <w:tcPr>
            <w:tcW w:w="1269" w:type="dxa"/>
            <w:tcBorders>
              <w:top w:val="nil"/>
              <w:left w:val="nil"/>
              <w:bottom w:val="single" w:color="auto" w:sz="4" w:space="0"/>
              <w:right w:val="single" w:color="auto" w:sz="4" w:space="0"/>
            </w:tcBorders>
            <w:noWrap w:val="0"/>
            <w:vAlign w:val="center"/>
          </w:tcPr>
          <w:p w14:paraId="46004820">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Y＜100</w:t>
            </w:r>
          </w:p>
        </w:tc>
      </w:tr>
      <w:tr w14:paraId="5597B007">
        <w:tblPrEx>
          <w:tblCellMar>
            <w:top w:w="0" w:type="dxa"/>
            <w:left w:w="108" w:type="dxa"/>
            <w:bottom w:w="0" w:type="dxa"/>
            <w:right w:w="108" w:type="dxa"/>
          </w:tblCellMar>
        </w:tblPrEx>
        <w:trPr>
          <w:trHeight w:val="0" w:hRule="atLeast"/>
          <w:jc w:val="center"/>
        </w:trPr>
        <w:tc>
          <w:tcPr>
            <w:tcW w:w="1903" w:type="dxa"/>
            <w:vMerge w:val="restart"/>
            <w:tcBorders>
              <w:top w:val="nil"/>
              <w:left w:val="single" w:color="auto" w:sz="4" w:space="0"/>
              <w:bottom w:val="single" w:color="auto" w:sz="4" w:space="0"/>
              <w:right w:val="single" w:color="auto" w:sz="4" w:space="0"/>
            </w:tcBorders>
            <w:noWrap w:val="0"/>
            <w:vAlign w:val="center"/>
          </w:tcPr>
          <w:p w14:paraId="226F9095">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软件和信息技术服务业</w:t>
            </w:r>
          </w:p>
        </w:tc>
        <w:tc>
          <w:tcPr>
            <w:tcW w:w="1783" w:type="dxa"/>
            <w:tcBorders>
              <w:top w:val="nil"/>
              <w:left w:val="nil"/>
              <w:bottom w:val="single" w:color="auto" w:sz="4" w:space="0"/>
              <w:right w:val="single" w:color="auto" w:sz="4" w:space="0"/>
            </w:tcBorders>
            <w:noWrap w:val="0"/>
            <w:vAlign w:val="center"/>
          </w:tcPr>
          <w:p w14:paraId="366C7AD8">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从业人员（X）</w:t>
            </w:r>
          </w:p>
        </w:tc>
        <w:tc>
          <w:tcPr>
            <w:tcW w:w="1252" w:type="dxa"/>
            <w:tcBorders>
              <w:top w:val="nil"/>
              <w:left w:val="nil"/>
              <w:bottom w:val="single" w:color="auto" w:sz="4" w:space="0"/>
              <w:right w:val="single" w:color="auto" w:sz="4" w:space="0"/>
            </w:tcBorders>
            <w:noWrap w:val="0"/>
            <w:vAlign w:val="center"/>
          </w:tcPr>
          <w:p w14:paraId="55AC7CDC">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w:t>
            </w:r>
          </w:p>
        </w:tc>
        <w:tc>
          <w:tcPr>
            <w:tcW w:w="1937" w:type="dxa"/>
            <w:tcBorders>
              <w:top w:val="nil"/>
              <w:left w:val="nil"/>
              <w:bottom w:val="single" w:color="auto" w:sz="4" w:space="0"/>
              <w:right w:val="single" w:color="auto" w:sz="4" w:space="0"/>
            </w:tcBorders>
            <w:noWrap w:val="0"/>
            <w:vAlign w:val="center"/>
          </w:tcPr>
          <w:p w14:paraId="4A3E4E1D">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100≤X＜300</w:t>
            </w:r>
          </w:p>
        </w:tc>
        <w:tc>
          <w:tcPr>
            <w:tcW w:w="1663" w:type="dxa"/>
            <w:tcBorders>
              <w:top w:val="nil"/>
              <w:left w:val="nil"/>
              <w:bottom w:val="single" w:color="auto" w:sz="4" w:space="0"/>
              <w:right w:val="single" w:color="auto" w:sz="4" w:space="0"/>
            </w:tcBorders>
            <w:noWrap w:val="0"/>
            <w:vAlign w:val="center"/>
          </w:tcPr>
          <w:p w14:paraId="4EB2EA02">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10≤X＜100</w:t>
            </w:r>
          </w:p>
        </w:tc>
        <w:tc>
          <w:tcPr>
            <w:tcW w:w="1269" w:type="dxa"/>
            <w:tcBorders>
              <w:top w:val="nil"/>
              <w:left w:val="nil"/>
              <w:bottom w:val="single" w:color="auto" w:sz="4" w:space="0"/>
              <w:right w:val="single" w:color="auto" w:sz="4" w:space="0"/>
            </w:tcBorders>
            <w:noWrap w:val="0"/>
            <w:vAlign w:val="center"/>
          </w:tcPr>
          <w:p w14:paraId="453E987C">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X＜10</w:t>
            </w:r>
          </w:p>
        </w:tc>
      </w:tr>
      <w:tr w14:paraId="1549619B">
        <w:tblPrEx>
          <w:tblCellMar>
            <w:top w:w="0" w:type="dxa"/>
            <w:left w:w="108" w:type="dxa"/>
            <w:bottom w:w="0" w:type="dxa"/>
            <w:right w:w="108" w:type="dxa"/>
          </w:tblCellMar>
        </w:tblPrEx>
        <w:trPr>
          <w:trHeight w:val="0" w:hRule="atLeast"/>
          <w:jc w:val="center"/>
        </w:trPr>
        <w:tc>
          <w:tcPr>
            <w:tcW w:w="1903" w:type="dxa"/>
            <w:vMerge w:val="continue"/>
            <w:tcBorders>
              <w:top w:val="nil"/>
              <w:left w:val="single" w:color="auto" w:sz="4" w:space="0"/>
              <w:bottom w:val="single" w:color="auto" w:sz="4" w:space="0"/>
              <w:right w:val="single" w:color="auto" w:sz="4" w:space="0"/>
            </w:tcBorders>
            <w:noWrap w:val="0"/>
            <w:vAlign w:val="center"/>
          </w:tcPr>
          <w:p w14:paraId="3F5E210A">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p>
        </w:tc>
        <w:tc>
          <w:tcPr>
            <w:tcW w:w="1783" w:type="dxa"/>
            <w:tcBorders>
              <w:top w:val="nil"/>
              <w:left w:val="nil"/>
              <w:bottom w:val="single" w:color="auto" w:sz="4" w:space="0"/>
              <w:right w:val="single" w:color="auto" w:sz="4" w:space="0"/>
            </w:tcBorders>
            <w:noWrap w:val="0"/>
            <w:vAlign w:val="center"/>
          </w:tcPr>
          <w:p w14:paraId="28172E2C">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营业收入（Y）</w:t>
            </w:r>
          </w:p>
        </w:tc>
        <w:tc>
          <w:tcPr>
            <w:tcW w:w="1252" w:type="dxa"/>
            <w:tcBorders>
              <w:top w:val="nil"/>
              <w:left w:val="nil"/>
              <w:bottom w:val="single" w:color="auto" w:sz="4" w:space="0"/>
              <w:right w:val="single" w:color="auto" w:sz="4" w:space="0"/>
            </w:tcBorders>
            <w:noWrap w:val="0"/>
            <w:vAlign w:val="center"/>
          </w:tcPr>
          <w:p w14:paraId="57C731E9">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万元</w:t>
            </w:r>
          </w:p>
        </w:tc>
        <w:tc>
          <w:tcPr>
            <w:tcW w:w="1937" w:type="dxa"/>
            <w:tcBorders>
              <w:top w:val="nil"/>
              <w:left w:val="nil"/>
              <w:bottom w:val="single" w:color="auto" w:sz="4" w:space="0"/>
              <w:right w:val="single" w:color="auto" w:sz="4" w:space="0"/>
            </w:tcBorders>
            <w:noWrap w:val="0"/>
            <w:vAlign w:val="center"/>
          </w:tcPr>
          <w:p w14:paraId="08B66873">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1000≤Y＜10000</w:t>
            </w:r>
          </w:p>
        </w:tc>
        <w:tc>
          <w:tcPr>
            <w:tcW w:w="1663" w:type="dxa"/>
            <w:tcBorders>
              <w:top w:val="nil"/>
              <w:left w:val="nil"/>
              <w:bottom w:val="single" w:color="auto" w:sz="4" w:space="0"/>
              <w:right w:val="single" w:color="auto" w:sz="4" w:space="0"/>
            </w:tcBorders>
            <w:noWrap w:val="0"/>
            <w:vAlign w:val="center"/>
          </w:tcPr>
          <w:p w14:paraId="395D5A9A">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50≤Y＜1000</w:t>
            </w:r>
          </w:p>
        </w:tc>
        <w:tc>
          <w:tcPr>
            <w:tcW w:w="1269" w:type="dxa"/>
            <w:tcBorders>
              <w:top w:val="nil"/>
              <w:left w:val="nil"/>
              <w:bottom w:val="single" w:color="auto" w:sz="4" w:space="0"/>
              <w:right w:val="single" w:color="auto" w:sz="4" w:space="0"/>
            </w:tcBorders>
            <w:noWrap w:val="0"/>
            <w:vAlign w:val="center"/>
          </w:tcPr>
          <w:p w14:paraId="360A47AD">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Y＜50</w:t>
            </w:r>
          </w:p>
        </w:tc>
      </w:tr>
      <w:tr w14:paraId="1EFD8BD9">
        <w:tblPrEx>
          <w:tblCellMar>
            <w:top w:w="0" w:type="dxa"/>
            <w:left w:w="108" w:type="dxa"/>
            <w:bottom w:w="0" w:type="dxa"/>
            <w:right w:w="108" w:type="dxa"/>
          </w:tblCellMar>
        </w:tblPrEx>
        <w:trPr>
          <w:trHeight w:val="0" w:hRule="atLeast"/>
          <w:jc w:val="center"/>
        </w:trPr>
        <w:tc>
          <w:tcPr>
            <w:tcW w:w="1903" w:type="dxa"/>
            <w:vMerge w:val="restart"/>
            <w:tcBorders>
              <w:top w:val="nil"/>
              <w:left w:val="single" w:color="auto" w:sz="4" w:space="0"/>
              <w:bottom w:val="single" w:color="auto" w:sz="4" w:space="0"/>
              <w:right w:val="single" w:color="auto" w:sz="4" w:space="0"/>
            </w:tcBorders>
            <w:noWrap w:val="0"/>
            <w:vAlign w:val="center"/>
          </w:tcPr>
          <w:p w14:paraId="1847A4EC">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房地产开发经营</w:t>
            </w:r>
          </w:p>
        </w:tc>
        <w:tc>
          <w:tcPr>
            <w:tcW w:w="1783" w:type="dxa"/>
            <w:tcBorders>
              <w:top w:val="nil"/>
              <w:left w:val="nil"/>
              <w:bottom w:val="single" w:color="auto" w:sz="4" w:space="0"/>
              <w:right w:val="single" w:color="auto" w:sz="4" w:space="0"/>
            </w:tcBorders>
            <w:noWrap w:val="0"/>
            <w:vAlign w:val="center"/>
          </w:tcPr>
          <w:p w14:paraId="1EE8C26E">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营业收入（Y）</w:t>
            </w:r>
          </w:p>
        </w:tc>
        <w:tc>
          <w:tcPr>
            <w:tcW w:w="1252" w:type="dxa"/>
            <w:tcBorders>
              <w:top w:val="nil"/>
              <w:left w:val="nil"/>
              <w:bottom w:val="single" w:color="auto" w:sz="4" w:space="0"/>
              <w:right w:val="single" w:color="auto" w:sz="4" w:space="0"/>
            </w:tcBorders>
            <w:noWrap w:val="0"/>
            <w:vAlign w:val="center"/>
          </w:tcPr>
          <w:p w14:paraId="634D3139">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万元</w:t>
            </w:r>
          </w:p>
        </w:tc>
        <w:tc>
          <w:tcPr>
            <w:tcW w:w="1937" w:type="dxa"/>
            <w:tcBorders>
              <w:top w:val="nil"/>
              <w:left w:val="nil"/>
              <w:bottom w:val="single" w:color="auto" w:sz="4" w:space="0"/>
              <w:right w:val="single" w:color="auto" w:sz="4" w:space="0"/>
            </w:tcBorders>
            <w:noWrap w:val="0"/>
            <w:vAlign w:val="center"/>
          </w:tcPr>
          <w:p w14:paraId="488D3237">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1000≤Y＜200000</w:t>
            </w:r>
          </w:p>
        </w:tc>
        <w:tc>
          <w:tcPr>
            <w:tcW w:w="1663" w:type="dxa"/>
            <w:tcBorders>
              <w:top w:val="nil"/>
              <w:left w:val="nil"/>
              <w:bottom w:val="single" w:color="auto" w:sz="4" w:space="0"/>
              <w:right w:val="single" w:color="auto" w:sz="4" w:space="0"/>
            </w:tcBorders>
            <w:noWrap w:val="0"/>
            <w:vAlign w:val="center"/>
          </w:tcPr>
          <w:p w14:paraId="760B9945">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100≤X＜1000</w:t>
            </w:r>
          </w:p>
        </w:tc>
        <w:tc>
          <w:tcPr>
            <w:tcW w:w="1269" w:type="dxa"/>
            <w:tcBorders>
              <w:top w:val="nil"/>
              <w:left w:val="nil"/>
              <w:bottom w:val="single" w:color="auto" w:sz="4" w:space="0"/>
              <w:right w:val="single" w:color="auto" w:sz="4" w:space="0"/>
            </w:tcBorders>
            <w:noWrap w:val="0"/>
            <w:vAlign w:val="center"/>
          </w:tcPr>
          <w:p w14:paraId="136F611A">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X＜100</w:t>
            </w:r>
          </w:p>
        </w:tc>
      </w:tr>
      <w:tr w14:paraId="1E481994">
        <w:tblPrEx>
          <w:tblCellMar>
            <w:top w:w="0" w:type="dxa"/>
            <w:left w:w="108" w:type="dxa"/>
            <w:bottom w:w="0" w:type="dxa"/>
            <w:right w:w="108" w:type="dxa"/>
          </w:tblCellMar>
        </w:tblPrEx>
        <w:trPr>
          <w:trHeight w:val="0" w:hRule="atLeast"/>
          <w:jc w:val="center"/>
        </w:trPr>
        <w:tc>
          <w:tcPr>
            <w:tcW w:w="1903" w:type="dxa"/>
            <w:vMerge w:val="continue"/>
            <w:tcBorders>
              <w:top w:val="nil"/>
              <w:left w:val="single" w:color="auto" w:sz="4" w:space="0"/>
              <w:bottom w:val="single" w:color="auto" w:sz="4" w:space="0"/>
              <w:right w:val="single" w:color="auto" w:sz="4" w:space="0"/>
            </w:tcBorders>
            <w:noWrap w:val="0"/>
            <w:vAlign w:val="center"/>
          </w:tcPr>
          <w:p w14:paraId="4A28A14B">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p>
        </w:tc>
        <w:tc>
          <w:tcPr>
            <w:tcW w:w="1783" w:type="dxa"/>
            <w:tcBorders>
              <w:top w:val="nil"/>
              <w:left w:val="nil"/>
              <w:bottom w:val="single" w:color="auto" w:sz="4" w:space="0"/>
              <w:right w:val="single" w:color="auto" w:sz="4" w:space="0"/>
            </w:tcBorders>
            <w:noWrap w:val="0"/>
            <w:vAlign w:val="center"/>
          </w:tcPr>
          <w:p w14:paraId="329A2739">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资产总额（Z）</w:t>
            </w:r>
          </w:p>
        </w:tc>
        <w:tc>
          <w:tcPr>
            <w:tcW w:w="1252" w:type="dxa"/>
            <w:tcBorders>
              <w:top w:val="nil"/>
              <w:left w:val="nil"/>
              <w:bottom w:val="single" w:color="auto" w:sz="4" w:space="0"/>
              <w:right w:val="single" w:color="auto" w:sz="4" w:space="0"/>
            </w:tcBorders>
            <w:noWrap w:val="0"/>
            <w:vAlign w:val="center"/>
          </w:tcPr>
          <w:p w14:paraId="143B4277">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万元</w:t>
            </w:r>
          </w:p>
        </w:tc>
        <w:tc>
          <w:tcPr>
            <w:tcW w:w="1937" w:type="dxa"/>
            <w:tcBorders>
              <w:top w:val="nil"/>
              <w:left w:val="nil"/>
              <w:bottom w:val="single" w:color="auto" w:sz="4" w:space="0"/>
              <w:right w:val="single" w:color="auto" w:sz="4" w:space="0"/>
            </w:tcBorders>
            <w:noWrap w:val="0"/>
            <w:vAlign w:val="center"/>
          </w:tcPr>
          <w:p w14:paraId="12DB216C">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5000≤Z＜10000</w:t>
            </w:r>
          </w:p>
        </w:tc>
        <w:tc>
          <w:tcPr>
            <w:tcW w:w="1663" w:type="dxa"/>
            <w:tcBorders>
              <w:top w:val="nil"/>
              <w:left w:val="nil"/>
              <w:bottom w:val="single" w:color="auto" w:sz="4" w:space="0"/>
              <w:right w:val="single" w:color="auto" w:sz="4" w:space="0"/>
            </w:tcBorders>
            <w:noWrap w:val="0"/>
            <w:vAlign w:val="center"/>
          </w:tcPr>
          <w:p w14:paraId="10316A5C">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2000≤Y＜5000</w:t>
            </w:r>
          </w:p>
        </w:tc>
        <w:tc>
          <w:tcPr>
            <w:tcW w:w="1269" w:type="dxa"/>
            <w:tcBorders>
              <w:top w:val="nil"/>
              <w:left w:val="nil"/>
              <w:bottom w:val="single" w:color="auto" w:sz="4" w:space="0"/>
              <w:right w:val="single" w:color="auto" w:sz="4" w:space="0"/>
            </w:tcBorders>
            <w:noWrap w:val="0"/>
            <w:vAlign w:val="center"/>
          </w:tcPr>
          <w:p w14:paraId="6CE09C27">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Y＜2000</w:t>
            </w:r>
          </w:p>
        </w:tc>
      </w:tr>
      <w:tr w14:paraId="38A7D92C">
        <w:tblPrEx>
          <w:tblCellMar>
            <w:top w:w="0" w:type="dxa"/>
            <w:left w:w="108" w:type="dxa"/>
            <w:bottom w:w="0" w:type="dxa"/>
            <w:right w:w="108" w:type="dxa"/>
          </w:tblCellMar>
        </w:tblPrEx>
        <w:trPr>
          <w:trHeight w:val="0" w:hRule="atLeast"/>
          <w:jc w:val="center"/>
        </w:trPr>
        <w:tc>
          <w:tcPr>
            <w:tcW w:w="1903" w:type="dxa"/>
            <w:vMerge w:val="restart"/>
            <w:tcBorders>
              <w:top w:val="nil"/>
              <w:left w:val="single" w:color="auto" w:sz="4" w:space="0"/>
              <w:bottom w:val="single" w:color="auto" w:sz="4" w:space="0"/>
              <w:right w:val="single" w:color="auto" w:sz="4" w:space="0"/>
            </w:tcBorders>
            <w:noWrap w:val="0"/>
            <w:vAlign w:val="center"/>
          </w:tcPr>
          <w:p w14:paraId="79EA0A9B">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物业管理</w:t>
            </w:r>
          </w:p>
        </w:tc>
        <w:tc>
          <w:tcPr>
            <w:tcW w:w="1783" w:type="dxa"/>
            <w:tcBorders>
              <w:top w:val="nil"/>
              <w:left w:val="nil"/>
              <w:bottom w:val="single" w:color="auto" w:sz="4" w:space="0"/>
              <w:right w:val="single" w:color="auto" w:sz="4" w:space="0"/>
            </w:tcBorders>
            <w:noWrap w:val="0"/>
            <w:vAlign w:val="center"/>
          </w:tcPr>
          <w:p w14:paraId="09430696">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从业人员（X）</w:t>
            </w:r>
          </w:p>
        </w:tc>
        <w:tc>
          <w:tcPr>
            <w:tcW w:w="1252" w:type="dxa"/>
            <w:tcBorders>
              <w:top w:val="nil"/>
              <w:left w:val="nil"/>
              <w:bottom w:val="single" w:color="auto" w:sz="4" w:space="0"/>
              <w:right w:val="single" w:color="auto" w:sz="4" w:space="0"/>
            </w:tcBorders>
            <w:noWrap w:val="0"/>
            <w:vAlign w:val="center"/>
          </w:tcPr>
          <w:p w14:paraId="317CBEE6">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w:t>
            </w:r>
          </w:p>
        </w:tc>
        <w:tc>
          <w:tcPr>
            <w:tcW w:w="1937" w:type="dxa"/>
            <w:tcBorders>
              <w:top w:val="nil"/>
              <w:left w:val="nil"/>
              <w:bottom w:val="single" w:color="auto" w:sz="4" w:space="0"/>
              <w:right w:val="single" w:color="auto" w:sz="4" w:space="0"/>
            </w:tcBorders>
            <w:noWrap w:val="0"/>
            <w:vAlign w:val="center"/>
          </w:tcPr>
          <w:p w14:paraId="2A9C51FB">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300≤X＜1000</w:t>
            </w:r>
          </w:p>
        </w:tc>
        <w:tc>
          <w:tcPr>
            <w:tcW w:w="1663" w:type="dxa"/>
            <w:tcBorders>
              <w:top w:val="nil"/>
              <w:left w:val="nil"/>
              <w:bottom w:val="single" w:color="auto" w:sz="4" w:space="0"/>
              <w:right w:val="single" w:color="auto" w:sz="4" w:space="0"/>
            </w:tcBorders>
            <w:noWrap w:val="0"/>
            <w:vAlign w:val="center"/>
          </w:tcPr>
          <w:p w14:paraId="4D7B1987">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100≤X＜300</w:t>
            </w:r>
          </w:p>
        </w:tc>
        <w:tc>
          <w:tcPr>
            <w:tcW w:w="1269" w:type="dxa"/>
            <w:tcBorders>
              <w:top w:val="nil"/>
              <w:left w:val="nil"/>
              <w:bottom w:val="single" w:color="auto" w:sz="4" w:space="0"/>
              <w:right w:val="single" w:color="auto" w:sz="4" w:space="0"/>
            </w:tcBorders>
            <w:noWrap w:val="0"/>
            <w:vAlign w:val="center"/>
          </w:tcPr>
          <w:p w14:paraId="432F00FE">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X＜100</w:t>
            </w:r>
          </w:p>
        </w:tc>
      </w:tr>
      <w:tr w14:paraId="3C764D2B">
        <w:tblPrEx>
          <w:tblCellMar>
            <w:top w:w="0" w:type="dxa"/>
            <w:left w:w="108" w:type="dxa"/>
            <w:bottom w:w="0" w:type="dxa"/>
            <w:right w:w="108" w:type="dxa"/>
          </w:tblCellMar>
        </w:tblPrEx>
        <w:trPr>
          <w:trHeight w:val="0" w:hRule="atLeast"/>
          <w:jc w:val="center"/>
        </w:trPr>
        <w:tc>
          <w:tcPr>
            <w:tcW w:w="1903" w:type="dxa"/>
            <w:vMerge w:val="continue"/>
            <w:tcBorders>
              <w:top w:val="nil"/>
              <w:left w:val="single" w:color="auto" w:sz="4" w:space="0"/>
              <w:bottom w:val="single" w:color="auto" w:sz="4" w:space="0"/>
              <w:right w:val="single" w:color="auto" w:sz="4" w:space="0"/>
            </w:tcBorders>
            <w:noWrap w:val="0"/>
            <w:vAlign w:val="center"/>
          </w:tcPr>
          <w:p w14:paraId="74895509">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p>
        </w:tc>
        <w:tc>
          <w:tcPr>
            <w:tcW w:w="1783" w:type="dxa"/>
            <w:tcBorders>
              <w:top w:val="nil"/>
              <w:left w:val="nil"/>
              <w:bottom w:val="single" w:color="auto" w:sz="4" w:space="0"/>
              <w:right w:val="single" w:color="auto" w:sz="4" w:space="0"/>
            </w:tcBorders>
            <w:noWrap w:val="0"/>
            <w:vAlign w:val="center"/>
          </w:tcPr>
          <w:p w14:paraId="2F589CA0">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营业收入（Y）</w:t>
            </w:r>
          </w:p>
        </w:tc>
        <w:tc>
          <w:tcPr>
            <w:tcW w:w="1252" w:type="dxa"/>
            <w:tcBorders>
              <w:top w:val="nil"/>
              <w:left w:val="nil"/>
              <w:bottom w:val="single" w:color="auto" w:sz="4" w:space="0"/>
              <w:right w:val="single" w:color="auto" w:sz="4" w:space="0"/>
            </w:tcBorders>
            <w:noWrap w:val="0"/>
            <w:vAlign w:val="center"/>
          </w:tcPr>
          <w:p w14:paraId="284570B2">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万元</w:t>
            </w:r>
          </w:p>
        </w:tc>
        <w:tc>
          <w:tcPr>
            <w:tcW w:w="1937" w:type="dxa"/>
            <w:tcBorders>
              <w:top w:val="nil"/>
              <w:left w:val="nil"/>
              <w:bottom w:val="single" w:color="auto" w:sz="4" w:space="0"/>
              <w:right w:val="single" w:color="auto" w:sz="4" w:space="0"/>
            </w:tcBorders>
            <w:noWrap w:val="0"/>
            <w:vAlign w:val="center"/>
          </w:tcPr>
          <w:p w14:paraId="05644C45">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1000≤Y＜5000</w:t>
            </w:r>
          </w:p>
        </w:tc>
        <w:tc>
          <w:tcPr>
            <w:tcW w:w="1663" w:type="dxa"/>
            <w:tcBorders>
              <w:top w:val="nil"/>
              <w:left w:val="nil"/>
              <w:bottom w:val="single" w:color="auto" w:sz="4" w:space="0"/>
              <w:right w:val="single" w:color="auto" w:sz="4" w:space="0"/>
            </w:tcBorders>
            <w:noWrap w:val="0"/>
            <w:vAlign w:val="center"/>
          </w:tcPr>
          <w:p w14:paraId="6759BD3A">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500≤Y＜1000</w:t>
            </w:r>
          </w:p>
        </w:tc>
        <w:tc>
          <w:tcPr>
            <w:tcW w:w="1269" w:type="dxa"/>
            <w:tcBorders>
              <w:top w:val="nil"/>
              <w:left w:val="nil"/>
              <w:bottom w:val="single" w:color="auto" w:sz="4" w:space="0"/>
              <w:right w:val="single" w:color="auto" w:sz="4" w:space="0"/>
            </w:tcBorders>
            <w:noWrap w:val="0"/>
            <w:vAlign w:val="center"/>
          </w:tcPr>
          <w:p w14:paraId="19DED71B">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Y＜500</w:t>
            </w:r>
          </w:p>
        </w:tc>
      </w:tr>
      <w:tr w14:paraId="3E169C6E">
        <w:tblPrEx>
          <w:tblCellMar>
            <w:top w:w="0" w:type="dxa"/>
            <w:left w:w="108" w:type="dxa"/>
            <w:bottom w:w="0" w:type="dxa"/>
            <w:right w:w="108" w:type="dxa"/>
          </w:tblCellMar>
        </w:tblPrEx>
        <w:trPr>
          <w:trHeight w:val="0" w:hRule="atLeast"/>
          <w:jc w:val="center"/>
        </w:trPr>
        <w:tc>
          <w:tcPr>
            <w:tcW w:w="1903" w:type="dxa"/>
            <w:vMerge w:val="restart"/>
            <w:tcBorders>
              <w:top w:val="nil"/>
              <w:left w:val="single" w:color="auto" w:sz="4" w:space="0"/>
              <w:bottom w:val="single" w:color="auto" w:sz="4" w:space="0"/>
              <w:right w:val="single" w:color="auto" w:sz="4" w:space="0"/>
            </w:tcBorders>
            <w:noWrap w:val="0"/>
            <w:vAlign w:val="center"/>
          </w:tcPr>
          <w:p w14:paraId="33A5FB27">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租赁和商务服务业</w:t>
            </w:r>
          </w:p>
        </w:tc>
        <w:tc>
          <w:tcPr>
            <w:tcW w:w="1783" w:type="dxa"/>
            <w:tcBorders>
              <w:top w:val="nil"/>
              <w:left w:val="nil"/>
              <w:bottom w:val="single" w:color="auto" w:sz="4" w:space="0"/>
              <w:right w:val="single" w:color="auto" w:sz="4" w:space="0"/>
            </w:tcBorders>
            <w:noWrap w:val="0"/>
            <w:vAlign w:val="center"/>
          </w:tcPr>
          <w:p w14:paraId="43708275">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从业人员（X）</w:t>
            </w:r>
          </w:p>
        </w:tc>
        <w:tc>
          <w:tcPr>
            <w:tcW w:w="1252" w:type="dxa"/>
            <w:tcBorders>
              <w:top w:val="nil"/>
              <w:left w:val="nil"/>
              <w:bottom w:val="single" w:color="auto" w:sz="4" w:space="0"/>
              <w:right w:val="single" w:color="auto" w:sz="4" w:space="0"/>
            </w:tcBorders>
            <w:noWrap w:val="0"/>
            <w:vAlign w:val="center"/>
          </w:tcPr>
          <w:p w14:paraId="72E7CAA3">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w:t>
            </w:r>
          </w:p>
        </w:tc>
        <w:tc>
          <w:tcPr>
            <w:tcW w:w="1937" w:type="dxa"/>
            <w:tcBorders>
              <w:top w:val="nil"/>
              <w:left w:val="nil"/>
              <w:bottom w:val="single" w:color="auto" w:sz="4" w:space="0"/>
              <w:right w:val="single" w:color="auto" w:sz="4" w:space="0"/>
            </w:tcBorders>
            <w:noWrap w:val="0"/>
            <w:vAlign w:val="center"/>
          </w:tcPr>
          <w:p w14:paraId="47F3E6FC">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100≤X＜300</w:t>
            </w:r>
          </w:p>
        </w:tc>
        <w:tc>
          <w:tcPr>
            <w:tcW w:w="1663" w:type="dxa"/>
            <w:tcBorders>
              <w:top w:val="nil"/>
              <w:left w:val="nil"/>
              <w:bottom w:val="single" w:color="auto" w:sz="4" w:space="0"/>
              <w:right w:val="single" w:color="auto" w:sz="4" w:space="0"/>
            </w:tcBorders>
            <w:noWrap w:val="0"/>
            <w:vAlign w:val="center"/>
          </w:tcPr>
          <w:p w14:paraId="43994414">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10≤X＜100</w:t>
            </w:r>
          </w:p>
        </w:tc>
        <w:tc>
          <w:tcPr>
            <w:tcW w:w="1269" w:type="dxa"/>
            <w:tcBorders>
              <w:top w:val="nil"/>
              <w:left w:val="nil"/>
              <w:bottom w:val="single" w:color="auto" w:sz="4" w:space="0"/>
              <w:right w:val="single" w:color="auto" w:sz="4" w:space="0"/>
            </w:tcBorders>
            <w:noWrap w:val="0"/>
            <w:vAlign w:val="center"/>
          </w:tcPr>
          <w:p w14:paraId="343A62CF">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X＜10</w:t>
            </w:r>
          </w:p>
        </w:tc>
      </w:tr>
      <w:tr w14:paraId="5D563450">
        <w:tblPrEx>
          <w:tblCellMar>
            <w:top w:w="0" w:type="dxa"/>
            <w:left w:w="108" w:type="dxa"/>
            <w:bottom w:w="0" w:type="dxa"/>
            <w:right w:w="108" w:type="dxa"/>
          </w:tblCellMar>
        </w:tblPrEx>
        <w:trPr>
          <w:trHeight w:val="0" w:hRule="atLeast"/>
          <w:jc w:val="center"/>
        </w:trPr>
        <w:tc>
          <w:tcPr>
            <w:tcW w:w="1903" w:type="dxa"/>
            <w:vMerge w:val="continue"/>
            <w:tcBorders>
              <w:top w:val="nil"/>
              <w:left w:val="single" w:color="auto" w:sz="4" w:space="0"/>
              <w:bottom w:val="single" w:color="auto" w:sz="4" w:space="0"/>
              <w:right w:val="single" w:color="auto" w:sz="4" w:space="0"/>
            </w:tcBorders>
            <w:noWrap w:val="0"/>
            <w:vAlign w:val="center"/>
          </w:tcPr>
          <w:p w14:paraId="60C7B282">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p>
        </w:tc>
        <w:tc>
          <w:tcPr>
            <w:tcW w:w="1783" w:type="dxa"/>
            <w:tcBorders>
              <w:top w:val="nil"/>
              <w:left w:val="nil"/>
              <w:bottom w:val="single" w:color="auto" w:sz="4" w:space="0"/>
              <w:right w:val="single" w:color="auto" w:sz="4" w:space="0"/>
            </w:tcBorders>
            <w:noWrap w:val="0"/>
            <w:vAlign w:val="center"/>
          </w:tcPr>
          <w:p w14:paraId="28DF7A57">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资产总额（Z）</w:t>
            </w:r>
          </w:p>
        </w:tc>
        <w:tc>
          <w:tcPr>
            <w:tcW w:w="1252" w:type="dxa"/>
            <w:tcBorders>
              <w:top w:val="nil"/>
              <w:left w:val="nil"/>
              <w:bottom w:val="single" w:color="auto" w:sz="4" w:space="0"/>
              <w:right w:val="single" w:color="auto" w:sz="4" w:space="0"/>
            </w:tcBorders>
            <w:noWrap w:val="0"/>
            <w:vAlign w:val="center"/>
          </w:tcPr>
          <w:p w14:paraId="1D9B0933">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万元</w:t>
            </w:r>
          </w:p>
        </w:tc>
        <w:tc>
          <w:tcPr>
            <w:tcW w:w="1937" w:type="dxa"/>
            <w:tcBorders>
              <w:top w:val="nil"/>
              <w:left w:val="nil"/>
              <w:bottom w:val="single" w:color="auto" w:sz="4" w:space="0"/>
              <w:right w:val="single" w:color="auto" w:sz="4" w:space="0"/>
            </w:tcBorders>
            <w:noWrap w:val="0"/>
            <w:vAlign w:val="center"/>
          </w:tcPr>
          <w:p w14:paraId="6BAF4202">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8000≤Z＜120000</w:t>
            </w:r>
          </w:p>
        </w:tc>
        <w:tc>
          <w:tcPr>
            <w:tcW w:w="1663" w:type="dxa"/>
            <w:tcBorders>
              <w:top w:val="nil"/>
              <w:left w:val="nil"/>
              <w:bottom w:val="single" w:color="auto" w:sz="4" w:space="0"/>
              <w:right w:val="single" w:color="auto" w:sz="4" w:space="0"/>
            </w:tcBorders>
            <w:noWrap w:val="0"/>
            <w:vAlign w:val="center"/>
          </w:tcPr>
          <w:p w14:paraId="5401F9D3">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100≤Z＜8000</w:t>
            </w:r>
          </w:p>
        </w:tc>
        <w:tc>
          <w:tcPr>
            <w:tcW w:w="1269" w:type="dxa"/>
            <w:tcBorders>
              <w:top w:val="nil"/>
              <w:left w:val="nil"/>
              <w:bottom w:val="single" w:color="auto" w:sz="4" w:space="0"/>
              <w:right w:val="single" w:color="auto" w:sz="4" w:space="0"/>
            </w:tcBorders>
            <w:noWrap w:val="0"/>
            <w:vAlign w:val="center"/>
          </w:tcPr>
          <w:p w14:paraId="75193D45">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Y＜100</w:t>
            </w:r>
          </w:p>
        </w:tc>
      </w:tr>
      <w:tr w14:paraId="55B81C81">
        <w:tblPrEx>
          <w:tblCellMar>
            <w:top w:w="0" w:type="dxa"/>
            <w:left w:w="108" w:type="dxa"/>
            <w:bottom w:w="0" w:type="dxa"/>
            <w:right w:w="108" w:type="dxa"/>
          </w:tblCellMar>
        </w:tblPrEx>
        <w:trPr>
          <w:trHeight w:val="0" w:hRule="atLeast"/>
          <w:jc w:val="center"/>
        </w:trPr>
        <w:tc>
          <w:tcPr>
            <w:tcW w:w="1903" w:type="dxa"/>
            <w:tcBorders>
              <w:top w:val="nil"/>
              <w:left w:val="single" w:color="auto" w:sz="4" w:space="0"/>
              <w:bottom w:val="single" w:color="auto" w:sz="4" w:space="0"/>
              <w:right w:val="single" w:color="auto" w:sz="4" w:space="0"/>
            </w:tcBorders>
            <w:shd w:val="clear" w:color="auto" w:fill="auto"/>
            <w:noWrap w:val="0"/>
            <w:vAlign w:val="center"/>
          </w:tcPr>
          <w:p w14:paraId="47FA12D5">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其他未列明行业</w:t>
            </w:r>
          </w:p>
        </w:tc>
        <w:tc>
          <w:tcPr>
            <w:tcW w:w="1783" w:type="dxa"/>
            <w:tcBorders>
              <w:top w:val="nil"/>
              <w:left w:val="nil"/>
              <w:bottom w:val="single" w:color="auto" w:sz="4" w:space="0"/>
              <w:right w:val="single" w:color="auto" w:sz="4" w:space="0"/>
            </w:tcBorders>
            <w:shd w:val="clear" w:color="auto" w:fill="auto"/>
            <w:noWrap w:val="0"/>
            <w:vAlign w:val="center"/>
          </w:tcPr>
          <w:p w14:paraId="39B1C343">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从业人员（X）</w:t>
            </w:r>
          </w:p>
        </w:tc>
        <w:tc>
          <w:tcPr>
            <w:tcW w:w="1252" w:type="dxa"/>
            <w:tcBorders>
              <w:top w:val="nil"/>
              <w:left w:val="nil"/>
              <w:bottom w:val="single" w:color="auto" w:sz="4" w:space="0"/>
              <w:right w:val="single" w:color="auto" w:sz="4" w:space="0"/>
            </w:tcBorders>
            <w:shd w:val="clear" w:color="auto" w:fill="auto"/>
            <w:noWrap w:val="0"/>
            <w:vAlign w:val="center"/>
          </w:tcPr>
          <w:p w14:paraId="4E301CE2">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w:t>
            </w:r>
          </w:p>
        </w:tc>
        <w:tc>
          <w:tcPr>
            <w:tcW w:w="1937" w:type="dxa"/>
            <w:tcBorders>
              <w:top w:val="nil"/>
              <w:left w:val="nil"/>
              <w:bottom w:val="single" w:color="auto" w:sz="4" w:space="0"/>
              <w:right w:val="single" w:color="auto" w:sz="4" w:space="0"/>
            </w:tcBorders>
            <w:shd w:val="clear" w:color="auto" w:fill="auto"/>
            <w:noWrap w:val="0"/>
            <w:vAlign w:val="center"/>
          </w:tcPr>
          <w:p w14:paraId="002D1077">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100≤X＜300</w:t>
            </w:r>
          </w:p>
        </w:tc>
        <w:tc>
          <w:tcPr>
            <w:tcW w:w="1663" w:type="dxa"/>
            <w:tcBorders>
              <w:top w:val="nil"/>
              <w:left w:val="nil"/>
              <w:bottom w:val="single" w:color="auto" w:sz="4" w:space="0"/>
              <w:right w:val="single" w:color="auto" w:sz="4" w:space="0"/>
            </w:tcBorders>
            <w:shd w:val="clear" w:color="auto" w:fill="auto"/>
            <w:noWrap w:val="0"/>
            <w:vAlign w:val="center"/>
          </w:tcPr>
          <w:p w14:paraId="789C839F">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10≤X＜100</w:t>
            </w:r>
          </w:p>
        </w:tc>
        <w:tc>
          <w:tcPr>
            <w:tcW w:w="1269" w:type="dxa"/>
            <w:tcBorders>
              <w:top w:val="nil"/>
              <w:left w:val="nil"/>
              <w:bottom w:val="single" w:color="auto" w:sz="4" w:space="0"/>
              <w:right w:val="single" w:color="auto" w:sz="4" w:space="0"/>
            </w:tcBorders>
            <w:shd w:val="clear" w:color="auto" w:fill="auto"/>
            <w:noWrap w:val="0"/>
            <w:vAlign w:val="center"/>
          </w:tcPr>
          <w:p w14:paraId="582F3184">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X＜10</w:t>
            </w:r>
          </w:p>
        </w:tc>
      </w:tr>
    </w:tbl>
    <w:p w14:paraId="446BCE4E">
      <w:pPr>
        <w:pStyle w:val="31"/>
        <w:jc w:val="center"/>
        <w:rPr>
          <w:rFonts w:hint="eastAsia"/>
          <w:color w:val="000000" w:themeColor="text1"/>
          <w:highlight w:val="none"/>
          <w14:textFill>
            <w14:solidFill>
              <w14:schemeClr w14:val="tx1"/>
            </w14:solidFill>
          </w14:textFill>
        </w:rPr>
      </w:pPr>
      <w:r>
        <w:rPr>
          <w:rFonts w:hint="eastAsia"/>
          <w:color w:val="000000" w:themeColor="text1"/>
          <w:sz w:val="22"/>
          <w:szCs w:val="22"/>
          <w:highlight w:val="none"/>
          <w:lang w:val="en-US" w:eastAsia="zh-CN"/>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p w14:paraId="62FB0C6B">
      <w:pPr>
        <w:tabs>
          <w:tab w:val="left" w:pos="180"/>
          <w:tab w:val="left" w:pos="1620"/>
        </w:tabs>
        <w:spacing w:line="360" w:lineRule="auto"/>
        <w:ind w:firstLine="422" w:firstLineChars="200"/>
        <w:rPr>
          <w:rFonts w:hint="eastAsia" w:ascii="宋体" w:hAnsi="宋体" w:eastAsia="宋体" w:cs="宋体"/>
          <w:b/>
          <w:bCs/>
          <w:color w:val="000000" w:themeColor="text1"/>
          <w:szCs w:val="21"/>
          <w:highlight w:val="none"/>
          <w14:textFill>
            <w14:solidFill>
              <w14:schemeClr w14:val="tx1"/>
            </w14:solidFill>
          </w14:textFill>
        </w:rPr>
      </w:pPr>
    </w:p>
    <w:p w14:paraId="54184EBE">
      <w:pPr>
        <w:pStyle w:val="2"/>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宋体" w:hAnsi="宋体" w:eastAsia="宋体" w:cs="宋体"/>
          <w:color w:val="000000" w:themeColor="text1"/>
          <w:sz w:val="40"/>
          <w:szCs w:val="40"/>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br w:type="page"/>
      </w:r>
      <w:bookmarkStart w:id="66" w:name="_Toc25380"/>
      <w:r>
        <w:rPr>
          <w:rFonts w:hint="eastAsia" w:ascii="宋体" w:hAnsi="宋体" w:eastAsia="宋体" w:cs="宋体"/>
          <w:color w:val="000000" w:themeColor="text1"/>
          <w:sz w:val="40"/>
          <w:szCs w:val="40"/>
          <w:highlight w:val="none"/>
          <w14:textFill>
            <w14:solidFill>
              <w14:schemeClr w14:val="tx1"/>
            </w14:solidFill>
          </w14:textFill>
        </w:rPr>
        <w:t>第四章</w:t>
      </w:r>
      <w:r>
        <w:rPr>
          <w:rFonts w:hint="eastAsia" w:ascii="宋体" w:hAnsi="宋体" w:eastAsia="宋体" w:cs="宋体"/>
          <w:color w:val="000000" w:themeColor="text1"/>
          <w:sz w:val="40"/>
          <w:szCs w:val="40"/>
          <w:highlight w:val="none"/>
          <w:lang w:val="en-US" w:eastAsia="zh-CN"/>
          <w14:textFill>
            <w14:solidFill>
              <w14:schemeClr w14:val="tx1"/>
            </w14:solidFill>
          </w14:textFill>
        </w:rPr>
        <w:t xml:space="preserve"> </w:t>
      </w:r>
      <w:r>
        <w:rPr>
          <w:rFonts w:hint="eastAsia" w:ascii="宋体" w:hAnsi="宋体" w:eastAsia="宋体" w:cs="宋体"/>
          <w:color w:val="000000" w:themeColor="text1"/>
          <w:sz w:val="40"/>
          <w:szCs w:val="40"/>
          <w:highlight w:val="none"/>
          <w14:textFill>
            <w14:solidFill>
              <w14:schemeClr w14:val="tx1"/>
            </w14:solidFill>
          </w14:textFill>
        </w:rPr>
        <w:t>评审程序、评审方法和评审标准</w:t>
      </w:r>
      <w:bookmarkEnd w:id="66"/>
    </w:p>
    <w:p w14:paraId="4391C21D">
      <w:pPr>
        <w:pStyle w:val="3"/>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一、评审程序和评审方法</w:t>
      </w:r>
    </w:p>
    <w:p w14:paraId="49D0AC60">
      <w:pPr>
        <w:spacing w:line="360" w:lineRule="auto"/>
        <w:ind w:firstLine="354" w:firstLineChars="147"/>
        <w:jc w:val="left"/>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1.资格审查</w:t>
      </w:r>
    </w:p>
    <w:p w14:paraId="6571B08B">
      <w:pPr>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1.1响应文件开启后，磋商小组依法对供应商的资格证明文件进行审查。</w:t>
      </w:r>
    </w:p>
    <w:p w14:paraId="558EC43F">
      <w:pPr>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w:t>
      </w:r>
      <w:r>
        <w:rPr>
          <w:rFonts w:hint="eastAsia" w:ascii="宋体" w:hAnsi="宋体" w:eastAsia="宋体" w:cs="宋体"/>
          <w:color w:val="000000" w:themeColor="text1"/>
          <w:highlight w:val="none"/>
          <w14:textFill>
            <w14:solidFill>
              <w14:schemeClr w14:val="tx1"/>
            </w14:solidFill>
          </w14:textFill>
        </w:rPr>
        <w:t>磋商小组</w:t>
      </w:r>
      <w:r>
        <w:rPr>
          <w:rFonts w:hint="eastAsia" w:ascii="宋体" w:hAnsi="宋体" w:eastAsia="宋体" w:cs="宋体"/>
          <w:color w:val="000000" w:themeColor="text1"/>
          <w:szCs w:val="21"/>
          <w:highlight w:val="none"/>
          <w14:textFill>
            <w14:solidFill>
              <w14:schemeClr w14:val="tx1"/>
            </w14:solidFill>
          </w14:textFill>
        </w:rPr>
        <w:t>在资格审查结束前，对供应商进行信用查询。</w:t>
      </w:r>
    </w:p>
    <w:p w14:paraId="610B9979">
      <w:pPr>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（1）查询渠道：广西政府采购云平台“信用中国”网站（www.creditchina.gov.cn）、中国政府采购网（www.ccgp.gov.cn）链接入口。</w:t>
      </w:r>
    </w:p>
    <w:p w14:paraId="150BA913">
      <w:pPr>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（2）信用查询截止时点：资格审查结束前。</w:t>
      </w:r>
    </w:p>
    <w:p w14:paraId="7B6209E0">
      <w:pPr>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（3）查询记录和证据留存方式：在查询网站中直接查询，截图另存为电子文档作为评审资料保存。</w:t>
      </w:r>
    </w:p>
    <w:p w14:paraId="7B21DD9E">
      <w:pPr>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14:paraId="5D3FF15B">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1.2资格审查标准为本磋商文件中载明对供应商资格要求的条件。资格审查采用合格制，凡符合磋商文件规定的供应商资格要求的响应文件均通过资格审查。</w:t>
      </w:r>
    </w:p>
    <w:p w14:paraId="791B0CBE">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1.3供应商有下列情形之一的，资格审查不通过，其响应文件按无效处理：</w:t>
      </w:r>
    </w:p>
    <w:p w14:paraId="1DC4C951">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（1）不具备磋商文件中规定的资格要求的；</w:t>
      </w:r>
    </w:p>
    <w:p w14:paraId="216BD84F">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（2）未按磋商文件规定的方式获取本磋商文件的供应商；</w:t>
      </w:r>
    </w:p>
    <w:p w14:paraId="415604CC">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（3）响应文件的资格证明文件缺少任一项“供应商须知前附表”资格证明文件规定的“必须提供”的文件资料的；</w:t>
      </w:r>
    </w:p>
    <w:p w14:paraId="1C02E57F">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（4）响应文件中的资格证明文件出现任一项不符合“供应商须知前附表”资格证明文件规定的“必须提供”的文件资料要求或者无效的；</w:t>
      </w:r>
    </w:p>
    <w:p w14:paraId="362AF561">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（5）同一合同项下的不同供应商，单位负责人为同一人或者存在直接控股、管理关系的；为本项目提供过整体设计、规范编制或者项目管理、监理、检测等服务的供应商，再参加该采购项目的其他采购活动的。</w:t>
      </w:r>
    </w:p>
    <w:p w14:paraId="29146594">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1.4通过资格审查的合格供应商不足3家的，不得进入符合性审查环节，应当重新开展采购活动。</w:t>
      </w:r>
    </w:p>
    <w:p w14:paraId="0E89A25B">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2.符合性审查</w:t>
      </w:r>
    </w:p>
    <w:p w14:paraId="51262A64">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bookmarkStart w:id="67" w:name="_Hlk42528882"/>
      <w:r>
        <w:rPr>
          <w:rFonts w:hint="eastAsia" w:ascii="宋体" w:hAnsi="宋体" w:eastAsia="宋体" w:cs="宋体"/>
          <w:color w:val="000000" w:themeColor="text1"/>
          <w:szCs w:val="21"/>
          <w:highlight w:val="none"/>
          <w14:textFill>
            <w14:solidFill>
              <w14:schemeClr w14:val="tx1"/>
            </w14:solidFill>
          </w14:textFill>
        </w:rPr>
        <w:t>2.1磋商小组对通过资格审查的合格供应商的响应文件的竞标报价、商务、技术等实质性要求进行符合性审查，以确定其是否满足磋商文件的实质性要求。</w:t>
      </w:r>
    </w:p>
    <w:bookmarkEnd w:id="67"/>
    <w:p w14:paraId="4035140C">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F4EE268">
      <w:pPr>
        <w:spacing w:line="360" w:lineRule="auto"/>
        <w:ind w:firstLine="420" w:firstLineChars="200"/>
        <w:rPr>
          <w:rFonts w:hint="eastAsia" w:ascii="宋体" w:hAnsi="宋体" w:eastAsia="宋体" w:cs="宋体"/>
          <w:color w:val="000000" w:themeColor="text1"/>
          <w:spacing w:val="-6"/>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ascii="宋体" w:hAnsi="宋体" w:eastAsia="宋体" w:cs="宋体"/>
          <w:color w:val="000000" w:themeColor="text1"/>
          <w:highlight w:val="none"/>
          <w14:textFill>
            <w14:solidFill>
              <w14:schemeClr w14:val="tx1"/>
            </w14:solidFill>
          </w14:textFill>
        </w:rPr>
        <w:t>签章</w:t>
      </w:r>
      <w:r>
        <w:rPr>
          <w:rFonts w:hint="eastAsia" w:ascii="宋体" w:hAnsi="宋体" w:eastAsia="宋体" w:cs="宋体"/>
          <w:color w:val="000000" w:themeColor="text1"/>
          <w:spacing w:val="-6"/>
          <w:szCs w:val="21"/>
          <w:highlight w:val="none"/>
          <w14:textFill>
            <w14:solidFill>
              <w14:schemeClr w14:val="tx1"/>
            </w14:solidFill>
          </w14:textFill>
        </w:rPr>
        <w:t>。</w:t>
      </w:r>
    </w:p>
    <w:p w14:paraId="205085A7">
      <w:pPr>
        <w:spacing w:line="360" w:lineRule="auto"/>
        <w:ind w:firstLine="420" w:firstLineChars="200"/>
        <w:rPr>
          <w:rFonts w:hint="eastAsia" w:ascii="宋体" w:hAnsi="宋体" w:eastAsia="宋体" w:cs="宋体"/>
          <w:color w:val="000000" w:themeColor="text1"/>
          <w:spacing w:val="-6"/>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4C24114A">
      <w:pPr>
        <w:spacing w:line="360" w:lineRule="auto"/>
        <w:ind w:firstLine="396"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pacing w:val="-6"/>
          <w:szCs w:val="21"/>
          <w:highlight w:val="none"/>
          <w14:textFill>
            <w14:solidFill>
              <w14:schemeClr w14:val="tx1"/>
            </w14:solidFill>
          </w14:textFill>
        </w:rPr>
        <w:t>2.4</w:t>
      </w:r>
      <w:r>
        <w:rPr>
          <w:rFonts w:hint="eastAsia" w:ascii="宋体" w:hAnsi="宋体" w:eastAsia="宋体" w:cs="宋体"/>
          <w:color w:val="000000" w:themeColor="text1"/>
          <w:szCs w:val="21"/>
          <w:highlight w:val="none"/>
          <w14:textFill>
            <w14:solidFill>
              <w14:schemeClr w14:val="tx1"/>
            </w14:solidFill>
          </w14:textFill>
        </w:rPr>
        <w:t xml:space="preserve">首次响应文件报价出现前后不一致的，按照下列规定修正： </w:t>
      </w:r>
    </w:p>
    <w:p w14:paraId="1EB81183">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（1）响应文件中报价表内容与响应文件中相应内容不一致的，以报价表为准；</w:t>
      </w:r>
    </w:p>
    <w:p w14:paraId="168488F6">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（2）大写金额和小写金额不一致的，以大写金额为准；</w:t>
      </w:r>
    </w:p>
    <w:p w14:paraId="75870BF2">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（3）单价金额小数点或者百分比有明显错位的，以报价表的总价为准，并修改单价；</w:t>
      </w:r>
    </w:p>
    <w:p w14:paraId="58E24729">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（4）总价金额与按单价汇总金额不一致的，以单价金额计算结果为准。</w:t>
      </w:r>
    </w:p>
    <w:p w14:paraId="7BD0E0A9">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同时出现两种以上不一致的，按照以上（1）-（4）规定的顺序逐条进行修正。修正后的报价经供应商确认后产生约束力，供应商不确认的，其响应文件按无效处理。</w:t>
      </w:r>
    </w:p>
    <w:p w14:paraId="17479B66">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2.5商务技术报价评审</w:t>
      </w:r>
    </w:p>
    <w:p w14:paraId="31215007">
      <w:pPr>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在评审时，如发现下列情形之一的，将被视为响应文件无效处理：</w:t>
      </w:r>
    </w:p>
    <w:p w14:paraId="6607EA51">
      <w:pPr>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（1）商务技术评审</w:t>
      </w:r>
    </w:p>
    <w:p w14:paraId="58B51418">
      <w:pPr>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1）响应文件未按磋商文件要求签署、盖章的；</w:t>
      </w:r>
    </w:p>
    <w:p w14:paraId="35D0C16C">
      <w:pPr>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 xml:space="preserve">2）委托代理人未能出具有效身份证或者出具的身份证与授权委托书中的信息不符的； </w:t>
      </w:r>
    </w:p>
    <w:p w14:paraId="24992ADF">
      <w:pPr>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3）提交的磋商保证金无效的或者未按照磋商文件的规定提交磋商保证金的；</w:t>
      </w:r>
    </w:p>
    <w:p w14:paraId="230E704D">
      <w:pPr>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“必须提供”或者“委托时必须提供”文件资料要求的规定或者提供的商务技术文件无效的。</w:t>
      </w:r>
    </w:p>
    <w:p w14:paraId="7BF6F1CA">
      <w:pPr>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5）商务要求允许负偏离的条款数超过“供应商须知前附表”规定项数的；</w:t>
      </w:r>
    </w:p>
    <w:p w14:paraId="4BA6DEF3">
      <w:pPr>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6）未对竞标有效期作出响应或者响应文件承诺的竞标有效期不满足磋商文件要求的；</w:t>
      </w:r>
    </w:p>
    <w:p w14:paraId="5BC3E0D3">
      <w:pPr>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7）响应文件的实质性内容未使用中文表述、使用计量单位不符合磋商文件要求的；</w:t>
      </w:r>
    </w:p>
    <w:p w14:paraId="0494E29C">
      <w:pPr>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8）响应文件中的文件资料因填写不齐全或者内容虚假或者出现其他情形而导致被磋商小组认定无效的；</w:t>
      </w:r>
    </w:p>
    <w:p w14:paraId="5EC639FC">
      <w:pPr>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9）响应文件含有采购人不能接受的附加条件的；</w:t>
      </w:r>
    </w:p>
    <w:p w14:paraId="75AB650A">
      <w:pPr>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10）属于“供应商须知正文”第7.5条供应商相互串通竞标情形的；</w:t>
      </w:r>
    </w:p>
    <w:p w14:paraId="4B50316F">
      <w:pPr>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11）技术要求允许负偏离的条款数超过“供应商须知前附表”规定项数的；</w:t>
      </w:r>
    </w:p>
    <w:p w14:paraId="5E855274">
      <w:pPr>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12）虚假竞标，或者出现其他情形而导致被磋商小组认定无效的；</w:t>
      </w:r>
    </w:p>
    <w:p w14:paraId="3BB911E5">
      <w:pPr>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13）</w:t>
      </w:r>
      <w:bookmarkStart w:id="68" w:name="_Hlk71704147"/>
      <w:r>
        <w:rPr>
          <w:rFonts w:hint="eastAsia" w:ascii="宋体" w:hAnsi="宋体" w:eastAsia="宋体" w:cs="宋体"/>
          <w:b/>
          <w:color w:val="000000" w:themeColor="text1"/>
          <w:szCs w:val="21"/>
          <w:highlight w:val="none"/>
          <w14:textFill>
            <w14:solidFill>
              <w14:schemeClr w14:val="tx1"/>
            </w14:solidFill>
          </w14:textFill>
        </w:rPr>
        <w:t>磋商文件未载明允许提供备选（替代）竞标方案或明确不允许提供备选（替代）竞标方案时，供应商提供了备选（替代）竞标方案的；</w:t>
      </w:r>
      <w:bookmarkEnd w:id="68"/>
    </w:p>
    <w:p w14:paraId="45F04B4B">
      <w:pPr>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14）响应文件标注的项目名称或者项目编号与磋商文件标注的项目名称或者项目编号不一致的；</w:t>
      </w:r>
    </w:p>
    <w:p w14:paraId="2E855291">
      <w:pPr>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15）竞争性磋商文件明确不允许分包，响应文件拟分包的；</w:t>
      </w:r>
    </w:p>
    <w:p w14:paraId="4BBD41BE">
      <w:pPr>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16）未响应磋商文件实质性要求的；</w:t>
      </w:r>
    </w:p>
    <w:p w14:paraId="368FF149">
      <w:pPr>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17）法律、法规和磋商文件规定的其他无效情形。</w:t>
      </w:r>
    </w:p>
    <w:p w14:paraId="4B286080">
      <w:pPr>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（2）报价评审</w:t>
      </w:r>
    </w:p>
    <w:p w14:paraId="670AE650">
      <w:pPr>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1）响应文件未提供“供应商须知前附表” 报价文件中规定的“竞标报价表”的；</w:t>
      </w:r>
    </w:p>
    <w:p w14:paraId="283286C5">
      <w:pPr>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2）未采用人民币报价或者未按照磋商文件标明的币种报价的；</w:t>
      </w:r>
    </w:p>
    <w:p w14:paraId="35690923">
      <w:pPr>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199047D4">
      <w:pPr>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4）竞标报价（包含首次报价、最后报价）超过所竞标分标规定的采购预算金额或者最高限价的（如本项目公布了最高限价）；</w:t>
      </w:r>
      <w:bookmarkStart w:id="69" w:name="_Hlk42596405"/>
      <w:r>
        <w:rPr>
          <w:rFonts w:hint="eastAsia" w:ascii="宋体" w:hAnsi="宋体" w:eastAsia="宋体" w:cs="宋体"/>
          <w:b/>
          <w:color w:val="000000" w:themeColor="text1"/>
          <w:szCs w:val="21"/>
          <w:highlight w:val="none"/>
          <w14:textFill>
            <w14:solidFill>
              <w14:schemeClr w14:val="tx1"/>
            </w14:solidFill>
          </w14:textFill>
        </w:rPr>
        <w:t>竞标报价（包含首次报价、最后报价）</w:t>
      </w:r>
      <w:bookmarkEnd w:id="69"/>
      <w:bookmarkStart w:id="70" w:name="_Hlk42596276"/>
      <w:r>
        <w:rPr>
          <w:rFonts w:hint="eastAsia" w:ascii="宋体" w:hAnsi="宋体" w:eastAsia="宋体" w:cs="宋体"/>
          <w:b/>
          <w:color w:val="000000" w:themeColor="text1"/>
          <w:szCs w:val="21"/>
          <w:highlight w:val="none"/>
          <w14:textFill>
            <w14:solidFill>
              <w14:schemeClr w14:val="tx1"/>
            </w14:solidFill>
          </w14:textFill>
        </w:rPr>
        <w:t>超过磋商文件分项采购预算金额或者最高限价的</w:t>
      </w:r>
      <w:bookmarkEnd w:id="70"/>
      <w:r>
        <w:rPr>
          <w:rFonts w:hint="eastAsia" w:ascii="宋体" w:hAnsi="宋体" w:eastAsia="宋体" w:cs="宋体"/>
          <w:b/>
          <w:color w:val="000000" w:themeColor="text1"/>
          <w:szCs w:val="21"/>
          <w:highlight w:val="none"/>
          <w14:textFill>
            <w14:solidFill>
              <w14:schemeClr w14:val="tx1"/>
            </w14:solidFill>
          </w14:textFill>
        </w:rPr>
        <w:t>（如本项目有要求并公布了分项采购预算金额或者最高限价）；</w:t>
      </w:r>
    </w:p>
    <w:p w14:paraId="4F2047C3">
      <w:pPr>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分项采购预算金额或者最高限价的（如本项目有要求并公布了分项采购预算金额或者最高限价）。</w:t>
      </w:r>
    </w:p>
    <w:p w14:paraId="246DE313">
      <w:pPr>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6）响应文件响应的标的数量及单位与竞争性磋商采购文件要求实质性不一致的；</w:t>
      </w:r>
    </w:p>
    <w:p w14:paraId="26AD2493">
      <w:pPr>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7）未响应磋商文件实质性要求的。</w:t>
      </w:r>
    </w:p>
    <w:p w14:paraId="5B60D89E">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2.6磋商小组对响应文件进行评审，未实质性响应磋商文件的响应文件按无效处理，磋商小组应当将资格和符合性不通过的情况告知有关供应商。</w:t>
      </w:r>
    </w:p>
    <w:p w14:paraId="2D630E99">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2.7通过符合性审查的合格供应商不足3家的，不得进入磋商环节，应当重新开展采购活动。</w:t>
      </w:r>
    </w:p>
    <w:p w14:paraId="4C33DE52">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3.磋商程序</w:t>
      </w:r>
    </w:p>
    <w:p w14:paraId="7CE4C85A">
      <w:pPr>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3.1磋商小组</w:t>
      </w:r>
      <w:r>
        <w:rPr>
          <w:rFonts w:hint="eastAsia" w:ascii="宋体" w:hAnsi="宋体" w:eastAsia="宋体" w:cs="宋体"/>
          <w:color w:val="000000" w:themeColor="text1"/>
          <w:szCs w:val="21"/>
          <w:highlight w:val="none"/>
          <w14:textFill>
            <w14:solidFill>
              <w14:schemeClr w14:val="tx1"/>
            </w14:solidFill>
          </w14:textFill>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处理。</w:t>
      </w:r>
    </w:p>
    <w:p w14:paraId="6FE7195B">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0FC4B139">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3.3对磋商文件作出的实质性变动是磋商文件的有效组成部分，由磋商小组及时以电子澄清函形式同时通知所有参加磋商的供应商。</w:t>
      </w:r>
    </w:p>
    <w:p w14:paraId="07CF803F">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3.4供应商必须按照磋商文件的变动情况和磋商小组的要求以回函的形式重新提交响应文件，并加盖电子签章。参加磋商的供应商未在规定时间内重新提交响应文件的，视同退出磋商，其响应文件按无效处理。</w:t>
      </w:r>
    </w:p>
    <w:p w14:paraId="3E77AEA1">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3.5磋商中，磋商的任何一方不得透露与磋商有关的其他供应商的技术资料、价格和其他信息</w:t>
      </w:r>
      <w:r>
        <w:rPr>
          <w:rFonts w:hint="eastAsia" w:ascii="宋体" w:hAnsi="宋体" w:eastAsia="宋体" w:cs="宋体"/>
          <w:color w:val="000000" w:themeColor="text1"/>
          <w:spacing w:val="-6"/>
          <w:szCs w:val="21"/>
          <w:highlight w:val="none"/>
          <w14:textFill>
            <w14:solidFill>
              <w14:schemeClr w14:val="tx1"/>
            </w14:solidFill>
          </w14:textFill>
        </w:rPr>
        <w:t>。</w:t>
      </w:r>
    </w:p>
    <w:p w14:paraId="107323BE">
      <w:pPr>
        <w:widowControl/>
        <w:tabs>
          <w:tab w:val="left" w:pos="540"/>
        </w:tabs>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3.6采购代理机构对磋商过程和磋商内容进行记录。</w:t>
      </w:r>
    </w:p>
    <w:p w14:paraId="2C2EEDEA">
      <w:pPr>
        <w:widowControl/>
        <w:tabs>
          <w:tab w:val="left" w:pos="540"/>
        </w:tabs>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3.7</w:t>
      </w:r>
      <w:r>
        <w:rPr>
          <w:rFonts w:hint="eastAsia" w:ascii="宋体" w:hAnsi="宋体" w:eastAsia="宋体" w:cs="宋体"/>
          <w:color w:val="000000" w:themeColor="text1"/>
          <w:highlight w:val="none"/>
          <w14:textFill>
            <w14:solidFill>
              <w14:schemeClr w14:val="tx1"/>
            </w14:solidFill>
          </w14:textFill>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1F6A0533">
      <w:pPr>
        <w:tabs>
          <w:tab w:val="left" w:pos="2835"/>
        </w:tabs>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3.8除</w:t>
      </w:r>
      <w:r>
        <w:rPr>
          <w:rFonts w:hint="eastAsia" w:ascii="宋体" w:hAnsi="宋体" w:eastAsia="宋体" w:cs="宋体"/>
          <w:color w:val="000000" w:themeColor="text1"/>
          <w:highlight w:val="none"/>
          <w14:textFill>
            <w14:solidFill>
              <w14:schemeClr w14:val="tx1"/>
            </w14:solidFill>
          </w14:textFill>
        </w:rPr>
        <w:t>本章第3.7条规定的情形外，</w:t>
      </w:r>
      <w:r>
        <w:rPr>
          <w:rFonts w:hint="eastAsia" w:ascii="宋体" w:hAnsi="宋体" w:eastAsia="宋体" w:cs="宋体"/>
          <w:color w:val="000000" w:themeColor="text1"/>
          <w:szCs w:val="21"/>
          <w:highlight w:val="none"/>
          <w14:textFill>
            <w14:solidFill>
              <w14:schemeClr w14:val="tx1"/>
            </w14:solidFill>
          </w14:textFill>
        </w:rPr>
        <w:t>对磋商过程提交的响应文件进行有效性、完整性和响应程度审查，通过审查的合格供应商不足3家的，应当重新开展采购活动。</w:t>
      </w:r>
    </w:p>
    <w:p w14:paraId="41562B2D">
      <w:pPr>
        <w:spacing w:line="360" w:lineRule="auto"/>
        <w:ind w:firstLine="482"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4. 最后报价</w:t>
      </w:r>
    </w:p>
    <w:p w14:paraId="21C33949">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4.1磋商文件能够详细列明采购标的的技术、服务要求的，磋商结束后，磋商小组应当要求所有继续参加磋商的供应商在规定时间内在广西政府采购云平台开标大厅提交加盖供应商电子签章的最后报价，除本章第4.3条规定的情形外，提交最后报价的供应商不得少于3家，否则应当重新开展采购活动。</w:t>
      </w:r>
    </w:p>
    <w:p w14:paraId="59797A7D">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245CE680">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4.3 最后报价是供应商响应文件的有效组成部分。</w:t>
      </w:r>
    </w:p>
    <w:p w14:paraId="1B039538">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符合《政府采购竞争性磋商采购方式管理暂行办法》（财库〔2014〕214号）第三条第四项“市场竞争不充分的科研项目，以及需要扶持的科技成果转化项目”和</w:t>
      </w:r>
      <w:r>
        <w:rPr>
          <w:rFonts w:hint="eastAsia" w:ascii="宋体" w:hAnsi="宋体" w:eastAsia="宋体" w:cs="宋体"/>
          <w:color w:val="000000" w:themeColor="text1"/>
          <w:highlight w:val="none"/>
          <w14:textFill>
            <w14:solidFill>
              <w14:schemeClr w14:val="tx1"/>
            </w14:solidFill>
          </w14:textFill>
        </w:rPr>
        <w:t>本章第3.7条</w:t>
      </w:r>
      <w:r>
        <w:rPr>
          <w:rFonts w:hint="eastAsia" w:ascii="宋体" w:hAnsi="宋体" w:eastAsia="宋体" w:cs="宋体"/>
          <w:color w:val="000000" w:themeColor="text1"/>
          <w:szCs w:val="21"/>
          <w:highlight w:val="none"/>
          <w14:textFill>
            <w14:solidFill>
              <w14:schemeClr w14:val="tx1"/>
            </w14:solidFill>
          </w14:textFill>
        </w:rPr>
        <w:t>规定</w:t>
      </w:r>
      <w:r>
        <w:rPr>
          <w:rFonts w:hint="eastAsia" w:ascii="宋体" w:hAnsi="宋体" w:eastAsia="宋体" w:cs="宋体"/>
          <w:color w:val="000000" w:themeColor="text1"/>
          <w:highlight w:val="none"/>
          <w14:textFill>
            <w14:solidFill>
              <w14:schemeClr w14:val="tx1"/>
            </w14:solidFill>
          </w14:textFill>
        </w:rPr>
        <w:t>情形的，</w:t>
      </w:r>
      <w:r>
        <w:rPr>
          <w:rFonts w:hint="eastAsia" w:ascii="宋体" w:hAnsi="宋体" w:eastAsia="宋体" w:cs="宋体"/>
          <w:color w:val="000000" w:themeColor="text1"/>
          <w:szCs w:val="21"/>
          <w:highlight w:val="none"/>
          <w14:textFill>
            <w14:solidFill>
              <w14:schemeClr w14:val="tx1"/>
            </w14:solidFill>
          </w14:textFill>
        </w:rPr>
        <w:t>提交最后报价的供应商可以为2家。</w:t>
      </w:r>
    </w:p>
    <w:p w14:paraId="73803B37">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4.4已经提交响应文件的供应商，在提交最后报价之前，可以根据磋商情况退出磋商，退出磋商的供应商的响应文件按无效处理。采购人、采购代理机构将退还退出磋商的供应商的保证金。</w:t>
      </w:r>
    </w:p>
    <w:p w14:paraId="196C9DD3">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4.5供应商未在规定时间内提交最后报价的，视同退出磋商，其响应文件按无效处理。</w:t>
      </w:r>
    </w:p>
    <w:p w14:paraId="76EF7068">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4.6最后报价统一开启后，磋商小组对最后报价进行有效性、完整性和响应程度的审查。</w:t>
      </w:r>
    </w:p>
    <w:p w14:paraId="5AB82DEE">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4.7最后报价出现前后不一致的，按照本章第2.4条的规定修正。 </w:t>
      </w:r>
    </w:p>
    <w:p w14:paraId="66C6EFE1">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4.8修正后的报价出现下列情形的，按无效响应处理：</w:t>
      </w:r>
    </w:p>
    <w:p w14:paraId="78ED8492">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（1）供应商不确认的（全流程电子化评标采取在线确认）；</w:t>
      </w:r>
    </w:p>
    <w:p w14:paraId="4B03BC37">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（2）经供应商确认修正后的竞标报价（包含首次报价、最后报价）超过所竞标分标规定的采购预算金额或者最高限价的（如本项目公布了最高限价）；</w:t>
      </w:r>
    </w:p>
    <w:p w14:paraId="69586876">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（3）经供应商确认修正后的竞标报价（包含首次报价、最后报价）超过分项采购预算金额或者最高限价的（如本项目公布了最高限价）。</w:t>
      </w:r>
    </w:p>
    <w:p w14:paraId="7FAC78F0">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4.9经供应商确认修正后的最后报价作为评审及签订合同的依据。</w:t>
      </w:r>
    </w:p>
    <w:p w14:paraId="16A89BFB">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4.10供应商出现最后报价按无效响应处理或者响应文件按无效处理时</w:t>
      </w:r>
      <w:r>
        <w:rPr>
          <w:rFonts w:hint="eastAsia" w:ascii="宋体" w:hAnsi="宋体" w:eastAsia="宋体" w:cs="宋体"/>
          <w:color w:val="000000" w:themeColor="text1"/>
          <w:sz w:val="22"/>
          <w:szCs w:val="22"/>
          <w:highlight w:val="none"/>
          <w14:textFill>
            <w14:solidFill>
              <w14:schemeClr w14:val="tx1"/>
            </w14:solidFill>
          </w14:textFill>
        </w:rPr>
        <w:t>，磋商小组应当告知有关供应商</w:t>
      </w:r>
      <w:r>
        <w:rPr>
          <w:rFonts w:hint="eastAsia" w:ascii="宋体" w:hAnsi="宋体" w:eastAsia="宋体" w:cs="宋体"/>
          <w:color w:val="000000" w:themeColor="text1"/>
          <w:szCs w:val="21"/>
          <w:highlight w:val="none"/>
          <w14:textFill>
            <w14:solidFill>
              <w14:schemeClr w14:val="tx1"/>
            </w14:solidFill>
          </w14:textFill>
        </w:rPr>
        <w:t>。</w:t>
      </w:r>
    </w:p>
    <w:p w14:paraId="5D74AB59">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4.11最后报价结束后，磋商小组不得再与供应商进行任何形式的商谈。</w:t>
      </w:r>
    </w:p>
    <w:p w14:paraId="5FDE53E4">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5.比较与评价</w:t>
      </w:r>
    </w:p>
    <w:p w14:paraId="6F453482">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5.1评审方法：综合评分法。</w:t>
      </w:r>
    </w:p>
    <w:p w14:paraId="4CFC4188">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5.2经磋商确定最终采购需求和提交最后报价的供应商后，由磋商小组采用综合评分法对提交最后报价的供应商的响应文件和最后报价进行综合评分。</w:t>
      </w:r>
    </w:p>
    <w:p w14:paraId="046AE43D">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5.3评审时，磋商小组各成员应当独立对每个有效响应的文件进行评价、打分，然后汇总每个供应商每项评分因素的得分。</w:t>
      </w:r>
    </w:p>
    <w:p w14:paraId="13C2A5DF">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（1）磋商小组按照磋商文件中规定的评审标准计算各供应商的报价得分。项目评审过程中，不得去掉最后报价中的最高报价和最低报价。</w:t>
      </w:r>
    </w:p>
    <w:p w14:paraId="2D6207D9">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（2）各供应商的得分为磋商小组所有成员的有效评分的算术平均数。</w:t>
      </w:r>
    </w:p>
    <w:p w14:paraId="24D3CD46">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5.4评审价为供应商的最后报价进行政策性扣除后的价格，评审价只是作为评审时使用。最终成交供应商的成交金额等于最后报价（如有修正，以确认修正后的最后报价为准）。</w:t>
      </w:r>
    </w:p>
    <w:p w14:paraId="6C76CE2B">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6. 成交供应商荐原则</w:t>
      </w:r>
    </w:p>
    <w:p w14:paraId="24D03C5D">
      <w:pPr>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w:t>
      </w:r>
      <w:r>
        <w:rPr>
          <w:rFonts w:hint="eastAsia" w:ascii="宋体" w:hAnsi="宋体" w:eastAsia="宋体" w:cs="宋体"/>
          <w:bCs/>
          <w:color w:val="000000" w:themeColor="text1"/>
          <w:szCs w:val="21"/>
          <w:highlight w:val="none"/>
          <w14:textFill>
            <w14:solidFill>
              <w14:schemeClr w14:val="tx1"/>
            </w14:solidFill>
          </w14:textFill>
        </w:rPr>
        <w:t>由磋商小组根据综合评分情况，按照评审得分由高到低顺序推荐3名以上成交候选供应商，并编写评审报告，</w:t>
      </w:r>
      <w:r>
        <w:rPr>
          <w:rFonts w:hint="eastAsia" w:ascii="宋体" w:hAnsi="宋体" w:eastAsia="宋体" w:cs="宋体"/>
          <w:color w:val="000000" w:themeColor="text1"/>
          <w:highlight w:val="none"/>
          <w14:textFill>
            <w14:solidFill>
              <w14:schemeClr w14:val="tx1"/>
            </w14:solidFill>
          </w14:textFill>
        </w:rPr>
        <w:t>评审报告通过电子交易平台向采购人、采购代理机构提交。</w:t>
      </w:r>
      <w:r>
        <w:rPr>
          <w:rFonts w:hint="eastAsia" w:ascii="宋体" w:hAnsi="宋体" w:eastAsia="宋体" w:cs="宋体"/>
          <w:bCs/>
          <w:color w:val="000000" w:themeColor="text1"/>
          <w:szCs w:val="21"/>
          <w:highlight w:val="none"/>
          <w14:textFill>
            <w14:solidFill>
              <w14:schemeClr w14:val="tx1"/>
            </w14:solidFill>
          </w14:textFill>
        </w:rPr>
        <w:t>符合本章第4.3条情形的，可以推荐2家成交候选供应商。评审得分相同的，按照</w:t>
      </w:r>
      <w:r>
        <w:rPr>
          <w:rFonts w:hint="eastAsia" w:ascii="宋体" w:hAnsi="宋体" w:cs="宋体"/>
          <w:bCs/>
          <w:color w:val="000000" w:themeColor="text1"/>
          <w:szCs w:val="21"/>
          <w:highlight w:val="none"/>
          <w:lang w:val="en-US" w:eastAsia="zh-CN"/>
          <w14:textFill>
            <w14:solidFill>
              <w14:schemeClr w14:val="tx1"/>
            </w14:solidFill>
          </w14:textFill>
        </w:rPr>
        <w:t>报价</w:t>
      </w:r>
      <w:r>
        <w:rPr>
          <w:rFonts w:hint="eastAsia" w:ascii="宋体" w:hAnsi="宋体" w:eastAsia="宋体" w:cs="宋体"/>
          <w:bCs/>
          <w:color w:val="000000" w:themeColor="text1"/>
          <w:szCs w:val="21"/>
          <w:highlight w:val="none"/>
          <w14:textFill>
            <w14:solidFill>
              <w14:schemeClr w14:val="tx1"/>
            </w14:solidFill>
          </w14:textFill>
        </w:rPr>
        <w:t>由低到高的顺序推荐。评审得分且最后报价（不计算价格折扣）相同的，按照</w:t>
      </w:r>
      <w:r>
        <w:rPr>
          <w:rFonts w:hint="eastAsia" w:ascii="宋体" w:hAnsi="宋体" w:cs="宋体"/>
          <w:bCs/>
          <w:color w:val="000000" w:themeColor="text1"/>
          <w:szCs w:val="21"/>
          <w:highlight w:val="none"/>
          <w:lang w:val="en-US" w:eastAsia="zh-CN"/>
          <w14:textFill>
            <w14:solidFill>
              <w14:schemeClr w14:val="tx1"/>
            </w14:solidFill>
          </w14:textFill>
        </w:rPr>
        <w:t>施工组织设计</w:t>
      </w:r>
      <w:r>
        <w:rPr>
          <w:rFonts w:hint="eastAsia" w:ascii="宋体" w:hAnsi="宋体" w:eastAsia="宋体" w:cs="宋体"/>
          <w:bCs/>
          <w:color w:val="000000" w:themeColor="text1"/>
          <w:szCs w:val="21"/>
          <w:highlight w:val="none"/>
          <w14:textFill>
            <w14:solidFill>
              <w14:schemeClr w14:val="tx1"/>
            </w14:solidFill>
          </w14:textFill>
        </w:rPr>
        <w:t>优劣顺序推荐（按</w:t>
      </w:r>
      <w:r>
        <w:rPr>
          <w:rFonts w:hint="eastAsia" w:ascii="宋体" w:hAnsi="宋体" w:cs="宋体"/>
          <w:bCs/>
          <w:color w:val="000000" w:themeColor="text1"/>
          <w:szCs w:val="21"/>
          <w:highlight w:val="none"/>
          <w:lang w:val="en-US" w:eastAsia="zh-CN"/>
          <w14:textFill>
            <w14:solidFill>
              <w14:schemeClr w14:val="tx1"/>
            </w14:solidFill>
          </w14:textFill>
        </w:rPr>
        <w:t>施工组织设计</w:t>
      </w:r>
      <w:r>
        <w:rPr>
          <w:rFonts w:hint="eastAsia" w:ascii="宋体" w:hAnsi="宋体" w:eastAsia="宋体" w:cs="宋体"/>
          <w:bCs/>
          <w:color w:val="000000" w:themeColor="text1"/>
          <w:szCs w:val="21"/>
          <w:highlight w:val="none"/>
          <w14:textFill>
            <w14:solidFill>
              <w14:schemeClr w14:val="tx1"/>
            </w14:solidFill>
          </w14:textFill>
        </w:rPr>
        <w:t>得分由高到低排序，</w:t>
      </w:r>
      <w:r>
        <w:rPr>
          <w:rFonts w:hint="eastAsia" w:ascii="宋体" w:hAnsi="宋体" w:cs="宋体"/>
          <w:bCs/>
          <w:color w:val="000000" w:themeColor="text1"/>
          <w:szCs w:val="21"/>
          <w:highlight w:val="none"/>
          <w:lang w:val="en-US" w:eastAsia="zh-CN"/>
          <w14:textFill>
            <w14:solidFill>
              <w14:schemeClr w14:val="tx1"/>
            </w14:solidFill>
          </w14:textFill>
        </w:rPr>
        <w:t>施工组织设计</w:t>
      </w:r>
      <w:r>
        <w:rPr>
          <w:rFonts w:hint="eastAsia" w:ascii="宋体" w:hAnsi="宋体" w:eastAsia="宋体" w:cs="宋体"/>
          <w:bCs/>
          <w:color w:val="000000" w:themeColor="text1"/>
          <w:szCs w:val="21"/>
          <w:highlight w:val="none"/>
          <w14:textFill>
            <w14:solidFill>
              <w14:schemeClr w14:val="tx1"/>
            </w14:solidFill>
          </w14:textFill>
        </w:rPr>
        <w:t>得分相同的按照</w:t>
      </w:r>
      <w:r>
        <w:rPr>
          <w:rFonts w:hint="eastAsia" w:ascii="宋体" w:hAnsi="宋体" w:eastAsia="宋体" w:cs="宋体"/>
          <w:bCs/>
          <w:color w:val="000000" w:themeColor="text1"/>
          <w:szCs w:val="21"/>
          <w:highlight w:val="none"/>
          <w:lang w:val="en-US" w:eastAsia="zh-CN"/>
          <w14:textFill>
            <w14:solidFill>
              <w14:schemeClr w14:val="tx1"/>
            </w14:solidFill>
          </w14:textFill>
        </w:rPr>
        <w:t>项目管理机构配备</w:t>
      </w:r>
      <w:r>
        <w:rPr>
          <w:rFonts w:hint="eastAsia" w:ascii="宋体" w:hAnsi="宋体" w:eastAsia="宋体" w:cs="宋体"/>
          <w:bCs/>
          <w:color w:val="000000" w:themeColor="text1"/>
          <w:szCs w:val="21"/>
          <w:highlight w:val="none"/>
          <w14:textFill>
            <w14:solidFill>
              <w14:schemeClr w14:val="tx1"/>
            </w14:solidFill>
          </w14:textFill>
        </w:rPr>
        <w:t>由高到低排序）。评审得分、最后报价（不计算价格折扣）、</w:t>
      </w:r>
      <w:r>
        <w:rPr>
          <w:rFonts w:hint="eastAsia" w:ascii="宋体" w:hAnsi="宋体" w:eastAsia="宋体" w:cs="宋体"/>
          <w:bCs/>
          <w:color w:val="000000" w:themeColor="text1"/>
          <w:szCs w:val="21"/>
          <w:highlight w:val="none"/>
          <w:lang w:val="en-US" w:eastAsia="zh-CN"/>
          <w14:textFill>
            <w14:solidFill>
              <w14:schemeClr w14:val="tx1"/>
            </w14:solidFill>
          </w14:textFill>
        </w:rPr>
        <w:t>施工组织设计</w:t>
      </w:r>
      <w:r>
        <w:rPr>
          <w:rFonts w:hint="eastAsia" w:ascii="宋体" w:hAnsi="宋体" w:eastAsia="宋体" w:cs="宋体"/>
          <w:bCs/>
          <w:color w:val="000000" w:themeColor="text1"/>
          <w:szCs w:val="21"/>
          <w:highlight w:val="none"/>
          <w14:textFill>
            <w14:solidFill>
              <w14:schemeClr w14:val="tx1"/>
            </w14:solidFill>
          </w14:textFill>
        </w:rPr>
        <w:t>得分、</w:t>
      </w:r>
      <w:r>
        <w:rPr>
          <w:rFonts w:hint="eastAsia" w:ascii="宋体" w:hAnsi="宋体" w:eastAsia="宋体" w:cs="宋体"/>
          <w:bCs/>
          <w:color w:val="000000" w:themeColor="text1"/>
          <w:szCs w:val="21"/>
          <w:highlight w:val="none"/>
          <w:lang w:val="en-US" w:eastAsia="zh-CN"/>
          <w14:textFill>
            <w14:solidFill>
              <w14:schemeClr w14:val="tx1"/>
            </w14:solidFill>
          </w14:textFill>
        </w:rPr>
        <w:t>项目管理机构配备</w:t>
      </w:r>
      <w:r>
        <w:rPr>
          <w:rFonts w:hint="eastAsia" w:ascii="宋体" w:hAnsi="宋体" w:eastAsia="宋体" w:cs="宋体"/>
          <w:bCs/>
          <w:color w:val="000000" w:themeColor="text1"/>
          <w:szCs w:val="21"/>
          <w:highlight w:val="none"/>
          <w14:textFill>
            <w14:solidFill>
              <w14:schemeClr w14:val="tx1"/>
            </w14:solidFill>
          </w14:textFill>
        </w:rPr>
        <w:t>均相同的，由磋商小组随机抽取推荐</w:t>
      </w:r>
      <w:r>
        <w:rPr>
          <w:rFonts w:hint="eastAsia" w:ascii="宋体" w:hAnsi="宋体" w:eastAsia="宋体" w:cs="宋体"/>
          <w:color w:val="000000" w:themeColor="text1"/>
          <w:kern w:val="0"/>
          <w:szCs w:val="21"/>
          <w:highlight w:val="none"/>
          <w14:textFill>
            <w14:solidFill>
              <w14:schemeClr w14:val="tx1"/>
            </w14:solidFill>
          </w14:textFill>
        </w:rPr>
        <w:t>。</w:t>
      </w:r>
    </w:p>
    <w:p w14:paraId="63A86F42">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B25A0AD">
      <w:pPr>
        <w:rPr>
          <w:rFonts w:hint="eastAsia" w:eastAsia="宋体" w:cs="Times New Roman"/>
          <w:color w:val="000000" w:themeColor="text1"/>
          <w:highlight w:val="none"/>
          <w14:textFill>
            <w14:solidFill>
              <w14:schemeClr w14:val="tx1"/>
            </w14:solidFill>
          </w14:textFill>
        </w:rPr>
      </w:pPr>
      <w:r>
        <w:rPr>
          <w:rFonts w:hint="eastAsia" w:eastAsia="宋体" w:cs="Times New Roman"/>
          <w:color w:val="000000" w:themeColor="text1"/>
          <w:highlight w:val="none"/>
          <w14:textFill>
            <w14:solidFill>
              <w14:schemeClr w14:val="tx1"/>
            </w14:solidFill>
          </w14:textFill>
        </w:rPr>
        <w:br w:type="page"/>
      </w:r>
    </w:p>
    <w:p w14:paraId="4FC12F03">
      <w:pPr>
        <w:pStyle w:val="3"/>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eastAsia="宋体" w:cs="Times New Roman"/>
          <w:color w:val="000000" w:themeColor="text1"/>
          <w:highlight w:val="none"/>
          <w14:textFill>
            <w14:solidFill>
              <w14:schemeClr w14:val="tx1"/>
            </w14:solidFill>
          </w14:textFill>
        </w:rPr>
      </w:pPr>
      <w:r>
        <w:rPr>
          <w:rFonts w:hint="eastAsia" w:eastAsia="宋体" w:cs="Times New Roman"/>
          <w:color w:val="000000" w:themeColor="text1"/>
          <w:highlight w:val="none"/>
          <w14:textFill>
            <w14:solidFill>
              <w14:schemeClr w14:val="tx1"/>
            </w14:solidFill>
          </w14:textFill>
        </w:rPr>
        <w:t>二、评审标准</w:t>
      </w:r>
    </w:p>
    <w:p w14:paraId="41355F7B">
      <w:pPr>
        <w:spacing w:line="360" w:lineRule="auto"/>
        <w:ind w:firstLine="420" w:firstLineChars="20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7.评审依据：磋商小组以磋商文件为评审依据，对供应商的报价、技术、商务等方面内容按百分制打分。（计分方法按四舍五入取至百分位）</w:t>
      </w:r>
    </w:p>
    <w:tbl>
      <w:tblPr>
        <w:tblStyle w:val="42"/>
        <w:tblW w:w="95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1628"/>
        <w:gridCol w:w="6507"/>
        <w:gridCol w:w="678"/>
      </w:tblGrid>
      <w:tr w14:paraId="7FCBF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11" w:type="dxa"/>
            <w:noWrap/>
            <w:vAlign w:val="center"/>
          </w:tcPr>
          <w:p w14:paraId="057B2D31">
            <w:pPr>
              <w:widowControl/>
              <w:spacing w:line="312" w:lineRule="auto"/>
              <w:jc w:val="center"/>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序号</w:t>
            </w:r>
          </w:p>
        </w:tc>
        <w:tc>
          <w:tcPr>
            <w:tcW w:w="1628" w:type="dxa"/>
            <w:noWrap/>
            <w:vAlign w:val="center"/>
          </w:tcPr>
          <w:p w14:paraId="3E8A49C4">
            <w:pPr>
              <w:widowControl/>
              <w:spacing w:line="312" w:lineRule="auto"/>
              <w:jc w:val="center"/>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评审因素</w:t>
            </w:r>
          </w:p>
        </w:tc>
        <w:tc>
          <w:tcPr>
            <w:tcW w:w="6507" w:type="dxa"/>
            <w:noWrap/>
            <w:vAlign w:val="center"/>
          </w:tcPr>
          <w:p w14:paraId="6FBDD6B4">
            <w:pPr>
              <w:widowControl/>
              <w:spacing w:line="312" w:lineRule="auto"/>
              <w:jc w:val="center"/>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评审因素具体内容</w:t>
            </w:r>
          </w:p>
        </w:tc>
        <w:tc>
          <w:tcPr>
            <w:tcW w:w="678" w:type="dxa"/>
            <w:noWrap/>
            <w:vAlign w:val="center"/>
          </w:tcPr>
          <w:p w14:paraId="57919979">
            <w:pPr>
              <w:widowControl/>
              <w:spacing w:line="312" w:lineRule="auto"/>
              <w:jc w:val="center"/>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分值</w:t>
            </w:r>
          </w:p>
        </w:tc>
      </w:tr>
      <w:tr w14:paraId="4EA3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11" w:type="dxa"/>
            <w:noWrap/>
            <w:vAlign w:val="center"/>
          </w:tcPr>
          <w:p w14:paraId="3517B061">
            <w:pPr>
              <w:widowControl/>
              <w:spacing w:line="312" w:lineRule="auto"/>
              <w:jc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w:t>
            </w:r>
          </w:p>
        </w:tc>
        <w:tc>
          <w:tcPr>
            <w:tcW w:w="1628" w:type="dxa"/>
            <w:noWrap/>
            <w:vAlign w:val="center"/>
          </w:tcPr>
          <w:p w14:paraId="3D09DCEA">
            <w:pPr>
              <w:widowControl/>
              <w:spacing w:line="312" w:lineRule="auto"/>
              <w:jc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价格分</w:t>
            </w:r>
          </w:p>
        </w:tc>
        <w:tc>
          <w:tcPr>
            <w:tcW w:w="6507" w:type="dxa"/>
            <w:noWrap/>
            <w:vAlign w:val="center"/>
          </w:tcPr>
          <w:p w14:paraId="5E1167B4">
            <w:pPr>
              <w:widowControl/>
              <w:spacing w:line="360" w:lineRule="auto"/>
              <w:jc w:val="both"/>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1.评审价为供应商的最后</w:t>
            </w:r>
            <w:r>
              <w:rPr>
                <w:rFonts w:hint="eastAsia" w:ascii="宋体" w:hAnsi="宋体" w:eastAsia="宋体" w:cs="宋体"/>
                <w:color w:val="000000" w:themeColor="text1"/>
                <w:sz w:val="21"/>
                <w:szCs w:val="21"/>
                <w:highlight w:val="none"/>
                <w14:textFill>
                  <w14:solidFill>
                    <w14:schemeClr w14:val="tx1"/>
                  </w14:solidFill>
                </w14:textFill>
              </w:rPr>
              <w:t>报价</w:t>
            </w:r>
            <w:r>
              <w:rPr>
                <w:rFonts w:hint="eastAsia" w:ascii="宋体" w:hAnsi="宋体" w:eastAsia="宋体" w:cs="宋体"/>
                <w:bCs/>
                <w:color w:val="000000" w:themeColor="text1"/>
                <w:kern w:val="0"/>
                <w:sz w:val="21"/>
                <w:szCs w:val="21"/>
                <w:highlight w:val="none"/>
                <w14:textFill>
                  <w14:solidFill>
                    <w14:schemeClr w14:val="tx1"/>
                  </w14:solidFill>
                </w14:textFill>
              </w:rPr>
              <w:t>进行政策性扣除后的价格，评审价只是作为评审时使用。最终成交供应商的成交</w:t>
            </w:r>
            <w:r>
              <w:rPr>
                <w:rFonts w:hint="eastAsia" w:ascii="宋体" w:hAnsi="宋体" w:eastAsia="宋体" w:cs="宋体"/>
                <w:color w:val="000000" w:themeColor="text1"/>
                <w:sz w:val="21"/>
                <w:szCs w:val="21"/>
                <w:highlight w:val="none"/>
                <w14:textFill>
                  <w14:solidFill>
                    <w14:schemeClr w14:val="tx1"/>
                  </w14:solidFill>
                </w14:textFill>
              </w:rPr>
              <w:t>报价</w:t>
            </w:r>
            <w:r>
              <w:rPr>
                <w:rFonts w:hint="eastAsia" w:ascii="宋体" w:hAnsi="宋体" w:eastAsia="宋体" w:cs="宋体"/>
                <w:bCs/>
                <w:color w:val="000000" w:themeColor="text1"/>
                <w:kern w:val="0"/>
                <w:sz w:val="21"/>
                <w:szCs w:val="21"/>
                <w:highlight w:val="none"/>
                <w14:textFill>
                  <w14:solidFill>
                    <w14:schemeClr w14:val="tx1"/>
                  </w14:solidFill>
                </w14:textFill>
              </w:rPr>
              <w:t>等于最后</w:t>
            </w:r>
            <w:r>
              <w:rPr>
                <w:rFonts w:hint="eastAsia" w:ascii="宋体" w:hAnsi="宋体" w:eastAsia="宋体" w:cs="宋体"/>
                <w:color w:val="000000" w:themeColor="text1"/>
                <w:sz w:val="21"/>
                <w:szCs w:val="21"/>
                <w:highlight w:val="none"/>
                <w14:textFill>
                  <w14:solidFill>
                    <w14:schemeClr w14:val="tx1"/>
                  </w14:solidFill>
                </w14:textFill>
              </w:rPr>
              <w:t>报价</w:t>
            </w:r>
            <w:r>
              <w:rPr>
                <w:rFonts w:hint="eastAsia" w:ascii="宋体" w:hAnsi="宋体" w:eastAsia="宋体" w:cs="宋体"/>
                <w:bCs/>
                <w:color w:val="000000" w:themeColor="text1"/>
                <w:kern w:val="0"/>
                <w:sz w:val="21"/>
                <w:szCs w:val="21"/>
                <w:highlight w:val="none"/>
                <w14:textFill>
                  <w14:solidFill>
                    <w14:schemeClr w14:val="tx1"/>
                  </w14:solidFill>
                </w14:textFill>
              </w:rPr>
              <w:t>（如有修正，以确认修正后的最后</w:t>
            </w:r>
            <w:r>
              <w:rPr>
                <w:rFonts w:hint="eastAsia" w:ascii="宋体" w:hAnsi="宋体" w:eastAsia="宋体" w:cs="宋体"/>
                <w:color w:val="000000" w:themeColor="text1"/>
                <w:sz w:val="21"/>
                <w:szCs w:val="21"/>
                <w:highlight w:val="none"/>
                <w14:textFill>
                  <w14:solidFill>
                    <w14:schemeClr w14:val="tx1"/>
                  </w14:solidFill>
                </w14:textFill>
              </w:rPr>
              <w:t>报价</w:t>
            </w:r>
            <w:r>
              <w:rPr>
                <w:rFonts w:hint="eastAsia" w:ascii="宋体" w:hAnsi="宋体" w:eastAsia="宋体" w:cs="宋体"/>
                <w:bCs/>
                <w:color w:val="000000" w:themeColor="text1"/>
                <w:kern w:val="0"/>
                <w:sz w:val="21"/>
                <w:szCs w:val="21"/>
                <w:highlight w:val="none"/>
                <w14:textFill>
                  <w14:solidFill>
                    <w14:schemeClr w14:val="tx1"/>
                  </w14:solidFill>
                </w14:textFill>
              </w:rPr>
              <w:t>为准）。</w:t>
            </w:r>
          </w:p>
          <w:p w14:paraId="07F7BFBA">
            <w:pPr>
              <w:widowControl/>
              <w:spacing w:line="360" w:lineRule="auto"/>
              <w:jc w:val="both"/>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2.政府采购政策性扣除计算方法</w:t>
            </w:r>
          </w:p>
          <w:p w14:paraId="6B33EDA3">
            <w:pPr>
              <w:widowControl/>
              <w:spacing w:line="360" w:lineRule="auto"/>
              <w:jc w:val="both"/>
              <w:rPr>
                <w:rFonts w:hint="eastAsia" w:ascii="宋体" w:hAnsi="宋体" w:eastAsia="宋体" w:cs="宋体"/>
                <w:b/>
                <w:bCs w:val="0"/>
                <w:color w:val="000000" w:themeColor="text1"/>
                <w:kern w:val="0"/>
                <w:sz w:val="21"/>
                <w:szCs w:val="21"/>
                <w:highlight w:val="none"/>
                <w14:textFill>
                  <w14:solidFill>
                    <w14:schemeClr w14:val="tx1"/>
                  </w14:solidFill>
                </w14:textFill>
              </w:rPr>
            </w:pPr>
            <w:bookmarkStart w:id="71" w:name="_Hlk65858438"/>
            <w:r>
              <w:rPr>
                <w:rFonts w:hint="eastAsia" w:ascii="宋体" w:hAnsi="宋体" w:eastAsia="宋体" w:cs="宋体"/>
                <w:b/>
                <w:bCs w:val="0"/>
                <w:color w:val="000000" w:themeColor="text1"/>
                <w:kern w:val="0"/>
                <w:sz w:val="21"/>
                <w:szCs w:val="21"/>
                <w:highlight w:val="none"/>
                <w14:textFill>
                  <w14:solidFill>
                    <w14:schemeClr w14:val="tx1"/>
                  </w14:solidFill>
                </w14:textFill>
              </w:rPr>
              <w:t>本项目为专门面对</w:t>
            </w:r>
            <w:r>
              <w:rPr>
                <w:rFonts w:hint="eastAsia" w:ascii="宋体" w:hAnsi="宋体" w:cs="宋体"/>
                <w:b/>
                <w:bCs w:val="0"/>
                <w:color w:val="000000" w:themeColor="text1"/>
                <w:kern w:val="0"/>
                <w:sz w:val="21"/>
                <w:szCs w:val="21"/>
                <w:highlight w:val="none"/>
                <w:lang w:val="en-US" w:eastAsia="zh-CN"/>
                <w14:textFill>
                  <w14:solidFill>
                    <w14:schemeClr w14:val="tx1"/>
                  </w14:solidFill>
                </w14:textFill>
              </w:rPr>
              <w:t>小微</w:t>
            </w:r>
            <w:r>
              <w:rPr>
                <w:rFonts w:hint="eastAsia" w:ascii="宋体" w:hAnsi="宋体" w:eastAsia="宋体" w:cs="宋体"/>
                <w:b/>
                <w:bCs w:val="0"/>
                <w:color w:val="000000" w:themeColor="text1"/>
                <w:kern w:val="0"/>
                <w:sz w:val="21"/>
                <w:szCs w:val="21"/>
                <w:highlight w:val="none"/>
                <w14:textFill>
                  <w14:solidFill>
                    <w14:schemeClr w14:val="tx1"/>
                  </w14:solidFill>
                </w14:textFill>
              </w:rPr>
              <w:t>企业项目，小微企业或监狱企业或残疾人福利性单位不再执行价格评审优惠的扶持政策</w:t>
            </w:r>
            <w:bookmarkEnd w:id="71"/>
            <w:r>
              <w:rPr>
                <w:rFonts w:hint="eastAsia" w:ascii="宋体" w:hAnsi="宋体" w:eastAsia="宋体" w:cs="宋体"/>
                <w:b/>
                <w:bCs w:val="0"/>
                <w:color w:val="000000" w:themeColor="text1"/>
                <w:kern w:val="0"/>
                <w:sz w:val="21"/>
                <w:szCs w:val="21"/>
                <w:highlight w:val="none"/>
                <w14:textFill>
                  <w14:solidFill>
                    <w14:schemeClr w14:val="tx1"/>
                  </w14:solidFill>
                </w14:textFill>
              </w:rPr>
              <w:t>。</w:t>
            </w:r>
          </w:p>
          <w:p w14:paraId="5E896F0A">
            <w:pPr>
              <w:widowControl/>
              <w:spacing w:line="360" w:lineRule="auto"/>
              <w:jc w:val="both"/>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3.以进入比较与评价环节的最低的</w:t>
            </w:r>
            <w:r>
              <w:rPr>
                <w:rFonts w:hint="eastAsia" w:ascii="宋体" w:hAnsi="宋体" w:eastAsia="宋体" w:cs="宋体"/>
                <w:bCs/>
                <w:color w:val="000000" w:themeColor="text1"/>
                <w:sz w:val="21"/>
                <w:szCs w:val="21"/>
                <w:highlight w:val="none"/>
                <w14:textFill>
                  <w14:solidFill>
                    <w14:schemeClr w14:val="tx1"/>
                  </w14:solidFill>
                </w14:textFill>
              </w:rPr>
              <w:t>“最后报价”为评标基准价</w:t>
            </w:r>
            <w:r>
              <w:rPr>
                <w:rFonts w:hint="eastAsia" w:ascii="宋体" w:hAnsi="宋体" w:eastAsia="宋体" w:cs="宋体"/>
                <w:bCs/>
                <w:color w:val="000000" w:themeColor="text1"/>
                <w:kern w:val="0"/>
                <w:sz w:val="21"/>
                <w:szCs w:val="21"/>
                <w:highlight w:val="none"/>
                <w14:textFill>
                  <w14:solidFill>
                    <w14:schemeClr w14:val="tx1"/>
                  </w14:solidFill>
                </w14:textFill>
              </w:rPr>
              <w:t>，基准价得分为30分。</w:t>
            </w:r>
          </w:p>
          <w:p w14:paraId="4B119B7F">
            <w:pPr>
              <w:widowControl/>
              <w:spacing w:line="360" w:lineRule="auto"/>
              <w:jc w:val="both"/>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4.价格分计算公式：</w:t>
            </w:r>
          </w:p>
          <w:p w14:paraId="22883903">
            <w:pPr>
              <w:pStyle w:val="24"/>
              <w:spacing w:line="360" w:lineRule="auto"/>
              <w:jc w:val="both"/>
              <w:rPr>
                <w:rFonts w:hint="eastAsia" w:ascii="宋体" w:hAnsi="宋体" w:eastAsia="宋体" w:cs="宋体"/>
                <w:bCs/>
                <w:color w:val="000000" w:themeColor="text1"/>
                <w:kern w:val="2"/>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某磋商供应商价格得分 =（评标基准价/某供应商最后报价）×30分</w:t>
            </w:r>
          </w:p>
        </w:tc>
        <w:tc>
          <w:tcPr>
            <w:tcW w:w="678" w:type="dxa"/>
            <w:noWrap/>
            <w:vAlign w:val="center"/>
          </w:tcPr>
          <w:p w14:paraId="4FAE8C89">
            <w:pPr>
              <w:widowControl/>
              <w:spacing w:line="312" w:lineRule="auto"/>
              <w:jc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30分</w:t>
            </w:r>
          </w:p>
        </w:tc>
      </w:tr>
      <w:tr w14:paraId="13E10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11" w:type="dxa"/>
            <w:noWrap/>
            <w:vAlign w:val="center"/>
          </w:tcPr>
          <w:p w14:paraId="70D2A61D">
            <w:pPr>
              <w:widowControl/>
              <w:spacing w:line="312" w:lineRule="auto"/>
              <w:jc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2</w:t>
            </w:r>
          </w:p>
        </w:tc>
        <w:tc>
          <w:tcPr>
            <w:tcW w:w="1628" w:type="dxa"/>
            <w:noWrap/>
            <w:vAlign w:val="center"/>
          </w:tcPr>
          <w:p w14:paraId="54199FDC">
            <w:pPr>
              <w:widowControl/>
              <w:spacing w:line="312" w:lineRule="auto"/>
              <w:jc w:val="center"/>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施工组织设计</w:t>
            </w:r>
          </w:p>
          <w:p w14:paraId="0AD9C998">
            <w:pPr>
              <w:widowControl/>
              <w:spacing w:line="312" w:lineRule="auto"/>
              <w:jc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（满分</w:t>
            </w: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60</w:t>
            </w:r>
            <w:r>
              <w:rPr>
                <w:rFonts w:hint="eastAsia" w:ascii="宋体" w:hAnsi="宋体" w:eastAsia="宋体" w:cs="宋体"/>
                <w:bCs/>
                <w:color w:val="000000" w:themeColor="text1"/>
                <w:kern w:val="0"/>
                <w:sz w:val="21"/>
                <w:szCs w:val="21"/>
                <w:highlight w:val="none"/>
                <w14:textFill>
                  <w14:solidFill>
                    <w14:schemeClr w14:val="tx1"/>
                  </w14:solidFill>
                </w14:textFill>
              </w:rPr>
              <w:t>分）</w:t>
            </w:r>
          </w:p>
        </w:tc>
        <w:tc>
          <w:tcPr>
            <w:tcW w:w="7185" w:type="dxa"/>
            <w:gridSpan w:val="2"/>
            <w:noWrap/>
            <w:vAlign w:val="center"/>
          </w:tcPr>
          <w:p w14:paraId="59CACE8D">
            <w:pPr>
              <w:widowControl/>
              <w:spacing w:line="312"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评审因素：由磋商小组成员根据供应商提供</w:t>
            </w:r>
            <w:r>
              <w:rPr>
                <w:rFonts w:hint="eastAsia" w:ascii="宋体" w:hAnsi="宋体" w:eastAsia="宋体" w:cs="宋体"/>
                <w:color w:val="000000" w:themeColor="text1"/>
                <w:sz w:val="21"/>
                <w:szCs w:val="21"/>
                <w:highlight w:val="none"/>
                <w:lang w:val="en-US" w:eastAsia="zh-CN"/>
                <w14:textFill>
                  <w14:solidFill>
                    <w14:schemeClr w14:val="tx1"/>
                  </w14:solidFill>
                </w14:textFill>
              </w:rPr>
              <w:t>方案</w:t>
            </w:r>
            <w:r>
              <w:rPr>
                <w:rFonts w:hint="eastAsia" w:ascii="宋体" w:hAnsi="宋体" w:eastAsia="宋体" w:cs="宋体"/>
                <w:color w:val="000000" w:themeColor="text1"/>
                <w:sz w:val="21"/>
                <w:szCs w:val="21"/>
                <w:highlight w:val="none"/>
                <w14:textFill>
                  <w14:solidFill>
                    <w14:schemeClr w14:val="tx1"/>
                  </w14:solidFill>
                </w14:textFill>
              </w:rPr>
              <w:t>内容独立评审、打分。</w:t>
            </w:r>
          </w:p>
        </w:tc>
      </w:tr>
      <w:tr w14:paraId="1971D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atLeast"/>
          <w:jc w:val="center"/>
        </w:trPr>
        <w:tc>
          <w:tcPr>
            <w:tcW w:w="711" w:type="dxa"/>
            <w:noWrap/>
            <w:vAlign w:val="center"/>
          </w:tcPr>
          <w:p w14:paraId="377D76EE">
            <w:pPr>
              <w:adjustRightInd w:val="0"/>
              <w:spacing w:line="312" w:lineRule="auto"/>
              <w:jc w:val="center"/>
              <w:textAlignment w:val="baseline"/>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2.1</w:t>
            </w:r>
          </w:p>
        </w:tc>
        <w:tc>
          <w:tcPr>
            <w:tcW w:w="1628" w:type="dxa"/>
            <w:noWrap/>
            <w:vAlign w:val="center"/>
          </w:tcPr>
          <w:p w14:paraId="35504B85">
            <w:pPr>
              <w:pStyle w:val="236"/>
              <w:spacing w:line="312"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主要施工方法</w:t>
            </w:r>
          </w:p>
        </w:tc>
        <w:tc>
          <w:tcPr>
            <w:tcW w:w="6507" w:type="dxa"/>
            <w:noWrap/>
            <w:vAlign w:val="center"/>
          </w:tcPr>
          <w:p w14:paraId="666DE92D">
            <w:pPr>
              <w:pStyle w:val="236"/>
              <w:spacing w:line="312"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一档（4分）：对项目的总体认识不足，施工方案不完整，技术措施不具体，施工段划分不合理. </w:t>
            </w:r>
          </w:p>
          <w:p w14:paraId="2E0980C9">
            <w:pPr>
              <w:pStyle w:val="236"/>
              <w:spacing w:line="312"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二档（7分）：对项目总体有认识，表述基本清晰。施工方案基本完整、合理，技术措施不够具体，施工段划分较合理、采用了一般的技术、工艺、材料、设备。 </w:t>
            </w:r>
          </w:p>
          <w:p w14:paraId="43BCD397">
            <w:pPr>
              <w:pStyle w:val="236"/>
              <w:spacing w:line="312"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档（10分）：对项目总体有深刻认识，表述清晰。施工方案完整、严谨、合理，技术措施先进、具体、有效、成熟，施工段划分呼应总体表述，划分清晰、合理，符合规范要求。采用了己论证的新技术、新工艺、新材料、新设备。</w:t>
            </w:r>
          </w:p>
        </w:tc>
        <w:tc>
          <w:tcPr>
            <w:tcW w:w="678" w:type="dxa"/>
            <w:noWrap/>
            <w:vAlign w:val="center"/>
          </w:tcPr>
          <w:p w14:paraId="02D4A97E">
            <w:pPr>
              <w:spacing w:line="312" w:lineRule="auto"/>
              <w:jc w:val="cente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10分</w:t>
            </w:r>
          </w:p>
        </w:tc>
      </w:tr>
      <w:tr w14:paraId="2CF50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9" w:hRule="atLeast"/>
          <w:jc w:val="center"/>
        </w:trPr>
        <w:tc>
          <w:tcPr>
            <w:tcW w:w="711" w:type="dxa"/>
            <w:noWrap/>
            <w:vAlign w:val="center"/>
          </w:tcPr>
          <w:p w14:paraId="22EE8268">
            <w:pPr>
              <w:adjustRightInd w:val="0"/>
              <w:spacing w:line="312" w:lineRule="auto"/>
              <w:jc w:val="center"/>
              <w:textAlignment w:val="baseline"/>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2.2</w:t>
            </w:r>
          </w:p>
        </w:tc>
        <w:tc>
          <w:tcPr>
            <w:tcW w:w="1628" w:type="dxa"/>
            <w:noWrap/>
            <w:vAlign w:val="center"/>
          </w:tcPr>
          <w:p w14:paraId="71B577DE">
            <w:pPr>
              <w:pStyle w:val="236"/>
              <w:spacing w:line="312"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拟投入的主要物资计划</w:t>
            </w:r>
          </w:p>
        </w:tc>
        <w:tc>
          <w:tcPr>
            <w:tcW w:w="6507" w:type="dxa"/>
            <w:noWrap/>
            <w:vAlign w:val="center"/>
          </w:tcPr>
          <w:p w14:paraId="1AE5E45A">
            <w:pPr>
              <w:pStyle w:val="236"/>
              <w:spacing w:line="312"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一档（2分）：资源配备不合理，不满足施工需要。 </w:t>
            </w:r>
          </w:p>
          <w:p w14:paraId="2CC4B5DD">
            <w:pPr>
              <w:pStyle w:val="236"/>
              <w:spacing w:line="312"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二档（4分）：资源配备基本合理，基本满足施工需要，调配投入计划基本可行。 </w:t>
            </w:r>
          </w:p>
          <w:p w14:paraId="7312FDFC">
            <w:pPr>
              <w:pStyle w:val="236"/>
              <w:spacing w:line="312"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三档（6分）：资源配备计划与工程进度计划呼应，较好满足施工需要，调配投入计划合理、准确。</w:t>
            </w:r>
          </w:p>
        </w:tc>
        <w:tc>
          <w:tcPr>
            <w:tcW w:w="678" w:type="dxa"/>
            <w:noWrap/>
            <w:vAlign w:val="center"/>
          </w:tcPr>
          <w:p w14:paraId="27B858E5">
            <w:pPr>
              <w:spacing w:line="312" w:lineRule="auto"/>
              <w:jc w:val="cente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6分</w:t>
            </w:r>
          </w:p>
        </w:tc>
      </w:tr>
      <w:tr w14:paraId="07764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711" w:type="dxa"/>
            <w:noWrap/>
            <w:vAlign w:val="center"/>
          </w:tcPr>
          <w:p w14:paraId="50423690">
            <w:pPr>
              <w:adjustRightInd w:val="0"/>
              <w:spacing w:line="312" w:lineRule="auto"/>
              <w:jc w:val="center"/>
              <w:textAlignment w:val="baseline"/>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2.3</w:t>
            </w:r>
          </w:p>
        </w:tc>
        <w:tc>
          <w:tcPr>
            <w:tcW w:w="1628" w:type="dxa"/>
            <w:noWrap/>
            <w:vAlign w:val="center"/>
          </w:tcPr>
          <w:p w14:paraId="45D7BB21">
            <w:pPr>
              <w:pStyle w:val="236"/>
              <w:spacing w:line="312"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劳动力安排计划</w:t>
            </w:r>
          </w:p>
        </w:tc>
        <w:tc>
          <w:tcPr>
            <w:tcW w:w="6507" w:type="dxa"/>
            <w:noWrap/>
            <w:vAlign w:val="center"/>
          </w:tcPr>
          <w:p w14:paraId="0764735B">
            <w:pPr>
              <w:pStyle w:val="236"/>
              <w:spacing w:line="312"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一档（2分）：劳动力投入不合理，未满足施工需要，或未提供劳动力安排计划的。 </w:t>
            </w:r>
          </w:p>
          <w:p w14:paraId="3401DFC5">
            <w:pPr>
              <w:pStyle w:val="236"/>
              <w:spacing w:line="312"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二档（4分）：各主要施工工序应有较合理的劳动力安排计划，有各工种劳动力安排计划，满足施工需要。 </w:t>
            </w:r>
          </w:p>
          <w:p w14:paraId="32B1EB30">
            <w:pPr>
              <w:pStyle w:val="236"/>
              <w:spacing w:line="312"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三档（6分）：各主要施工工序应有详细周密的劳动力安排计划，有各工种劳动力安排计划，劳动力投入合理，人员配备齐全的。</w:t>
            </w:r>
          </w:p>
        </w:tc>
        <w:tc>
          <w:tcPr>
            <w:tcW w:w="678" w:type="dxa"/>
            <w:noWrap/>
            <w:vAlign w:val="center"/>
          </w:tcPr>
          <w:p w14:paraId="13279AAC">
            <w:pPr>
              <w:spacing w:line="312" w:lineRule="auto"/>
              <w:jc w:val="cente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6分</w:t>
            </w:r>
          </w:p>
        </w:tc>
      </w:tr>
      <w:tr w14:paraId="10241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711" w:type="dxa"/>
            <w:noWrap/>
            <w:vAlign w:val="center"/>
          </w:tcPr>
          <w:p w14:paraId="0F1DC7BC">
            <w:pPr>
              <w:adjustRightInd w:val="0"/>
              <w:spacing w:line="312" w:lineRule="auto"/>
              <w:jc w:val="center"/>
              <w:textAlignment w:val="baseline"/>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2.4</w:t>
            </w:r>
          </w:p>
        </w:tc>
        <w:tc>
          <w:tcPr>
            <w:tcW w:w="1628" w:type="dxa"/>
            <w:noWrap/>
            <w:vAlign w:val="center"/>
          </w:tcPr>
          <w:p w14:paraId="266EF5A7">
            <w:pPr>
              <w:pStyle w:val="236"/>
              <w:spacing w:line="312"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确保工程质量的技术组织措施</w:t>
            </w:r>
          </w:p>
        </w:tc>
        <w:tc>
          <w:tcPr>
            <w:tcW w:w="6507" w:type="dxa"/>
            <w:noWrap/>
            <w:vAlign w:val="center"/>
          </w:tcPr>
          <w:p w14:paraId="0B1D2910">
            <w:pPr>
              <w:pStyle w:val="236"/>
              <w:spacing w:line="312" w:lineRule="auto"/>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一档（1分）：质量管理体系表述不清晰，对项目重点、难点没有可行的质量保证措施，质量管理措施不可行。 </w:t>
            </w:r>
          </w:p>
          <w:p w14:paraId="70672C5C">
            <w:pPr>
              <w:pStyle w:val="236"/>
              <w:spacing w:line="312" w:lineRule="auto"/>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二档（4分）：质量管理体系基本完善并基本符合项目特点、可行，对项目的质量管理（特别是关键部位技术、工艺）有一定的表述级有一般可行、粗咯的质量保证措施，针对项目重点、难点有较合理的质量保证措施，质量管理措施基本可行。 </w:t>
            </w:r>
          </w:p>
          <w:p w14:paraId="513056AC">
            <w:pPr>
              <w:pStyle w:val="236"/>
              <w:spacing w:line="312" w:lineRule="auto"/>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档（7分）：质量管理体系完善并具备符合性、有效性及可行性。对项目的质量管理（特别是关键部位技术、工艺）有深入的表述及有效的先进的、可行的、具体的质量保证措施，针对项目重点、难点有可行的质量保证措施，质量管理措施完整、安全、切实、可行、得力。</w:t>
            </w:r>
          </w:p>
        </w:tc>
        <w:tc>
          <w:tcPr>
            <w:tcW w:w="678" w:type="dxa"/>
            <w:noWrap/>
            <w:vAlign w:val="center"/>
          </w:tcPr>
          <w:p w14:paraId="41D2C0F1">
            <w:pPr>
              <w:spacing w:line="312" w:lineRule="auto"/>
              <w:jc w:val="cente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7分</w:t>
            </w:r>
          </w:p>
        </w:tc>
      </w:tr>
      <w:tr w14:paraId="71A61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711" w:type="dxa"/>
            <w:noWrap/>
            <w:vAlign w:val="center"/>
          </w:tcPr>
          <w:p w14:paraId="73D832AC">
            <w:pPr>
              <w:adjustRightInd w:val="0"/>
              <w:spacing w:line="312" w:lineRule="auto"/>
              <w:jc w:val="center"/>
              <w:textAlignment w:val="baseline"/>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2.5</w:t>
            </w:r>
          </w:p>
        </w:tc>
        <w:tc>
          <w:tcPr>
            <w:tcW w:w="1628" w:type="dxa"/>
            <w:noWrap/>
            <w:vAlign w:val="center"/>
          </w:tcPr>
          <w:p w14:paraId="34047207">
            <w:pPr>
              <w:pStyle w:val="236"/>
              <w:spacing w:line="312"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确保安全生产的技术组织措施</w:t>
            </w:r>
          </w:p>
        </w:tc>
        <w:tc>
          <w:tcPr>
            <w:tcW w:w="6507" w:type="dxa"/>
            <w:noWrap/>
            <w:vAlign w:val="center"/>
          </w:tcPr>
          <w:p w14:paraId="5A021B4F">
            <w:pPr>
              <w:pStyle w:val="236"/>
              <w:spacing w:line="312" w:lineRule="auto"/>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一档（2分）：安全技术组织措施不完善，对项目的安全管理（特别是关键部位技术、工艺）保证措施不可行，采用规范不正确。 </w:t>
            </w:r>
          </w:p>
          <w:p w14:paraId="06620505">
            <w:pPr>
              <w:pStyle w:val="236"/>
              <w:spacing w:line="312" w:lineRule="auto"/>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二档（6分）：安全技术组织措施基本完善、可行。对项目的安全管理（特别是关键部位技术、工艺）保证措施基本可行。采用规范基本正确。 </w:t>
            </w:r>
          </w:p>
          <w:p w14:paraId="22C869A1">
            <w:pPr>
              <w:pStyle w:val="236"/>
              <w:spacing w:line="312" w:lineRule="auto"/>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三档（8分）：安全技术组织措施完善并具备符合性、有效性及可行性。对项目的安全管理（特别是关键部位技术、工艺）有深入的表述及有具体、完整、可行的安全保证实施措施，采用规范正确、清晰。</w:t>
            </w:r>
          </w:p>
        </w:tc>
        <w:tc>
          <w:tcPr>
            <w:tcW w:w="678" w:type="dxa"/>
            <w:noWrap/>
            <w:vAlign w:val="center"/>
          </w:tcPr>
          <w:p w14:paraId="782AC08A">
            <w:pPr>
              <w:spacing w:line="312" w:lineRule="auto"/>
              <w:jc w:val="cente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8分</w:t>
            </w:r>
          </w:p>
        </w:tc>
      </w:tr>
      <w:tr w14:paraId="62686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711" w:type="dxa"/>
            <w:noWrap/>
            <w:vAlign w:val="center"/>
          </w:tcPr>
          <w:p w14:paraId="30EF1D8A">
            <w:pPr>
              <w:adjustRightInd w:val="0"/>
              <w:spacing w:line="312" w:lineRule="auto"/>
              <w:jc w:val="center"/>
              <w:textAlignment w:val="baseline"/>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2.6</w:t>
            </w:r>
          </w:p>
        </w:tc>
        <w:tc>
          <w:tcPr>
            <w:tcW w:w="1628" w:type="dxa"/>
            <w:noWrap/>
            <w:vAlign w:val="center"/>
          </w:tcPr>
          <w:p w14:paraId="3A3F71ED">
            <w:pPr>
              <w:pStyle w:val="236"/>
              <w:spacing w:line="312"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确保工期的技术组织措施</w:t>
            </w:r>
          </w:p>
        </w:tc>
        <w:tc>
          <w:tcPr>
            <w:tcW w:w="6507" w:type="dxa"/>
            <w:noWrap/>
            <w:vAlign w:val="center"/>
          </w:tcPr>
          <w:p w14:paraId="1491604C">
            <w:pPr>
              <w:pStyle w:val="236"/>
              <w:spacing w:line="312" w:lineRule="auto"/>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一档（2分）：对工程进度安排表述不清晰，关键线路不清晰，计划编制不合理、不可行，无关键节点的控制措施、无进度违约责任。 </w:t>
            </w:r>
          </w:p>
          <w:p w14:paraId="2CB186A7">
            <w:pPr>
              <w:pStyle w:val="236"/>
              <w:spacing w:line="312" w:lineRule="auto"/>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二档（5分）：对工程进度总体安排表述基本清晰。关键线路基本清晰、计划编制合理、基本可行，关键节点的控制措施基本可行，进度违约责任承诺较组略。 </w:t>
            </w:r>
          </w:p>
          <w:p w14:paraId="3CA6D7C3">
            <w:pPr>
              <w:pStyle w:val="236"/>
              <w:spacing w:line="312" w:lineRule="auto"/>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三档（8分）：对工程进度总体安排表述清晰。关键线路清晰。准确、完整，计划编制合理、可行，关键节点的控制措施有力、合理、可行，进度违约责任承诺具体。</w:t>
            </w:r>
          </w:p>
        </w:tc>
        <w:tc>
          <w:tcPr>
            <w:tcW w:w="678" w:type="dxa"/>
            <w:noWrap/>
            <w:vAlign w:val="center"/>
          </w:tcPr>
          <w:p w14:paraId="5A0CB2BF">
            <w:pPr>
              <w:spacing w:line="312" w:lineRule="auto"/>
              <w:jc w:val="cente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8分</w:t>
            </w:r>
          </w:p>
        </w:tc>
      </w:tr>
      <w:tr w14:paraId="3CFCB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711" w:type="dxa"/>
            <w:noWrap/>
            <w:vAlign w:val="center"/>
          </w:tcPr>
          <w:p w14:paraId="14FF9C67">
            <w:pPr>
              <w:adjustRightInd w:val="0"/>
              <w:spacing w:line="312" w:lineRule="auto"/>
              <w:jc w:val="center"/>
              <w:textAlignment w:val="baseline"/>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2.7</w:t>
            </w:r>
          </w:p>
        </w:tc>
        <w:tc>
          <w:tcPr>
            <w:tcW w:w="1628" w:type="dxa"/>
            <w:noWrap/>
            <w:vAlign w:val="center"/>
          </w:tcPr>
          <w:p w14:paraId="1FDE8940">
            <w:pPr>
              <w:pStyle w:val="236"/>
              <w:spacing w:line="312"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确保文明施工的技术组织措施</w:t>
            </w:r>
          </w:p>
        </w:tc>
        <w:tc>
          <w:tcPr>
            <w:tcW w:w="6507" w:type="dxa"/>
            <w:noWrap/>
            <w:vAlign w:val="center"/>
          </w:tcPr>
          <w:p w14:paraId="3A8E4F40">
            <w:pPr>
              <w:pStyle w:val="236"/>
              <w:spacing w:line="312" w:lineRule="auto"/>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对本工程项目特点，应有现场文明施工、环境保护措施，且措施内容应达到《建筑施工安全生产检查标准》（JGJ59-2011）合格标准并符合《广西壮族自治区建筑工程文明施工导则》要求。各项措施周全、具体、有效。有具体实现现场文明施工目标的承诺。</w:t>
            </w:r>
          </w:p>
          <w:p w14:paraId="7B4338E4">
            <w:pPr>
              <w:pStyle w:val="236"/>
              <w:spacing w:line="312" w:lineRule="auto"/>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一档（2分）：现场文明施工、环境保护措施和内容与《建筑施工安全生产检查标准》、《广西壮族自治区建筑工程文明施工导则》的要求偏差大，无现场文明施工目标的承诺。</w:t>
            </w:r>
          </w:p>
          <w:p w14:paraId="1AFCDCFD">
            <w:pPr>
              <w:pStyle w:val="236"/>
              <w:spacing w:line="312" w:lineRule="auto"/>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档（4分）：现场文明施工、环境保护措施和内容基本达到《建筑施工安全生产检查标准》、《广西壮族自治区建筑工程文明施工导则》要求；有具体实现现场文明施工目标的承诺，而且各项措施基本全面、有效的。</w:t>
            </w:r>
          </w:p>
          <w:p w14:paraId="7D0EDCB3">
            <w:pPr>
              <w:pStyle w:val="236"/>
              <w:spacing w:line="312" w:lineRule="auto"/>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三档（6分）：现场文明施工、环境保护措施和内容达到《建筑施工安全生产检查标准》、《广西壮族自治区建筑工程文明施工导则》要求；有具体实现现场文明施工目标的承诺，而且各项措施周全、有效的。</w:t>
            </w:r>
          </w:p>
          <w:p w14:paraId="56A5233A">
            <w:pPr>
              <w:pStyle w:val="236"/>
              <w:spacing w:line="312" w:lineRule="auto"/>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四档（8分）：现场文明施工、环境保护措施和内容达到且高于《建筑施工安全生产检查标准》、《广西壮族自治区建筑工程文明施工导则》要求；有具体实现现场文明施工目标的承诺，而且各项措施科学、得力的。</w:t>
            </w:r>
          </w:p>
        </w:tc>
        <w:tc>
          <w:tcPr>
            <w:tcW w:w="678" w:type="dxa"/>
            <w:noWrap/>
            <w:vAlign w:val="center"/>
          </w:tcPr>
          <w:p w14:paraId="770CEE5F">
            <w:pPr>
              <w:spacing w:line="312" w:lineRule="auto"/>
              <w:jc w:val="cente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8分</w:t>
            </w:r>
          </w:p>
        </w:tc>
      </w:tr>
      <w:tr w14:paraId="7D227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711" w:type="dxa"/>
            <w:noWrap/>
            <w:vAlign w:val="center"/>
          </w:tcPr>
          <w:p w14:paraId="2DE73AB8">
            <w:pPr>
              <w:adjustRightInd w:val="0"/>
              <w:spacing w:line="312" w:lineRule="auto"/>
              <w:jc w:val="center"/>
              <w:textAlignment w:val="baseline"/>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2.8</w:t>
            </w:r>
          </w:p>
        </w:tc>
        <w:tc>
          <w:tcPr>
            <w:tcW w:w="1628" w:type="dxa"/>
            <w:noWrap/>
            <w:vAlign w:val="center"/>
          </w:tcPr>
          <w:p w14:paraId="42A6DD93">
            <w:pPr>
              <w:pStyle w:val="236"/>
              <w:spacing w:line="312"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工程施工的重点和难点及保证措施</w:t>
            </w:r>
          </w:p>
        </w:tc>
        <w:tc>
          <w:tcPr>
            <w:tcW w:w="6507" w:type="dxa"/>
            <w:noWrap/>
            <w:vAlign w:val="center"/>
          </w:tcPr>
          <w:p w14:paraId="3D459090">
            <w:pPr>
              <w:pStyle w:val="236"/>
              <w:spacing w:line="312" w:lineRule="auto"/>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一档（1分）：对项目关键技术有表述，对重点、难点有建议，解决方案不可行。</w:t>
            </w:r>
          </w:p>
          <w:p w14:paraId="1565AC9A">
            <w:pPr>
              <w:pStyle w:val="236"/>
              <w:spacing w:line="312" w:lineRule="auto"/>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二档（4分）：对项目关键技术、工艺有深入的表述，对重点、难点有合理的建议，解决方案经济、安全、基本可行。</w:t>
            </w:r>
          </w:p>
          <w:p w14:paraId="68B59A3A">
            <w:pPr>
              <w:pStyle w:val="236"/>
              <w:spacing w:line="312" w:lineRule="auto"/>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三档（7分）：对项目关键技术、工艺有深入的表述。对重点、难点有先进合理的施工措施并有可行的安全措施，解决方案完整、经济、安全、切实可行，措施得力。</w:t>
            </w:r>
          </w:p>
        </w:tc>
        <w:tc>
          <w:tcPr>
            <w:tcW w:w="678" w:type="dxa"/>
            <w:noWrap/>
            <w:vAlign w:val="center"/>
          </w:tcPr>
          <w:p w14:paraId="63E45B82">
            <w:pPr>
              <w:spacing w:line="312" w:lineRule="auto"/>
              <w:jc w:val="cente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7分</w:t>
            </w:r>
          </w:p>
        </w:tc>
      </w:tr>
      <w:tr w14:paraId="5CE56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711" w:type="dxa"/>
            <w:noWrap/>
            <w:vAlign w:val="center"/>
          </w:tcPr>
          <w:p w14:paraId="614D8B2E">
            <w:pPr>
              <w:spacing w:line="312" w:lineRule="auto"/>
              <w:jc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w:t>
            </w:r>
          </w:p>
        </w:tc>
        <w:tc>
          <w:tcPr>
            <w:tcW w:w="1628" w:type="dxa"/>
            <w:noWrap/>
            <w:vAlign w:val="center"/>
          </w:tcPr>
          <w:p w14:paraId="6C95F0E1">
            <w:pPr>
              <w:widowControl/>
              <w:spacing w:line="312" w:lineRule="auto"/>
              <w:jc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商务分</w:t>
            </w:r>
          </w:p>
          <w:p w14:paraId="7A2E49C7">
            <w:pPr>
              <w:widowControl/>
              <w:spacing w:line="312" w:lineRule="auto"/>
              <w:jc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（满分</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kern w:val="0"/>
                <w:sz w:val="21"/>
                <w:szCs w:val="21"/>
                <w:highlight w:val="none"/>
                <w14:textFill>
                  <w14:solidFill>
                    <w14:schemeClr w14:val="tx1"/>
                  </w14:solidFill>
                </w14:textFill>
              </w:rPr>
              <w:t>分）</w:t>
            </w:r>
          </w:p>
        </w:tc>
        <w:tc>
          <w:tcPr>
            <w:tcW w:w="7185" w:type="dxa"/>
            <w:gridSpan w:val="2"/>
            <w:noWrap/>
            <w:vAlign w:val="center"/>
          </w:tcPr>
          <w:p w14:paraId="1106ABF1">
            <w:pPr>
              <w:widowControl/>
              <w:spacing w:line="312" w:lineRule="auto"/>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评审因素：磋商小组成员根据供应商提供的证据材料，进行评审。</w:t>
            </w:r>
          </w:p>
        </w:tc>
      </w:tr>
      <w:tr w14:paraId="1D7BF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noWrap/>
            <w:vAlign w:val="center"/>
          </w:tcPr>
          <w:p w14:paraId="451F7B4C">
            <w:pPr>
              <w:spacing w:line="312" w:lineRule="auto"/>
              <w:jc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3.1</w:t>
            </w:r>
          </w:p>
        </w:tc>
        <w:tc>
          <w:tcPr>
            <w:tcW w:w="1628" w:type="dxa"/>
            <w:noWrap/>
            <w:vAlign w:val="center"/>
          </w:tcPr>
          <w:p w14:paraId="052D2821">
            <w:pPr>
              <w:pStyle w:val="24"/>
              <w:spacing w:line="312"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项目管理机构 </w:t>
            </w:r>
          </w:p>
          <w:p w14:paraId="0B7C8F70">
            <w:pPr>
              <w:pStyle w:val="24"/>
              <w:spacing w:line="312"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配备</w:t>
            </w:r>
          </w:p>
        </w:tc>
        <w:tc>
          <w:tcPr>
            <w:tcW w:w="6507" w:type="dxa"/>
            <w:noWrap/>
            <w:vAlign w:val="center"/>
          </w:tcPr>
          <w:p w14:paraId="31C93C0F">
            <w:pPr>
              <w:pStyle w:val="24"/>
              <w:spacing w:line="312"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（1）项目经理（满分2分） </w:t>
            </w:r>
          </w:p>
          <w:p w14:paraId="7887246C">
            <w:pPr>
              <w:pStyle w:val="24"/>
              <w:spacing w:line="312"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①项目经理职称：具有中级或中级以上职称的得2分。 </w:t>
            </w:r>
          </w:p>
          <w:p w14:paraId="5E5A9C05">
            <w:pPr>
              <w:pStyle w:val="24"/>
              <w:spacing w:line="312"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（2）其他主要管理人员（满分4分） </w:t>
            </w:r>
          </w:p>
          <w:p w14:paraId="74ABA3FA">
            <w:pPr>
              <w:pStyle w:val="24"/>
              <w:spacing w:line="312"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w:t>
            </w:r>
            <w:r>
              <w:rPr>
                <w:rFonts w:hint="eastAsia" w:ascii="宋体" w:hAnsi="宋体" w:eastAsia="宋体" w:cs="宋体"/>
                <w:color w:val="000000" w:themeColor="text1"/>
                <w:sz w:val="21"/>
                <w:szCs w:val="21"/>
                <w:highlight w:val="none"/>
                <w14:textFill>
                  <w14:solidFill>
                    <w14:schemeClr w14:val="tx1"/>
                  </w14:solidFill>
                </w14:textFill>
              </w:rPr>
              <w:t>档（</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分）：持证专职安全员满足项目要求，其他项目班子人员不太齐备或搭配不太合理。</w:t>
            </w:r>
          </w:p>
          <w:p w14:paraId="00B6FC0A">
            <w:pPr>
              <w:pStyle w:val="24"/>
              <w:spacing w:line="312"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w:t>
            </w:r>
            <w:r>
              <w:rPr>
                <w:rFonts w:hint="eastAsia" w:ascii="宋体" w:hAnsi="宋体" w:eastAsia="宋体" w:cs="宋体"/>
                <w:color w:val="000000" w:themeColor="text1"/>
                <w:sz w:val="21"/>
                <w:szCs w:val="21"/>
                <w:highlight w:val="none"/>
                <w14:textFill>
                  <w14:solidFill>
                    <w14:schemeClr w14:val="tx1"/>
                  </w14:solidFill>
                </w14:textFill>
              </w:rPr>
              <w:t>档（</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分）：技术负责人有</w:t>
            </w:r>
            <w:r>
              <w:rPr>
                <w:rFonts w:hint="eastAsia" w:ascii="宋体" w:hAnsi="宋体" w:eastAsia="宋体" w:cs="宋体"/>
                <w:color w:val="000000" w:themeColor="text1"/>
                <w:sz w:val="21"/>
                <w:szCs w:val="21"/>
                <w:highlight w:val="none"/>
                <w:lang w:eastAsia="zh-CN"/>
                <w14:textFill>
                  <w14:solidFill>
                    <w14:schemeClr w14:val="tx1"/>
                  </w14:solidFill>
                </w14:textFill>
              </w:rPr>
              <w:t>初</w:t>
            </w:r>
            <w:r>
              <w:rPr>
                <w:rFonts w:hint="eastAsia" w:ascii="宋体" w:hAnsi="宋体" w:eastAsia="宋体" w:cs="宋体"/>
                <w:color w:val="000000" w:themeColor="text1"/>
                <w:sz w:val="21"/>
                <w:szCs w:val="21"/>
                <w:highlight w:val="none"/>
                <w14:textFill>
                  <w14:solidFill>
                    <w14:schemeClr w14:val="tx1"/>
                  </w14:solidFill>
                </w14:textFill>
              </w:rPr>
              <w:t>级职称；持证专职安全员满足项目要求，其他项目班子人员不太齐备、搭配不太合理，都有岗位证书。</w:t>
            </w:r>
          </w:p>
          <w:p w14:paraId="72098D03">
            <w:pPr>
              <w:pStyle w:val="24"/>
              <w:spacing w:line="312" w:lineRule="auto"/>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w:t>
            </w:r>
            <w:r>
              <w:rPr>
                <w:rFonts w:hint="eastAsia" w:ascii="宋体" w:hAnsi="宋体" w:eastAsia="宋体" w:cs="宋体"/>
                <w:color w:val="000000" w:themeColor="text1"/>
                <w:sz w:val="21"/>
                <w:szCs w:val="21"/>
                <w:highlight w:val="none"/>
                <w14:textFill>
                  <w14:solidFill>
                    <w14:schemeClr w14:val="tx1"/>
                  </w14:solidFill>
                </w14:textFill>
              </w:rPr>
              <w:t>档（</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分）：技术负责人有</w:t>
            </w:r>
            <w:r>
              <w:rPr>
                <w:rFonts w:hint="eastAsia" w:ascii="宋体" w:hAnsi="宋体" w:eastAsia="宋体" w:cs="宋体"/>
                <w:color w:val="000000" w:themeColor="text1"/>
                <w:sz w:val="21"/>
                <w:szCs w:val="21"/>
                <w:highlight w:val="none"/>
                <w:lang w:eastAsia="zh-CN"/>
                <w14:textFill>
                  <w14:solidFill>
                    <w14:schemeClr w14:val="tx1"/>
                  </w14:solidFill>
                </w14:textFill>
              </w:rPr>
              <w:t>中</w:t>
            </w:r>
            <w:r>
              <w:rPr>
                <w:rFonts w:hint="eastAsia" w:ascii="宋体" w:hAnsi="宋体" w:eastAsia="宋体" w:cs="宋体"/>
                <w:color w:val="000000" w:themeColor="text1"/>
                <w:sz w:val="21"/>
                <w:szCs w:val="21"/>
                <w:highlight w:val="none"/>
                <w14:textFill>
                  <w14:solidFill>
                    <w14:schemeClr w14:val="tx1"/>
                  </w14:solidFill>
                </w14:textFill>
              </w:rPr>
              <w:t>级职称；持证专职安全员满足项目要</w:t>
            </w:r>
            <w:r>
              <w:rPr>
                <w:rFonts w:hint="eastAsia" w:ascii="宋体" w:hAnsi="宋体" w:eastAsia="宋体" w:cs="宋体"/>
                <w:color w:val="000000" w:themeColor="text1"/>
                <w:sz w:val="21"/>
                <w:szCs w:val="21"/>
                <w:highlight w:val="none"/>
                <w:lang w:val="en-US" w:eastAsia="zh-CN"/>
                <w14:textFill>
                  <w14:solidFill>
                    <w14:schemeClr w14:val="tx1"/>
                  </w14:solidFill>
                </w14:textFill>
              </w:rPr>
              <w:t>求，其他项目班子人员齐备、搭配合理，都有岗位证书。</w:t>
            </w:r>
          </w:p>
          <w:p w14:paraId="4A93FDC6">
            <w:pPr>
              <w:pStyle w:val="24"/>
              <w:spacing w:line="312" w:lineRule="auto"/>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注:在响应文件中提供</w:t>
            </w:r>
            <w:r>
              <w:rPr>
                <w:rFonts w:hint="eastAsia" w:hAnsi="宋体" w:cs="宋体"/>
                <w:b/>
                <w:bCs/>
                <w:color w:val="000000" w:themeColor="text1"/>
                <w:sz w:val="21"/>
                <w:szCs w:val="21"/>
                <w:highlight w:val="none"/>
                <w:lang w:val="en-US" w:eastAsia="zh-CN"/>
                <w14:textFill>
                  <w14:solidFill>
                    <w14:schemeClr w14:val="tx1"/>
                  </w14:solidFill>
                </w14:textFill>
              </w:rPr>
              <w:t>以上相关</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人员相关证书证明材料，否则不予计分。</w:t>
            </w:r>
          </w:p>
        </w:tc>
        <w:tc>
          <w:tcPr>
            <w:tcW w:w="678" w:type="dxa"/>
            <w:noWrap/>
            <w:vAlign w:val="center"/>
          </w:tcPr>
          <w:p w14:paraId="105034B7">
            <w:pPr>
              <w:pStyle w:val="24"/>
              <w:spacing w:line="312"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6分</w:t>
            </w:r>
          </w:p>
        </w:tc>
      </w:tr>
      <w:tr w14:paraId="24AA6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711" w:type="dxa"/>
            <w:noWrap/>
            <w:vAlign w:val="center"/>
          </w:tcPr>
          <w:p w14:paraId="15A27885">
            <w:pPr>
              <w:spacing w:line="312" w:lineRule="auto"/>
              <w:jc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3.2</w:t>
            </w:r>
          </w:p>
        </w:tc>
        <w:tc>
          <w:tcPr>
            <w:tcW w:w="1628" w:type="dxa"/>
            <w:noWrap/>
            <w:vAlign w:val="center"/>
          </w:tcPr>
          <w:p w14:paraId="1B58017E">
            <w:pPr>
              <w:pStyle w:val="24"/>
              <w:spacing w:line="312"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业绩</w:t>
            </w:r>
          </w:p>
        </w:tc>
        <w:tc>
          <w:tcPr>
            <w:tcW w:w="6507" w:type="dxa"/>
            <w:noWrap/>
            <w:vAlign w:val="center"/>
          </w:tcPr>
          <w:p w14:paraId="517EB46F">
            <w:pPr>
              <w:pStyle w:val="24"/>
              <w:spacing w:line="312"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供应商提供从2023年7月1日至</w:t>
            </w:r>
            <w:r>
              <w:rPr>
                <w:rFonts w:hint="eastAsia" w:hAnsi="宋体" w:cs="宋体"/>
                <w:color w:val="000000" w:themeColor="text1"/>
                <w:sz w:val="21"/>
                <w:szCs w:val="21"/>
                <w:highlight w:val="none"/>
                <w:lang w:val="en-US" w:eastAsia="zh-CN"/>
                <w14:textFill>
                  <w14:solidFill>
                    <w14:schemeClr w14:val="tx1"/>
                  </w14:solidFill>
                </w14:textFill>
              </w:rPr>
              <w:t>磋商</w:t>
            </w:r>
            <w:r>
              <w:rPr>
                <w:rFonts w:hint="eastAsia" w:ascii="宋体" w:hAnsi="宋体" w:eastAsia="宋体" w:cs="宋体"/>
                <w:color w:val="000000" w:themeColor="text1"/>
                <w:sz w:val="21"/>
                <w:szCs w:val="21"/>
                <w:highlight w:val="none"/>
                <w:lang w:val="en-US" w:eastAsia="zh-CN"/>
                <w14:textFill>
                  <w14:solidFill>
                    <w14:schemeClr w14:val="tx1"/>
                  </w14:solidFill>
                </w14:textFill>
              </w:rPr>
              <w:t>截止时间止承接或完成过类似</w:t>
            </w:r>
            <w:r>
              <w:rPr>
                <w:rFonts w:hint="eastAsia" w:hAnsi="宋体" w:cs="宋体"/>
                <w:color w:val="000000" w:themeColor="text1"/>
                <w:sz w:val="21"/>
                <w:szCs w:val="21"/>
                <w:highlight w:val="none"/>
                <w:lang w:val="en-US" w:eastAsia="zh-CN"/>
                <w14:textFill>
                  <w14:solidFill>
                    <w14:schemeClr w14:val="tx1"/>
                  </w14:solidFill>
                </w14:textFill>
              </w:rPr>
              <w:t>房建工程施工</w:t>
            </w:r>
            <w:r>
              <w:rPr>
                <w:rFonts w:hint="eastAsia" w:ascii="宋体" w:hAnsi="宋体" w:eastAsia="宋体" w:cs="宋体"/>
                <w:color w:val="000000" w:themeColor="text1"/>
                <w:sz w:val="21"/>
                <w:szCs w:val="21"/>
                <w:highlight w:val="none"/>
                <w:lang w:val="en-US" w:eastAsia="zh-CN"/>
                <w14:textFill>
                  <w14:solidFill>
                    <w14:schemeClr w14:val="tx1"/>
                  </w14:solidFill>
                </w14:textFill>
              </w:rPr>
              <w:t>项目业绩的，每个得2分，满分4分。（提供合同关键页或成交（中标）通知书证明材料） 并加盖单位公章。</w:t>
            </w:r>
          </w:p>
        </w:tc>
        <w:tc>
          <w:tcPr>
            <w:tcW w:w="678" w:type="dxa"/>
            <w:noWrap/>
            <w:vAlign w:val="center"/>
          </w:tcPr>
          <w:p w14:paraId="3CB86A22">
            <w:pPr>
              <w:spacing w:line="312"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4分</w:t>
            </w:r>
          </w:p>
        </w:tc>
      </w:tr>
      <w:tr w14:paraId="3879F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524" w:type="dxa"/>
            <w:gridSpan w:val="4"/>
            <w:noWrap/>
            <w:vAlign w:val="center"/>
          </w:tcPr>
          <w:p w14:paraId="40E2D462">
            <w:pPr>
              <w:widowControl/>
              <w:spacing w:line="312" w:lineRule="auto"/>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bCs w:val="0"/>
                <w:color w:val="000000" w:themeColor="text1"/>
                <w:kern w:val="2"/>
                <w:sz w:val="21"/>
                <w:szCs w:val="21"/>
                <w:highlight w:val="none"/>
                <w14:textFill>
                  <w14:solidFill>
                    <w14:schemeClr w14:val="tx1"/>
                  </w14:solidFill>
                </w14:textFill>
              </w:rPr>
              <w:t xml:space="preserve">总得分＝1＋2＋3 </w:t>
            </w:r>
          </w:p>
        </w:tc>
      </w:tr>
    </w:tbl>
    <w:p w14:paraId="71041637">
      <w:pPr>
        <w:bidi w:val="0"/>
        <w:jc w:val="center"/>
        <w:rPr>
          <w:rFonts w:hint="eastAsia"/>
          <w:color w:val="000000" w:themeColor="text1"/>
          <w14:textFill>
            <w14:solidFill>
              <w14:schemeClr w14:val="tx1"/>
            </w14:solidFill>
          </w14:textFill>
        </w:rPr>
      </w:pPr>
    </w:p>
    <w:p w14:paraId="0232669D">
      <w:pPr>
        <w:bidi w:val="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14:paraId="62974AE8">
      <w:pPr>
        <w:bidi w:val="0"/>
        <w:rPr>
          <w:rFonts w:hint="eastAsia" w:ascii="宋体" w:hAnsi="宋体" w:eastAsia="宋体" w:cs="宋体"/>
          <w:color w:val="000000" w:themeColor="text1"/>
          <w:highlight w:val="none"/>
          <w14:textFill>
            <w14:solidFill>
              <w14:schemeClr w14:val="tx1"/>
            </w14:solidFill>
          </w14:textFill>
        </w:rPr>
      </w:pPr>
    </w:p>
    <w:p w14:paraId="61219720">
      <w:pPr>
        <w:pStyle w:val="2"/>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宋体" w:hAnsi="宋体" w:eastAsia="宋体" w:cs="宋体"/>
          <w:color w:val="000000" w:themeColor="text1"/>
          <w:sz w:val="40"/>
          <w:szCs w:val="40"/>
          <w:highlight w:val="none"/>
          <w14:textFill>
            <w14:solidFill>
              <w14:schemeClr w14:val="tx1"/>
            </w14:solidFill>
          </w14:textFill>
        </w:rPr>
      </w:pPr>
      <w:bookmarkStart w:id="72" w:name="_Toc4797"/>
      <w:r>
        <w:rPr>
          <w:rFonts w:hint="eastAsia" w:ascii="宋体" w:hAnsi="宋体" w:eastAsia="宋体" w:cs="宋体"/>
          <w:color w:val="000000" w:themeColor="text1"/>
          <w:sz w:val="40"/>
          <w:szCs w:val="40"/>
          <w:highlight w:val="none"/>
          <w14:textFill>
            <w14:solidFill>
              <w14:schemeClr w14:val="tx1"/>
            </w14:solidFill>
          </w14:textFill>
        </w:rPr>
        <w:t>第五章</w:t>
      </w:r>
      <w:r>
        <w:rPr>
          <w:rFonts w:hint="eastAsia" w:ascii="宋体" w:hAnsi="宋体" w:eastAsia="宋体" w:cs="宋体"/>
          <w:color w:val="000000" w:themeColor="text1"/>
          <w:sz w:val="40"/>
          <w:szCs w:val="40"/>
          <w:highlight w:val="none"/>
          <w:lang w:val="en-US" w:eastAsia="zh-CN"/>
          <w14:textFill>
            <w14:solidFill>
              <w14:schemeClr w14:val="tx1"/>
            </w14:solidFill>
          </w14:textFill>
        </w:rPr>
        <w:t xml:space="preserve"> </w:t>
      </w:r>
      <w:r>
        <w:rPr>
          <w:rFonts w:hint="eastAsia" w:ascii="宋体" w:hAnsi="宋体" w:eastAsia="宋体" w:cs="宋体"/>
          <w:color w:val="000000" w:themeColor="text1"/>
          <w:sz w:val="40"/>
          <w:szCs w:val="40"/>
          <w:highlight w:val="none"/>
          <w14:textFill>
            <w14:solidFill>
              <w14:schemeClr w14:val="tx1"/>
            </w14:solidFill>
          </w14:textFill>
        </w:rPr>
        <w:t>工程量清单及图纸</w:t>
      </w:r>
      <w:bookmarkEnd w:id="72"/>
    </w:p>
    <w:p w14:paraId="60AF863B">
      <w:pPr>
        <w:bidi w:val="0"/>
        <w:jc w:val="center"/>
        <w:rPr>
          <w:rFonts w:hint="eastAsia"/>
          <w:color w:val="000000" w:themeColor="text1"/>
          <w:lang w:eastAsia="zh-CN"/>
          <w14:textFill>
            <w14:solidFill>
              <w14:schemeClr w14:val="tx1"/>
            </w14:solidFill>
          </w14:textFill>
        </w:rPr>
      </w:pPr>
    </w:p>
    <w:p w14:paraId="34358712">
      <w:pPr>
        <w:bidi w:val="0"/>
        <w:jc w:val="center"/>
        <w:rPr>
          <w:rFonts w:hint="eastAsia"/>
          <w:color w:val="000000" w:themeColor="text1"/>
          <w:lang w:eastAsia="zh-CN"/>
          <w14:textFill>
            <w14:solidFill>
              <w14:schemeClr w14:val="tx1"/>
            </w14:solidFill>
          </w14:textFill>
        </w:rPr>
      </w:pPr>
    </w:p>
    <w:p w14:paraId="59E58202">
      <w:pPr>
        <w:bidi w:val="0"/>
        <w:jc w:val="center"/>
        <w:rPr>
          <w:rFonts w:hint="eastAsia"/>
          <w:color w:val="000000" w:themeColor="text1"/>
          <w:sz w:val="32"/>
          <w:szCs w:val="40"/>
          <w:lang w:eastAsia="zh-CN"/>
          <w14:textFill>
            <w14:solidFill>
              <w14:schemeClr w14:val="tx1"/>
            </w14:solidFill>
          </w14:textFill>
        </w:rPr>
      </w:pPr>
      <w:r>
        <w:rPr>
          <w:rFonts w:hint="eastAsia"/>
          <w:color w:val="000000" w:themeColor="text1"/>
          <w:sz w:val="32"/>
          <w:szCs w:val="40"/>
          <w:lang w:val="en-US" w:eastAsia="zh-CN"/>
          <w14:textFill>
            <w14:solidFill>
              <w14:schemeClr w14:val="tx1"/>
            </w14:solidFill>
          </w14:textFill>
        </w:rPr>
        <w:t>（另附）</w:t>
      </w:r>
    </w:p>
    <w:p w14:paraId="2CE0D50B">
      <w:pPr>
        <w:bidi w:val="0"/>
        <w:jc w:val="center"/>
        <w:rPr>
          <w:rFonts w:hint="eastAsia"/>
          <w:color w:val="000000" w:themeColor="text1"/>
          <w:lang w:eastAsia="zh-CN"/>
          <w14:textFill>
            <w14:solidFill>
              <w14:schemeClr w14:val="tx1"/>
            </w14:solidFill>
          </w14:textFill>
        </w:rPr>
      </w:pPr>
    </w:p>
    <w:p w14:paraId="0C69BD23">
      <w:pPr>
        <w:bidi w:val="0"/>
        <w:jc w:val="center"/>
        <w:rPr>
          <w:rFonts w:hint="eastAsia"/>
          <w:color w:val="000000" w:themeColor="text1"/>
          <w:lang w:eastAsia="zh-CN"/>
          <w14:textFill>
            <w14:solidFill>
              <w14:schemeClr w14:val="tx1"/>
            </w14:solidFill>
          </w14:textFill>
        </w:rPr>
      </w:pPr>
    </w:p>
    <w:p w14:paraId="48BD7CF2">
      <w:pPr>
        <w:bidi w:val="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14:paraId="0A752D6E">
      <w:pPr>
        <w:pStyle w:val="2"/>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宋体" w:hAnsi="宋体" w:eastAsia="宋体" w:cs="宋体"/>
          <w:color w:val="000000" w:themeColor="text1"/>
          <w:sz w:val="40"/>
          <w:szCs w:val="40"/>
          <w:highlight w:val="none"/>
          <w14:textFill>
            <w14:solidFill>
              <w14:schemeClr w14:val="tx1"/>
            </w14:solidFill>
          </w14:textFill>
        </w:rPr>
      </w:pPr>
      <w:bookmarkStart w:id="73" w:name="_Toc9650"/>
      <w:r>
        <w:rPr>
          <w:rFonts w:hint="eastAsia" w:ascii="宋体" w:hAnsi="宋体" w:eastAsia="宋体" w:cs="宋体"/>
          <w:color w:val="000000" w:themeColor="text1"/>
          <w:sz w:val="40"/>
          <w:szCs w:val="40"/>
          <w:highlight w:val="none"/>
          <w14:textFill>
            <w14:solidFill>
              <w14:schemeClr w14:val="tx1"/>
            </w14:solidFill>
          </w14:textFill>
        </w:rPr>
        <w:t>第六章</w:t>
      </w:r>
      <w:r>
        <w:rPr>
          <w:rFonts w:hint="eastAsia" w:ascii="宋体" w:hAnsi="宋体" w:eastAsia="宋体" w:cs="宋体"/>
          <w:color w:val="000000" w:themeColor="text1"/>
          <w:sz w:val="40"/>
          <w:szCs w:val="40"/>
          <w:highlight w:val="none"/>
          <w:lang w:val="en-US" w:eastAsia="zh-CN"/>
          <w14:textFill>
            <w14:solidFill>
              <w14:schemeClr w14:val="tx1"/>
            </w14:solidFill>
          </w14:textFill>
        </w:rPr>
        <w:t xml:space="preserve"> </w:t>
      </w:r>
      <w:r>
        <w:rPr>
          <w:rFonts w:hint="eastAsia" w:ascii="宋体" w:hAnsi="宋体" w:eastAsia="宋体" w:cs="宋体"/>
          <w:color w:val="000000" w:themeColor="text1"/>
          <w:sz w:val="40"/>
          <w:szCs w:val="40"/>
          <w:highlight w:val="none"/>
          <w14:textFill>
            <w14:solidFill>
              <w14:schemeClr w14:val="tx1"/>
            </w14:solidFill>
          </w14:textFill>
        </w:rPr>
        <w:t>响应文件格式</w:t>
      </w:r>
      <w:bookmarkEnd w:id="73"/>
    </w:p>
    <w:p w14:paraId="4C5C9579">
      <w:pPr>
        <w:spacing w:line="240" w:lineRule="atLeast"/>
        <w:rPr>
          <w:rFonts w:hint="eastAsia" w:ascii="宋体" w:hAnsi="宋体" w:eastAsia="宋体" w:cs="宋体"/>
          <w:b/>
          <w:color w:val="000000" w:themeColor="text1"/>
          <w:sz w:val="32"/>
          <w:szCs w:val="32"/>
          <w:highlight w:val="none"/>
          <w14:textFill>
            <w14:solidFill>
              <w14:schemeClr w14:val="tx1"/>
            </w14:solidFill>
          </w14:textFill>
        </w:rPr>
      </w:pPr>
    </w:p>
    <w:p w14:paraId="16DF2BDC">
      <w:pPr>
        <w:spacing w:line="240" w:lineRule="atLeast"/>
        <w:rPr>
          <w:rFonts w:hint="eastAsia" w:ascii="宋体" w:hAnsi="宋体" w:eastAsia="宋体" w:cs="宋体"/>
          <w:b/>
          <w:color w:val="000000" w:themeColor="text1"/>
          <w:sz w:val="32"/>
          <w:szCs w:val="32"/>
          <w:highlight w:val="none"/>
          <w14:textFill>
            <w14:solidFill>
              <w14:schemeClr w14:val="tx1"/>
            </w14:solidFill>
          </w14:textFill>
        </w:rPr>
      </w:pPr>
    </w:p>
    <w:p w14:paraId="0AA255CA">
      <w:pPr>
        <w:spacing w:line="240" w:lineRule="atLeast"/>
        <w:rPr>
          <w:rFonts w:hint="eastAsia" w:ascii="宋体" w:hAnsi="宋体" w:eastAsia="宋体" w:cs="宋体"/>
          <w:b/>
          <w:color w:val="000000" w:themeColor="text1"/>
          <w:sz w:val="32"/>
          <w:szCs w:val="32"/>
          <w:highlight w:val="none"/>
          <w14:textFill>
            <w14:solidFill>
              <w14:schemeClr w14:val="tx1"/>
            </w14:solidFill>
          </w14:textFill>
        </w:rPr>
      </w:pPr>
    </w:p>
    <w:p w14:paraId="10C1E912">
      <w:pPr>
        <w:spacing w:line="240" w:lineRule="atLeast"/>
        <w:rPr>
          <w:rFonts w:hint="eastAsia" w:ascii="宋体" w:hAnsi="宋体" w:eastAsia="宋体" w:cs="宋体"/>
          <w:b/>
          <w:color w:val="000000" w:themeColor="text1"/>
          <w:sz w:val="32"/>
          <w:szCs w:val="32"/>
          <w:highlight w:val="none"/>
          <w14:textFill>
            <w14:solidFill>
              <w14:schemeClr w14:val="tx1"/>
            </w14:solidFill>
          </w14:textFill>
        </w:rPr>
      </w:pPr>
    </w:p>
    <w:p w14:paraId="7A172456">
      <w:pPr>
        <w:spacing w:line="240" w:lineRule="atLeast"/>
        <w:rPr>
          <w:rFonts w:hint="eastAsia" w:ascii="宋体" w:hAnsi="宋体" w:eastAsia="宋体" w:cs="宋体"/>
          <w:b/>
          <w:color w:val="000000" w:themeColor="text1"/>
          <w:sz w:val="32"/>
          <w:szCs w:val="32"/>
          <w:highlight w:val="none"/>
          <w14:textFill>
            <w14:solidFill>
              <w14:schemeClr w14:val="tx1"/>
            </w14:solidFill>
          </w14:textFill>
        </w:rPr>
      </w:pPr>
    </w:p>
    <w:p w14:paraId="64D9FE69">
      <w:pPr>
        <w:spacing w:line="240" w:lineRule="atLeast"/>
        <w:rPr>
          <w:rFonts w:hint="eastAsia" w:ascii="宋体" w:hAnsi="宋体" w:eastAsia="宋体" w:cs="宋体"/>
          <w:b/>
          <w:color w:val="000000" w:themeColor="text1"/>
          <w:sz w:val="32"/>
          <w:szCs w:val="32"/>
          <w:highlight w:val="none"/>
          <w14:textFill>
            <w14:solidFill>
              <w14:schemeClr w14:val="tx1"/>
            </w14:solidFill>
          </w14:textFill>
        </w:rPr>
      </w:pPr>
    </w:p>
    <w:p w14:paraId="1A01F610">
      <w:pPr>
        <w:spacing w:line="240" w:lineRule="atLeast"/>
        <w:rPr>
          <w:rFonts w:hint="eastAsia" w:ascii="宋体" w:hAnsi="宋体" w:eastAsia="宋体" w:cs="宋体"/>
          <w:b/>
          <w:color w:val="000000" w:themeColor="text1"/>
          <w:sz w:val="32"/>
          <w:szCs w:val="32"/>
          <w:highlight w:val="none"/>
          <w14:textFill>
            <w14:solidFill>
              <w14:schemeClr w14:val="tx1"/>
            </w14:solidFill>
          </w14:textFill>
        </w:rPr>
      </w:pPr>
    </w:p>
    <w:p w14:paraId="58497736">
      <w:pPr>
        <w:spacing w:line="240" w:lineRule="atLeast"/>
        <w:rPr>
          <w:rFonts w:hint="eastAsia" w:ascii="宋体" w:hAnsi="宋体" w:eastAsia="宋体" w:cs="宋体"/>
          <w:b/>
          <w:color w:val="000000" w:themeColor="text1"/>
          <w:sz w:val="32"/>
          <w:szCs w:val="32"/>
          <w:highlight w:val="none"/>
          <w14:textFill>
            <w14:solidFill>
              <w14:schemeClr w14:val="tx1"/>
            </w14:solidFill>
          </w14:textFill>
        </w:rPr>
      </w:pPr>
    </w:p>
    <w:p w14:paraId="156F43B0">
      <w:pPr>
        <w:spacing w:line="240" w:lineRule="atLeast"/>
        <w:rPr>
          <w:rFonts w:hint="eastAsia" w:ascii="宋体" w:hAnsi="宋体" w:eastAsia="宋体" w:cs="宋体"/>
          <w:b/>
          <w:color w:val="000000" w:themeColor="text1"/>
          <w:sz w:val="32"/>
          <w:szCs w:val="32"/>
          <w:highlight w:val="none"/>
          <w14:textFill>
            <w14:solidFill>
              <w14:schemeClr w14:val="tx1"/>
            </w14:solidFill>
          </w14:textFill>
        </w:rPr>
      </w:pPr>
    </w:p>
    <w:p w14:paraId="68846E15">
      <w:pPr>
        <w:spacing w:line="240" w:lineRule="atLeast"/>
        <w:rPr>
          <w:rFonts w:hint="eastAsia" w:ascii="宋体" w:hAnsi="宋体" w:eastAsia="宋体" w:cs="宋体"/>
          <w:b/>
          <w:color w:val="000000" w:themeColor="text1"/>
          <w:sz w:val="32"/>
          <w:szCs w:val="32"/>
          <w:highlight w:val="none"/>
          <w14:textFill>
            <w14:solidFill>
              <w14:schemeClr w14:val="tx1"/>
            </w14:solidFill>
          </w14:textFill>
        </w:rPr>
      </w:pPr>
    </w:p>
    <w:p w14:paraId="3B800FD8">
      <w:pPr>
        <w:spacing w:line="240" w:lineRule="atLeast"/>
        <w:rPr>
          <w:rFonts w:hint="eastAsia" w:ascii="宋体" w:hAnsi="宋体" w:eastAsia="宋体" w:cs="宋体"/>
          <w:b/>
          <w:color w:val="000000" w:themeColor="text1"/>
          <w:sz w:val="32"/>
          <w:szCs w:val="32"/>
          <w:highlight w:val="none"/>
          <w14:textFill>
            <w14:solidFill>
              <w14:schemeClr w14:val="tx1"/>
            </w14:solidFill>
          </w14:textFill>
        </w:rPr>
      </w:pPr>
    </w:p>
    <w:p w14:paraId="3AECA0BE">
      <w:pPr>
        <w:bidi w:val="0"/>
        <w:rPr>
          <w:rFonts w:hint="eastAsia" w:ascii="宋体" w:hAnsi="宋体" w:eastAsia="宋体" w:cs="宋体"/>
          <w:color w:val="000000" w:themeColor="text1"/>
          <w:highlight w:val="none"/>
          <w14:textFill>
            <w14:solidFill>
              <w14:schemeClr w14:val="tx1"/>
            </w14:solidFill>
          </w14:textFill>
        </w:rPr>
      </w:pPr>
    </w:p>
    <w:p w14:paraId="22DF799C">
      <w:pPr>
        <w:snapToGrid w:val="0"/>
        <w:spacing w:before="120" w:beforeLines="50" w:after="50"/>
        <w:jc w:val="center"/>
        <w:rPr>
          <w:rFonts w:hint="eastAsia" w:ascii="宋体" w:hAnsi="宋体" w:eastAsia="宋体" w:cs="宋体"/>
          <w:bCs/>
          <w:color w:val="000000" w:themeColor="text1"/>
          <w:sz w:val="32"/>
          <w:szCs w:val="32"/>
          <w:highlight w:val="none"/>
          <w14:textFill>
            <w14:solidFill>
              <w14:schemeClr w14:val="tx1"/>
            </w14:solidFill>
          </w14:textFill>
        </w:rPr>
      </w:pPr>
      <w:r>
        <w:rPr>
          <w:rFonts w:hint="eastAsia" w:ascii="宋体" w:hAnsi="宋体" w:eastAsia="宋体" w:cs="宋体"/>
          <w:bCs/>
          <w:color w:val="000000" w:themeColor="text1"/>
          <w:sz w:val="32"/>
          <w:szCs w:val="32"/>
          <w:highlight w:val="none"/>
          <w14:textFill>
            <w14:solidFill>
              <w14:schemeClr w14:val="tx1"/>
            </w14:solidFill>
          </w14:textFill>
        </w:rPr>
        <w:br w:type="page"/>
      </w:r>
    </w:p>
    <w:p w14:paraId="72490E51">
      <w:pPr>
        <w:rPr>
          <w:rFonts w:hint="eastAsia" w:ascii="宋体" w:hAnsi="宋体" w:eastAsia="宋体" w:cs="宋体"/>
          <w:b/>
          <w:color w:val="000000" w:themeColor="text1"/>
          <w:sz w:val="32"/>
          <w:szCs w:val="32"/>
          <w:highlight w:val="none"/>
          <w14:textFill>
            <w14:solidFill>
              <w14:schemeClr w14:val="tx1"/>
            </w14:solidFill>
          </w14:textFill>
        </w:rPr>
      </w:pPr>
      <w:bookmarkStart w:id="74" w:name="_Toc31723070"/>
      <w:bookmarkStart w:id="75" w:name="_Toc71366186"/>
      <w:bookmarkStart w:id="76" w:name="_Toc31728084"/>
      <w:bookmarkStart w:id="77" w:name="_Toc35611438"/>
      <w:bookmarkStart w:id="78" w:name="_Toc44229899"/>
      <w:bookmarkStart w:id="79" w:name="_Toc35611516"/>
      <w:r>
        <w:rPr>
          <w:rFonts w:hint="eastAsia" w:ascii="宋体" w:hAnsi="宋体" w:eastAsia="宋体" w:cs="宋体"/>
          <w:b/>
          <w:color w:val="000000" w:themeColor="text1"/>
          <w:sz w:val="32"/>
          <w:szCs w:val="32"/>
          <w:highlight w:val="none"/>
          <w14:textFill>
            <w14:solidFill>
              <w14:schemeClr w14:val="tx1"/>
            </w14:solidFill>
          </w14:textFill>
        </w:rPr>
        <w:t>一、资格证明文件格式</w:t>
      </w:r>
      <w:bookmarkEnd w:id="74"/>
      <w:bookmarkEnd w:id="75"/>
      <w:bookmarkEnd w:id="76"/>
      <w:bookmarkEnd w:id="77"/>
      <w:bookmarkEnd w:id="78"/>
      <w:bookmarkEnd w:id="79"/>
    </w:p>
    <w:p w14:paraId="77B71F8D">
      <w:pPr>
        <w:snapToGrid w:val="0"/>
        <w:spacing w:before="120" w:beforeLines="50" w:after="50" w:line="360" w:lineRule="auto"/>
        <w:jc w:val="left"/>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1.资格证明文件封面格式：</w:t>
      </w:r>
    </w:p>
    <w:p w14:paraId="4742543E">
      <w:pPr>
        <w:snapToGrid w:val="0"/>
        <w:spacing w:before="120" w:beforeLines="50" w:after="50"/>
        <w:jc w:val="center"/>
        <w:rPr>
          <w:rFonts w:hint="eastAsia" w:ascii="宋体" w:hAnsi="宋体" w:eastAsia="宋体" w:cs="宋体"/>
          <w:color w:val="000000" w:themeColor="text1"/>
          <w:sz w:val="44"/>
          <w:szCs w:val="44"/>
          <w:highlight w:val="none"/>
          <w14:textFill>
            <w14:solidFill>
              <w14:schemeClr w14:val="tx1"/>
            </w14:solidFill>
          </w14:textFill>
        </w:rPr>
      </w:pPr>
    </w:p>
    <w:p w14:paraId="56A69747">
      <w:pPr>
        <w:snapToGrid w:val="0"/>
        <w:spacing w:before="120" w:beforeLines="50" w:after="50"/>
        <w:jc w:val="center"/>
        <w:rPr>
          <w:rFonts w:hint="eastAsia" w:ascii="宋体" w:hAnsi="宋体" w:eastAsia="宋体" w:cs="宋体"/>
          <w:color w:val="000000" w:themeColor="text1"/>
          <w:sz w:val="44"/>
          <w:szCs w:val="44"/>
          <w:highlight w:val="none"/>
          <w14:textFill>
            <w14:solidFill>
              <w14:schemeClr w14:val="tx1"/>
            </w14:solidFill>
          </w14:textFill>
        </w:rPr>
      </w:pPr>
      <w:r>
        <w:rPr>
          <w:rFonts w:hint="eastAsia" w:ascii="宋体" w:hAnsi="宋体" w:eastAsia="宋体" w:cs="宋体"/>
          <w:color w:val="000000" w:themeColor="text1"/>
          <w:sz w:val="44"/>
          <w:szCs w:val="44"/>
          <w:highlight w:val="none"/>
          <w14:textFill>
            <w14:solidFill>
              <w14:schemeClr w14:val="tx1"/>
            </w14:solidFill>
          </w14:textFill>
        </w:rPr>
        <w:t>电 子 响 应 文 件</w:t>
      </w:r>
    </w:p>
    <w:p w14:paraId="500666F1">
      <w:pPr>
        <w:snapToGrid w:val="0"/>
        <w:spacing w:before="120" w:beforeLines="50" w:after="50"/>
        <w:rPr>
          <w:rFonts w:hint="eastAsia" w:ascii="宋体" w:hAnsi="宋体" w:eastAsia="宋体" w:cs="宋体"/>
          <w:color w:val="000000" w:themeColor="text1"/>
          <w:sz w:val="24"/>
          <w:szCs w:val="20"/>
          <w:highlight w:val="none"/>
          <w14:textFill>
            <w14:solidFill>
              <w14:schemeClr w14:val="tx1"/>
            </w14:solidFill>
          </w14:textFill>
        </w:rPr>
      </w:pPr>
    </w:p>
    <w:p w14:paraId="20A817D3">
      <w:pPr>
        <w:snapToGrid w:val="0"/>
        <w:spacing w:before="120" w:beforeLines="50" w:after="50"/>
        <w:jc w:val="center"/>
        <w:rPr>
          <w:rFonts w:hint="eastAsia" w:ascii="宋体" w:hAnsi="宋体" w:eastAsia="宋体" w:cs="宋体"/>
          <w:bCs/>
          <w:color w:val="000000" w:themeColor="text1"/>
          <w:sz w:val="44"/>
          <w:szCs w:val="44"/>
          <w:highlight w:val="none"/>
          <w14:textFill>
            <w14:solidFill>
              <w14:schemeClr w14:val="tx1"/>
            </w14:solidFill>
          </w14:textFill>
        </w:rPr>
      </w:pPr>
      <w:r>
        <w:rPr>
          <w:rFonts w:hint="eastAsia" w:ascii="宋体" w:hAnsi="宋体" w:eastAsia="宋体" w:cs="宋体"/>
          <w:bCs/>
          <w:color w:val="000000" w:themeColor="text1"/>
          <w:sz w:val="44"/>
          <w:szCs w:val="44"/>
          <w:highlight w:val="none"/>
          <w14:textFill>
            <w14:solidFill>
              <w14:schemeClr w14:val="tx1"/>
            </w14:solidFill>
          </w14:textFill>
        </w:rPr>
        <w:t>资  格  证  明  文  件</w:t>
      </w:r>
    </w:p>
    <w:p w14:paraId="6BA6BF2F">
      <w:pPr>
        <w:snapToGrid w:val="0"/>
        <w:spacing w:before="120" w:beforeLines="50" w:after="50"/>
        <w:rPr>
          <w:rFonts w:hint="eastAsia" w:ascii="宋体" w:hAnsi="宋体" w:eastAsia="宋体" w:cs="宋体"/>
          <w:bCs/>
          <w:color w:val="000000" w:themeColor="text1"/>
          <w:sz w:val="24"/>
          <w:szCs w:val="20"/>
          <w:highlight w:val="none"/>
          <w14:textFill>
            <w14:solidFill>
              <w14:schemeClr w14:val="tx1"/>
            </w14:solidFill>
          </w14:textFill>
        </w:rPr>
      </w:pPr>
    </w:p>
    <w:p w14:paraId="77015D7D">
      <w:pPr>
        <w:snapToGrid w:val="0"/>
        <w:spacing w:before="120" w:beforeLines="50" w:after="50"/>
        <w:rPr>
          <w:rFonts w:hint="eastAsia" w:ascii="宋体" w:hAnsi="宋体" w:eastAsia="宋体" w:cs="宋体"/>
          <w:bCs/>
          <w:color w:val="000000" w:themeColor="text1"/>
          <w:sz w:val="24"/>
          <w:szCs w:val="20"/>
          <w:highlight w:val="none"/>
          <w14:textFill>
            <w14:solidFill>
              <w14:schemeClr w14:val="tx1"/>
            </w14:solidFill>
          </w14:textFill>
        </w:rPr>
      </w:pPr>
    </w:p>
    <w:p w14:paraId="0A6C8883">
      <w:pPr>
        <w:snapToGrid w:val="0"/>
        <w:spacing w:before="120" w:beforeLines="50" w:after="50"/>
        <w:rPr>
          <w:rFonts w:hint="eastAsia" w:ascii="宋体" w:hAnsi="宋体" w:eastAsia="宋体" w:cs="宋体"/>
          <w:bCs/>
          <w:color w:val="000000" w:themeColor="text1"/>
          <w:sz w:val="24"/>
          <w:szCs w:val="20"/>
          <w:highlight w:val="none"/>
          <w14:textFill>
            <w14:solidFill>
              <w14:schemeClr w14:val="tx1"/>
            </w14:solidFill>
          </w14:textFill>
        </w:rPr>
      </w:pPr>
    </w:p>
    <w:p w14:paraId="00BDC610">
      <w:pPr>
        <w:snapToGrid w:val="0"/>
        <w:spacing w:before="120" w:beforeLines="50" w:after="50"/>
        <w:rPr>
          <w:rFonts w:hint="eastAsia" w:ascii="宋体" w:hAnsi="宋体" w:eastAsia="宋体" w:cs="宋体"/>
          <w:bCs/>
          <w:color w:val="000000" w:themeColor="text1"/>
          <w:sz w:val="24"/>
          <w:szCs w:val="20"/>
          <w:highlight w:val="none"/>
          <w14:textFill>
            <w14:solidFill>
              <w14:schemeClr w14:val="tx1"/>
            </w14:solidFill>
          </w14:textFill>
        </w:rPr>
      </w:pPr>
    </w:p>
    <w:p w14:paraId="0B63F755">
      <w:pPr>
        <w:snapToGrid w:val="0"/>
        <w:spacing w:before="120" w:beforeLines="50" w:after="50"/>
        <w:rPr>
          <w:rFonts w:hint="eastAsia" w:ascii="宋体" w:hAnsi="宋体" w:eastAsia="宋体" w:cs="宋体"/>
          <w:bCs/>
          <w:color w:val="000000" w:themeColor="text1"/>
          <w:sz w:val="24"/>
          <w:szCs w:val="20"/>
          <w:highlight w:val="none"/>
          <w14:textFill>
            <w14:solidFill>
              <w14:schemeClr w14:val="tx1"/>
            </w14:solidFill>
          </w14:textFill>
        </w:rPr>
      </w:pPr>
    </w:p>
    <w:p w14:paraId="15142F1B">
      <w:pPr>
        <w:snapToGrid w:val="0"/>
        <w:spacing w:before="120" w:beforeLines="50" w:after="50"/>
        <w:ind w:firstLine="640" w:firstLineChars="200"/>
        <w:rPr>
          <w:rFonts w:hint="eastAsia" w:ascii="宋体" w:hAnsi="宋体" w:eastAsia="宋体" w:cs="宋体"/>
          <w:bCs/>
          <w:color w:val="000000" w:themeColor="text1"/>
          <w:sz w:val="32"/>
          <w:szCs w:val="32"/>
          <w:highlight w:val="none"/>
          <w14:textFill>
            <w14:solidFill>
              <w14:schemeClr w14:val="tx1"/>
            </w14:solidFill>
          </w14:textFill>
        </w:rPr>
      </w:pPr>
      <w:r>
        <w:rPr>
          <w:rFonts w:hint="eastAsia" w:ascii="宋体" w:hAnsi="宋体" w:eastAsia="宋体" w:cs="宋体"/>
          <w:bCs/>
          <w:color w:val="000000" w:themeColor="text1"/>
          <w:sz w:val="32"/>
          <w:szCs w:val="32"/>
          <w:highlight w:val="none"/>
          <w14:textFill>
            <w14:solidFill>
              <w14:schemeClr w14:val="tx1"/>
            </w14:solidFill>
          </w14:textFill>
        </w:rPr>
        <w:t>项目名称：</w:t>
      </w:r>
    </w:p>
    <w:p w14:paraId="425FD8C4">
      <w:pPr>
        <w:snapToGrid w:val="0"/>
        <w:spacing w:before="120" w:beforeLines="50" w:after="50"/>
        <w:ind w:firstLine="720" w:firstLineChars="225"/>
        <w:rPr>
          <w:rFonts w:hint="eastAsia" w:ascii="宋体" w:hAnsi="宋体" w:eastAsia="宋体" w:cs="宋体"/>
          <w:bCs/>
          <w:color w:val="000000" w:themeColor="text1"/>
          <w:sz w:val="32"/>
          <w:szCs w:val="32"/>
          <w:highlight w:val="none"/>
          <w14:textFill>
            <w14:solidFill>
              <w14:schemeClr w14:val="tx1"/>
            </w14:solidFill>
          </w14:textFill>
        </w:rPr>
      </w:pPr>
    </w:p>
    <w:p w14:paraId="720BB101">
      <w:pPr>
        <w:snapToGrid w:val="0"/>
        <w:spacing w:before="120" w:beforeLines="50" w:after="50"/>
        <w:ind w:firstLine="720" w:firstLineChars="225"/>
        <w:rPr>
          <w:rFonts w:hint="eastAsia" w:ascii="宋体" w:hAnsi="宋体" w:eastAsia="宋体" w:cs="宋体"/>
          <w:bCs/>
          <w:color w:val="000000" w:themeColor="text1"/>
          <w:sz w:val="32"/>
          <w:szCs w:val="32"/>
          <w:highlight w:val="none"/>
          <w14:textFill>
            <w14:solidFill>
              <w14:schemeClr w14:val="tx1"/>
            </w14:solidFill>
          </w14:textFill>
        </w:rPr>
      </w:pPr>
      <w:r>
        <w:rPr>
          <w:rFonts w:hint="eastAsia" w:ascii="宋体" w:hAnsi="宋体" w:eastAsia="宋体" w:cs="宋体"/>
          <w:bCs/>
          <w:color w:val="000000" w:themeColor="text1"/>
          <w:sz w:val="32"/>
          <w:szCs w:val="32"/>
          <w:highlight w:val="none"/>
          <w14:textFill>
            <w14:solidFill>
              <w14:schemeClr w14:val="tx1"/>
            </w14:solidFill>
          </w14:textFill>
        </w:rPr>
        <w:t>项目编号：</w:t>
      </w:r>
    </w:p>
    <w:p w14:paraId="459254C5">
      <w:pPr>
        <w:snapToGrid w:val="0"/>
        <w:spacing w:before="120" w:beforeLines="50" w:after="50"/>
        <w:rPr>
          <w:rFonts w:hint="eastAsia" w:ascii="宋体" w:hAnsi="宋体" w:eastAsia="宋体" w:cs="宋体"/>
          <w:bCs/>
          <w:color w:val="000000" w:themeColor="text1"/>
          <w:sz w:val="32"/>
          <w:szCs w:val="32"/>
          <w:highlight w:val="none"/>
          <w14:textFill>
            <w14:solidFill>
              <w14:schemeClr w14:val="tx1"/>
            </w14:solidFill>
          </w14:textFill>
        </w:rPr>
      </w:pPr>
    </w:p>
    <w:p w14:paraId="19CAE881">
      <w:pPr>
        <w:pStyle w:val="7"/>
        <w:snapToGrid w:val="0"/>
        <w:spacing w:before="50" w:after="50"/>
        <w:ind w:firstLine="720" w:firstLineChars="225"/>
        <w:rPr>
          <w:rFonts w:hint="eastAsia" w:ascii="宋体" w:hAnsi="宋体" w:eastAsia="宋体" w:cs="宋体"/>
          <w:bCs/>
          <w:color w:val="000000" w:themeColor="text1"/>
          <w:sz w:val="32"/>
          <w:szCs w:val="32"/>
          <w:highlight w:val="none"/>
          <w14:textFill>
            <w14:solidFill>
              <w14:schemeClr w14:val="tx1"/>
            </w14:solidFill>
          </w14:textFill>
        </w:rPr>
      </w:pPr>
      <w:r>
        <w:rPr>
          <w:rFonts w:hint="eastAsia" w:ascii="宋体" w:hAnsi="宋体" w:eastAsia="宋体" w:cs="宋体"/>
          <w:bCs/>
          <w:color w:val="000000" w:themeColor="text1"/>
          <w:sz w:val="32"/>
          <w:szCs w:val="32"/>
          <w:highlight w:val="none"/>
          <w14:textFill>
            <w14:solidFill>
              <w14:schemeClr w14:val="tx1"/>
            </w14:solidFill>
          </w14:textFill>
        </w:rPr>
        <w:t>供应商名称：</w:t>
      </w:r>
    </w:p>
    <w:p w14:paraId="184655A9">
      <w:pPr>
        <w:snapToGrid w:val="0"/>
        <w:spacing w:before="120" w:beforeLines="50" w:after="50"/>
        <w:ind w:firstLine="640" w:firstLineChars="200"/>
        <w:rPr>
          <w:rFonts w:hint="eastAsia" w:ascii="宋体" w:hAnsi="宋体" w:eastAsia="宋体" w:cs="宋体"/>
          <w:bCs/>
          <w:color w:val="000000" w:themeColor="text1"/>
          <w:sz w:val="32"/>
          <w:szCs w:val="32"/>
          <w:highlight w:val="none"/>
          <w14:textFill>
            <w14:solidFill>
              <w14:schemeClr w14:val="tx1"/>
            </w14:solidFill>
          </w14:textFill>
        </w:rPr>
      </w:pPr>
    </w:p>
    <w:p w14:paraId="5D510218">
      <w:pPr>
        <w:pStyle w:val="7"/>
        <w:snapToGrid w:val="0"/>
        <w:spacing w:before="50" w:after="50"/>
        <w:ind w:firstLine="720" w:firstLineChars="225"/>
        <w:rPr>
          <w:rFonts w:hint="eastAsia" w:ascii="宋体" w:hAnsi="宋体" w:eastAsia="宋体" w:cs="宋体"/>
          <w:bCs/>
          <w:color w:val="000000" w:themeColor="text1"/>
          <w:sz w:val="32"/>
          <w:szCs w:val="32"/>
          <w:highlight w:val="none"/>
          <w14:textFill>
            <w14:solidFill>
              <w14:schemeClr w14:val="tx1"/>
            </w14:solidFill>
          </w14:textFill>
        </w:rPr>
      </w:pPr>
    </w:p>
    <w:p w14:paraId="07CA3A6C">
      <w:pPr>
        <w:pStyle w:val="7"/>
        <w:snapToGrid w:val="0"/>
        <w:spacing w:before="50" w:after="50"/>
        <w:ind w:firstLine="720" w:firstLineChars="225"/>
        <w:rPr>
          <w:rFonts w:hint="eastAsia" w:ascii="宋体" w:hAnsi="宋体" w:eastAsia="宋体" w:cs="宋体"/>
          <w:bCs/>
          <w:color w:val="000000" w:themeColor="text1"/>
          <w:sz w:val="32"/>
          <w:szCs w:val="32"/>
          <w:highlight w:val="none"/>
          <w14:textFill>
            <w14:solidFill>
              <w14:schemeClr w14:val="tx1"/>
            </w14:solidFill>
          </w14:textFill>
        </w:rPr>
      </w:pPr>
    </w:p>
    <w:p w14:paraId="743003B1">
      <w:pPr>
        <w:pStyle w:val="7"/>
        <w:snapToGrid w:val="0"/>
        <w:spacing w:before="50" w:after="50"/>
        <w:ind w:firstLine="1280" w:firstLineChars="400"/>
        <w:rPr>
          <w:rFonts w:hint="eastAsia" w:ascii="宋体" w:hAnsi="宋体" w:eastAsia="宋体" w:cs="宋体"/>
          <w:bCs/>
          <w:color w:val="000000" w:themeColor="text1"/>
          <w:sz w:val="32"/>
          <w:szCs w:val="32"/>
          <w:highlight w:val="none"/>
          <w14:textFill>
            <w14:solidFill>
              <w14:schemeClr w14:val="tx1"/>
            </w14:solidFill>
          </w14:textFill>
        </w:rPr>
      </w:pPr>
    </w:p>
    <w:p w14:paraId="710AA1EC">
      <w:pPr>
        <w:snapToGrid w:val="0"/>
        <w:spacing w:before="120" w:beforeLines="50" w:after="50"/>
        <w:jc w:val="center"/>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年    月    日</w:t>
      </w:r>
    </w:p>
    <w:p w14:paraId="3FF2C80E">
      <w:pPr>
        <w:snapToGrid w:val="0"/>
        <w:spacing w:before="120" w:beforeLines="50" w:after="50" w:line="360" w:lineRule="auto"/>
        <w:ind w:left="142"/>
        <w:jc w:val="left"/>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br w:type="page"/>
      </w:r>
      <w:r>
        <w:rPr>
          <w:rFonts w:hint="eastAsia" w:ascii="宋体" w:hAnsi="宋体" w:eastAsia="宋体" w:cs="宋体"/>
          <w:b/>
          <w:bCs/>
          <w:color w:val="000000" w:themeColor="text1"/>
          <w:sz w:val="32"/>
          <w:szCs w:val="32"/>
          <w:highlight w:val="none"/>
          <w14:textFill>
            <w14:solidFill>
              <w14:schemeClr w14:val="tx1"/>
            </w14:solidFill>
          </w14:textFill>
        </w:rPr>
        <w:t>2.资格证明文件目录</w:t>
      </w:r>
    </w:p>
    <w:p w14:paraId="5FF19B86">
      <w:pPr>
        <w:snapToGrid w:val="0"/>
        <w:spacing w:before="120" w:beforeLines="50" w:after="50" w:line="360" w:lineRule="auto"/>
        <w:ind w:firstLine="645"/>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根据磋商文件规定及供应商提供的材料自行编写目录（部分格式后附）。</w:t>
      </w:r>
    </w:p>
    <w:p w14:paraId="52E846BC">
      <w:pPr>
        <w:snapToGrid w:val="0"/>
        <w:spacing w:before="120" w:beforeLines="50" w:after="50"/>
        <w:rPr>
          <w:rFonts w:hint="eastAsia" w:ascii="宋体" w:hAnsi="宋体" w:eastAsia="宋体" w:cs="宋体"/>
          <w:color w:val="000000" w:themeColor="text1"/>
          <w:sz w:val="24"/>
          <w:szCs w:val="20"/>
          <w:highlight w:val="none"/>
          <w14:textFill>
            <w14:solidFill>
              <w14:schemeClr w14:val="tx1"/>
            </w14:solidFill>
          </w14:textFill>
        </w:rPr>
      </w:pPr>
    </w:p>
    <w:p w14:paraId="33EE7915">
      <w:pPr>
        <w:spacing w:line="300" w:lineRule="auto"/>
        <w:rPr>
          <w:rFonts w:hint="eastAsia" w:ascii="宋体" w:hAnsi="宋体" w:eastAsia="宋体" w:cs="宋体"/>
          <w:color w:val="000000" w:themeColor="text1"/>
          <w:szCs w:val="21"/>
          <w:highlight w:val="none"/>
          <w14:textFill>
            <w14:solidFill>
              <w14:schemeClr w14:val="tx1"/>
            </w14:solidFill>
          </w14:textFill>
        </w:rPr>
      </w:pPr>
    </w:p>
    <w:p w14:paraId="5EA7EBDA">
      <w:pPr>
        <w:spacing w:line="300" w:lineRule="auto"/>
        <w:rPr>
          <w:rFonts w:hint="eastAsia" w:ascii="宋体" w:hAnsi="宋体" w:eastAsia="宋体" w:cs="宋体"/>
          <w:color w:val="000000" w:themeColor="text1"/>
          <w:szCs w:val="21"/>
          <w:highlight w:val="none"/>
          <w14:textFill>
            <w14:solidFill>
              <w14:schemeClr w14:val="tx1"/>
            </w14:solidFill>
          </w14:textFill>
        </w:rPr>
      </w:pPr>
    </w:p>
    <w:p w14:paraId="6B0FE023">
      <w:pPr>
        <w:spacing w:line="300" w:lineRule="auto"/>
        <w:rPr>
          <w:rFonts w:hint="eastAsia" w:ascii="宋体" w:hAnsi="宋体" w:eastAsia="宋体" w:cs="宋体"/>
          <w:color w:val="000000" w:themeColor="text1"/>
          <w:szCs w:val="21"/>
          <w:highlight w:val="none"/>
          <w14:textFill>
            <w14:solidFill>
              <w14:schemeClr w14:val="tx1"/>
            </w14:solidFill>
          </w14:textFill>
        </w:rPr>
      </w:pPr>
    </w:p>
    <w:p w14:paraId="5B1685AA">
      <w:pPr>
        <w:spacing w:line="300" w:lineRule="auto"/>
        <w:rPr>
          <w:rFonts w:hint="eastAsia" w:ascii="宋体" w:hAnsi="宋体" w:eastAsia="宋体" w:cs="宋体"/>
          <w:color w:val="000000" w:themeColor="text1"/>
          <w:szCs w:val="21"/>
          <w:highlight w:val="none"/>
          <w14:textFill>
            <w14:solidFill>
              <w14:schemeClr w14:val="tx1"/>
            </w14:solidFill>
          </w14:textFill>
        </w:rPr>
      </w:pPr>
    </w:p>
    <w:p w14:paraId="0A12BAC7">
      <w:pPr>
        <w:spacing w:line="300" w:lineRule="auto"/>
        <w:rPr>
          <w:rFonts w:hint="eastAsia" w:ascii="宋体" w:hAnsi="宋体" w:eastAsia="宋体" w:cs="宋体"/>
          <w:color w:val="000000" w:themeColor="text1"/>
          <w:szCs w:val="21"/>
          <w:highlight w:val="none"/>
          <w14:textFill>
            <w14:solidFill>
              <w14:schemeClr w14:val="tx1"/>
            </w14:solidFill>
          </w14:textFill>
        </w:rPr>
      </w:pPr>
    </w:p>
    <w:p w14:paraId="0B942CFA">
      <w:pPr>
        <w:spacing w:line="300" w:lineRule="auto"/>
        <w:rPr>
          <w:rFonts w:hint="eastAsia" w:ascii="宋体" w:hAnsi="宋体" w:eastAsia="宋体" w:cs="宋体"/>
          <w:color w:val="000000" w:themeColor="text1"/>
          <w:szCs w:val="21"/>
          <w:highlight w:val="none"/>
          <w14:textFill>
            <w14:solidFill>
              <w14:schemeClr w14:val="tx1"/>
            </w14:solidFill>
          </w14:textFill>
        </w:rPr>
      </w:pPr>
    </w:p>
    <w:p w14:paraId="4E8E2DA3">
      <w:pPr>
        <w:spacing w:line="300" w:lineRule="auto"/>
        <w:rPr>
          <w:rFonts w:hint="eastAsia" w:ascii="宋体" w:hAnsi="宋体" w:eastAsia="宋体" w:cs="宋体"/>
          <w:color w:val="000000" w:themeColor="text1"/>
          <w:szCs w:val="21"/>
          <w:highlight w:val="none"/>
          <w14:textFill>
            <w14:solidFill>
              <w14:schemeClr w14:val="tx1"/>
            </w14:solidFill>
          </w14:textFill>
        </w:rPr>
      </w:pPr>
    </w:p>
    <w:p w14:paraId="3F79B69C">
      <w:pPr>
        <w:spacing w:line="300" w:lineRule="auto"/>
        <w:rPr>
          <w:rFonts w:hint="eastAsia" w:ascii="宋体" w:hAnsi="宋体" w:eastAsia="宋体" w:cs="宋体"/>
          <w:color w:val="000000" w:themeColor="text1"/>
          <w:szCs w:val="21"/>
          <w:highlight w:val="none"/>
          <w14:textFill>
            <w14:solidFill>
              <w14:schemeClr w14:val="tx1"/>
            </w14:solidFill>
          </w14:textFill>
        </w:rPr>
      </w:pPr>
    </w:p>
    <w:p w14:paraId="3B5F43D5">
      <w:pPr>
        <w:spacing w:line="300" w:lineRule="auto"/>
        <w:rPr>
          <w:rFonts w:hint="eastAsia" w:ascii="宋体" w:hAnsi="宋体" w:eastAsia="宋体" w:cs="宋体"/>
          <w:color w:val="000000" w:themeColor="text1"/>
          <w:szCs w:val="21"/>
          <w:highlight w:val="none"/>
          <w14:textFill>
            <w14:solidFill>
              <w14:schemeClr w14:val="tx1"/>
            </w14:solidFill>
          </w14:textFill>
        </w:rPr>
      </w:pPr>
    </w:p>
    <w:p w14:paraId="50BA0EF4">
      <w:pPr>
        <w:spacing w:line="300" w:lineRule="auto"/>
        <w:rPr>
          <w:rFonts w:hint="eastAsia" w:ascii="宋体" w:hAnsi="宋体" w:eastAsia="宋体" w:cs="宋体"/>
          <w:color w:val="000000" w:themeColor="text1"/>
          <w:szCs w:val="21"/>
          <w:highlight w:val="none"/>
          <w14:textFill>
            <w14:solidFill>
              <w14:schemeClr w14:val="tx1"/>
            </w14:solidFill>
          </w14:textFill>
        </w:rPr>
      </w:pPr>
    </w:p>
    <w:p w14:paraId="0CDC98E9">
      <w:pPr>
        <w:spacing w:line="300" w:lineRule="auto"/>
        <w:rPr>
          <w:rFonts w:hint="eastAsia" w:ascii="宋体" w:hAnsi="宋体" w:eastAsia="宋体" w:cs="宋体"/>
          <w:color w:val="000000" w:themeColor="text1"/>
          <w:szCs w:val="21"/>
          <w:highlight w:val="none"/>
          <w14:textFill>
            <w14:solidFill>
              <w14:schemeClr w14:val="tx1"/>
            </w14:solidFill>
          </w14:textFill>
        </w:rPr>
      </w:pPr>
    </w:p>
    <w:p w14:paraId="05E2D633">
      <w:pPr>
        <w:spacing w:line="300" w:lineRule="auto"/>
        <w:rPr>
          <w:rFonts w:hint="eastAsia" w:ascii="宋体" w:hAnsi="宋体" w:eastAsia="宋体" w:cs="宋体"/>
          <w:color w:val="000000" w:themeColor="text1"/>
          <w:szCs w:val="21"/>
          <w:highlight w:val="none"/>
          <w14:textFill>
            <w14:solidFill>
              <w14:schemeClr w14:val="tx1"/>
            </w14:solidFill>
          </w14:textFill>
        </w:rPr>
      </w:pPr>
    </w:p>
    <w:p w14:paraId="6A4014CD">
      <w:pPr>
        <w:spacing w:line="300" w:lineRule="auto"/>
        <w:rPr>
          <w:rFonts w:hint="eastAsia" w:ascii="宋体" w:hAnsi="宋体" w:eastAsia="宋体" w:cs="宋体"/>
          <w:color w:val="000000" w:themeColor="text1"/>
          <w:szCs w:val="21"/>
          <w:highlight w:val="none"/>
          <w14:textFill>
            <w14:solidFill>
              <w14:schemeClr w14:val="tx1"/>
            </w14:solidFill>
          </w14:textFill>
        </w:rPr>
      </w:pPr>
    </w:p>
    <w:p w14:paraId="376AF81B">
      <w:pPr>
        <w:spacing w:line="300" w:lineRule="auto"/>
        <w:rPr>
          <w:rFonts w:hint="eastAsia" w:ascii="宋体" w:hAnsi="宋体" w:eastAsia="宋体" w:cs="宋体"/>
          <w:color w:val="000000" w:themeColor="text1"/>
          <w:szCs w:val="21"/>
          <w:highlight w:val="none"/>
          <w14:textFill>
            <w14:solidFill>
              <w14:schemeClr w14:val="tx1"/>
            </w14:solidFill>
          </w14:textFill>
        </w:rPr>
      </w:pPr>
    </w:p>
    <w:p w14:paraId="1DBCF269">
      <w:pPr>
        <w:spacing w:line="300" w:lineRule="auto"/>
        <w:rPr>
          <w:rFonts w:hint="eastAsia" w:ascii="宋体" w:hAnsi="宋体" w:eastAsia="宋体" w:cs="宋体"/>
          <w:color w:val="000000" w:themeColor="text1"/>
          <w:szCs w:val="21"/>
          <w:highlight w:val="none"/>
          <w14:textFill>
            <w14:solidFill>
              <w14:schemeClr w14:val="tx1"/>
            </w14:solidFill>
          </w14:textFill>
        </w:rPr>
      </w:pPr>
    </w:p>
    <w:p w14:paraId="74AC6E5F">
      <w:pPr>
        <w:spacing w:line="320" w:lineRule="exact"/>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p>
    <w:p w14:paraId="1613369D">
      <w:pPr>
        <w:wordWrap w:val="0"/>
        <w:spacing w:before="120" w:beforeLines="50" w:after="50" w:line="320" w:lineRule="exact"/>
        <w:ind w:right="482" w:firstLine="210" w:firstLineChars="100"/>
        <w:contextualSpacing/>
        <w:jc w:val="center"/>
        <w:rPr>
          <w:rFonts w:hint="eastAsia" w:ascii="宋体" w:hAnsi="宋体" w:eastAsia="宋体" w:cs="宋体"/>
          <w:color w:val="000000" w:themeColor="text1"/>
          <w:szCs w:val="21"/>
          <w:highlight w:val="none"/>
          <w14:textFill>
            <w14:solidFill>
              <w14:schemeClr w14:val="tx1"/>
            </w14:solidFill>
          </w14:textFill>
        </w:rPr>
      </w:pPr>
    </w:p>
    <w:p w14:paraId="7A22E18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供应商直接控股、管理关系信息表</w:t>
      </w:r>
    </w:p>
    <w:p w14:paraId="2731DBBF">
      <w:pPr>
        <w:snapToGrid w:val="0"/>
        <w:spacing w:before="120" w:beforeLines="50" w:after="50" w:line="360" w:lineRule="auto"/>
        <w:jc w:val="center"/>
        <w:rPr>
          <w:rFonts w:hint="eastAsia" w:ascii="宋体" w:hAnsi="宋体" w:eastAsia="宋体" w:cs="宋体"/>
          <w:b/>
          <w:color w:val="000000" w:themeColor="text1"/>
          <w:sz w:val="24"/>
          <w:highlight w:val="none"/>
          <w14:textFill>
            <w14:solidFill>
              <w14:schemeClr w14:val="tx1"/>
            </w14:solidFill>
          </w14:textFill>
        </w:rPr>
      </w:pPr>
    </w:p>
    <w:p w14:paraId="3EC7E5C2">
      <w:pPr>
        <w:spacing w:line="360" w:lineRule="auto"/>
        <w:contextualSpacing/>
        <w:jc w:val="center"/>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供应商直接控股股东信息表</w:t>
      </w:r>
    </w:p>
    <w:p w14:paraId="15C6263C">
      <w:pPr>
        <w:spacing w:line="360" w:lineRule="auto"/>
        <w:contextualSpacing/>
        <w:jc w:val="center"/>
        <w:rPr>
          <w:rFonts w:hint="eastAsia" w:ascii="宋体" w:hAnsi="宋体" w:eastAsia="宋体" w:cs="宋体"/>
          <w:b/>
          <w:color w:val="000000" w:themeColor="text1"/>
          <w:sz w:val="24"/>
          <w:highlight w:val="none"/>
          <w14:textFill>
            <w14:solidFill>
              <w14:schemeClr w14:val="tx1"/>
            </w14:solidFill>
          </w14:textFill>
        </w:rPr>
      </w:pPr>
    </w:p>
    <w:tbl>
      <w:tblPr>
        <w:tblStyle w:val="42"/>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41B80789">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DB58EB5">
            <w:pPr>
              <w:widowControl/>
              <w:spacing w:line="360" w:lineRule="auto"/>
              <w:contextualSpacing/>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9309775">
            <w:pPr>
              <w:widowControl/>
              <w:spacing w:line="360" w:lineRule="auto"/>
              <w:contextualSpacing/>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82F5E51">
            <w:pPr>
              <w:widowControl/>
              <w:spacing w:line="360" w:lineRule="auto"/>
              <w:contextualSpacing/>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C41F1BD">
            <w:pPr>
              <w:widowControl/>
              <w:spacing w:line="360" w:lineRule="auto"/>
              <w:contextualSpacing/>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8E3AEDC">
            <w:pPr>
              <w:widowControl/>
              <w:spacing w:line="360" w:lineRule="auto"/>
              <w:contextualSpacing/>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备注</w:t>
            </w:r>
          </w:p>
        </w:tc>
      </w:tr>
      <w:tr w14:paraId="182AF9D4">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C05F5E6">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BB75E4F">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4A9C9CC">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0AF93CA">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AC58FD0">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p>
        </w:tc>
      </w:tr>
      <w:tr w14:paraId="35E63D3D">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3BEF6A2">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087CAC">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0A38177">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BAA87CD">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8288796">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p>
        </w:tc>
      </w:tr>
      <w:tr w14:paraId="1E0EE145">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CC82C65">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65BF35D">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93F401">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7048D34">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4A9B844">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p>
        </w:tc>
      </w:tr>
      <w:tr w14:paraId="7D2E5531">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BE4E25E">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6CD02DE">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1F3ECDF">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5D2E1E8">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6315248">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p>
        </w:tc>
      </w:tr>
    </w:tbl>
    <w:p w14:paraId="75872C1D">
      <w:pPr>
        <w:spacing w:line="360" w:lineRule="auto"/>
        <w:contextualSpacing/>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注：</w:t>
      </w:r>
    </w:p>
    <w:p w14:paraId="5DB4435A">
      <w:pPr>
        <w:spacing w:line="360" w:lineRule="auto"/>
        <w:ind w:firstLine="480" w:firstLineChars="200"/>
        <w:contextualSpacing/>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788C669">
      <w:pPr>
        <w:spacing w:line="360" w:lineRule="auto"/>
        <w:ind w:firstLine="480" w:firstLineChars="200"/>
        <w:contextualSpacing/>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05308782">
      <w:pPr>
        <w:spacing w:line="360" w:lineRule="auto"/>
        <w:ind w:firstLine="480" w:firstLineChars="200"/>
        <w:contextualSpacing/>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3.供应商不存在直接控股股东的，则在“直接控股股东名称”填“无”。</w:t>
      </w:r>
    </w:p>
    <w:p w14:paraId="31CB4624">
      <w:pPr>
        <w:spacing w:line="360" w:lineRule="auto"/>
        <w:ind w:firstLine="420" w:firstLineChars="200"/>
        <w:contextualSpacing/>
        <w:jc w:val="left"/>
        <w:rPr>
          <w:rFonts w:hint="eastAsia" w:ascii="宋体" w:hAnsi="宋体" w:eastAsia="宋体" w:cs="宋体"/>
          <w:color w:val="000000" w:themeColor="text1"/>
          <w:szCs w:val="21"/>
          <w:highlight w:val="none"/>
          <w14:textFill>
            <w14:solidFill>
              <w14:schemeClr w14:val="tx1"/>
            </w14:solidFill>
          </w14:textFill>
        </w:rPr>
      </w:pPr>
    </w:p>
    <w:p w14:paraId="5E4EAA98">
      <w:pPr>
        <w:spacing w:line="360" w:lineRule="auto"/>
        <w:ind w:firstLine="560" w:firstLineChars="200"/>
        <w:contextualSpacing/>
        <w:jc w:val="left"/>
        <w:rPr>
          <w:rFonts w:hint="eastAsia" w:ascii="宋体" w:hAnsi="宋体" w:eastAsia="宋体" w:cs="宋体"/>
          <w:color w:val="000000" w:themeColor="text1"/>
          <w:sz w:val="28"/>
          <w:szCs w:val="28"/>
          <w:highlight w:val="none"/>
          <w14:textFill>
            <w14:solidFill>
              <w14:schemeClr w14:val="tx1"/>
            </w14:solidFill>
          </w14:textFill>
        </w:rPr>
      </w:pPr>
    </w:p>
    <w:p w14:paraId="0AF3690E">
      <w:pPr>
        <w:spacing w:line="360" w:lineRule="auto"/>
        <w:ind w:right="480"/>
        <w:contextualSpacing/>
        <w:jc w:val="center"/>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法定代表人或者委托代理人（签字或者电子签名）：</w:t>
      </w:r>
    </w:p>
    <w:p w14:paraId="3711FDC7">
      <w:pPr>
        <w:spacing w:line="360" w:lineRule="auto"/>
        <w:ind w:right="480" w:firstLine="3000" w:firstLineChars="1250"/>
        <w:contextualSpacing/>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供应商（电子签章）： </w:t>
      </w:r>
    </w:p>
    <w:p w14:paraId="48417DE7">
      <w:pPr>
        <w:spacing w:line="360" w:lineRule="auto"/>
        <w:ind w:firstLine="480" w:firstLineChars="200"/>
        <w:contextualSpacing/>
        <w:jc w:val="right"/>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年    月    日</w:t>
      </w:r>
    </w:p>
    <w:p w14:paraId="1387F31E">
      <w:pPr>
        <w:snapToGrid w:val="0"/>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br w:type="page"/>
      </w:r>
    </w:p>
    <w:p w14:paraId="6186847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供应商直接管理关系信息表</w:t>
      </w:r>
    </w:p>
    <w:p w14:paraId="00949669">
      <w:pPr>
        <w:snapToGrid w:val="0"/>
        <w:spacing w:line="360" w:lineRule="auto"/>
        <w:jc w:val="center"/>
        <w:rPr>
          <w:rFonts w:hint="eastAsia" w:ascii="宋体" w:hAnsi="宋体" w:eastAsia="宋体" w:cs="宋体"/>
          <w:b/>
          <w:color w:val="000000" w:themeColor="text1"/>
          <w:sz w:val="24"/>
          <w:highlight w:val="none"/>
          <w14:textFill>
            <w14:solidFill>
              <w14:schemeClr w14:val="tx1"/>
            </w14:solidFill>
          </w14:textFill>
        </w:rPr>
      </w:pPr>
    </w:p>
    <w:tbl>
      <w:tblPr>
        <w:tblStyle w:val="42"/>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138742C1">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F5AF111">
            <w:pPr>
              <w:widowControl/>
              <w:spacing w:line="360" w:lineRule="auto"/>
              <w:contextualSpacing/>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EDEF87C">
            <w:pPr>
              <w:widowControl/>
              <w:spacing w:line="360" w:lineRule="auto"/>
              <w:contextualSpacing/>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AEF9427">
            <w:pPr>
              <w:widowControl/>
              <w:spacing w:line="360" w:lineRule="auto"/>
              <w:contextualSpacing/>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4134D3F">
            <w:pPr>
              <w:widowControl/>
              <w:spacing w:line="360" w:lineRule="auto"/>
              <w:contextualSpacing/>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相互关系</w:t>
            </w:r>
          </w:p>
        </w:tc>
      </w:tr>
      <w:tr w14:paraId="5C8CDA6A">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718A9EC">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83BAB56">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428CB99">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C177FC0">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p>
        </w:tc>
      </w:tr>
      <w:tr w14:paraId="79DCF269">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2A4037B">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926398A">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7A0AEC">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701C484">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p>
        </w:tc>
      </w:tr>
      <w:tr w14:paraId="3F60CC3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C4CAD04">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4964A7F">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4B4AE05">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284E564">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p>
        </w:tc>
      </w:tr>
      <w:tr w14:paraId="66181495">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F869412">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EB7BAF">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CF4E03C">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94B3AB5">
            <w:pPr>
              <w:widowControl/>
              <w:spacing w:line="360" w:lineRule="auto"/>
              <w:contextualSpacing/>
              <w:jc w:val="center"/>
              <w:rPr>
                <w:rFonts w:hint="eastAsia" w:ascii="宋体" w:hAnsi="宋体" w:eastAsia="宋体" w:cs="宋体"/>
                <w:color w:val="000000" w:themeColor="text1"/>
                <w:kern w:val="0"/>
                <w:sz w:val="24"/>
                <w:highlight w:val="none"/>
                <w14:textFill>
                  <w14:solidFill>
                    <w14:schemeClr w14:val="tx1"/>
                  </w14:solidFill>
                </w14:textFill>
              </w:rPr>
            </w:pPr>
          </w:p>
        </w:tc>
      </w:tr>
    </w:tbl>
    <w:p w14:paraId="44DA885F">
      <w:pPr>
        <w:spacing w:line="360" w:lineRule="auto"/>
        <w:contextualSpacing/>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注：</w:t>
      </w:r>
    </w:p>
    <w:p w14:paraId="0EAE821A">
      <w:pPr>
        <w:spacing w:line="360" w:lineRule="auto"/>
        <w:ind w:firstLine="480" w:firstLineChars="200"/>
        <w:contextualSpacing/>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1.管理关系：是指不具有出资持股关系的其他单位之间存在的管理与被管理关系，如一些上下级关系的事业单位和团体组织。</w:t>
      </w:r>
    </w:p>
    <w:p w14:paraId="57C1CDE6">
      <w:pPr>
        <w:spacing w:line="360" w:lineRule="auto"/>
        <w:ind w:firstLine="480" w:firstLineChars="200"/>
        <w:contextualSpacing/>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w:t>
      </w:r>
      <w:r>
        <w:rPr>
          <w:rFonts w:hint="eastAsia" w:ascii="宋体" w:hAnsi="宋体" w:eastAsia="宋体" w:cs="宋体"/>
          <w:color w:val="000000" w:themeColor="text1"/>
          <w:spacing w:val="-6"/>
          <w:sz w:val="24"/>
          <w:highlight w:val="none"/>
          <w14:textFill>
            <w14:solidFill>
              <w14:schemeClr w14:val="tx1"/>
            </w14:solidFill>
          </w14:textFill>
        </w:rPr>
        <w:t>本表所指的管理关系仅限于直接管理关系，不包括间接的管理关系。</w:t>
      </w:r>
    </w:p>
    <w:p w14:paraId="4104E212">
      <w:pPr>
        <w:spacing w:line="360" w:lineRule="auto"/>
        <w:ind w:firstLine="480" w:firstLineChars="200"/>
        <w:contextualSpacing/>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3.供应商不存在直接管理关系的，则在“直接管理关系单位名称”填“无”。</w:t>
      </w:r>
    </w:p>
    <w:p w14:paraId="7361AD7E">
      <w:pPr>
        <w:spacing w:line="360" w:lineRule="auto"/>
        <w:contextualSpacing/>
        <w:jc w:val="left"/>
        <w:rPr>
          <w:rFonts w:hint="eastAsia" w:ascii="宋体" w:hAnsi="宋体" w:eastAsia="宋体" w:cs="宋体"/>
          <w:color w:val="000000" w:themeColor="text1"/>
          <w:sz w:val="28"/>
          <w:szCs w:val="28"/>
          <w:highlight w:val="none"/>
          <w14:textFill>
            <w14:solidFill>
              <w14:schemeClr w14:val="tx1"/>
            </w14:solidFill>
          </w14:textFill>
        </w:rPr>
      </w:pPr>
    </w:p>
    <w:p w14:paraId="0549BCA1">
      <w:pPr>
        <w:spacing w:line="360" w:lineRule="auto"/>
        <w:contextualSpacing/>
        <w:jc w:val="left"/>
        <w:rPr>
          <w:rFonts w:hint="eastAsia" w:ascii="宋体" w:hAnsi="宋体" w:eastAsia="宋体" w:cs="宋体"/>
          <w:color w:val="000000" w:themeColor="text1"/>
          <w:sz w:val="28"/>
          <w:szCs w:val="28"/>
          <w:highlight w:val="none"/>
          <w14:textFill>
            <w14:solidFill>
              <w14:schemeClr w14:val="tx1"/>
            </w14:solidFill>
          </w14:textFill>
        </w:rPr>
      </w:pPr>
    </w:p>
    <w:p w14:paraId="78D617B8">
      <w:pPr>
        <w:spacing w:line="360" w:lineRule="auto"/>
        <w:contextualSpacing/>
        <w:jc w:val="left"/>
        <w:rPr>
          <w:rFonts w:hint="eastAsia" w:ascii="宋体" w:hAnsi="宋体" w:eastAsia="宋体" w:cs="宋体"/>
          <w:color w:val="000000" w:themeColor="text1"/>
          <w:sz w:val="28"/>
          <w:szCs w:val="28"/>
          <w:highlight w:val="none"/>
          <w14:textFill>
            <w14:solidFill>
              <w14:schemeClr w14:val="tx1"/>
            </w14:solidFill>
          </w14:textFill>
        </w:rPr>
      </w:pPr>
    </w:p>
    <w:p w14:paraId="4858E6A1">
      <w:pPr>
        <w:spacing w:line="360" w:lineRule="auto"/>
        <w:contextualSpacing/>
        <w:jc w:val="left"/>
        <w:rPr>
          <w:rFonts w:hint="eastAsia" w:ascii="宋体" w:hAnsi="宋体" w:eastAsia="宋体" w:cs="宋体"/>
          <w:color w:val="000000" w:themeColor="text1"/>
          <w:sz w:val="28"/>
          <w:szCs w:val="28"/>
          <w:highlight w:val="none"/>
          <w14:textFill>
            <w14:solidFill>
              <w14:schemeClr w14:val="tx1"/>
            </w14:solidFill>
          </w14:textFill>
        </w:rPr>
      </w:pPr>
    </w:p>
    <w:p w14:paraId="159480D6">
      <w:pPr>
        <w:spacing w:line="360" w:lineRule="auto"/>
        <w:contextualSpacing/>
        <w:jc w:val="left"/>
        <w:rPr>
          <w:rFonts w:hint="eastAsia" w:ascii="宋体" w:hAnsi="宋体" w:eastAsia="宋体" w:cs="宋体"/>
          <w:color w:val="000000" w:themeColor="text1"/>
          <w:sz w:val="28"/>
          <w:szCs w:val="28"/>
          <w:highlight w:val="none"/>
          <w14:textFill>
            <w14:solidFill>
              <w14:schemeClr w14:val="tx1"/>
            </w14:solidFill>
          </w14:textFill>
        </w:rPr>
      </w:pPr>
    </w:p>
    <w:p w14:paraId="7D1F5D1E">
      <w:pPr>
        <w:spacing w:line="360" w:lineRule="auto"/>
        <w:contextualSpacing/>
        <w:jc w:val="left"/>
        <w:rPr>
          <w:rFonts w:hint="eastAsia" w:ascii="宋体" w:hAnsi="宋体" w:eastAsia="宋体" w:cs="宋体"/>
          <w:color w:val="000000" w:themeColor="text1"/>
          <w:sz w:val="28"/>
          <w:szCs w:val="28"/>
          <w:highlight w:val="none"/>
          <w14:textFill>
            <w14:solidFill>
              <w14:schemeClr w14:val="tx1"/>
            </w14:solidFill>
          </w14:textFill>
        </w:rPr>
      </w:pPr>
    </w:p>
    <w:p w14:paraId="37443DC3">
      <w:pPr>
        <w:spacing w:line="360" w:lineRule="auto"/>
        <w:ind w:right="480"/>
        <w:contextualSpacing/>
        <w:jc w:val="center"/>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法定代表人或者委托代理人（签字或者电子签名）：</w:t>
      </w:r>
    </w:p>
    <w:p w14:paraId="5002310A">
      <w:pPr>
        <w:spacing w:line="360" w:lineRule="auto"/>
        <w:ind w:right="480" w:firstLine="3360" w:firstLineChars="14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供应商（电子签章）：</w:t>
      </w:r>
    </w:p>
    <w:p w14:paraId="7F20263E">
      <w:pPr>
        <w:spacing w:line="360" w:lineRule="auto"/>
        <w:ind w:firstLine="480" w:firstLineChars="200"/>
        <w:contextualSpacing/>
        <w:jc w:val="left"/>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                                        年    月    日</w:t>
      </w:r>
    </w:p>
    <w:p w14:paraId="0F6822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br w:type="page"/>
      </w:r>
      <w:r>
        <w:rPr>
          <w:rFonts w:hint="eastAsia" w:ascii="宋体" w:hAnsi="宋体" w:eastAsia="宋体" w:cs="宋体"/>
          <w:b/>
          <w:color w:val="000000" w:themeColor="text1"/>
          <w:sz w:val="32"/>
          <w:szCs w:val="32"/>
          <w:highlight w:val="none"/>
          <w14:textFill>
            <w14:solidFill>
              <w14:schemeClr w14:val="tx1"/>
            </w14:solidFill>
          </w14:textFill>
        </w:rPr>
        <w:t>竞标声明</w:t>
      </w:r>
    </w:p>
    <w:p w14:paraId="28EDD948">
      <w:pPr>
        <w:spacing w:line="320" w:lineRule="exact"/>
        <w:jc w:val="center"/>
        <w:rPr>
          <w:rFonts w:hint="eastAsia" w:ascii="宋体" w:hAnsi="宋体" w:eastAsia="宋体" w:cs="宋体"/>
          <w:color w:val="000000" w:themeColor="text1"/>
          <w:sz w:val="24"/>
          <w:szCs w:val="20"/>
          <w:highlight w:val="none"/>
          <w14:textFill>
            <w14:solidFill>
              <w14:schemeClr w14:val="tx1"/>
            </w14:solidFill>
          </w14:textFill>
        </w:rPr>
      </w:pPr>
    </w:p>
    <w:p w14:paraId="47B5733A">
      <w:pPr>
        <w:spacing w:line="360" w:lineRule="auto"/>
        <w:contextualSpacing/>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lang w:eastAsia="zh-CN"/>
          <w14:textFill>
            <w14:solidFill>
              <w14:schemeClr w14:val="tx1"/>
            </w14:solidFill>
          </w14:textFill>
        </w:rPr>
        <w:t>贵港市港南区民政局</w:t>
      </w:r>
    </w:p>
    <w:p w14:paraId="17124A45">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我方</w:t>
      </w:r>
      <w:r>
        <w:rPr>
          <w:rFonts w:hint="eastAsia" w:ascii="宋体" w:hAnsi="宋体" w:eastAsia="宋体" w:cs="宋体"/>
          <w:color w:val="000000" w:themeColor="text1"/>
          <w:sz w:val="24"/>
          <w:highlight w:val="none"/>
          <w:u w:val="single"/>
          <w14:textFill>
            <w14:solidFill>
              <w14:schemeClr w14:val="tx1"/>
            </w14:solidFill>
          </w14:textFill>
        </w:rPr>
        <w:t>（供应商名称）</w:t>
      </w:r>
      <w:r>
        <w:rPr>
          <w:rFonts w:hint="eastAsia" w:ascii="宋体" w:hAnsi="宋体" w:eastAsia="宋体" w:cs="宋体"/>
          <w:color w:val="000000" w:themeColor="text1"/>
          <w:sz w:val="24"/>
          <w:highlight w:val="none"/>
          <w14:textFill>
            <w14:solidFill>
              <w14:schemeClr w14:val="tx1"/>
            </w14:solidFill>
          </w14:textFill>
        </w:rPr>
        <w:t>系中华人民共和国合法供应商，经营地址</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w:t>
      </w:r>
    </w:p>
    <w:p w14:paraId="33B7F682">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我方愿意参加贵方组织的</w:t>
      </w:r>
      <w:r>
        <w:rPr>
          <w:rFonts w:hint="eastAsia" w:ascii="宋体" w:hAnsi="宋体" w:eastAsia="宋体" w:cs="宋体"/>
          <w:color w:val="000000" w:themeColor="text1"/>
          <w:sz w:val="24"/>
          <w:highlight w:val="none"/>
          <w:u w:val="single"/>
          <w14:textFill>
            <w14:solidFill>
              <w14:schemeClr w14:val="tx1"/>
            </w14:solidFill>
          </w14:textFill>
        </w:rPr>
        <w:t>（项目名称）（项目编号）</w:t>
      </w:r>
      <w:r>
        <w:rPr>
          <w:rFonts w:hint="eastAsia" w:ascii="宋体" w:hAnsi="宋体" w:eastAsia="宋体" w:cs="宋体"/>
          <w:color w:val="000000" w:themeColor="text1"/>
          <w:sz w:val="24"/>
          <w:highlight w:val="none"/>
          <w14:textFill>
            <w14:solidFill>
              <w14:schemeClr w14:val="tx1"/>
            </w14:solidFill>
          </w14:textFill>
        </w:rPr>
        <w:t>项目的竞标，为便于贵方公正、择优地确定成交供应商及其服务，我方就本次竞标有关事项郑重声明如下：</w:t>
      </w:r>
    </w:p>
    <w:p w14:paraId="3378B0F8">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1.我方向贵方提交的所有响应文件、资料都是准确的和真实的。</w:t>
      </w:r>
    </w:p>
    <w:p w14:paraId="3829E878">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2.我方不是为本次采购项目提供整体设计、规范编制或者项目管理、监理、检测等服务的供应商。</w:t>
      </w:r>
    </w:p>
    <w:p w14:paraId="3AC81D49">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3.在此，我方宣布同意如下：</w:t>
      </w:r>
    </w:p>
    <w:p w14:paraId="2A183D42">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（1）将按磋商文件的约定履行合同责任和义务；</w:t>
      </w:r>
    </w:p>
    <w:p w14:paraId="7EF2C83E">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（2）已详细审查全部磋商文件，包括澄清或者更正公告（如有）；</w:t>
      </w:r>
    </w:p>
    <w:p w14:paraId="42F8E65D">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（3）同意提供按照贵方可能要求的与磋商有关的一切数据或者资料；</w:t>
      </w:r>
    </w:p>
    <w:p w14:paraId="61AA50BB">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（4）响应磋商文件规定的竞标有效期。</w:t>
      </w:r>
    </w:p>
    <w:p w14:paraId="5DE7F2B1">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4.我方承诺符合《中华人民共和国政府采购法》第二十二条规定：</w:t>
      </w:r>
    </w:p>
    <w:p w14:paraId="26566B8F">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（1）具有独立承担民事责任的能力；</w:t>
      </w:r>
    </w:p>
    <w:p w14:paraId="5C691F12">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（2）具有良好的商业信誉和健全的财务会计制度；</w:t>
      </w:r>
    </w:p>
    <w:p w14:paraId="47D9D260">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（3）具有履行合同所必需的设备和专业技术能力；</w:t>
      </w:r>
    </w:p>
    <w:p w14:paraId="0A6888BE">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（4）有依法缴纳税收和社会保障资金的良好记录；</w:t>
      </w:r>
    </w:p>
    <w:p w14:paraId="675288A9">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（5）参加政府采购活动前三年内，在经营活动中没有重大违法记录；</w:t>
      </w:r>
    </w:p>
    <w:p w14:paraId="6451989A">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（6）法律、行政法规规定的其他条件。</w:t>
      </w:r>
    </w:p>
    <w:p w14:paraId="29584AA7">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3B34A210">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6D3A1EE5">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□我方本次响应文件</w:t>
      </w:r>
      <w:r>
        <w:rPr>
          <w:rFonts w:hint="eastAsia" w:ascii="宋体" w:hAnsi="宋体" w:eastAsia="宋体" w:cs="宋体"/>
          <w:color w:val="000000" w:themeColor="text1"/>
          <w:kern w:val="0"/>
          <w:sz w:val="24"/>
          <w:highlight w:val="none"/>
          <w14:textFill>
            <w14:solidFill>
              <w14:schemeClr w14:val="tx1"/>
            </w14:solidFill>
          </w14:textFill>
        </w:rPr>
        <w:t>内容中</w:t>
      </w:r>
      <w:r>
        <w:rPr>
          <w:rFonts w:hint="eastAsia" w:ascii="宋体" w:hAnsi="宋体" w:eastAsia="宋体" w:cs="宋体"/>
          <w:color w:val="000000" w:themeColor="text1"/>
          <w:sz w:val="24"/>
          <w:highlight w:val="none"/>
          <w14:textFill>
            <w14:solidFill>
              <w14:schemeClr w14:val="tx1"/>
            </w14:solidFill>
          </w14:textFill>
        </w:rPr>
        <w:t>未</w:t>
      </w:r>
      <w:r>
        <w:rPr>
          <w:rFonts w:hint="eastAsia" w:ascii="宋体" w:hAnsi="宋体" w:eastAsia="宋体" w:cs="宋体"/>
          <w:color w:val="000000" w:themeColor="text1"/>
          <w:kern w:val="0"/>
          <w:sz w:val="24"/>
          <w:highlight w:val="none"/>
          <w14:textFill>
            <w14:solidFill>
              <w14:schemeClr w14:val="tx1"/>
            </w14:solidFill>
          </w14:textFill>
        </w:rPr>
        <w:t>涉及商业秘密；</w:t>
      </w:r>
    </w:p>
    <w:p w14:paraId="69C02449">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□我方本次响应文件</w:t>
      </w:r>
      <w:r>
        <w:rPr>
          <w:rFonts w:hint="eastAsia" w:ascii="宋体" w:hAnsi="宋体" w:eastAsia="宋体" w:cs="宋体"/>
          <w:color w:val="000000" w:themeColor="text1"/>
          <w:kern w:val="0"/>
          <w:sz w:val="24"/>
          <w:highlight w:val="none"/>
          <w14:textFill>
            <w14:solidFill>
              <w14:schemeClr w14:val="tx1"/>
            </w14:solidFill>
          </w14:textFill>
        </w:rPr>
        <w:t>涉及商业秘密的内容有</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highlight w:val="none"/>
          <w14:textFill>
            <w14:solidFill>
              <w14:schemeClr w14:val="tx1"/>
            </w14:solidFill>
          </w14:textFill>
        </w:rPr>
        <w:t>：</w:t>
      </w:r>
    </w:p>
    <w:p w14:paraId="0B3CF058">
      <w:pPr>
        <w:pStyle w:val="24"/>
        <w:spacing w:line="360" w:lineRule="auto"/>
        <w:ind w:firstLine="480" w:firstLineChars="200"/>
        <w:contextualSpacing/>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7.与本磋商有关的一切正式往来信函请寄：邮政编号：</w:t>
      </w:r>
    </w:p>
    <w:p w14:paraId="3BDD220E">
      <w:pPr>
        <w:pStyle w:val="24"/>
        <w:spacing w:line="360" w:lineRule="auto"/>
        <w:ind w:firstLine="480" w:firstLineChars="200"/>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电话/传真：</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电子邮箱：</w:t>
      </w:r>
      <w:r>
        <w:rPr>
          <w:rFonts w:hint="eastAsia" w:ascii="宋体" w:hAnsi="宋体" w:eastAsia="宋体" w:cs="宋体"/>
          <w:color w:val="000000" w:themeColor="text1"/>
          <w:sz w:val="24"/>
          <w:highlight w:val="none"/>
          <w:u w:val="single"/>
          <w14:textFill>
            <w14:solidFill>
              <w14:schemeClr w14:val="tx1"/>
            </w14:solidFill>
          </w14:textFill>
        </w:rPr>
        <w:t xml:space="preserve">                   </w:t>
      </w:r>
    </w:p>
    <w:p w14:paraId="2D7054DE">
      <w:pPr>
        <w:pStyle w:val="20"/>
        <w:tabs>
          <w:tab w:val="left" w:pos="939"/>
        </w:tabs>
        <w:spacing w:line="360" w:lineRule="auto"/>
        <w:ind w:left="141" w:leftChars="67" w:firstLine="360" w:firstLineChars="15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开户银行：</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账号：</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p>
    <w:p w14:paraId="4974A410">
      <w:pPr>
        <w:pStyle w:val="20"/>
        <w:tabs>
          <w:tab w:val="left" w:pos="939"/>
        </w:tabs>
        <w:spacing w:line="360" w:lineRule="auto"/>
        <w:ind w:left="0" w:leftChars="0"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8.以上事项如有虚假或者隐瞒，我方愿意承担一切后果，并不再寻求任何旨在减轻或者免除法律责任的辩解。</w:t>
      </w:r>
    </w:p>
    <w:p w14:paraId="1AC6C45E">
      <w:pPr>
        <w:pStyle w:val="20"/>
        <w:tabs>
          <w:tab w:val="left" w:pos="939"/>
        </w:tabs>
        <w:spacing w:line="360" w:lineRule="auto"/>
        <w:ind w:left="141" w:leftChars="67" w:firstLine="360" w:firstLineChars="15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特此承诺。</w:t>
      </w:r>
    </w:p>
    <w:p w14:paraId="566819B9">
      <w:pPr>
        <w:spacing w:line="360" w:lineRule="auto"/>
        <w:ind w:firstLine="482" w:firstLineChars="200"/>
        <w:contextualSpacing/>
        <w:jc w:val="left"/>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注：如为联合体竞标，盖章处须加盖联合体牵头人电子签章并由联合体牵头人法定代表人分别签字或者盖章或者电子签名，否则响应文件按无效处理。</w:t>
      </w:r>
    </w:p>
    <w:p w14:paraId="72AFA44C">
      <w:pPr>
        <w:spacing w:line="360" w:lineRule="auto"/>
        <w:contextualSpacing/>
        <w:jc w:val="left"/>
        <w:rPr>
          <w:rFonts w:hint="eastAsia" w:ascii="宋体" w:hAnsi="宋体" w:eastAsia="宋体" w:cs="宋体"/>
          <w:color w:val="000000" w:themeColor="text1"/>
          <w:szCs w:val="21"/>
          <w:highlight w:val="none"/>
          <w14:textFill>
            <w14:solidFill>
              <w14:schemeClr w14:val="tx1"/>
            </w14:solidFill>
          </w14:textFill>
        </w:rPr>
      </w:pPr>
    </w:p>
    <w:p w14:paraId="573EEC7F">
      <w:pPr>
        <w:spacing w:line="360" w:lineRule="auto"/>
        <w:ind w:firstLine="1800" w:firstLineChars="75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法定代表人（签字或者盖章或者电子签名）：</w:t>
      </w:r>
    </w:p>
    <w:p w14:paraId="2403ABC4">
      <w:pPr>
        <w:spacing w:line="360" w:lineRule="auto"/>
        <w:ind w:firstLine="1800" w:firstLineChars="75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供应商（电子签章）：</w:t>
      </w:r>
    </w:p>
    <w:p w14:paraId="3BE139B2">
      <w:pPr>
        <w:pStyle w:val="7"/>
        <w:overflowPunct w:val="0"/>
        <w:spacing w:line="360" w:lineRule="auto"/>
        <w:ind w:firstLine="0"/>
        <w:contextualSpacing/>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年    月    日</w:t>
      </w:r>
    </w:p>
    <w:p w14:paraId="4A6F440B">
      <w:pPr>
        <w:pStyle w:val="7"/>
        <w:overflowPunct w:val="0"/>
        <w:spacing w:line="360" w:lineRule="auto"/>
        <w:ind w:firstLine="0"/>
        <w:contextualSpacing/>
        <w:rPr>
          <w:rFonts w:hint="eastAsia" w:ascii="宋体" w:hAnsi="宋体" w:eastAsia="宋体" w:cs="宋体"/>
          <w:color w:val="000000" w:themeColor="text1"/>
          <w:sz w:val="24"/>
          <w:szCs w:val="24"/>
          <w:highlight w:val="none"/>
          <w14:textFill>
            <w14:solidFill>
              <w14:schemeClr w14:val="tx1"/>
            </w14:solidFill>
          </w14:textFill>
        </w:rPr>
      </w:pPr>
    </w:p>
    <w:p w14:paraId="299246CB">
      <w:pPr>
        <w:spacing w:line="360" w:lineRule="auto"/>
        <w:ind w:firstLine="321" w:firstLineChars="100"/>
        <w:contextualSpacing/>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6BB2A9B1">
      <w:pPr>
        <w:spacing w:line="360" w:lineRule="auto"/>
        <w:ind w:firstLine="321" w:firstLineChars="100"/>
        <w:contextualSpacing/>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4024E43C">
      <w:pPr>
        <w:spacing w:line="360" w:lineRule="auto"/>
        <w:ind w:firstLine="321" w:firstLineChars="100"/>
        <w:contextualSpacing/>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6254B23A">
      <w:pPr>
        <w:spacing w:line="360" w:lineRule="auto"/>
        <w:ind w:firstLine="321" w:firstLineChars="100"/>
        <w:contextualSpacing/>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66465281">
      <w:pPr>
        <w:spacing w:line="360" w:lineRule="auto"/>
        <w:ind w:firstLine="321" w:firstLineChars="100"/>
        <w:contextualSpacing/>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32D80D3C">
      <w:pPr>
        <w:spacing w:line="360" w:lineRule="auto"/>
        <w:ind w:firstLine="321" w:firstLineChars="100"/>
        <w:contextualSpacing/>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25807FA1">
      <w:pPr>
        <w:spacing w:line="360" w:lineRule="auto"/>
        <w:ind w:firstLine="321" w:firstLineChars="100"/>
        <w:contextualSpacing/>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4DAD0C3E">
      <w:pPr>
        <w:spacing w:line="360" w:lineRule="auto"/>
        <w:ind w:firstLine="321" w:firstLineChars="100"/>
        <w:contextualSpacing/>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02BB8EAE">
      <w:pPr>
        <w:spacing w:line="360" w:lineRule="auto"/>
        <w:ind w:firstLine="321" w:firstLineChars="100"/>
        <w:contextualSpacing/>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705D48C1">
      <w:pPr>
        <w:spacing w:line="360" w:lineRule="auto"/>
        <w:ind w:firstLine="321" w:firstLineChars="100"/>
        <w:contextualSpacing/>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45BD0003">
      <w:pPr>
        <w:spacing w:line="360" w:lineRule="auto"/>
        <w:ind w:firstLine="321" w:firstLineChars="100"/>
        <w:contextualSpacing/>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7EB65338">
      <w:pPr>
        <w:widowControl/>
        <w:jc w:val="center"/>
        <w:rPr>
          <w:rFonts w:hint="eastAsia" w:ascii="宋体" w:hAnsi="宋体" w:eastAsia="宋体" w:cs="宋体"/>
          <w:b/>
          <w:color w:val="000000" w:themeColor="text1"/>
          <w:sz w:val="32"/>
          <w:szCs w:val="32"/>
          <w:highlight w:val="none"/>
          <w14:textFill>
            <w14:solidFill>
              <w14:schemeClr w14:val="tx1"/>
            </w14:solidFill>
          </w14:textFill>
        </w:rPr>
      </w:pPr>
    </w:p>
    <w:p w14:paraId="33A38D45">
      <w:pPr>
        <w:widowControl/>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贵港市政府采购项目投标资格承诺函</w:t>
      </w:r>
    </w:p>
    <w:p w14:paraId="246F68B5">
      <w:pPr>
        <w:widowControl/>
        <w:spacing w:line="360" w:lineRule="auto"/>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p>
    <w:p w14:paraId="6110BD05">
      <w:pPr>
        <w:widowControl/>
        <w:spacing w:line="360" w:lineRule="auto"/>
        <w:ind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 xml:space="preserve">本公司郑重承诺，根据《中华人民共和国政府采购法》第二十二条的规定，本公司为参加政府采购活动的合格供应商。即本公司同时满足以下条件： </w:t>
      </w:r>
    </w:p>
    <w:p w14:paraId="5A305DC7">
      <w:pPr>
        <w:widowControl/>
        <w:spacing w:line="360" w:lineRule="auto"/>
        <w:ind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 xml:space="preserve">1.具有独立承担民事责任的能力。 </w:t>
      </w:r>
    </w:p>
    <w:p w14:paraId="0C8A89E4">
      <w:pPr>
        <w:widowControl/>
        <w:spacing w:line="360" w:lineRule="auto"/>
        <w:ind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 xml:space="preserve">2.具有良好的商业信誉和健全的财务会计制度。 </w:t>
      </w:r>
    </w:p>
    <w:p w14:paraId="39D8A733">
      <w:pPr>
        <w:widowControl/>
        <w:spacing w:line="360" w:lineRule="auto"/>
        <w:ind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 xml:space="preserve">3.具有履行合同所必需的设备和专业技术能力。 </w:t>
      </w:r>
    </w:p>
    <w:p w14:paraId="47933248">
      <w:pPr>
        <w:widowControl/>
        <w:spacing w:line="360" w:lineRule="auto"/>
        <w:ind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 xml:space="preserve">4.有依法缴纳税收和社会保障资金的良好记录。 </w:t>
      </w:r>
    </w:p>
    <w:p w14:paraId="74FCDD6D">
      <w:pPr>
        <w:widowControl/>
        <w:spacing w:line="360" w:lineRule="auto"/>
        <w:ind w:firstLine="480" w:firstLineChars="200"/>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 xml:space="preserve">5. 提交响应文件截止日期前三年内，在经营活动中没有重大违法记录。 </w:t>
      </w:r>
    </w:p>
    <w:p w14:paraId="23C7A6AB">
      <w:pPr>
        <w:widowControl/>
        <w:spacing w:line="360" w:lineRule="auto"/>
        <w:ind w:firstLine="480" w:firstLineChars="200"/>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本公司对上述承诺的真实性负责，并接受政府采购、税务、社会保障等监督管理部门、采购文件规定的资格审查机构、社会公众的监督和检查。如有虚假，将依法承担相应责任。</w:t>
      </w:r>
    </w:p>
    <w:p w14:paraId="3D51C291">
      <w:pPr>
        <w:spacing w:line="320" w:lineRule="exact"/>
        <w:jc w:val="center"/>
        <w:rPr>
          <w:rFonts w:hint="eastAsia" w:ascii="宋体" w:hAnsi="宋体" w:eastAsia="宋体" w:cs="宋体"/>
          <w:b/>
          <w:color w:val="000000" w:themeColor="text1"/>
          <w:sz w:val="24"/>
          <w:highlight w:val="none"/>
          <w14:textFill>
            <w14:solidFill>
              <w14:schemeClr w14:val="tx1"/>
            </w14:solidFill>
          </w14:textFill>
        </w:rPr>
      </w:pPr>
    </w:p>
    <w:p w14:paraId="04A2035B">
      <w:pPr>
        <w:spacing w:line="320" w:lineRule="exact"/>
        <w:jc w:val="center"/>
        <w:rPr>
          <w:rFonts w:hint="eastAsia" w:ascii="宋体" w:hAnsi="宋体" w:eastAsia="宋体" w:cs="宋体"/>
          <w:b/>
          <w:color w:val="000000" w:themeColor="text1"/>
          <w:sz w:val="24"/>
          <w:highlight w:val="none"/>
          <w14:textFill>
            <w14:solidFill>
              <w14:schemeClr w14:val="tx1"/>
            </w14:solidFill>
          </w14:textFill>
        </w:rPr>
      </w:pPr>
    </w:p>
    <w:p w14:paraId="566762E5">
      <w:pPr>
        <w:spacing w:line="320" w:lineRule="exact"/>
        <w:jc w:val="center"/>
        <w:rPr>
          <w:rFonts w:hint="eastAsia" w:ascii="宋体" w:hAnsi="宋体" w:eastAsia="宋体" w:cs="宋体"/>
          <w:b/>
          <w:color w:val="000000" w:themeColor="text1"/>
          <w:sz w:val="24"/>
          <w:highlight w:val="none"/>
          <w14:textFill>
            <w14:solidFill>
              <w14:schemeClr w14:val="tx1"/>
            </w14:solidFill>
          </w14:textFill>
        </w:rPr>
      </w:pPr>
    </w:p>
    <w:p w14:paraId="5749C4CE">
      <w:pPr>
        <w:spacing w:line="320" w:lineRule="exact"/>
        <w:jc w:val="center"/>
        <w:rPr>
          <w:rFonts w:hint="eastAsia" w:ascii="宋体" w:hAnsi="宋体" w:eastAsia="宋体" w:cs="宋体"/>
          <w:b/>
          <w:color w:val="000000" w:themeColor="text1"/>
          <w:sz w:val="24"/>
          <w:highlight w:val="none"/>
          <w14:textFill>
            <w14:solidFill>
              <w14:schemeClr w14:val="tx1"/>
            </w14:solidFill>
          </w14:textFill>
        </w:rPr>
      </w:pPr>
    </w:p>
    <w:p w14:paraId="440FF5F7">
      <w:pPr>
        <w:spacing w:line="360" w:lineRule="auto"/>
        <w:ind w:right="-817" w:rightChars="-389"/>
        <w:contextualSpacing/>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法定代表人（签字或盖章或电子签名）：</w:t>
      </w:r>
    </w:p>
    <w:p w14:paraId="335BEA7C">
      <w:pPr>
        <w:spacing w:line="320" w:lineRule="exact"/>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供应商（公章或电子签章）：</w:t>
      </w:r>
    </w:p>
    <w:p w14:paraId="683F6425">
      <w:pPr>
        <w:spacing w:line="360" w:lineRule="auto"/>
        <w:ind w:firstLine="321" w:firstLineChars="100"/>
        <w:contextualSpacing/>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62F1DC1F">
      <w:pP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br w:type="page"/>
      </w:r>
    </w:p>
    <w:p w14:paraId="40657CE1">
      <w:pPr>
        <w:spacing w:line="360" w:lineRule="auto"/>
        <w:ind w:firstLine="321" w:firstLineChars="100"/>
        <w:contextualSpacing/>
        <w:jc w:val="center"/>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二、</w:t>
      </w:r>
      <w:r>
        <w:rPr>
          <w:rFonts w:hint="eastAsia" w:ascii="宋体" w:hAnsi="宋体" w:eastAsia="宋体" w:cs="宋体"/>
          <w:b/>
          <w:color w:val="000000" w:themeColor="text1"/>
          <w:sz w:val="32"/>
          <w:szCs w:val="32"/>
          <w:highlight w:val="none"/>
          <w14:textFill>
            <w14:solidFill>
              <w14:schemeClr w14:val="tx1"/>
            </w14:solidFill>
          </w14:textFill>
        </w:rPr>
        <w:t xml:space="preserve">报价文件格式 </w:t>
      </w:r>
    </w:p>
    <w:p w14:paraId="107497D0">
      <w:pPr>
        <w:snapToGrid w:val="0"/>
        <w:spacing w:before="120" w:beforeLines="50" w:after="50" w:line="360" w:lineRule="auto"/>
        <w:jc w:val="left"/>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1.报价文件封面格式</w:t>
      </w:r>
    </w:p>
    <w:p w14:paraId="63F0B265">
      <w:pPr>
        <w:snapToGrid w:val="0"/>
        <w:spacing w:before="120" w:beforeLines="50" w:after="50"/>
        <w:rPr>
          <w:rFonts w:hint="eastAsia" w:ascii="宋体" w:hAnsi="宋体" w:eastAsia="宋体" w:cs="宋体"/>
          <w:bCs/>
          <w:color w:val="000000" w:themeColor="text1"/>
          <w:sz w:val="32"/>
          <w:szCs w:val="20"/>
          <w:highlight w:val="none"/>
          <w14:textFill>
            <w14:solidFill>
              <w14:schemeClr w14:val="tx1"/>
            </w14:solidFill>
          </w14:textFill>
        </w:rPr>
      </w:pPr>
    </w:p>
    <w:p w14:paraId="23F8B07F">
      <w:pPr>
        <w:snapToGrid w:val="0"/>
        <w:spacing w:before="120" w:beforeLines="50" w:after="50"/>
        <w:jc w:val="center"/>
        <w:rPr>
          <w:rFonts w:hint="eastAsia" w:ascii="宋体" w:hAnsi="宋体" w:eastAsia="宋体" w:cs="宋体"/>
          <w:color w:val="000000" w:themeColor="text1"/>
          <w:sz w:val="24"/>
          <w:szCs w:val="20"/>
          <w:highlight w:val="none"/>
          <w14:textFill>
            <w14:solidFill>
              <w14:schemeClr w14:val="tx1"/>
            </w14:solidFill>
          </w14:textFill>
        </w:rPr>
      </w:pPr>
      <w:r>
        <w:rPr>
          <w:rFonts w:hint="eastAsia" w:ascii="宋体" w:hAnsi="宋体" w:eastAsia="宋体" w:cs="宋体"/>
          <w:color w:val="000000" w:themeColor="text1"/>
          <w:sz w:val="44"/>
          <w:szCs w:val="44"/>
          <w:highlight w:val="none"/>
          <w14:textFill>
            <w14:solidFill>
              <w14:schemeClr w14:val="tx1"/>
            </w14:solidFill>
          </w14:textFill>
        </w:rPr>
        <w:t>电 子 响 应 文 件</w:t>
      </w:r>
    </w:p>
    <w:p w14:paraId="1697CFE1">
      <w:pPr>
        <w:snapToGrid w:val="0"/>
        <w:spacing w:before="120" w:beforeLines="50" w:after="50"/>
        <w:rPr>
          <w:rFonts w:hint="eastAsia" w:ascii="宋体" w:hAnsi="宋体" w:eastAsia="宋体" w:cs="宋体"/>
          <w:color w:val="000000" w:themeColor="text1"/>
          <w:sz w:val="24"/>
          <w:szCs w:val="20"/>
          <w:highlight w:val="none"/>
          <w14:textFill>
            <w14:solidFill>
              <w14:schemeClr w14:val="tx1"/>
            </w14:solidFill>
          </w14:textFill>
        </w:rPr>
      </w:pPr>
    </w:p>
    <w:p w14:paraId="590EB91D">
      <w:pPr>
        <w:snapToGrid w:val="0"/>
        <w:spacing w:before="120" w:beforeLines="50" w:after="50"/>
        <w:rPr>
          <w:rFonts w:hint="eastAsia" w:ascii="宋体" w:hAnsi="宋体" w:eastAsia="宋体" w:cs="宋体"/>
          <w:color w:val="000000" w:themeColor="text1"/>
          <w:sz w:val="24"/>
          <w:szCs w:val="20"/>
          <w:highlight w:val="none"/>
          <w14:textFill>
            <w14:solidFill>
              <w14:schemeClr w14:val="tx1"/>
            </w14:solidFill>
          </w14:textFill>
        </w:rPr>
      </w:pPr>
    </w:p>
    <w:p w14:paraId="24E0673A">
      <w:pPr>
        <w:snapToGrid w:val="0"/>
        <w:spacing w:before="120" w:beforeLines="50" w:after="50"/>
        <w:jc w:val="center"/>
        <w:rPr>
          <w:rFonts w:hint="eastAsia" w:ascii="宋体" w:hAnsi="宋体" w:eastAsia="宋体" w:cs="宋体"/>
          <w:bCs/>
          <w:color w:val="000000" w:themeColor="text1"/>
          <w:sz w:val="44"/>
          <w:szCs w:val="44"/>
          <w:highlight w:val="none"/>
          <w14:textFill>
            <w14:solidFill>
              <w14:schemeClr w14:val="tx1"/>
            </w14:solidFill>
          </w14:textFill>
        </w:rPr>
      </w:pPr>
      <w:r>
        <w:rPr>
          <w:rFonts w:hint="eastAsia" w:ascii="宋体" w:hAnsi="宋体" w:eastAsia="宋体" w:cs="宋体"/>
          <w:bCs/>
          <w:color w:val="000000" w:themeColor="text1"/>
          <w:sz w:val="44"/>
          <w:szCs w:val="44"/>
          <w:highlight w:val="none"/>
          <w14:textFill>
            <w14:solidFill>
              <w14:schemeClr w14:val="tx1"/>
            </w14:solidFill>
          </w14:textFill>
        </w:rPr>
        <w:t>报  价  文  件</w:t>
      </w:r>
    </w:p>
    <w:p w14:paraId="4FE4DFCE">
      <w:pPr>
        <w:snapToGrid w:val="0"/>
        <w:spacing w:before="120" w:beforeLines="50" w:after="50"/>
        <w:rPr>
          <w:rFonts w:hint="eastAsia" w:ascii="宋体" w:hAnsi="宋体" w:eastAsia="宋体" w:cs="宋体"/>
          <w:bCs/>
          <w:color w:val="000000" w:themeColor="text1"/>
          <w:sz w:val="24"/>
          <w:szCs w:val="20"/>
          <w:highlight w:val="none"/>
          <w14:textFill>
            <w14:solidFill>
              <w14:schemeClr w14:val="tx1"/>
            </w14:solidFill>
          </w14:textFill>
        </w:rPr>
      </w:pPr>
    </w:p>
    <w:p w14:paraId="1A6AC378">
      <w:pPr>
        <w:snapToGrid w:val="0"/>
        <w:spacing w:before="120" w:beforeLines="50" w:after="50"/>
        <w:rPr>
          <w:rFonts w:hint="eastAsia" w:ascii="宋体" w:hAnsi="宋体" w:eastAsia="宋体" w:cs="宋体"/>
          <w:bCs/>
          <w:color w:val="000000" w:themeColor="text1"/>
          <w:sz w:val="24"/>
          <w:szCs w:val="20"/>
          <w:highlight w:val="none"/>
          <w14:textFill>
            <w14:solidFill>
              <w14:schemeClr w14:val="tx1"/>
            </w14:solidFill>
          </w14:textFill>
        </w:rPr>
      </w:pPr>
    </w:p>
    <w:p w14:paraId="0CD9A013">
      <w:pPr>
        <w:snapToGrid w:val="0"/>
        <w:spacing w:before="120" w:beforeLines="50" w:after="50"/>
        <w:rPr>
          <w:rFonts w:hint="eastAsia" w:ascii="宋体" w:hAnsi="宋体" w:eastAsia="宋体" w:cs="宋体"/>
          <w:bCs/>
          <w:color w:val="000000" w:themeColor="text1"/>
          <w:sz w:val="24"/>
          <w:szCs w:val="20"/>
          <w:highlight w:val="none"/>
          <w14:textFill>
            <w14:solidFill>
              <w14:schemeClr w14:val="tx1"/>
            </w14:solidFill>
          </w14:textFill>
        </w:rPr>
      </w:pPr>
    </w:p>
    <w:p w14:paraId="13DEA556">
      <w:pPr>
        <w:snapToGrid w:val="0"/>
        <w:spacing w:before="120" w:beforeLines="50" w:after="50"/>
        <w:rPr>
          <w:rFonts w:hint="eastAsia" w:ascii="宋体" w:hAnsi="宋体" w:eastAsia="宋体" w:cs="宋体"/>
          <w:bCs/>
          <w:color w:val="000000" w:themeColor="text1"/>
          <w:sz w:val="24"/>
          <w:szCs w:val="20"/>
          <w:highlight w:val="none"/>
          <w14:textFill>
            <w14:solidFill>
              <w14:schemeClr w14:val="tx1"/>
            </w14:solidFill>
          </w14:textFill>
        </w:rPr>
      </w:pPr>
    </w:p>
    <w:p w14:paraId="5F79A311">
      <w:pPr>
        <w:snapToGrid w:val="0"/>
        <w:spacing w:before="120" w:beforeLines="50" w:after="50"/>
        <w:rPr>
          <w:rFonts w:hint="eastAsia" w:ascii="宋体" w:hAnsi="宋体" w:eastAsia="宋体" w:cs="宋体"/>
          <w:bCs/>
          <w:color w:val="000000" w:themeColor="text1"/>
          <w:sz w:val="24"/>
          <w:szCs w:val="20"/>
          <w:highlight w:val="none"/>
          <w14:textFill>
            <w14:solidFill>
              <w14:schemeClr w14:val="tx1"/>
            </w14:solidFill>
          </w14:textFill>
        </w:rPr>
      </w:pPr>
    </w:p>
    <w:p w14:paraId="5871A04F">
      <w:pPr>
        <w:snapToGrid w:val="0"/>
        <w:spacing w:before="120" w:beforeLines="50" w:after="50"/>
        <w:ind w:firstLine="640" w:firstLineChars="200"/>
        <w:rPr>
          <w:rFonts w:hint="eastAsia" w:ascii="宋体" w:hAnsi="宋体" w:eastAsia="宋体" w:cs="宋体"/>
          <w:bCs/>
          <w:color w:val="000000" w:themeColor="text1"/>
          <w:sz w:val="32"/>
          <w:szCs w:val="32"/>
          <w:highlight w:val="none"/>
          <w14:textFill>
            <w14:solidFill>
              <w14:schemeClr w14:val="tx1"/>
            </w14:solidFill>
          </w14:textFill>
        </w:rPr>
      </w:pPr>
      <w:r>
        <w:rPr>
          <w:rFonts w:hint="eastAsia" w:ascii="宋体" w:hAnsi="宋体" w:eastAsia="宋体" w:cs="宋体"/>
          <w:bCs/>
          <w:color w:val="000000" w:themeColor="text1"/>
          <w:sz w:val="32"/>
          <w:szCs w:val="32"/>
          <w:highlight w:val="none"/>
          <w14:textFill>
            <w14:solidFill>
              <w14:schemeClr w14:val="tx1"/>
            </w14:solidFill>
          </w14:textFill>
        </w:rPr>
        <w:t>项目名称：</w:t>
      </w:r>
    </w:p>
    <w:p w14:paraId="1A1FEE70">
      <w:pPr>
        <w:snapToGrid w:val="0"/>
        <w:spacing w:before="120" w:beforeLines="50" w:after="50"/>
        <w:ind w:firstLine="720" w:firstLineChars="225"/>
        <w:rPr>
          <w:rFonts w:hint="eastAsia" w:ascii="宋体" w:hAnsi="宋体" w:eastAsia="宋体" w:cs="宋体"/>
          <w:bCs/>
          <w:color w:val="000000" w:themeColor="text1"/>
          <w:sz w:val="32"/>
          <w:szCs w:val="32"/>
          <w:highlight w:val="none"/>
          <w14:textFill>
            <w14:solidFill>
              <w14:schemeClr w14:val="tx1"/>
            </w14:solidFill>
          </w14:textFill>
        </w:rPr>
      </w:pPr>
    </w:p>
    <w:p w14:paraId="560AFC34">
      <w:pPr>
        <w:snapToGrid w:val="0"/>
        <w:spacing w:before="120" w:beforeLines="50" w:after="50"/>
        <w:ind w:firstLine="640" w:firstLineChars="200"/>
        <w:rPr>
          <w:rFonts w:hint="eastAsia" w:ascii="宋体" w:hAnsi="宋体" w:eastAsia="宋体" w:cs="宋体"/>
          <w:bCs/>
          <w:color w:val="000000" w:themeColor="text1"/>
          <w:sz w:val="32"/>
          <w:szCs w:val="32"/>
          <w:highlight w:val="none"/>
          <w14:textFill>
            <w14:solidFill>
              <w14:schemeClr w14:val="tx1"/>
            </w14:solidFill>
          </w14:textFill>
        </w:rPr>
      </w:pPr>
      <w:r>
        <w:rPr>
          <w:rFonts w:hint="eastAsia" w:ascii="宋体" w:hAnsi="宋体" w:eastAsia="宋体" w:cs="宋体"/>
          <w:bCs/>
          <w:color w:val="000000" w:themeColor="text1"/>
          <w:sz w:val="32"/>
          <w:szCs w:val="32"/>
          <w:highlight w:val="none"/>
          <w14:textFill>
            <w14:solidFill>
              <w14:schemeClr w14:val="tx1"/>
            </w14:solidFill>
          </w14:textFill>
        </w:rPr>
        <w:t>项目编号：</w:t>
      </w:r>
    </w:p>
    <w:p w14:paraId="7E7A3599">
      <w:pPr>
        <w:snapToGrid w:val="0"/>
        <w:spacing w:before="120" w:beforeLines="50" w:after="50"/>
        <w:ind w:firstLine="720" w:firstLineChars="225"/>
        <w:rPr>
          <w:rFonts w:hint="eastAsia" w:ascii="宋体" w:hAnsi="宋体" w:eastAsia="宋体" w:cs="宋体"/>
          <w:bCs/>
          <w:color w:val="000000" w:themeColor="text1"/>
          <w:sz w:val="32"/>
          <w:szCs w:val="32"/>
          <w:highlight w:val="none"/>
          <w14:textFill>
            <w14:solidFill>
              <w14:schemeClr w14:val="tx1"/>
            </w14:solidFill>
          </w14:textFill>
        </w:rPr>
      </w:pPr>
    </w:p>
    <w:p w14:paraId="31671F33">
      <w:pPr>
        <w:pStyle w:val="7"/>
        <w:snapToGrid w:val="0"/>
        <w:spacing w:before="50" w:after="50"/>
        <w:ind w:firstLine="640" w:firstLineChars="200"/>
        <w:rPr>
          <w:rFonts w:hint="eastAsia" w:ascii="宋体" w:hAnsi="宋体" w:eastAsia="宋体" w:cs="宋体"/>
          <w:bCs/>
          <w:color w:val="000000" w:themeColor="text1"/>
          <w:sz w:val="32"/>
          <w:szCs w:val="32"/>
          <w:highlight w:val="none"/>
          <w14:textFill>
            <w14:solidFill>
              <w14:schemeClr w14:val="tx1"/>
            </w14:solidFill>
          </w14:textFill>
        </w:rPr>
      </w:pPr>
      <w:r>
        <w:rPr>
          <w:rFonts w:hint="eastAsia" w:ascii="宋体" w:hAnsi="宋体" w:eastAsia="宋体" w:cs="宋体"/>
          <w:bCs/>
          <w:color w:val="000000" w:themeColor="text1"/>
          <w:sz w:val="32"/>
          <w:szCs w:val="32"/>
          <w:highlight w:val="none"/>
          <w14:textFill>
            <w14:solidFill>
              <w14:schemeClr w14:val="tx1"/>
            </w14:solidFill>
          </w14:textFill>
        </w:rPr>
        <w:t>供应商名称：</w:t>
      </w:r>
    </w:p>
    <w:p w14:paraId="5C24C1AA">
      <w:pPr>
        <w:pStyle w:val="7"/>
        <w:snapToGrid w:val="0"/>
        <w:spacing w:before="50" w:after="50"/>
        <w:ind w:firstLine="640" w:firstLineChars="200"/>
        <w:rPr>
          <w:rFonts w:hint="eastAsia" w:ascii="宋体" w:hAnsi="宋体" w:eastAsia="宋体" w:cs="宋体"/>
          <w:bCs/>
          <w:color w:val="000000" w:themeColor="text1"/>
          <w:sz w:val="32"/>
          <w:szCs w:val="32"/>
          <w:highlight w:val="none"/>
          <w14:textFill>
            <w14:solidFill>
              <w14:schemeClr w14:val="tx1"/>
            </w14:solidFill>
          </w14:textFill>
        </w:rPr>
      </w:pPr>
    </w:p>
    <w:p w14:paraId="0926844F">
      <w:pPr>
        <w:pStyle w:val="7"/>
        <w:snapToGrid w:val="0"/>
        <w:spacing w:before="50" w:after="50"/>
        <w:ind w:firstLine="720" w:firstLineChars="225"/>
        <w:rPr>
          <w:rFonts w:hint="eastAsia" w:ascii="宋体" w:hAnsi="宋体" w:eastAsia="宋体" w:cs="宋体"/>
          <w:bCs/>
          <w:color w:val="000000" w:themeColor="text1"/>
          <w:sz w:val="32"/>
          <w:szCs w:val="32"/>
          <w:highlight w:val="none"/>
          <w14:textFill>
            <w14:solidFill>
              <w14:schemeClr w14:val="tx1"/>
            </w14:solidFill>
          </w14:textFill>
        </w:rPr>
      </w:pPr>
    </w:p>
    <w:p w14:paraId="25AE6D3E">
      <w:pPr>
        <w:pStyle w:val="7"/>
        <w:snapToGrid w:val="0"/>
        <w:spacing w:before="50" w:after="50"/>
        <w:ind w:firstLine="0"/>
        <w:rPr>
          <w:rFonts w:hint="eastAsia" w:ascii="宋体" w:hAnsi="宋体" w:eastAsia="宋体" w:cs="宋体"/>
          <w:bCs/>
          <w:color w:val="000000" w:themeColor="text1"/>
          <w:sz w:val="32"/>
          <w:szCs w:val="32"/>
          <w:highlight w:val="none"/>
          <w14:textFill>
            <w14:solidFill>
              <w14:schemeClr w14:val="tx1"/>
            </w14:solidFill>
          </w14:textFill>
        </w:rPr>
      </w:pPr>
    </w:p>
    <w:p w14:paraId="2FA1B340">
      <w:pPr>
        <w:pStyle w:val="7"/>
        <w:snapToGrid w:val="0"/>
        <w:spacing w:before="50" w:after="50"/>
        <w:ind w:firstLine="1280" w:firstLineChars="400"/>
        <w:rPr>
          <w:rFonts w:hint="eastAsia" w:ascii="宋体" w:hAnsi="宋体" w:eastAsia="宋体" w:cs="宋体"/>
          <w:bCs/>
          <w:color w:val="000000" w:themeColor="text1"/>
          <w:sz w:val="32"/>
          <w:szCs w:val="32"/>
          <w:highlight w:val="none"/>
          <w14:textFill>
            <w14:solidFill>
              <w14:schemeClr w14:val="tx1"/>
            </w14:solidFill>
          </w14:textFill>
        </w:rPr>
      </w:pPr>
    </w:p>
    <w:p w14:paraId="69665BEA">
      <w:pPr>
        <w:snapToGrid w:val="0"/>
        <w:spacing w:before="120" w:beforeLines="50" w:after="50"/>
        <w:jc w:val="center"/>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年    月    日</w:t>
      </w:r>
    </w:p>
    <w:p w14:paraId="16E10CA8">
      <w:pPr>
        <w:snapToGrid w:val="0"/>
        <w:spacing w:before="120" w:beforeLines="50" w:after="50" w:line="360" w:lineRule="auto"/>
        <w:ind w:left="142"/>
        <w:jc w:val="left"/>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r>
        <w:rPr>
          <w:rFonts w:hint="eastAsia" w:ascii="宋体" w:hAnsi="宋体" w:eastAsia="宋体" w:cs="宋体"/>
          <w:b/>
          <w:bCs/>
          <w:color w:val="000000" w:themeColor="text1"/>
          <w:sz w:val="32"/>
          <w:szCs w:val="32"/>
          <w:highlight w:val="none"/>
          <w14:textFill>
            <w14:solidFill>
              <w14:schemeClr w14:val="tx1"/>
            </w14:solidFill>
          </w14:textFill>
        </w:rPr>
        <w:t>2.报价文件目录</w:t>
      </w:r>
    </w:p>
    <w:p w14:paraId="617147BB">
      <w:pPr>
        <w:spacing w:line="520" w:lineRule="exact"/>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根据磋商文件规定及供应商提供的材料自行编写目录（部分格式后附）。</w:t>
      </w:r>
      <w:r>
        <w:rPr>
          <w:rFonts w:hint="eastAsia" w:ascii="宋体" w:hAnsi="宋体" w:eastAsia="宋体" w:cs="宋体"/>
          <w:b/>
          <w:bCs/>
          <w:color w:val="000000" w:themeColor="text1"/>
          <w:sz w:val="32"/>
          <w:szCs w:val="32"/>
          <w:highlight w:val="none"/>
          <w14:textFill>
            <w14:solidFill>
              <w14:schemeClr w14:val="tx1"/>
            </w14:solidFill>
          </w14:textFill>
        </w:rPr>
        <w:br w:type="page"/>
      </w:r>
      <w:r>
        <w:rPr>
          <w:rFonts w:hint="eastAsia" w:ascii="宋体" w:hAnsi="宋体" w:eastAsia="宋体" w:cs="宋体"/>
          <w:b/>
          <w:bCs/>
          <w:color w:val="000000" w:themeColor="text1"/>
          <w:sz w:val="32"/>
          <w:szCs w:val="32"/>
          <w:highlight w:val="none"/>
          <w14:textFill>
            <w14:solidFill>
              <w14:schemeClr w14:val="tx1"/>
            </w14:solidFill>
          </w14:textFill>
        </w:rPr>
        <w:t>竞标函</w:t>
      </w:r>
    </w:p>
    <w:p w14:paraId="51D9C17A">
      <w:pPr>
        <w:spacing w:line="520" w:lineRule="exact"/>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29E0386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贵港市港南区民政局</w:t>
      </w:r>
      <w:r>
        <w:rPr>
          <w:rFonts w:hint="eastAsia" w:ascii="宋体" w:hAnsi="宋体" w:eastAsia="宋体" w:cs="宋体"/>
          <w:color w:val="000000" w:themeColor="text1"/>
          <w:szCs w:val="21"/>
          <w:highlight w:val="none"/>
          <w14:textFill>
            <w14:solidFill>
              <w14:schemeClr w14:val="tx1"/>
            </w14:solidFill>
          </w14:textFill>
        </w:rPr>
        <w:t>：</w:t>
      </w:r>
    </w:p>
    <w:p w14:paraId="19E12535">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bookmarkStart w:id="80" w:name="bookmark2065"/>
      <w:bookmarkEnd w:id="80"/>
      <w:r>
        <w:rPr>
          <w:rFonts w:hint="eastAsia" w:ascii="宋体" w:hAnsi="宋体" w:eastAsia="宋体" w:cs="宋体"/>
          <w:color w:val="000000" w:themeColor="text1"/>
          <w:szCs w:val="21"/>
          <w:highlight w:val="none"/>
          <w14:textFill>
            <w14:solidFill>
              <w14:schemeClr w14:val="tx1"/>
            </w14:solidFill>
          </w14:textFill>
        </w:rPr>
        <w:t xml:space="preserve">我方已仔细研究了 </w:t>
      </w:r>
      <w:r>
        <w:rPr>
          <w:rFonts w:hint="eastAsia" w:ascii="宋体" w:hAnsi="宋体" w:eastAsia="宋体" w:cs="宋体"/>
          <w:color w:val="000000" w:themeColor="text1"/>
          <w:szCs w:val="21"/>
          <w:highlight w:val="none"/>
          <w:u w:val="single"/>
          <w14:textFill>
            <w14:solidFill>
              <w14:schemeClr w14:val="tx1"/>
            </w14:solidFill>
          </w14:textFill>
        </w:rPr>
        <w:t xml:space="preserve"> （项目名称、项目编号）</w:t>
      </w:r>
      <w:r>
        <w:rPr>
          <w:rFonts w:hint="eastAsia" w:ascii="宋体" w:hAnsi="宋体" w:eastAsia="宋体" w:cs="宋体"/>
          <w:color w:val="000000" w:themeColor="text1"/>
          <w:szCs w:val="21"/>
          <w:highlight w:val="none"/>
          <w14:textFill>
            <w14:solidFill>
              <w14:schemeClr w14:val="tx1"/>
            </w14:solidFill>
          </w14:textFill>
        </w:rPr>
        <w:t>磋商文件的全部内容，愿意以</w:t>
      </w:r>
      <w:r>
        <w:rPr>
          <w:rFonts w:hint="eastAsia" w:cs="宋体"/>
          <w:color w:val="000000" w:themeColor="text1"/>
          <w:highlight w:val="none"/>
          <w:lang w:val="en-US" w:eastAsia="zh-CN"/>
          <w14:textFill>
            <w14:solidFill>
              <w14:schemeClr w14:val="tx1"/>
            </w14:solidFill>
          </w14:textFill>
        </w:rPr>
        <w:t>人民币（大写）</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u w:val="single"/>
          <w:lang w:val="en-US"/>
          <w14:textFill>
            <w14:solidFill>
              <w14:schemeClr w14:val="tx1"/>
            </w14:solidFill>
          </w14:textFill>
        </w:rPr>
        <w:t xml:space="preserve"> </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cs="宋体"/>
          <w:color w:val="000000" w:themeColor="text1"/>
          <w:highlight w:val="none"/>
          <w:lang w:val="en-US" w:eastAsia="zh-CN"/>
          <w14:textFill>
            <w14:solidFill>
              <w14:schemeClr w14:val="tx1"/>
            </w14:solidFill>
          </w14:textFill>
        </w:rPr>
        <w:t>元（¥</w:t>
      </w:r>
      <w:r>
        <w:rPr>
          <w:rFonts w:hint="eastAsia" w:cs="宋体"/>
          <w:color w:val="000000" w:themeColor="text1"/>
          <w:highlight w:val="none"/>
          <w:u w:val="single"/>
          <w:lang w:val="en-US" w:eastAsia="zh-CN"/>
          <w14:textFill>
            <w14:solidFill>
              <w14:schemeClr w14:val="tx1"/>
            </w14:solidFill>
          </w14:textFill>
        </w:rPr>
        <w:t xml:space="preserve">          </w:t>
      </w:r>
      <w:r>
        <w:rPr>
          <w:rFonts w:hint="eastAsia" w:cs="宋体"/>
          <w:color w:val="000000" w:themeColor="text1"/>
          <w:highlight w:val="none"/>
          <w:lang w:val="en-US"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的</w:t>
      </w:r>
      <w:r>
        <w:rPr>
          <w:rFonts w:hint="eastAsia" w:ascii="宋体" w:hAnsi="宋体" w:eastAsia="宋体" w:cs="宋体"/>
          <w:color w:val="000000" w:themeColor="text1"/>
          <w:szCs w:val="21"/>
          <w:highlight w:val="none"/>
          <w14:textFill>
            <w14:solidFill>
              <w14:schemeClr w14:val="tx1"/>
            </w14:solidFill>
          </w14:textFill>
        </w:rPr>
        <w:t>竞标报价，</w:t>
      </w:r>
      <w:r>
        <w:rPr>
          <w:rFonts w:hint="eastAsia" w:cs="宋体"/>
          <w:color w:val="000000" w:themeColor="text1"/>
          <w:highlight w:val="none"/>
          <w:lang w:val="en-US" w:eastAsia="zh-CN"/>
          <w14:textFill>
            <w14:solidFill>
              <w14:schemeClr w14:val="tx1"/>
            </w14:solidFill>
          </w14:textFill>
        </w:rPr>
        <w:t>工期</w:t>
      </w:r>
      <w:r>
        <w:rPr>
          <w:rFonts w:hint="eastAsia" w:cs="宋体"/>
          <w:color w:val="000000" w:themeColor="text1"/>
          <w:highlight w:val="none"/>
          <w:u w:val="single"/>
          <w:lang w:val="en-US" w:eastAsia="zh-CN"/>
          <w14:textFill>
            <w14:solidFill>
              <w14:schemeClr w14:val="tx1"/>
            </w14:solidFill>
          </w14:textFill>
        </w:rPr>
        <w:t xml:space="preserve">          </w:t>
      </w:r>
      <w:r>
        <w:rPr>
          <w:rFonts w:hint="eastAsia" w:cs="宋体"/>
          <w:color w:val="000000" w:themeColor="text1"/>
          <w:highlight w:val="none"/>
          <w:u w:val="none"/>
          <w:lang w:val="en-US" w:eastAsia="zh-CN"/>
          <w14:textFill>
            <w14:solidFill>
              <w14:schemeClr w14:val="tx1"/>
            </w14:solidFill>
          </w14:textFill>
        </w:rPr>
        <w:t>日历天</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按工程建设标准、合同约定实施和完成</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承包</w:t>
      </w:r>
      <w:r>
        <w:rPr>
          <w:rFonts w:hint="eastAsia" w:ascii="宋体" w:hAnsi="宋体" w:cs="宋体"/>
          <w:color w:val="000000" w:themeColor="text1"/>
          <w:kern w:val="2"/>
          <w:sz w:val="21"/>
          <w:szCs w:val="21"/>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（项目名称），工程质量达到</w:t>
      </w:r>
      <w:r>
        <w:rPr>
          <w:rFonts w:hint="eastAsia" w:ascii="宋体" w:hAnsi="宋体" w:eastAsia="宋体" w:cs="宋体"/>
          <w:color w:val="000000" w:themeColor="text1"/>
          <w:kern w:val="2"/>
          <w:sz w:val="21"/>
          <w:szCs w:val="21"/>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w:t>
      </w:r>
    </w:p>
    <w:p w14:paraId="6D5D2EE7">
      <w:pPr>
        <w:pStyle w:val="96"/>
        <w:keepNext w:val="0"/>
        <w:keepLines w:val="0"/>
        <w:pageBreakBefore w:val="0"/>
        <w:numPr>
          <w:ilvl w:val="0"/>
          <w:numId w:val="2"/>
        </w:numPr>
        <w:tabs>
          <w:tab w:val="left" w:pos="762"/>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000000" w:themeColor="text1"/>
          <w:szCs w:val="21"/>
          <w:highlight w:val="none"/>
          <w14:textFill>
            <w14:solidFill>
              <w14:schemeClr w14:val="tx1"/>
            </w14:solidFill>
          </w14:textFill>
        </w:rPr>
      </w:pPr>
      <w:bookmarkStart w:id="81" w:name="bookmark2067"/>
      <w:bookmarkEnd w:id="81"/>
      <w:bookmarkStart w:id="82" w:name="bookmark2066"/>
      <w:bookmarkEnd w:id="82"/>
      <w:bookmarkStart w:id="83" w:name="bookmark2068"/>
      <w:bookmarkEnd w:id="83"/>
      <w:r>
        <w:rPr>
          <w:rFonts w:hint="eastAsia" w:ascii="宋体" w:hAnsi="宋体" w:eastAsia="宋体" w:cs="宋体"/>
          <w:color w:val="000000" w:themeColor="text1"/>
          <w:highlight w:val="none"/>
          <w14:textFill>
            <w14:solidFill>
              <w14:schemeClr w14:val="tx1"/>
            </w14:solidFill>
          </w14:textFill>
        </w:rPr>
        <w:t>我方承认竞标函附录是我方竞标函的组成部分。</w:t>
      </w:r>
    </w:p>
    <w:p w14:paraId="2ADD4D27">
      <w:pPr>
        <w:pStyle w:val="96"/>
        <w:keepNext w:val="0"/>
        <w:keepLines w:val="0"/>
        <w:pageBreakBefore w:val="0"/>
        <w:numPr>
          <w:ilvl w:val="0"/>
          <w:numId w:val="2"/>
        </w:numPr>
        <w:tabs>
          <w:tab w:val="left" w:pos="762"/>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如我方成交：</w:t>
      </w:r>
    </w:p>
    <w:p w14:paraId="06E5A71D">
      <w:pPr>
        <w:pStyle w:val="96"/>
        <w:keepNext w:val="0"/>
        <w:keepLines w:val="0"/>
        <w:pageBreakBefore w:val="0"/>
        <w:tabs>
          <w:tab w:val="left" w:pos="903"/>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000000" w:themeColor="text1"/>
          <w:szCs w:val="21"/>
          <w:highlight w:val="none"/>
          <w14:textFill>
            <w14:solidFill>
              <w14:schemeClr w14:val="tx1"/>
            </w14:solidFill>
          </w14:textFill>
        </w:rPr>
      </w:pPr>
      <w:bookmarkStart w:id="84" w:name="bookmark2069"/>
      <w:r>
        <w:rPr>
          <w:rFonts w:hint="eastAsia" w:ascii="宋体" w:hAnsi="宋体" w:eastAsia="宋体" w:cs="宋体"/>
          <w:color w:val="000000" w:themeColor="text1"/>
          <w:szCs w:val="21"/>
          <w:highlight w:val="none"/>
          <w14:textFill>
            <w14:solidFill>
              <w14:schemeClr w14:val="tx1"/>
            </w14:solidFill>
          </w14:textFill>
        </w:rPr>
        <w:t>（</w:t>
      </w:r>
      <w:bookmarkEnd w:id="84"/>
      <w:r>
        <w:rPr>
          <w:rFonts w:hint="eastAsia" w:ascii="宋体" w:hAnsi="宋体" w:eastAsia="宋体" w:cs="宋体"/>
          <w:color w:val="000000" w:themeColor="text1"/>
          <w:szCs w:val="21"/>
          <w:highlight w:val="none"/>
          <w14:textFill>
            <w14:solidFill>
              <w14:schemeClr w14:val="tx1"/>
            </w14:solidFill>
          </w14:textFill>
        </w:rPr>
        <w:t>1）我方承诺在收到成交通知书后，在成交通知书规定的期限内与你方签订合同。</w:t>
      </w:r>
    </w:p>
    <w:p w14:paraId="3348C420">
      <w:pPr>
        <w:pStyle w:val="96"/>
        <w:keepNext w:val="0"/>
        <w:keepLines w:val="0"/>
        <w:pageBreakBefore w:val="0"/>
        <w:tabs>
          <w:tab w:val="left" w:pos="903"/>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000000" w:themeColor="text1"/>
          <w:szCs w:val="21"/>
          <w:highlight w:val="none"/>
          <w14:textFill>
            <w14:solidFill>
              <w14:schemeClr w14:val="tx1"/>
            </w14:solidFill>
          </w14:textFill>
        </w:rPr>
      </w:pPr>
      <w:bookmarkStart w:id="85" w:name="bookmark2070"/>
      <w:r>
        <w:rPr>
          <w:rFonts w:hint="eastAsia" w:ascii="宋体" w:hAnsi="宋体" w:eastAsia="宋体" w:cs="宋体"/>
          <w:color w:val="000000" w:themeColor="text1"/>
          <w:szCs w:val="21"/>
          <w:highlight w:val="none"/>
          <w14:textFill>
            <w14:solidFill>
              <w14:schemeClr w14:val="tx1"/>
            </w14:solidFill>
          </w14:textFill>
        </w:rPr>
        <w:t>（</w:t>
      </w:r>
      <w:bookmarkEnd w:id="85"/>
      <w:r>
        <w:rPr>
          <w:rFonts w:hint="eastAsia"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宋体"/>
          <w:color w:val="000000" w:themeColor="text1"/>
          <w:highlight w:val="none"/>
          <w14:textFill>
            <w14:solidFill>
              <w14:schemeClr w14:val="tx1"/>
            </w14:solidFill>
          </w14:textFill>
        </w:rPr>
        <w:t>在签订合同时不向你方提出附加条件</w:t>
      </w:r>
      <w:r>
        <w:rPr>
          <w:rFonts w:hint="eastAsia" w:ascii="宋体" w:hAnsi="宋体" w:eastAsia="宋体" w:cs="宋体"/>
          <w:color w:val="000000" w:themeColor="text1"/>
          <w:szCs w:val="21"/>
          <w:highlight w:val="none"/>
          <w14:textFill>
            <w14:solidFill>
              <w14:schemeClr w14:val="tx1"/>
            </w14:solidFill>
          </w14:textFill>
        </w:rPr>
        <w:t>。</w:t>
      </w:r>
    </w:p>
    <w:p w14:paraId="0998C922">
      <w:pPr>
        <w:pStyle w:val="96"/>
        <w:keepNext w:val="0"/>
        <w:keepLines w:val="0"/>
        <w:pageBreakBefore w:val="0"/>
        <w:tabs>
          <w:tab w:val="left" w:pos="903"/>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000000" w:themeColor="text1"/>
          <w:szCs w:val="21"/>
          <w:highlight w:val="none"/>
          <w14:textFill>
            <w14:solidFill>
              <w14:schemeClr w14:val="tx1"/>
            </w14:solidFill>
          </w14:textFill>
        </w:rPr>
      </w:pPr>
      <w:bookmarkStart w:id="86" w:name="bookmark2071"/>
      <w:r>
        <w:rPr>
          <w:rFonts w:hint="eastAsia" w:ascii="宋体" w:hAnsi="宋体" w:eastAsia="宋体" w:cs="宋体"/>
          <w:color w:val="000000" w:themeColor="text1"/>
          <w:szCs w:val="21"/>
          <w:highlight w:val="none"/>
          <w14:textFill>
            <w14:solidFill>
              <w14:schemeClr w14:val="tx1"/>
            </w14:solidFill>
          </w14:textFill>
        </w:rPr>
        <w:t>（</w:t>
      </w:r>
      <w:bookmarkEnd w:id="86"/>
      <w:r>
        <w:rPr>
          <w:rFonts w:hint="eastAsia" w:ascii="宋体" w:hAnsi="宋体" w:eastAsia="宋体" w:cs="宋体"/>
          <w:color w:val="000000" w:themeColor="text1"/>
          <w:szCs w:val="21"/>
          <w:highlight w:val="none"/>
          <w14:textFill>
            <w14:solidFill>
              <w14:schemeClr w14:val="tx1"/>
            </w14:solidFill>
          </w14:textFill>
        </w:rPr>
        <w:t>3）我方承诺按照磋商文件规定向你方递交履约担保。</w:t>
      </w:r>
    </w:p>
    <w:p w14:paraId="4568D818">
      <w:pPr>
        <w:pStyle w:val="96"/>
        <w:keepNext w:val="0"/>
        <w:keepLines w:val="0"/>
        <w:pageBreakBefore w:val="0"/>
        <w:tabs>
          <w:tab w:val="left" w:pos="903"/>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000000" w:themeColor="text1"/>
          <w:szCs w:val="21"/>
          <w:highlight w:val="none"/>
          <w14:textFill>
            <w14:solidFill>
              <w14:schemeClr w14:val="tx1"/>
            </w14:solidFill>
          </w14:textFill>
        </w:rPr>
      </w:pPr>
      <w:bookmarkStart w:id="87" w:name="bookmark2072"/>
      <w:r>
        <w:rPr>
          <w:rFonts w:hint="eastAsia" w:ascii="宋体" w:hAnsi="宋体" w:eastAsia="宋体" w:cs="宋体"/>
          <w:color w:val="000000" w:themeColor="text1"/>
          <w:szCs w:val="21"/>
          <w:highlight w:val="none"/>
          <w14:textFill>
            <w14:solidFill>
              <w14:schemeClr w14:val="tx1"/>
            </w14:solidFill>
          </w14:textFill>
        </w:rPr>
        <w:t>（</w:t>
      </w:r>
      <w:bookmarkEnd w:id="87"/>
      <w:r>
        <w:rPr>
          <w:rFonts w:hint="eastAsia" w:ascii="宋体" w:hAnsi="宋体" w:eastAsia="宋体" w:cs="宋体"/>
          <w:color w:val="000000" w:themeColor="text1"/>
          <w:szCs w:val="21"/>
          <w:highlight w:val="none"/>
          <w14:textFill>
            <w14:solidFill>
              <w14:schemeClr w14:val="tx1"/>
            </w14:solidFill>
          </w14:textFill>
        </w:rPr>
        <w:t>4）我方承诺在合同约定的期限内完成并移交全部合同工程。</w:t>
      </w:r>
    </w:p>
    <w:p w14:paraId="6236FA24">
      <w:pPr>
        <w:pStyle w:val="96"/>
        <w:keepNext w:val="0"/>
        <w:keepLines w:val="0"/>
        <w:pageBreakBefore w:val="0"/>
        <w:numPr>
          <w:ilvl w:val="0"/>
          <w:numId w:val="2"/>
        </w:numPr>
        <w:tabs>
          <w:tab w:val="left" w:pos="762"/>
        </w:tabs>
        <w:kinsoku/>
        <w:wordWrap/>
        <w:overflowPunct/>
        <w:topLinePunct w:val="0"/>
        <w:autoSpaceDE/>
        <w:autoSpaceDN/>
        <w:bidi w:val="0"/>
        <w:adjustRightInd/>
        <w:snapToGrid/>
        <w:spacing w:line="360" w:lineRule="auto"/>
        <w:ind w:firstLine="440"/>
        <w:textAlignment w:val="auto"/>
        <w:rPr>
          <w:rFonts w:hint="eastAsia" w:ascii="宋体" w:hAnsi="宋体" w:eastAsia="宋体" w:cs="宋体"/>
          <w:color w:val="000000" w:themeColor="text1"/>
          <w:szCs w:val="21"/>
          <w:highlight w:val="none"/>
          <w14:textFill>
            <w14:solidFill>
              <w14:schemeClr w14:val="tx1"/>
            </w14:solidFill>
          </w14:textFill>
        </w:rPr>
      </w:pPr>
      <w:bookmarkStart w:id="88" w:name="bookmark2073"/>
      <w:bookmarkEnd w:id="88"/>
      <w:r>
        <w:rPr>
          <w:rFonts w:hint="eastAsia" w:ascii="宋体" w:hAnsi="宋体" w:eastAsia="宋体" w:cs="宋体"/>
          <w:color w:val="000000" w:themeColor="text1"/>
          <w:highlight w:val="none"/>
          <w14:textFill>
            <w14:solidFill>
              <w14:schemeClr w14:val="tx1"/>
            </w14:solidFill>
          </w14:textFill>
        </w:rPr>
        <w:t>在合同协议书正式签署生效之前，本</w:t>
      </w:r>
      <w:r>
        <w:rPr>
          <w:rFonts w:hint="eastAsia" w:ascii="宋体" w:hAnsi="宋体" w:eastAsia="宋体" w:cs="宋体"/>
          <w:color w:val="000000" w:themeColor="text1"/>
          <w:szCs w:val="21"/>
          <w:highlight w:val="none"/>
          <w14:textFill>
            <w14:solidFill>
              <w14:schemeClr w14:val="tx1"/>
            </w14:solidFill>
          </w14:textFill>
        </w:rPr>
        <w:t>竞标</w:t>
      </w:r>
      <w:r>
        <w:rPr>
          <w:rFonts w:hint="eastAsia" w:ascii="宋体" w:hAnsi="宋体" w:eastAsia="宋体" w:cs="宋体"/>
          <w:color w:val="000000" w:themeColor="text1"/>
          <w:highlight w:val="none"/>
          <w14:textFill>
            <w14:solidFill>
              <w14:schemeClr w14:val="tx1"/>
            </w14:solidFill>
          </w14:textFill>
        </w:rPr>
        <w:t>函连同你方的成交通知书将构成我们双方之间共同遵守的文件，对双方具有约束力</w:t>
      </w:r>
      <w:r>
        <w:rPr>
          <w:rFonts w:hint="eastAsia" w:ascii="宋体" w:hAnsi="宋体" w:eastAsia="宋体" w:cs="宋体"/>
          <w:color w:val="000000" w:themeColor="text1"/>
          <w:szCs w:val="21"/>
          <w:highlight w:val="none"/>
          <w14:textFill>
            <w14:solidFill>
              <w14:schemeClr w14:val="tx1"/>
            </w14:solidFill>
          </w14:textFill>
        </w:rPr>
        <w:t>。</w:t>
      </w:r>
    </w:p>
    <w:p w14:paraId="722726B8">
      <w:pPr>
        <w:keepNext w:val="0"/>
        <w:keepLines w:val="0"/>
        <w:pageBreakBefore w:val="0"/>
        <w:numPr>
          <w:ilvl w:val="0"/>
          <w:numId w:val="2"/>
        </w:numPr>
        <w:kinsoku/>
        <w:wordWrap/>
        <w:overflowPunct/>
        <w:topLinePunct w:val="0"/>
        <w:autoSpaceDE/>
        <w:autoSpaceDN/>
        <w:bidi w:val="0"/>
        <w:adjustRightInd/>
        <w:snapToGrid/>
        <w:spacing w:line="360" w:lineRule="auto"/>
        <w:ind w:firstLine="440"/>
        <w:textAlignment w:val="auto"/>
        <w:rPr>
          <w:rFonts w:hint="eastAsia" w:ascii="宋体" w:hAnsi="宋体" w:eastAsia="宋体" w:cs="宋体"/>
          <w:color w:val="000000" w:themeColor="text1"/>
          <w:szCs w:val="21"/>
          <w:highlight w:val="none"/>
          <w14:textFill>
            <w14:solidFill>
              <w14:schemeClr w14:val="tx1"/>
            </w14:solidFill>
          </w14:textFill>
        </w:rPr>
      </w:pPr>
      <w:bookmarkStart w:id="89" w:name="bookmark2074"/>
      <w:bookmarkEnd w:id="89"/>
      <w:r>
        <w:rPr>
          <w:rFonts w:hint="eastAsia" w:ascii="宋体" w:hAnsi="宋体" w:eastAsia="宋体" w:cs="宋体"/>
          <w:color w:val="000000" w:themeColor="text1"/>
          <w:szCs w:val="21"/>
          <w:highlight w:val="none"/>
          <w14:textFill>
            <w14:solidFill>
              <w14:schemeClr w14:val="tx1"/>
            </w14:solidFill>
          </w14:textFill>
        </w:rPr>
        <w:t>（其他补充说明）。</w:t>
      </w:r>
    </w:p>
    <w:p w14:paraId="63055368">
      <w:pPr>
        <w:keepNext w:val="0"/>
        <w:keepLines w:val="0"/>
        <w:pageBreakBefore w:val="0"/>
        <w:kinsoku/>
        <w:wordWrap/>
        <w:overflowPunct/>
        <w:topLinePunct w:val="0"/>
        <w:autoSpaceDE/>
        <w:autoSpaceDN/>
        <w:bidi w:val="0"/>
        <w:adjustRightInd/>
        <w:snapToGrid/>
        <w:spacing w:line="360" w:lineRule="auto"/>
        <w:contextualSpacing/>
        <w:jc w:val="left"/>
        <w:textAlignment w:val="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 xml:space="preserve">注: </w:t>
      </w:r>
    </w:p>
    <w:p w14:paraId="5E5DB2A4">
      <w:pPr>
        <w:spacing w:line="360" w:lineRule="auto"/>
        <w:ind w:firstLine="422" w:firstLineChars="200"/>
        <w:contextualSpacing/>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供应商的竞标函必须加盖供应商电子签章并由法定代表人或者委托代理人签字或者电子签名，否则其响应文件按无效处理。</w:t>
      </w:r>
    </w:p>
    <w:p w14:paraId="4B9B3311">
      <w:pPr>
        <w:spacing w:line="360" w:lineRule="auto"/>
        <w:ind w:left="440"/>
        <w:rPr>
          <w:rFonts w:hint="eastAsia" w:ascii="宋体" w:hAnsi="宋体" w:eastAsia="宋体" w:cs="宋体"/>
          <w:color w:val="000000" w:themeColor="text1"/>
          <w:szCs w:val="21"/>
          <w:highlight w:val="none"/>
          <w14:textFill>
            <w14:solidFill>
              <w14:schemeClr w14:val="tx1"/>
            </w14:solidFill>
          </w14:textFill>
        </w:rPr>
      </w:pPr>
    </w:p>
    <w:p w14:paraId="1C02E5D3">
      <w:pPr>
        <w:spacing w:line="360" w:lineRule="auto"/>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3637908B">
      <w:pPr>
        <w:pStyle w:val="96"/>
        <w:tabs>
          <w:tab w:val="left" w:pos="903"/>
        </w:tabs>
        <w:ind w:firstLine="2730" w:firstLineChars="13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法定代表人或者委托代理人（签字或者电子签名）：                    </w:t>
      </w:r>
    </w:p>
    <w:p w14:paraId="0CB0E384">
      <w:pPr>
        <w:pStyle w:val="96"/>
        <w:tabs>
          <w:tab w:val="left" w:pos="903"/>
        </w:tabs>
        <w:ind w:firstLine="3780" w:firstLineChars="18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供应商（电子签章）：      </w:t>
      </w:r>
    </w:p>
    <w:p w14:paraId="7914E936">
      <w:pPr>
        <w:pStyle w:val="96"/>
        <w:tabs>
          <w:tab w:val="left" w:pos="903"/>
        </w:tabs>
        <w:ind w:firstLine="4200" w:firstLineChars="2000"/>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   年   月   日</w:t>
      </w:r>
      <w:r>
        <w:rPr>
          <w:rFonts w:hint="eastAsia" w:ascii="宋体" w:hAnsi="宋体" w:eastAsia="宋体" w:cs="宋体"/>
          <w:b/>
          <w:bCs/>
          <w:color w:val="000000" w:themeColor="text1"/>
          <w:sz w:val="32"/>
          <w:szCs w:val="32"/>
          <w:highlight w:val="none"/>
          <w14:textFill>
            <w14:solidFill>
              <w14:schemeClr w14:val="tx1"/>
            </w14:solidFill>
          </w14:textFill>
        </w:rPr>
        <w:br w:type="page"/>
      </w:r>
    </w:p>
    <w:p w14:paraId="59E2B154">
      <w:pPr>
        <w:spacing w:line="360" w:lineRule="auto"/>
        <w:ind w:firstLine="643" w:firstLineChars="200"/>
        <w:contextualSpacing/>
        <w:jc w:val="center"/>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三、</w:t>
      </w:r>
      <w:r>
        <w:rPr>
          <w:rFonts w:hint="eastAsia" w:ascii="宋体" w:hAnsi="宋体" w:eastAsia="宋体" w:cs="宋体"/>
          <w:b/>
          <w:color w:val="000000" w:themeColor="text1"/>
          <w:sz w:val="32"/>
          <w:szCs w:val="32"/>
          <w:highlight w:val="none"/>
          <w14:textFill>
            <w14:solidFill>
              <w14:schemeClr w14:val="tx1"/>
            </w14:solidFill>
          </w14:textFill>
        </w:rPr>
        <w:t>商务技术文件格式</w:t>
      </w:r>
    </w:p>
    <w:p w14:paraId="68B9CE49">
      <w:pPr>
        <w:snapToGrid w:val="0"/>
        <w:spacing w:before="120" w:beforeLines="50" w:after="50" w:line="360" w:lineRule="auto"/>
        <w:jc w:val="left"/>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1.商务技术文件封面格式</w:t>
      </w:r>
    </w:p>
    <w:p w14:paraId="3B2BC081">
      <w:pPr>
        <w:snapToGrid w:val="0"/>
        <w:spacing w:before="120" w:beforeLines="50" w:after="50"/>
        <w:rPr>
          <w:rFonts w:hint="eastAsia" w:ascii="宋体" w:hAnsi="宋体" w:eastAsia="宋体" w:cs="宋体"/>
          <w:bCs/>
          <w:color w:val="000000" w:themeColor="text1"/>
          <w:sz w:val="32"/>
          <w:szCs w:val="20"/>
          <w:highlight w:val="none"/>
          <w14:textFill>
            <w14:solidFill>
              <w14:schemeClr w14:val="tx1"/>
            </w14:solidFill>
          </w14:textFill>
        </w:rPr>
      </w:pPr>
    </w:p>
    <w:p w14:paraId="1884E39E">
      <w:pPr>
        <w:snapToGrid w:val="0"/>
        <w:spacing w:before="120" w:beforeLines="50" w:after="50"/>
        <w:jc w:val="center"/>
        <w:rPr>
          <w:rFonts w:hint="eastAsia" w:ascii="宋体" w:hAnsi="宋体" w:eastAsia="宋体" w:cs="宋体"/>
          <w:color w:val="000000" w:themeColor="text1"/>
          <w:sz w:val="24"/>
          <w:szCs w:val="20"/>
          <w:highlight w:val="none"/>
          <w14:textFill>
            <w14:solidFill>
              <w14:schemeClr w14:val="tx1"/>
            </w14:solidFill>
          </w14:textFill>
        </w:rPr>
      </w:pPr>
      <w:r>
        <w:rPr>
          <w:rFonts w:hint="eastAsia" w:ascii="宋体" w:hAnsi="宋体" w:eastAsia="宋体" w:cs="宋体"/>
          <w:color w:val="000000" w:themeColor="text1"/>
          <w:sz w:val="44"/>
          <w:szCs w:val="44"/>
          <w:highlight w:val="none"/>
          <w14:textFill>
            <w14:solidFill>
              <w14:schemeClr w14:val="tx1"/>
            </w14:solidFill>
          </w14:textFill>
        </w:rPr>
        <w:t>电 子 响 应 文 件</w:t>
      </w:r>
    </w:p>
    <w:p w14:paraId="3D1CD434">
      <w:pPr>
        <w:snapToGrid w:val="0"/>
        <w:spacing w:before="120" w:beforeLines="50" w:after="50"/>
        <w:rPr>
          <w:rFonts w:hint="eastAsia" w:ascii="宋体" w:hAnsi="宋体" w:eastAsia="宋体" w:cs="宋体"/>
          <w:color w:val="000000" w:themeColor="text1"/>
          <w:sz w:val="24"/>
          <w:szCs w:val="20"/>
          <w:highlight w:val="none"/>
          <w14:textFill>
            <w14:solidFill>
              <w14:schemeClr w14:val="tx1"/>
            </w14:solidFill>
          </w14:textFill>
        </w:rPr>
      </w:pPr>
    </w:p>
    <w:p w14:paraId="1605A463">
      <w:pPr>
        <w:snapToGrid w:val="0"/>
        <w:spacing w:before="120" w:beforeLines="50" w:after="50"/>
        <w:rPr>
          <w:rFonts w:hint="eastAsia" w:ascii="宋体" w:hAnsi="宋体" w:eastAsia="宋体" w:cs="宋体"/>
          <w:color w:val="000000" w:themeColor="text1"/>
          <w:sz w:val="24"/>
          <w:szCs w:val="20"/>
          <w:highlight w:val="none"/>
          <w14:textFill>
            <w14:solidFill>
              <w14:schemeClr w14:val="tx1"/>
            </w14:solidFill>
          </w14:textFill>
        </w:rPr>
      </w:pPr>
    </w:p>
    <w:p w14:paraId="7180271B">
      <w:pPr>
        <w:snapToGrid w:val="0"/>
        <w:spacing w:before="120" w:beforeLines="50" w:after="50"/>
        <w:jc w:val="center"/>
        <w:rPr>
          <w:rFonts w:hint="eastAsia" w:ascii="宋体" w:hAnsi="宋体" w:eastAsia="宋体" w:cs="宋体"/>
          <w:bCs/>
          <w:color w:val="000000" w:themeColor="text1"/>
          <w:sz w:val="44"/>
          <w:szCs w:val="44"/>
          <w:highlight w:val="none"/>
          <w14:textFill>
            <w14:solidFill>
              <w14:schemeClr w14:val="tx1"/>
            </w14:solidFill>
          </w14:textFill>
        </w:rPr>
      </w:pPr>
      <w:r>
        <w:rPr>
          <w:rFonts w:hint="eastAsia" w:ascii="宋体" w:hAnsi="宋体" w:eastAsia="宋体" w:cs="宋体"/>
          <w:bCs/>
          <w:color w:val="000000" w:themeColor="text1"/>
          <w:sz w:val="44"/>
          <w:szCs w:val="44"/>
          <w:highlight w:val="none"/>
          <w14:textFill>
            <w14:solidFill>
              <w14:schemeClr w14:val="tx1"/>
            </w14:solidFill>
          </w14:textFill>
        </w:rPr>
        <w:t>商  务  技  术  文  件</w:t>
      </w:r>
    </w:p>
    <w:p w14:paraId="5C69190A">
      <w:pPr>
        <w:snapToGrid w:val="0"/>
        <w:spacing w:before="120" w:beforeLines="50" w:after="50"/>
        <w:rPr>
          <w:rFonts w:hint="eastAsia" w:ascii="宋体" w:hAnsi="宋体" w:eastAsia="宋体" w:cs="宋体"/>
          <w:bCs/>
          <w:color w:val="000000" w:themeColor="text1"/>
          <w:sz w:val="24"/>
          <w:szCs w:val="20"/>
          <w:highlight w:val="none"/>
          <w14:textFill>
            <w14:solidFill>
              <w14:schemeClr w14:val="tx1"/>
            </w14:solidFill>
          </w14:textFill>
        </w:rPr>
      </w:pPr>
    </w:p>
    <w:p w14:paraId="46F27391">
      <w:pPr>
        <w:snapToGrid w:val="0"/>
        <w:spacing w:before="120" w:beforeLines="50" w:after="50"/>
        <w:rPr>
          <w:rFonts w:hint="eastAsia" w:ascii="宋体" w:hAnsi="宋体" w:eastAsia="宋体" w:cs="宋体"/>
          <w:bCs/>
          <w:color w:val="000000" w:themeColor="text1"/>
          <w:sz w:val="24"/>
          <w:szCs w:val="20"/>
          <w:highlight w:val="none"/>
          <w14:textFill>
            <w14:solidFill>
              <w14:schemeClr w14:val="tx1"/>
            </w14:solidFill>
          </w14:textFill>
        </w:rPr>
      </w:pPr>
    </w:p>
    <w:p w14:paraId="5E4860D5">
      <w:pPr>
        <w:snapToGrid w:val="0"/>
        <w:spacing w:before="120" w:beforeLines="50" w:after="50"/>
        <w:rPr>
          <w:rFonts w:hint="eastAsia" w:ascii="宋体" w:hAnsi="宋体" w:eastAsia="宋体" w:cs="宋体"/>
          <w:bCs/>
          <w:color w:val="000000" w:themeColor="text1"/>
          <w:sz w:val="24"/>
          <w:szCs w:val="20"/>
          <w:highlight w:val="none"/>
          <w14:textFill>
            <w14:solidFill>
              <w14:schemeClr w14:val="tx1"/>
            </w14:solidFill>
          </w14:textFill>
        </w:rPr>
      </w:pPr>
    </w:p>
    <w:p w14:paraId="19B7BF72">
      <w:pPr>
        <w:snapToGrid w:val="0"/>
        <w:spacing w:before="120" w:beforeLines="50" w:after="50"/>
        <w:rPr>
          <w:rFonts w:hint="eastAsia" w:ascii="宋体" w:hAnsi="宋体" w:eastAsia="宋体" w:cs="宋体"/>
          <w:bCs/>
          <w:color w:val="000000" w:themeColor="text1"/>
          <w:sz w:val="24"/>
          <w:szCs w:val="20"/>
          <w:highlight w:val="none"/>
          <w14:textFill>
            <w14:solidFill>
              <w14:schemeClr w14:val="tx1"/>
            </w14:solidFill>
          </w14:textFill>
        </w:rPr>
      </w:pPr>
    </w:p>
    <w:p w14:paraId="393839C1">
      <w:pPr>
        <w:snapToGrid w:val="0"/>
        <w:spacing w:before="120" w:beforeLines="50" w:after="50"/>
        <w:rPr>
          <w:rFonts w:hint="eastAsia" w:ascii="宋体" w:hAnsi="宋体" w:eastAsia="宋体" w:cs="宋体"/>
          <w:bCs/>
          <w:color w:val="000000" w:themeColor="text1"/>
          <w:sz w:val="24"/>
          <w:szCs w:val="20"/>
          <w:highlight w:val="none"/>
          <w14:textFill>
            <w14:solidFill>
              <w14:schemeClr w14:val="tx1"/>
            </w14:solidFill>
          </w14:textFill>
        </w:rPr>
      </w:pPr>
    </w:p>
    <w:p w14:paraId="3D0C6393">
      <w:pPr>
        <w:snapToGrid w:val="0"/>
        <w:spacing w:before="120" w:beforeLines="50" w:after="50"/>
        <w:ind w:firstLine="640" w:firstLineChars="200"/>
        <w:rPr>
          <w:rFonts w:hint="eastAsia" w:ascii="宋体" w:hAnsi="宋体" w:eastAsia="宋体" w:cs="宋体"/>
          <w:bCs/>
          <w:color w:val="000000" w:themeColor="text1"/>
          <w:sz w:val="32"/>
          <w:szCs w:val="32"/>
          <w:highlight w:val="none"/>
          <w14:textFill>
            <w14:solidFill>
              <w14:schemeClr w14:val="tx1"/>
            </w14:solidFill>
          </w14:textFill>
        </w:rPr>
      </w:pPr>
      <w:r>
        <w:rPr>
          <w:rFonts w:hint="eastAsia" w:ascii="宋体" w:hAnsi="宋体" w:eastAsia="宋体" w:cs="宋体"/>
          <w:bCs/>
          <w:color w:val="000000" w:themeColor="text1"/>
          <w:sz w:val="32"/>
          <w:szCs w:val="32"/>
          <w:highlight w:val="none"/>
          <w14:textFill>
            <w14:solidFill>
              <w14:schemeClr w14:val="tx1"/>
            </w14:solidFill>
          </w14:textFill>
        </w:rPr>
        <w:t>项目名称：</w:t>
      </w:r>
    </w:p>
    <w:p w14:paraId="1F54DCAA">
      <w:pPr>
        <w:snapToGrid w:val="0"/>
        <w:spacing w:before="120" w:beforeLines="50" w:after="50"/>
        <w:ind w:firstLine="720" w:firstLineChars="225"/>
        <w:rPr>
          <w:rFonts w:hint="eastAsia" w:ascii="宋体" w:hAnsi="宋体" w:eastAsia="宋体" w:cs="宋体"/>
          <w:bCs/>
          <w:color w:val="000000" w:themeColor="text1"/>
          <w:sz w:val="32"/>
          <w:szCs w:val="32"/>
          <w:highlight w:val="none"/>
          <w14:textFill>
            <w14:solidFill>
              <w14:schemeClr w14:val="tx1"/>
            </w14:solidFill>
          </w14:textFill>
        </w:rPr>
      </w:pPr>
    </w:p>
    <w:p w14:paraId="15A22C91">
      <w:pPr>
        <w:snapToGrid w:val="0"/>
        <w:spacing w:before="120" w:beforeLines="50" w:after="50"/>
        <w:ind w:firstLine="640" w:firstLineChars="200"/>
        <w:rPr>
          <w:rFonts w:hint="eastAsia" w:ascii="宋体" w:hAnsi="宋体" w:eastAsia="宋体" w:cs="宋体"/>
          <w:bCs/>
          <w:color w:val="000000" w:themeColor="text1"/>
          <w:sz w:val="32"/>
          <w:szCs w:val="32"/>
          <w:highlight w:val="none"/>
          <w14:textFill>
            <w14:solidFill>
              <w14:schemeClr w14:val="tx1"/>
            </w14:solidFill>
          </w14:textFill>
        </w:rPr>
      </w:pPr>
      <w:r>
        <w:rPr>
          <w:rFonts w:hint="eastAsia" w:ascii="宋体" w:hAnsi="宋体" w:eastAsia="宋体" w:cs="宋体"/>
          <w:bCs/>
          <w:color w:val="000000" w:themeColor="text1"/>
          <w:sz w:val="32"/>
          <w:szCs w:val="32"/>
          <w:highlight w:val="none"/>
          <w14:textFill>
            <w14:solidFill>
              <w14:schemeClr w14:val="tx1"/>
            </w14:solidFill>
          </w14:textFill>
        </w:rPr>
        <w:t>项目编号：</w:t>
      </w:r>
    </w:p>
    <w:p w14:paraId="0994831B">
      <w:pPr>
        <w:snapToGrid w:val="0"/>
        <w:spacing w:before="120" w:beforeLines="50" w:after="50"/>
        <w:rPr>
          <w:rFonts w:hint="eastAsia" w:ascii="宋体" w:hAnsi="宋体" w:eastAsia="宋体" w:cs="宋体"/>
          <w:bCs/>
          <w:color w:val="000000" w:themeColor="text1"/>
          <w:sz w:val="32"/>
          <w:szCs w:val="32"/>
          <w:highlight w:val="none"/>
          <w14:textFill>
            <w14:solidFill>
              <w14:schemeClr w14:val="tx1"/>
            </w14:solidFill>
          </w14:textFill>
        </w:rPr>
      </w:pPr>
    </w:p>
    <w:p w14:paraId="217660C7">
      <w:pPr>
        <w:pStyle w:val="7"/>
        <w:snapToGrid w:val="0"/>
        <w:spacing w:before="50" w:after="50"/>
        <w:ind w:firstLine="640" w:firstLineChars="200"/>
        <w:rPr>
          <w:rFonts w:hint="eastAsia" w:ascii="宋体" w:hAnsi="宋体" w:eastAsia="宋体" w:cs="宋体"/>
          <w:bCs/>
          <w:color w:val="000000" w:themeColor="text1"/>
          <w:sz w:val="32"/>
          <w:szCs w:val="32"/>
          <w:highlight w:val="none"/>
          <w14:textFill>
            <w14:solidFill>
              <w14:schemeClr w14:val="tx1"/>
            </w14:solidFill>
          </w14:textFill>
        </w:rPr>
      </w:pPr>
      <w:r>
        <w:rPr>
          <w:rFonts w:hint="eastAsia" w:ascii="宋体" w:hAnsi="宋体" w:eastAsia="宋体" w:cs="宋体"/>
          <w:bCs/>
          <w:color w:val="000000" w:themeColor="text1"/>
          <w:sz w:val="32"/>
          <w:szCs w:val="32"/>
          <w:highlight w:val="none"/>
          <w14:textFill>
            <w14:solidFill>
              <w14:schemeClr w14:val="tx1"/>
            </w14:solidFill>
          </w14:textFill>
        </w:rPr>
        <w:t>供应商名称：</w:t>
      </w:r>
    </w:p>
    <w:p w14:paraId="556B6E16">
      <w:pPr>
        <w:pStyle w:val="7"/>
        <w:snapToGrid w:val="0"/>
        <w:spacing w:before="50" w:after="50"/>
        <w:ind w:firstLine="640" w:firstLineChars="200"/>
        <w:rPr>
          <w:rFonts w:hint="eastAsia" w:ascii="宋体" w:hAnsi="宋体" w:eastAsia="宋体" w:cs="宋体"/>
          <w:bCs/>
          <w:color w:val="000000" w:themeColor="text1"/>
          <w:sz w:val="32"/>
          <w:szCs w:val="32"/>
          <w:highlight w:val="none"/>
          <w14:textFill>
            <w14:solidFill>
              <w14:schemeClr w14:val="tx1"/>
            </w14:solidFill>
          </w14:textFill>
        </w:rPr>
      </w:pPr>
    </w:p>
    <w:p w14:paraId="156B19E3">
      <w:pPr>
        <w:pStyle w:val="7"/>
        <w:snapToGrid w:val="0"/>
        <w:spacing w:before="50" w:after="50"/>
        <w:ind w:firstLine="720" w:firstLineChars="225"/>
        <w:rPr>
          <w:rFonts w:hint="eastAsia" w:ascii="宋体" w:hAnsi="宋体" w:eastAsia="宋体" w:cs="宋体"/>
          <w:bCs/>
          <w:color w:val="000000" w:themeColor="text1"/>
          <w:sz w:val="32"/>
          <w:szCs w:val="32"/>
          <w:highlight w:val="none"/>
          <w14:textFill>
            <w14:solidFill>
              <w14:schemeClr w14:val="tx1"/>
            </w14:solidFill>
          </w14:textFill>
        </w:rPr>
      </w:pPr>
    </w:p>
    <w:p w14:paraId="48CCCF6A">
      <w:pPr>
        <w:pStyle w:val="7"/>
        <w:snapToGrid w:val="0"/>
        <w:spacing w:before="50" w:after="50"/>
        <w:ind w:firstLine="0"/>
        <w:rPr>
          <w:rFonts w:hint="eastAsia" w:ascii="宋体" w:hAnsi="宋体" w:eastAsia="宋体" w:cs="宋体"/>
          <w:bCs/>
          <w:color w:val="000000" w:themeColor="text1"/>
          <w:sz w:val="32"/>
          <w:szCs w:val="32"/>
          <w:highlight w:val="none"/>
          <w14:textFill>
            <w14:solidFill>
              <w14:schemeClr w14:val="tx1"/>
            </w14:solidFill>
          </w14:textFill>
        </w:rPr>
      </w:pPr>
    </w:p>
    <w:p w14:paraId="743DE6F4">
      <w:pPr>
        <w:pStyle w:val="7"/>
        <w:snapToGrid w:val="0"/>
        <w:spacing w:before="50" w:after="50"/>
        <w:ind w:firstLine="1280" w:firstLineChars="400"/>
        <w:rPr>
          <w:rFonts w:hint="eastAsia" w:ascii="宋体" w:hAnsi="宋体" w:eastAsia="宋体" w:cs="宋体"/>
          <w:bCs/>
          <w:color w:val="000000" w:themeColor="text1"/>
          <w:sz w:val="32"/>
          <w:szCs w:val="32"/>
          <w:highlight w:val="none"/>
          <w14:textFill>
            <w14:solidFill>
              <w14:schemeClr w14:val="tx1"/>
            </w14:solidFill>
          </w14:textFill>
        </w:rPr>
      </w:pPr>
    </w:p>
    <w:p w14:paraId="05D2097E">
      <w:pPr>
        <w:snapToGrid w:val="0"/>
        <w:spacing w:before="120" w:beforeLines="50" w:after="50"/>
        <w:jc w:val="center"/>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年    月    日</w:t>
      </w:r>
    </w:p>
    <w:p w14:paraId="65C2DB25">
      <w:pPr>
        <w:snapToGrid w:val="0"/>
        <w:spacing w:before="120" w:beforeLines="50" w:after="50" w:line="360" w:lineRule="auto"/>
        <w:ind w:right="480" w:firstLine="240" w:firstLineChars="100"/>
        <w:jc w:val="left"/>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br w:type="page"/>
      </w:r>
      <w:r>
        <w:rPr>
          <w:rFonts w:hint="eastAsia" w:ascii="宋体" w:hAnsi="宋体" w:eastAsia="宋体" w:cs="宋体"/>
          <w:b/>
          <w:bCs/>
          <w:color w:val="000000" w:themeColor="text1"/>
          <w:sz w:val="32"/>
          <w:szCs w:val="32"/>
          <w:highlight w:val="none"/>
          <w14:textFill>
            <w14:solidFill>
              <w14:schemeClr w14:val="tx1"/>
            </w14:solidFill>
          </w14:textFill>
        </w:rPr>
        <w:t>2.商务技术文件目录</w:t>
      </w:r>
    </w:p>
    <w:p w14:paraId="7F5E195E">
      <w:pPr>
        <w:snapToGrid w:val="0"/>
        <w:spacing w:before="120" w:beforeLines="50" w:after="50" w:line="360" w:lineRule="auto"/>
        <w:ind w:firstLine="640" w:firstLineChars="200"/>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根据磋商文件规定及供应商提供的材料自行编写目录（部分格式后附）。</w:t>
      </w:r>
    </w:p>
    <w:p w14:paraId="58001FD0">
      <w:pPr>
        <w:spacing w:line="400" w:lineRule="exact"/>
        <w:rPr>
          <w:rFonts w:hint="eastAsia" w:ascii="宋体" w:hAnsi="宋体" w:eastAsia="宋体" w:cs="宋体"/>
          <w:color w:val="000000" w:themeColor="text1"/>
          <w:sz w:val="32"/>
          <w:szCs w:val="32"/>
          <w:highlight w:val="none"/>
          <w14:textFill>
            <w14:solidFill>
              <w14:schemeClr w14:val="tx1"/>
            </w14:solidFill>
          </w14:textFill>
        </w:rPr>
      </w:pPr>
    </w:p>
    <w:p w14:paraId="17D1415C">
      <w:pPr>
        <w:spacing w:line="520" w:lineRule="exact"/>
        <w:jc w:val="center"/>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44"/>
          <w:szCs w:val="44"/>
          <w:highlight w:val="none"/>
          <w14:textFill>
            <w14:solidFill>
              <w14:schemeClr w14:val="tx1"/>
            </w14:solidFill>
          </w14:textFill>
        </w:rPr>
        <w:br w:type="page"/>
      </w:r>
      <w:r>
        <w:rPr>
          <w:rFonts w:hint="eastAsia" w:ascii="宋体" w:hAnsi="宋体" w:eastAsia="宋体" w:cs="宋体"/>
          <w:color w:val="000000" w:themeColor="text1"/>
          <w:sz w:val="44"/>
          <w:szCs w:val="44"/>
          <w:highlight w:val="none"/>
          <w14:textFill>
            <w14:solidFill>
              <w14:schemeClr w14:val="tx1"/>
            </w14:solidFill>
          </w14:textFill>
        </w:rPr>
        <w:t>无串通竞标行为的承诺函</w:t>
      </w:r>
    </w:p>
    <w:p w14:paraId="51C5353F">
      <w:pPr>
        <w:spacing w:line="360" w:lineRule="auto"/>
        <w:ind w:firstLine="640" w:firstLineChars="200"/>
        <w:contextualSpacing/>
        <w:rPr>
          <w:rFonts w:hint="eastAsia" w:ascii="宋体" w:hAnsi="宋体" w:eastAsia="宋体" w:cs="宋体"/>
          <w:color w:val="000000" w:themeColor="text1"/>
          <w:sz w:val="32"/>
          <w:szCs w:val="32"/>
          <w:highlight w:val="none"/>
          <w14:textFill>
            <w14:solidFill>
              <w14:schemeClr w14:val="tx1"/>
            </w14:solidFill>
          </w14:textFill>
        </w:rPr>
      </w:pPr>
    </w:p>
    <w:p w14:paraId="15988F07">
      <w:pPr>
        <w:spacing w:line="360" w:lineRule="auto"/>
        <w:ind w:firstLine="482" w:firstLineChars="200"/>
        <w:contextualSpacing/>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一、我方承诺无下列相互串通竞标的情形：</w:t>
      </w:r>
    </w:p>
    <w:p w14:paraId="18B3AA8E">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1.不同供应商的响应文件由同一单位或者个人编制； </w:t>
      </w:r>
    </w:p>
    <w:p w14:paraId="3FA2C71A">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2.不同供应商委托同一单位或者个人办理竞标事宜；</w:t>
      </w:r>
    </w:p>
    <w:p w14:paraId="62BD0F27">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3.不同供应商的响应文件载明的项目管理员为同一个人；</w:t>
      </w:r>
    </w:p>
    <w:p w14:paraId="09FB3BCA">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4.不</w:t>
      </w:r>
      <w:r>
        <w:rPr>
          <w:rFonts w:hint="eastAsia" w:ascii="宋体" w:hAnsi="宋体" w:eastAsia="宋体" w:cs="宋体"/>
          <w:color w:val="000000" w:themeColor="text1"/>
          <w:spacing w:val="-6"/>
          <w:sz w:val="24"/>
          <w:highlight w:val="none"/>
          <w14:textFill>
            <w14:solidFill>
              <w14:schemeClr w14:val="tx1"/>
            </w14:solidFill>
          </w14:textFill>
        </w:rPr>
        <w:t>同供应商的响应文件异常一致或者竞标报价呈规律性差异；</w:t>
      </w:r>
    </w:p>
    <w:p w14:paraId="06316816">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5.不同供应商的响应文件相互混装；</w:t>
      </w:r>
    </w:p>
    <w:p w14:paraId="3072D435">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6.不同供应商的磋商保证金从同一单位或者个人账户转出。</w:t>
      </w:r>
    </w:p>
    <w:p w14:paraId="4043C248">
      <w:pPr>
        <w:spacing w:line="360" w:lineRule="auto"/>
        <w:ind w:firstLine="482" w:firstLineChars="200"/>
        <w:contextualSpacing/>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二、我方承诺无下列恶意串通的情形：</w:t>
      </w:r>
    </w:p>
    <w:p w14:paraId="02811382">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1.供应商直接或者间接从采购人或者采购代理机构处获得其他供应商的相关信息并修改其响应文件；</w:t>
      </w:r>
    </w:p>
    <w:p w14:paraId="2CD6236A">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2.供应商按照采购人或者采购代理机构的授意撤换、修改响应文件；</w:t>
      </w:r>
    </w:p>
    <w:p w14:paraId="2E197466">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3.供</w:t>
      </w:r>
      <w:r>
        <w:rPr>
          <w:rFonts w:hint="eastAsia" w:ascii="宋体" w:hAnsi="宋体" w:eastAsia="宋体" w:cs="宋体"/>
          <w:color w:val="000000" w:themeColor="text1"/>
          <w:spacing w:val="-6"/>
          <w:sz w:val="24"/>
          <w:highlight w:val="none"/>
          <w14:textFill>
            <w14:solidFill>
              <w14:schemeClr w14:val="tx1"/>
            </w14:solidFill>
          </w14:textFill>
        </w:rPr>
        <w:t>应商之间协商报价、技术方案等响应文件的实质性内容；</w:t>
      </w:r>
    </w:p>
    <w:p w14:paraId="21934433">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4.属于同一集团、协会、商会等组织成员的供应商按照该组织要求协同参加政府采购活动；</w:t>
      </w:r>
    </w:p>
    <w:p w14:paraId="29AC1585">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5.供应商之间事先约定一致抬高或者压低竞标报价，或者在竞争性磋商项目中事先约定轮流以高价位或者低价位成交，或者事先约定由某一特定供应商成交，然后再参加竞标；</w:t>
      </w:r>
    </w:p>
    <w:p w14:paraId="49C2639C">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6.供应商之间商定部分供应商放弃参加政府采购活动或者放弃成交；</w:t>
      </w:r>
    </w:p>
    <w:p w14:paraId="41743EC6">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7.供应商与采购人或者采购代理机构之间、供应商相互之间，为</w:t>
      </w:r>
      <w:r>
        <w:rPr>
          <w:rFonts w:hint="eastAsia" w:ascii="宋体" w:hAnsi="宋体" w:eastAsia="宋体" w:cs="宋体"/>
          <w:color w:val="000000" w:themeColor="text1"/>
          <w:spacing w:val="-6"/>
          <w:sz w:val="24"/>
          <w:highlight w:val="none"/>
          <w14:textFill>
            <w14:solidFill>
              <w14:schemeClr w14:val="tx1"/>
            </w14:solidFill>
          </w14:textFill>
        </w:rPr>
        <w:t>谋求特定供应商成交或者排斥其他供应商的其他串通行为。</w:t>
      </w:r>
    </w:p>
    <w:p w14:paraId="23990960">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p>
    <w:p w14:paraId="41095A60">
      <w:pPr>
        <w:spacing w:line="360" w:lineRule="auto"/>
        <w:ind w:firstLine="482" w:firstLineChars="200"/>
        <w:contextualSpacing/>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以上情形一经核查属实，我方愿意承担一切后果，并不再寻求任何旨在减轻或者免除法律责任的辩解。</w:t>
      </w:r>
    </w:p>
    <w:p w14:paraId="1EDCFF0D">
      <w:pPr>
        <w:spacing w:line="360" w:lineRule="auto"/>
        <w:contextualSpacing/>
        <w:rPr>
          <w:rFonts w:hint="eastAsia" w:ascii="宋体" w:hAnsi="宋体" w:eastAsia="宋体" w:cs="宋体"/>
          <w:color w:val="000000" w:themeColor="text1"/>
          <w:sz w:val="24"/>
          <w:highlight w:val="none"/>
          <w14:textFill>
            <w14:solidFill>
              <w14:schemeClr w14:val="tx1"/>
            </w14:solidFill>
          </w14:textFill>
        </w:rPr>
      </w:pPr>
    </w:p>
    <w:p w14:paraId="1F3157F6">
      <w:pPr>
        <w:spacing w:line="360" w:lineRule="auto"/>
        <w:ind w:firstLine="3600" w:firstLineChars="15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供应商（电子签章）：</w:t>
      </w:r>
    </w:p>
    <w:p w14:paraId="430841B9">
      <w:pPr>
        <w:spacing w:line="360" w:lineRule="auto"/>
        <w:ind w:firstLine="480" w:firstLineChars="200"/>
        <w:contextualSpacing/>
        <w:jc w:val="center"/>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                               年   月   日</w:t>
      </w:r>
    </w:p>
    <w:p w14:paraId="2ECE2961">
      <w:pPr>
        <w:spacing w:line="520" w:lineRule="exact"/>
        <w:jc w:val="center"/>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bCs/>
          <w:color w:val="000000" w:themeColor="text1"/>
          <w:sz w:val="44"/>
          <w:szCs w:val="44"/>
          <w:highlight w:val="none"/>
          <w14:textFill>
            <w14:solidFill>
              <w14:schemeClr w14:val="tx1"/>
            </w14:solidFill>
          </w14:textFill>
        </w:rPr>
        <w:br w:type="page"/>
      </w:r>
      <w:r>
        <w:rPr>
          <w:rFonts w:hint="eastAsia" w:ascii="宋体" w:hAnsi="宋体" w:eastAsia="宋体" w:cs="宋体"/>
          <w:bCs/>
          <w:color w:val="000000" w:themeColor="text1"/>
          <w:sz w:val="44"/>
          <w:szCs w:val="44"/>
          <w:highlight w:val="none"/>
          <w14:textFill>
            <w14:solidFill>
              <w14:schemeClr w14:val="tx1"/>
            </w14:solidFill>
          </w14:textFill>
        </w:rPr>
        <w:t>法定代表人证明书</w:t>
      </w:r>
    </w:p>
    <w:p w14:paraId="3616398B">
      <w:pPr>
        <w:spacing w:line="360" w:lineRule="auto"/>
        <w:ind w:left="540"/>
        <w:contextualSpacing/>
        <w:rPr>
          <w:rFonts w:hint="eastAsia" w:ascii="宋体" w:hAnsi="宋体" w:eastAsia="宋体" w:cs="宋体"/>
          <w:color w:val="000000" w:themeColor="text1"/>
          <w:sz w:val="32"/>
          <w:szCs w:val="32"/>
          <w:highlight w:val="none"/>
          <w14:textFill>
            <w14:solidFill>
              <w14:schemeClr w14:val="tx1"/>
            </w14:solidFill>
          </w14:textFill>
        </w:rPr>
      </w:pPr>
    </w:p>
    <w:p w14:paraId="0DAA5208">
      <w:pPr>
        <w:spacing w:line="360" w:lineRule="auto"/>
        <w:ind w:left="54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供应商名称：</w:t>
      </w:r>
      <w:r>
        <w:rPr>
          <w:rFonts w:hint="eastAsia" w:ascii="宋体" w:hAnsi="宋体" w:eastAsia="宋体" w:cs="宋体"/>
          <w:color w:val="000000" w:themeColor="text1"/>
          <w:sz w:val="24"/>
          <w:highlight w:val="none"/>
          <w:u w:val="single"/>
          <w14:textFill>
            <w14:solidFill>
              <w14:schemeClr w14:val="tx1"/>
            </w14:solidFill>
          </w14:textFill>
        </w:rPr>
        <w:t xml:space="preserve">                                         </w:t>
      </w:r>
    </w:p>
    <w:p w14:paraId="5A19A9C9">
      <w:pPr>
        <w:spacing w:line="360" w:lineRule="auto"/>
        <w:ind w:left="54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地    址：</w:t>
      </w:r>
      <w:r>
        <w:rPr>
          <w:rFonts w:hint="eastAsia" w:ascii="宋体" w:hAnsi="宋体" w:eastAsia="宋体" w:cs="宋体"/>
          <w:color w:val="000000" w:themeColor="text1"/>
          <w:sz w:val="24"/>
          <w:highlight w:val="none"/>
          <w:u w:val="single"/>
          <w14:textFill>
            <w14:solidFill>
              <w14:schemeClr w14:val="tx1"/>
            </w14:solidFill>
          </w14:textFill>
        </w:rPr>
        <w:t xml:space="preserve">                                           </w:t>
      </w:r>
    </w:p>
    <w:p w14:paraId="25937CA8">
      <w:pPr>
        <w:spacing w:line="360" w:lineRule="auto"/>
        <w:ind w:left="54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姓    名：</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性     别：</w:t>
      </w:r>
      <w:r>
        <w:rPr>
          <w:rFonts w:hint="eastAsia" w:ascii="宋体" w:hAnsi="宋体" w:eastAsia="宋体" w:cs="宋体"/>
          <w:color w:val="000000" w:themeColor="text1"/>
          <w:sz w:val="24"/>
          <w:highlight w:val="none"/>
          <w:u w:val="single"/>
          <w14:textFill>
            <w14:solidFill>
              <w14:schemeClr w14:val="tx1"/>
            </w14:solidFill>
          </w14:textFill>
        </w:rPr>
        <w:t xml:space="preserve">                </w:t>
      </w:r>
    </w:p>
    <w:p w14:paraId="2621FD71">
      <w:pPr>
        <w:spacing w:line="360" w:lineRule="auto"/>
        <w:ind w:left="540"/>
        <w:contextualSpacing/>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年    龄：</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职     务：</w:t>
      </w:r>
      <w:r>
        <w:rPr>
          <w:rFonts w:hint="eastAsia" w:ascii="宋体" w:hAnsi="宋体" w:eastAsia="宋体" w:cs="宋体"/>
          <w:color w:val="000000" w:themeColor="text1"/>
          <w:sz w:val="24"/>
          <w:highlight w:val="none"/>
          <w:u w:val="single"/>
          <w14:textFill>
            <w14:solidFill>
              <w14:schemeClr w14:val="tx1"/>
            </w14:solidFill>
          </w14:textFill>
        </w:rPr>
        <w:t xml:space="preserve">                </w:t>
      </w:r>
    </w:p>
    <w:p w14:paraId="0104ABAD">
      <w:pPr>
        <w:spacing w:line="360" w:lineRule="auto"/>
        <w:ind w:left="54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身份证号码：</w:t>
      </w:r>
      <w:r>
        <w:rPr>
          <w:rFonts w:hint="eastAsia" w:ascii="宋体" w:hAnsi="宋体" w:eastAsia="宋体" w:cs="宋体"/>
          <w:color w:val="000000" w:themeColor="text1"/>
          <w:sz w:val="24"/>
          <w:highlight w:val="none"/>
          <w:u w:val="single"/>
          <w14:textFill>
            <w14:solidFill>
              <w14:schemeClr w14:val="tx1"/>
            </w14:solidFill>
          </w14:textFill>
        </w:rPr>
        <w:t xml:space="preserve">                                        </w:t>
      </w:r>
    </w:p>
    <w:p w14:paraId="2B3AB43C">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系</w:t>
      </w:r>
      <w:r>
        <w:rPr>
          <w:rFonts w:hint="eastAsia" w:ascii="宋体" w:hAnsi="宋体" w:eastAsia="宋体" w:cs="宋体"/>
          <w:color w:val="000000" w:themeColor="text1"/>
          <w:sz w:val="24"/>
          <w:highlight w:val="none"/>
          <w:u w:val="single"/>
          <w14:textFill>
            <w14:solidFill>
              <w14:schemeClr w14:val="tx1"/>
            </w14:solidFill>
          </w14:textFill>
        </w:rPr>
        <w:t>（供应商名称）</w:t>
      </w:r>
      <w:r>
        <w:rPr>
          <w:rFonts w:hint="eastAsia" w:ascii="宋体" w:hAnsi="宋体" w:eastAsia="宋体" w:cs="宋体"/>
          <w:color w:val="000000" w:themeColor="text1"/>
          <w:sz w:val="24"/>
          <w:highlight w:val="none"/>
          <w14:textFill>
            <w14:solidFill>
              <w14:schemeClr w14:val="tx1"/>
            </w14:solidFill>
          </w14:textFill>
        </w:rPr>
        <w:t>的法定代表人。</w:t>
      </w:r>
    </w:p>
    <w:p w14:paraId="062137F8">
      <w:pPr>
        <w:spacing w:line="360" w:lineRule="auto"/>
        <w:ind w:left="54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特此证明。</w:t>
      </w:r>
    </w:p>
    <w:p w14:paraId="436CDFBA">
      <w:pPr>
        <w:spacing w:line="360" w:lineRule="auto"/>
        <w:ind w:left="540"/>
        <w:contextualSpacing/>
        <w:rPr>
          <w:rFonts w:hint="eastAsia" w:ascii="宋体" w:hAnsi="宋体" w:eastAsia="宋体" w:cs="宋体"/>
          <w:color w:val="000000" w:themeColor="text1"/>
          <w:sz w:val="24"/>
          <w:highlight w:val="none"/>
          <w14:textFill>
            <w14:solidFill>
              <w14:schemeClr w14:val="tx1"/>
            </w14:solidFill>
          </w14:textFill>
        </w:rPr>
      </w:pPr>
    </w:p>
    <w:p w14:paraId="42CFAE5C">
      <w:pPr>
        <w:spacing w:line="360" w:lineRule="auto"/>
        <w:ind w:left="540"/>
        <w:contextualSpacing/>
        <w:rPr>
          <w:rFonts w:hint="eastAsia" w:ascii="宋体" w:hAnsi="宋体" w:eastAsia="宋体" w:cs="宋体"/>
          <w:color w:val="000000" w:themeColor="text1"/>
          <w:sz w:val="24"/>
          <w:highlight w:val="none"/>
          <w14:textFill>
            <w14:solidFill>
              <w14:schemeClr w14:val="tx1"/>
            </w14:solidFill>
          </w14:textFill>
        </w:rPr>
      </w:pPr>
    </w:p>
    <w:p w14:paraId="3460E207">
      <w:pPr>
        <w:spacing w:line="360" w:lineRule="auto"/>
        <w:ind w:left="540"/>
        <w:contextualSpacing/>
        <w:rPr>
          <w:rFonts w:hint="eastAsia" w:ascii="宋体" w:hAnsi="宋体" w:eastAsia="宋体" w:cs="宋体"/>
          <w:color w:val="000000" w:themeColor="text1"/>
          <w:sz w:val="24"/>
          <w:highlight w:val="none"/>
          <w14:textFill>
            <w14:solidFill>
              <w14:schemeClr w14:val="tx1"/>
            </w14:solidFill>
          </w14:textFill>
        </w:rPr>
      </w:pPr>
    </w:p>
    <w:p w14:paraId="03CC01E2">
      <w:pPr>
        <w:spacing w:line="360" w:lineRule="auto"/>
        <w:ind w:left="54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附件：法定代表人有效身份证正反面复印件</w:t>
      </w:r>
    </w:p>
    <w:p w14:paraId="4470FEB0">
      <w:pPr>
        <w:spacing w:line="360" w:lineRule="auto"/>
        <w:ind w:left="540"/>
        <w:contextualSpacing/>
        <w:rPr>
          <w:rFonts w:hint="eastAsia" w:ascii="宋体" w:hAnsi="宋体" w:eastAsia="宋体" w:cs="宋体"/>
          <w:color w:val="000000" w:themeColor="text1"/>
          <w:sz w:val="24"/>
          <w:highlight w:val="none"/>
          <w14:textFill>
            <w14:solidFill>
              <w14:schemeClr w14:val="tx1"/>
            </w14:solidFill>
          </w14:textFill>
        </w:rPr>
      </w:pPr>
    </w:p>
    <w:p w14:paraId="3DE779A2">
      <w:pPr>
        <w:spacing w:line="360" w:lineRule="auto"/>
        <w:ind w:left="540" w:firstLine="3000" w:firstLineChars="1250"/>
        <w:contextualSpacing/>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供应商（电子签章）：</w:t>
      </w:r>
    </w:p>
    <w:p w14:paraId="74321191">
      <w:pPr>
        <w:spacing w:line="360" w:lineRule="auto"/>
        <w:ind w:firstLine="4080" w:firstLineChars="17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年  月  日</w:t>
      </w:r>
    </w:p>
    <w:p w14:paraId="3FD8E016">
      <w:pPr>
        <w:spacing w:line="360" w:lineRule="auto"/>
        <w:contextualSpacing/>
        <w:jc w:val="center"/>
        <w:rPr>
          <w:rFonts w:hint="eastAsia" w:ascii="宋体" w:hAnsi="宋体" w:eastAsia="宋体" w:cs="宋体"/>
          <w:b/>
          <w:color w:val="000000" w:themeColor="text1"/>
          <w:sz w:val="24"/>
          <w:highlight w:val="none"/>
          <w14:textFill>
            <w14:solidFill>
              <w14:schemeClr w14:val="tx1"/>
            </w14:solidFill>
          </w14:textFill>
        </w:rPr>
      </w:pPr>
    </w:p>
    <w:p w14:paraId="7E1981EE">
      <w:pPr>
        <w:spacing w:line="360" w:lineRule="auto"/>
        <w:contextualSpacing/>
        <w:jc w:val="left"/>
        <w:rPr>
          <w:rFonts w:hint="eastAsia" w:ascii="宋体" w:hAnsi="宋体" w:eastAsia="宋体" w:cs="宋体"/>
          <w:color w:val="000000" w:themeColor="text1"/>
          <w:sz w:val="24"/>
          <w:highlight w:val="none"/>
          <w14:textFill>
            <w14:solidFill>
              <w14:schemeClr w14:val="tx1"/>
            </w14:solidFill>
          </w14:textFill>
        </w:rPr>
      </w:pPr>
    </w:p>
    <w:p w14:paraId="339A94C7">
      <w:pPr>
        <w:adjustRightInd w:val="0"/>
        <w:snapToGrid w:val="0"/>
        <w:spacing w:line="300" w:lineRule="auto"/>
        <w:jc w:val="left"/>
        <w:rPr>
          <w:rFonts w:hint="eastAsia" w:ascii="宋体" w:hAnsi="宋体" w:eastAsia="宋体" w:cs="宋体"/>
          <w:b/>
          <w:color w:val="000000" w:themeColor="text1"/>
          <w:szCs w:val="21"/>
          <w:highlight w:val="none"/>
          <w14:textFill>
            <w14:solidFill>
              <w14:schemeClr w14:val="tx1"/>
            </w14:solidFill>
          </w14:textFill>
        </w:rPr>
      </w:pPr>
    </w:p>
    <w:p w14:paraId="4C4A5FF2">
      <w:pPr>
        <w:spacing w:line="500" w:lineRule="exact"/>
        <w:jc w:val="center"/>
        <w:rPr>
          <w:rFonts w:hint="eastAsia" w:ascii="宋体" w:hAnsi="宋体" w:eastAsia="宋体" w:cs="宋体"/>
          <w:color w:val="000000" w:themeColor="text1"/>
          <w:sz w:val="44"/>
          <w:szCs w:val="44"/>
          <w:highlight w:val="none"/>
          <w14:textFill>
            <w14:solidFill>
              <w14:schemeClr w14:val="tx1"/>
            </w14:solidFill>
          </w14:textFill>
        </w:rPr>
      </w:pPr>
      <w:r>
        <w:rPr>
          <w:rFonts w:hint="eastAsia" w:ascii="宋体" w:hAnsi="宋体" w:eastAsia="宋体" w:cs="宋体"/>
          <w:color w:val="000000" w:themeColor="text1"/>
          <w:sz w:val="44"/>
          <w:szCs w:val="44"/>
          <w:highlight w:val="none"/>
          <w14:textFill>
            <w14:solidFill>
              <w14:schemeClr w14:val="tx1"/>
            </w14:solidFill>
          </w14:textFill>
        </w:rPr>
        <w:br w:type="page"/>
      </w:r>
    </w:p>
    <w:p w14:paraId="5C4FB5F5">
      <w:pPr>
        <w:spacing w:line="520" w:lineRule="exact"/>
        <w:jc w:val="center"/>
        <w:rPr>
          <w:rFonts w:hint="eastAsia" w:ascii="宋体" w:hAnsi="宋体" w:eastAsia="宋体" w:cs="宋体"/>
          <w:color w:val="000000" w:themeColor="text1"/>
          <w:sz w:val="44"/>
          <w:szCs w:val="44"/>
          <w:highlight w:val="none"/>
          <w14:textFill>
            <w14:solidFill>
              <w14:schemeClr w14:val="tx1"/>
            </w14:solidFill>
          </w14:textFill>
        </w:rPr>
      </w:pPr>
      <w:bookmarkStart w:id="90" w:name="_Hlk65853643"/>
      <w:r>
        <w:rPr>
          <w:rFonts w:hint="eastAsia" w:ascii="宋体" w:hAnsi="宋体" w:eastAsia="宋体" w:cs="宋体"/>
          <w:color w:val="000000" w:themeColor="text1"/>
          <w:sz w:val="44"/>
          <w:szCs w:val="44"/>
          <w:highlight w:val="none"/>
          <w14:textFill>
            <w14:solidFill>
              <w14:schemeClr w14:val="tx1"/>
            </w14:solidFill>
          </w14:textFill>
        </w:rPr>
        <w:t>授权委托书</w:t>
      </w:r>
    </w:p>
    <w:p w14:paraId="7904592F">
      <w:pPr>
        <w:spacing w:line="520" w:lineRule="exact"/>
        <w:jc w:val="center"/>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（非联合体竞标格式）</w:t>
      </w:r>
    </w:p>
    <w:p w14:paraId="36DE5078">
      <w:pPr>
        <w:spacing w:line="520" w:lineRule="exact"/>
        <w:jc w:val="center"/>
        <w:rPr>
          <w:rFonts w:hint="eastAsia" w:ascii="宋体" w:hAnsi="宋体" w:eastAsia="宋体" w:cs="宋体"/>
          <w:color w:val="000000" w:themeColor="text1"/>
          <w:sz w:val="44"/>
          <w:szCs w:val="44"/>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（如有委托时）</w:t>
      </w:r>
    </w:p>
    <w:p w14:paraId="09C1D0C2">
      <w:pPr>
        <w:spacing w:line="520" w:lineRule="exact"/>
        <w:rPr>
          <w:rFonts w:hint="eastAsia" w:ascii="宋体" w:hAnsi="宋体" w:eastAsia="宋体" w:cs="宋体"/>
          <w:color w:val="000000" w:themeColor="text1"/>
          <w:sz w:val="32"/>
          <w:szCs w:val="32"/>
          <w:highlight w:val="none"/>
          <w14:textFill>
            <w14:solidFill>
              <w14:schemeClr w14:val="tx1"/>
            </w14:solidFill>
          </w14:textFill>
        </w:rPr>
      </w:pPr>
    </w:p>
    <w:p w14:paraId="6B7248B0">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lang w:eastAsia="zh-CN"/>
          <w14:textFill>
            <w14:solidFill>
              <w14:schemeClr w14:val="tx1"/>
            </w14:solidFill>
          </w14:textFill>
        </w:rPr>
        <w:t>贵港市港南区民政局</w:t>
      </w:r>
      <w:r>
        <w:rPr>
          <w:rFonts w:hint="eastAsia" w:ascii="宋体" w:hAnsi="宋体" w:eastAsia="宋体" w:cs="宋体"/>
          <w:color w:val="000000" w:themeColor="text1"/>
          <w:sz w:val="24"/>
          <w:highlight w:val="none"/>
          <w14:textFill>
            <w14:solidFill>
              <w14:schemeClr w14:val="tx1"/>
            </w14:solidFill>
          </w14:textFill>
        </w:rPr>
        <w:t>：</w:t>
      </w:r>
    </w:p>
    <w:p w14:paraId="1A5B7A35">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我</w:t>
      </w:r>
      <w:r>
        <w:rPr>
          <w:rFonts w:hint="eastAsia" w:ascii="宋体" w:hAnsi="宋体" w:eastAsia="宋体" w:cs="宋体"/>
          <w:color w:val="000000" w:themeColor="text1"/>
          <w:sz w:val="24"/>
          <w:highlight w:val="none"/>
          <w:u w:val="single"/>
          <w14:textFill>
            <w14:solidFill>
              <w14:schemeClr w14:val="tx1"/>
            </w14:solidFill>
          </w14:textFill>
        </w:rPr>
        <w:t xml:space="preserve">  （姓名）  </w:t>
      </w:r>
      <w:r>
        <w:rPr>
          <w:rFonts w:hint="eastAsia" w:ascii="宋体" w:hAnsi="宋体" w:eastAsia="宋体" w:cs="宋体"/>
          <w:color w:val="000000" w:themeColor="text1"/>
          <w:sz w:val="24"/>
          <w:highlight w:val="none"/>
          <w14:textFill>
            <w14:solidFill>
              <w14:schemeClr w14:val="tx1"/>
            </w14:solidFill>
          </w14:textFill>
        </w:rPr>
        <w:t>系</w:t>
      </w:r>
      <w:r>
        <w:rPr>
          <w:rFonts w:hint="eastAsia" w:ascii="宋体" w:hAnsi="宋体" w:eastAsia="宋体" w:cs="宋体"/>
          <w:color w:val="000000" w:themeColor="text1"/>
          <w:sz w:val="24"/>
          <w:highlight w:val="none"/>
          <w:u w:val="single"/>
          <w14:textFill>
            <w14:solidFill>
              <w14:schemeClr w14:val="tx1"/>
            </w14:solidFill>
          </w14:textFill>
        </w:rPr>
        <w:t xml:space="preserve">  （供应商名称）  </w:t>
      </w:r>
      <w:r>
        <w:rPr>
          <w:rFonts w:hint="eastAsia" w:ascii="宋体" w:hAnsi="宋体" w:eastAsia="宋体" w:cs="宋体"/>
          <w:color w:val="000000" w:themeColor="text1"/>
          <w:sz w:val="24"/>
          <w:highlight w:val="none"/>
          <w14:textFill>
            <w14:solidFill>
              <w14:schemeClr w14:val="tx1"/>
            </w14:solidFill>
          </w14:textFill>
        </w:rPr>
        <w:t>的（</w:t>
      </w:r>
      <w:r>
        <w:rPr>
          <w:rFonts w:hint="eastAsia" w:ascii="宋体" w:hAnsi="宋体" w:eastAsia="宋体" w:cs="宋体"/>
          <w:color w:val="000000" w:themeColor="text1"/>
          <w:sz w:val="24"/>
          <w:highlight w:val="none"/>
          <w:u w:val="single"/>
          <w14:textFill>
            <w14:solidFill>
              <w14:schemeClr w14:val="tx1"/>
            </w14:solidFill>
          </w14:textFill>
        </w:rPr>
        <w:t>□法定代表人/□负责人</w:t>
      </w:r>
      <w:r>
        <w:rPr>
          <w:rFonts w:hint="eastAsia" w:ascii="宋体" w:hAnsi="宋体" w:eastAsia="宋体" w:cs="宋体"/>
          <w:color w:val="000000" w:themeColor="text1"/>
          <w:sz w:val="24"/>
          <w:highlight w:val="none"/>
          <w14:textFill>
            <w14:solidFill>
              <w14:schemeClr w14:val="tx1"/>
            </w14:solidFill>
          </w14:textFill>
        </w:rPr>
        <w:t>），现授权</w:t>
      </w:r>
      <w:r>
        <w:rPr>
          <w:rFonts w:hint="eastAsia" w:ascii="宋体" w:hAnsi="宋体" w:eastAsia="宋体" w:cs="宋体"/>
          <w:color w:val="000000" w:themeColor="text1"/>
          <w:sz w:val="24"/>
          <w:highlight w:val="none"/>
          <w:u w:val="single"/>
          <w14:textFill>
            <w14:solidFill>
              <w14:schemeClr w14:val="tx1"/>
            </w14:solidFill>
          </w14:textFill>
        </w:rPr>
        <w:t xml:space="preserve"> （姓名） </w:t>
      </w:r>
      <w:r>
        <w:rPr>
          <w:rFonts w:hint="eastAsia" w:ascii="宋体" w:hAnsi="宋体" w:eastAsia="宋体" w:cs="宋体"/>
          <w:color w:val="000000" w:themeColor="text1"/>
          <w:sz w:val="24"/>
          <w:highlight w:val="none"/>
          <w14:textFill>
            <w14:solidFill>
              <w14:schemeClr w14:val="tx1"/>
            </w14:solidFill>
          </w14:textFill>
        </w:rPr>
        <w:t>以我方的名义参加项目的竞标活动，并代表我方全权办理针对上述项目的所有采购程序和环节的具体事务和签署相关文件。</w:t>
      </w:r>
    </w:p>
    <w:p w14:paraId="426BF6E1">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    我方对委托代理人的签字或者电子签名事项负全部责任。</w:t>
      </w:r>
    </w:p>
    <w:p w14:paraId="42EAF559">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4AD3287B">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委托代理人无转委托权，特此委托。</w:t>
      </w:r>
    </w:p>
    <w:p w14:paraId="21C4C5A9">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附：法定代表人身份证明书及委托代理人有效身份证正反面复印件</w:t>
      </w:r>
    </w:p>
    <w:p w14:paraId="14DFA91B">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636739F0">
      <w:pPr>
        <w:spacing w:line="360" w:lineRule="auto"/>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委托代理人（签字或者电子签名）：     法定代表人（签字或者电子签名）：                    </w:t>
      </w:r>
    </w:p>
    <w:p w14:paraId="0A2690D2">
      <w:pPr>
        <w:spacing w:line="360" w:lineRule="auto"/>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委托代理人身份证号码：                              </w:t>
      </w:r>
    </w:p>
    <w:p w14:paraId="048E7999">
      <w:pPr>
        <w:spacing w:line="360" w:lineRule="auto"/>
        <w:contextualSpacing/>
        <w:rPr>
          <w:rFonts w:hint="eastAsia" w:ascii="宋体" w:hAnsi="宋体" w:eastAsia="宋体" w:cs="宋体"/>
          <w:color w:val="000000" w:themeColor="text1"/>
          <w:sz w:val="24"/>
          <w:highlight w:val="none"/>
          <w14:textFill>
            <w14:solidFill>
              <w14:schemeClr w14:val="tx1"/>
            </w14:solidFill>
          </w14:textFill>
        </w:rPr>
      </w:pPr>
    </w:p>
    <w:p w14:paraId="68DB83A0">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                         供应商（电子签章）：                      </w:t>
      </w:r>
    </w:p>
    <w:p w14:paraId="48556EEF">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                                         年    月    日</w:t>
      </w:r>
    </w:p>
    <w:p w14:paraId="108DB08D">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26BAD004">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注：法定代表人必须在授权委托书上签字或者电子签名，委托代理人必须在授权委托书上签字或者电子签名，</w:t>
      </w:r>
      <w:r>
        <w:rPr>
          <w:rFonts w:hint="eastAsia" w:ascii="宋体" w:hAnsi="宋体" w:eastAsia="宋体" w:cs="宋体"/>
          <w:b/>
          <w:color w:val="000000" w:themeColor="text1"/>
          <w:sz w:val="24"/>
          <w:highlight w:val="none"/>
          <w14:textFill>
            <w14:solidFill>
              <w14:schemeClr w14:val="tx1"/>
            </w14:solidFill>
          </w14:textFill>
        </w:rPr>
        <w:t>否则其响应文件按无效处理。</w:t>
      </w:r>
    </w:p>
    <w:p w14:paraId="67CAE52B">
      <w:pPr>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p>
    <w:bookmarkEnd w:id="90"/>
    <w:p w14:paraId="770B39B6">
      <w:pPr>
        <w:spacing w:line="360" w:lineRule="auto"/>
        <w:contextualSpacing/>
        <w:jc w:val="center"/>
        <w:rPr>
          <w:rFonts w:hint="eastAsia" w:ascii="宋体" w:hAnsi="宋体" w:eastAsia="宋体" w:cs="宋体"/>
          <w:b/>
          <w:color w:val="000000" w:themeColor="text1"/>
          <w:sz w:val="36"/>
          <w:szCs w:val="36"/>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br w:type="page"/>
      </w:r>
      <w:r>
        <w:rPr>
          <w:rFonts w:hint="eastAsia" w:ascii="宋体" w:hAnsi="宋体" w:eastAsia="宋体" w:cs="宋体"/>
          <w:bCs/>
          <w:color w:val="000000" w:themeColor="text1"/>
          <w:sz w:val="44"/>
          <w:szCs w:val="44"/>
          <w:highlight w:val="none"/>
          <w14:textFill>
            <w14:solidFill>
              <w14:schemeClr w14:val="tx1"/>
            </w14:solidFill>
          </w14:textFill>
        </w:rPr>
        <w:t xml:space="preserve"> </w:t>
      </w:r>
      <w:r>
        <w:rPr>
          <w:rFonts w:hint="eastAsia" w:ascii="宋体" w:hAnsi="宋体" w:eastAsia="宋体" w:cs="宋体"/>
          <w:bCs/>
          <w:color w:val="000000" w:themeColor="text1"/>
          <w:sz w:val="36"/>
          <w:szCs w:val="36"/>
          <w:highlight w:val="none"/>
          <w14:textFill>
            <w14:solidFill>
              <w14:schemeClr w14:val="tx1"/>
            </w14:solidFill>
          </w14:textFill>
        </w:rPr>
        <w:t>项目管理机构配备情况表及主要人员简历表</w:t>
      </w:r>
    </w:p>
    <w:p w14:paraId="04B1F2A2">
      <w:pPr>
        <w:snapToGrid w:val="0"/>
        <w:spacing w:before="120" w:beforeLines="50" w:after="50"/>
        <w:jc w:val="center"/>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（一）项目管理机构配备情况表</w:t>
      </w:r>
    </w:p>
    <w:p w14:paraId="39B5D98A">
      <w:pPr>
        <w:pStyle w:val="24"/>
        <w:spacing w:line="360" w:lineRule="auto"/>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分标（如有）</w:t>
      </w:r>
      <w:r>
        <w:rPr>
          <w:rFonts w:hint="eastAsia" w:ascii="宋体" w:hAnsi="宋体" w:eastAsia="宋体" w:cs="宋体"/>
          <w:color w:val="000000" w:themeColor="text1"/>
          <w:sz w:val="24"/>
          <w:szCs w:val="24"/>
          <w:highlight w:val="none"/>
          <w14:textFill>
            <w14:solidFill>
              <w14:schemeClr w14:val="tx1"/>
            </w14:solidFill>
          </w14:textFill>
        </w:rPr>
        <w:t>：</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14:paraId="1C808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vAlign w:val="center"/>
          </w:tcPr>
          <w:p w14:paraId="10674ED0">
            <w:pPr>
              <w:ind w:left="223" w:hanging="222" w:hangingChars="106"/>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岗位</w:t>
            </w:r>
          </w:p>
        </w:tc>
        <w:tc>
          <w:tcPr>
            <w:tcW w:w="670" w:type="dxa"/>
            <w:vMerge w:val="restart"/>
            <w:vAlign w:val="center"/>
          </w:tcPr>
          <w:p w14:paraId="66474692">
            <w:pPr>
              <w:ind w:left="223" w:hanging="222" w:hangingChars="106"/>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姓名</w:t>
            </w:r>
          </w:p>
        </w:tc>
        <w:tc>
          <w:tcPr>
            <w:tcW w:w="829" w:type="dxa"/>
            <w:vMerge w:val="restart"/>
            <w:vAlign w:val="center"/>
          </w:tcPr>
          <w:p w14:paraId="576B340B">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身份证号</w:t>
            </w:r>
          </w:p>
        </w:tc>
        <w:tc>
          <w:tcPr>
            <w:tcW w:w="816" w:type="dxa"/>
            <w:vMerge w:val="restart"/>
            <w:vAlign w:val="center"/>
          </w:tcPr>
          <w:p w14:paraId="46B85E24">
            <w:pPr>
              <w:ind w:left="223" w:hanging="222" w:hangingChars="106"/>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职称</w:t>
            </w:r>
          </w:p>
        </w:tc>
        <w:tc>
          <w:tcPr>
            <w:tcW w:w="4188" w:type="dxa"/>
            <w:gridSpan w:val="4"/>
            <w:vAlign w:val="center"/>
          </w:tcPr>
          <w:p w14:paraId="2A00643F">
            <w:pPr>
              <w:ind w:left="223" w:hanging="222" w:hangingChars="106"/>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执业或职业资格</w:t>
            </w:r>
          </w:p>
        </w:tc>
        <w:tc>
          <w:tcPr>
            <w:tcW w:w="2443" w:type="dxa"/>
            <w:gridSpan w:val="2"/>
            <w:vAlign w:val="center"/>
          </w:tcPr>
          <w:p w14:paraId="6C127E34">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承担完工、在建工程情况</w:t>
            </w:r>
          </w:p>
        </w:tc>
      </w:tr>
      <w:tr w14:paraId="1ABC9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vAlign w:val="center"/>
          </w:tcPr>
          <w:p w14:paraId="0B08FA5E">
            <w:pPr>
              <w:ind w:left="223" w:hanging="222" w:hangingChars="106"/>
              <w:jc w:val="center"/>
              <w:rPr>
                <w:rFonts w:hint="eastAsia" w:ascii="宋体" w:hAnsi="宋体" w:eastAsia="宋体" w:cs="宋体"/>
                <w:color w:val="000000" w:themeColor="text1"/>
                <w:highlight w:val="none"/>
                <w14:textFill>
                  <w14:solidFill>
                    <w14:schemeClr w14:val="tx1"/>
                  </w14:solidFill>
                </w14:textFill>
              </w:rPr>
            </w:pPr>
          </w:p>
        </w:tc>
        <w:tc>
          <w:tcPr>
            <w:tcW w:w="670" w:type="dxa"/>
            <w:vMerge w:val="continue"/>
            <w:vAlign w:val="center"/>
          </w:tcPr>
          <w:p w14:paraId="7279AD3B">
            <w:pPr>
              <w:ind w:left="223" w:hanging="222" w:hangingChars="106"/>
              <w:jc w:val="center"/>
              <w:rPr>
                <w:rFonts w:hint="eastAsia" w:ascii="宋体" w:hAnsi="宋体" w:eastAsia="宋体" w:cs="宋体"/>
                <w:color w:val="000000" w:themeColor="text1"/>
                <w:highlight w:val="none"/>
                <w14:textFill>
                  <w14:solidFill>
                    <w14:schemeClr w14:val="tx1"/>
                  </w14:solidFill>
                </w14:textFill>
              </w:rPr>
            </w:pPr>
          </w:p>
        </w:tc>
        <w:tc>
          <w:tcPr>
            <w:tcW w:w="829" w:type="dxa"/>
            <w:vMerge w:val="continue"/>
            <w:vAlign w:val="center"/>
          </w:tcPr>
          <w:p w14:paraId="40F79C68">
            <w:pPr>
              <w:ind w:left="223" w:hanging="222" w:hangingChars="106"/>
              <w:jc w:val="center"/>
              <w:rPr>
                <w:rFonts w:hint="eastAsia" w:ascii="宋体" w:hAnsi="宋体" w:eastAsia="宋体" w:cs="宋体"/>
                <w:color w:val="000000" w:themeColor="text1"/>
                <w:highlight w:val="none"/>
                <w14:textFill>
                  <w14:solidFill>
                    <w14:schemeClr w14:val="tx1"/>
                  </w14:solidFill>
                </w14:textFill>
              </w:rPr>
            </w:pPr>
          </w:p>
        </w:tc>
        <w:tc>
          <w:tcPr>
            <w:tcW w:w="816" w:type="dxa"/>
            <w:vMerge w:val="continue"/>
            <w:vAlign w:val="center"/>
          </w:tcPr>
          <w:p w14:paraId="763811E0">
            <w:pPr>
              <w:ind w:left="223" w:hanging="222" w:hangingChars="106"/>
              <w:jc w:val="center"/>
              <w:rPr>
                <w:rFonts w:hint="eastAsia" w:ascii="宋体" w:hAnsi="宋体" w:eastAsia="宋体" w:cs="宋体"/>
                <w:color w:val="000000" w:themeColor="text1"/>
                <w:highlight w:val="none"/>
                <w14:textFill>
                  <w14:solidFill>
                    <w14:schemeClr w14:val="tx1"/>
                  </w14:solidFill>
                </w14:textFill>
              </w:rPr>
            </w:pPr>
          </w:p>
        </w:tc>
        <w:tc>
          <w:tcPr>
            <w:tcW w:w="1148" w:type="dxa"/>
            <w:vAlign w:val="center"/>
          </w:tcPr>
          <w:p w14:paraId="6012C53F">
            <w:pPr>
              <w:ind w:left="223" w:hanging="222" w:hangingChars="106"/>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证书名称</w:t>
            </w:r>
          </w:p>
        </w:tc>
        <w:tc>
          <w:tcPr>
            <w:tcW w:w="1148" w:type="dxa"/>
            <w:vAlign w:val="center"/>
          </w:tcPr>
          <w:p w14:paraId="4B25D9ED">
            <w:pPr>
              <w:ind w:left="223" w:hanging="222" w:hangingChars="106"/>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级别</w:t>
            </w:r>
          </w:p>
        </w:tc>
        <w:tc>
          <w:tcPr>
            <w:tcW w:w="1148" w:type="dxa"/>
            <w:vAlign w:val="center"/>
          </w:tcPr>
          <w:p w14:paraId="0626435A">
            <w:pPr>
              <w:ind w:left="223" w:hanging="222" w:hangingChars="106"/>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证号</w:t>
            </w:r>
          </w:p>
        </w:tc>
        <w:tc>
          <w:tcPr>
            <w:tcW w:w="744" w:type="dxa"/>
            <w:vAlign w:val="center"/>
          </w:tcPr>
          <w:p w14:paraId="04F2768A">
            <w:pPr>
              <w:ind w:left="223" w:hanging="222" w:hangingChars="106"/>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专业</w:t>
            </w:r>
          </w:p>
        </w:tc>
        <w:tc>
          <w:tcPr>
            <w:tcW w:w="1167" w:type="dxa"/>
            <w:vAlign w:val="center"/>
          </w:tcPr>
          <w:p w14:paraId="64BA515D">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完工/在建</w:t>
            </w:r>
          </w:p>
        </w:tc>
        <w:tc>
          <w:tcPr>
            <w:tcW w:w="1276" w:type="dxa"/>
            <w:vAlign w:val="center"/>
          </w:tcPr>
          <w:p w14:paraId="5AD056B1">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主要项目</w:t>
            </w:r>
          </w:p>
          <w:p w14:paraId="059AB273">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名称</w:t>
            </w:r>
          </w:p>
        </w:tc>
      </w:tr>
      <w:tr w14:paraId="3B8CF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50616382">
            <w:pPr>
              <w:pStyle w:val="171"/>
              <w:spacing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en-US" w:bidi="en-US"/>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项目经理</w:t>
            </w:r>
          </w:p>
        </w:tc>
        <w:tc>
          <w:tcPr>
            <w:tcW w:w="670" w:type="dxa"/>
            <w:vAlign w:val="center"/>
          </w:tcPr>
          <w:p w14:paraId="43335941">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829" w:type="dxa"/>
            <w:vAlign w:val="center"/>
          </w:tcPr>
          <w:p w14:paraId="23F3E317">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816" w:type="dxa"/>
            <w:vAlign w:val="center"/>
          </w:tcPr>
          <w:p w14:paraId="5E5B9FFA">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148" w:type="dxa"/>
            <w:vAlign w:val="center"/>
          </w:tcPr>
          <w:p w14:paraId="7C15239E">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148" w:type="dxa"/>
            <w:vAlign w:val="center"/>
          </w:tcPr>
          <w:p w14:paraId="52045085">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148" w:type="dxa"/>
            <w:vAlign w:val="center"/>
          </w:tcPr>
          <w:p w14:paraId="0A91DC5B">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744" w:type="dxa"/>
            <w:vAlign w:val="center"/>
          </w:tcPr>
          <w:p w14:paraId="18BF40F7">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167" w:type="dxa"/>
            <w:vAlign w:val="center"/>
          </w:tcPr>
          <w:p w14:paraId="7C2BF627">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276" w:type="dxa"/>
            <w:vAlign w:val="center"/>
          </w:tcPr>
          <w:p w14:paraId="3D8F3FBD">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r>
      <w:tr w14:paraId="48D18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2AAD14CC">
            <w:pPr>
              <w:pStyle w:val="171"/>
              <w:spacing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bidi="en-US"/>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技术负责人（项目总工）</w:t>
            </w:r>
          </w:p>
        </w:tc>
        <w:tc>
          <w:tcPr>
            <w:tcW w:w="670" w:type="dxa"/>
            <w:vAlign w:val="center"/>
          </w:tcPr>
          <w:p w14:paraId="4D03ACCD">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829" w:type="dxa"/>
            <w:vAlign w:val="center"/>
          </w:tcPr>
          <w:p w14:paraId="21091462">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816" w:type="dxa"/>
            <w:vAlign w:val="center"/>
          </w:tcPr>
          <w:p w14:paraId="745FBA42">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148" w:type="dxa"/>
            <w:vAlign w:val="center"/>
          </w:tcPr>
          <w:p w14:paraId="17795AD5">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148" w:type="dxa"/>
            <w:vAlign w:val="center"/>
          </w:tcPr>
          <w:p w14:paraId="259E63BD">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148" w:type="dxa"/>
            <w:vAlign w:val="center"/>
          </w:tcPr>
          <w:p w14:paraId="486512A4">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744" w:type="dxa"/>
            <w:vAlign w:val="center"/>
          </w:tcPr>
          <w:p w14:paraId="6888F445">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167" w:type="dxa"/>
            <w:vAlign w:val="center"/>
          </w:tcPr>
          <w:p w14:paraId="690FDAF9">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276" w:type="dxa"/>
            <w:vAlign w:val="center"/>
          </w:tcPr>
          <w:p w14:paraId="20506F7B">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r>
      <w:tr w14:paraId="19DCA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282F048F">
            <w:pPr>
              <w:pStyle w:val="171"/>
              <w:spacing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en-US" w:bidi="en-US"/>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 xml:space="preserve"> 施工员</w:t>
            </w:r>
          </w:p>
        </w:tc>
        <w:tc>
          <w:tcPr>
            <w:tcW w:w="670" w:type="dxa"/>
            <w:vAlign w:val="center"/>
          </w:tcPr>
          <w:p w14:paraId="2ECE9CFE">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829" w:type="dxa"/>
            <w:vAlign w:val="center"/>
          </w:tcPr>
          <w:p w14:paraId="47699B35">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816" w:type="dxa"/>
            <w:vAlign w:val="center"/>
          </w:tcPr>
          <w:p w14:paraId="39741F6A">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148" w:type="dxa"/>
            <w:vAlign w:val="center"/>
          </w:tcPr>
          <w:p w14:paraId="36E5F336">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148" w:type="dxa"/>
            <w:vAlign w:val="center"/>
          </w:tcPr>
          <w:p w14:paraId="2EB01FF5">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148" w:type="dxa"/>
            <w:vAlign w:val="center"/>
          </w:tcPr>
          <w:p w14:paraId="35C6BC77">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744" w:type="dxa"/>
            <w:vAlign w:val="center"/>
          </w:tcPr>
          <w:p w14:paraId="2438FF7E">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167" w:type="dxa"/>
            <w:vAlign w:val="center"/>
          </w:tcPr>
          <w:p w14:paraId="39AE4B95">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276" w:type="dxa"/>
            <w:vAlign w:val="center"/>
          </w:tcPr>
          <w:p w14:paraId="6E965F8E">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r>
      <w:tr w14:paraId="0474A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422F293D">
            <w:pPr>
              <w:pStyle w:val="171"/>
              <w:spacing w:line="24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en-US" w:bidi="en-US"/>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安全员</w:t>
            </w:r>
          </w:p>
        </w:tc>
        <w:tc>
          <w:tcPr>
            <w:tcW w:w="670" w:type="dxa"/>
            <w:vAlign w:val="center"/>
          </w:tcPr>
          <w:p w14:paraId="264DE805">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829" w:type="dxa"/>
            <w:vAlign w:val="center"/>
          </w:tcPr>
          <w:p w14:paraId="15CAE003">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816" w:type="dxa"/>
            <w:vAlign w:val="center"/>
          </w:tcPr>
          <w:p w14:paraId="23007E8D">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148" w:type="dxa"/>
            <w:vAlign w:val="center"/>
          </w:tcPr>
          <w:p w14:paraId="6503A82F">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148" w:type="dxa"/>
            <w:vAlign w:val="center"/>
          </w:tcPr>
          <w:p w14:paraId="5857FF6B">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148" w:type="dxa"/>
            <w:vAlign w:val="center"/>
          </w:tcPr>
          <w:p w14:paraId="42EE9EBC">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744" w:type="dxa"/>
            <w:vAlign w:val="center"/>
          </w:tcPr>
          <w:p w14:paraId="574C7D98">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167" w:type="dxa"/>
            <w:vAlign w:val="center"/>
          </w:tcPr>
          <w:p w14:paraId="2C7B0E41">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276" w:type="dxa"/>
            <w:vAlign w:val="center"/>
          </w:tcPr>
          <w:p w14:paraId="07DEABE2">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r>
      <w:tr w14:paraId="2D342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0B7EB140">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5.质量员</w:t>
            </w:r>
          </w:p>
        </w:tc>
        <w:tc>
          <w:tcPr>
            <w:tcW w:w="670" w:type="dxa"/>
            <w:vAlign w:val="center"/>
          </w:tcPr>
          <w:p w14:paraId="1662AA9C">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829" w:type="dxa"/>
            <w:vAlign w:val="center"/>
          </w:tcPr>
          <w:p w14:paraId="6237EBA6">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816" w:type="dxa"/>
            <w:vAlign w:val="center"/>
          </w:tcPr>
          <w:p w14:paraId="16583C5D">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148" w:type="dxa"/>
            <w:vAlign w:val="center"/>
          </w:tcPr>
          <w:p w14:paraId="52107554">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148" w:type="dxa"/>
            <w:vAlign w:val="center"/>
          </w:tcPr>
          <w:p w14:paraId="5C720489">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148" w:type="dxa"/>
            <w:vAlign w:val="center"/>
          </w:tcPr>
          <w:p w14:paraId="1D24E0A0">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744" w:type="dxa"/>
            <w:vAlign w:val="center"/>
          </w:tcPr>
          <w:p w14:paraId="2ACA2056">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167" w:type="dxa"/>
            <w:vAlign w:val="center"/>
          </w:tcPr>
          <w:p w14:paraId="27473E4A">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276" w:type="dxa"/>
            <w:vAlign w:val="center"/>
          </w:tcPr>
          <w:p w14:paraId="732D5573">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r>
      <w:tr w14:paraId="562B1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4414B1D3">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6.材料员</w:t>
            </w:r>
          </w:p>
        </w:tc>
        <w:tc>
          <w:tcPr>
            <w:tcW w:w="670" w:type="dxa"/>
            <w:vAlign w:val="center"/>
          </w:tcPr>
          <w:p w14:paraId="68F6BAED">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829" w:type="dxa"/>
            <w:vAlign w:val="center"/>
          </w:tcPr>
          <w:p w14:paraId="5C6DF6AE">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816" w:type="dxa"/>
            <w:vAlign w:val="center"/>
          </w:tcPr>
          <w:p w14:paraId="019D5039">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148" w:type="dxa"/>
            <w:vAlign w:val="center"/>
          </w:tcPr>
          <w:p w14:paraId="0B1B5A79">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148" w:type="dxa"/>
            <w:vAlign w:val="center"/>
          </w:tcPr>
          <w:p w14:paraId="336A9D8A">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148" w:type="dxa"/>
            <w:vAlign w:val="center"/>
          </w:tcPr>
          <w:p w14:paraId="1C2A8459">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744" w:type="dxa"/>
            <w:vAlign w:val="center"/>
          </w:tcPr>
          <w:p w14:paraId="262417EC">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167" w:type="dxa"/>
            <w:vAlign w:val="center"/>
          </w:tcPr>
          <w:p w14:paraId="51B682CD">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276" w:type="dxa"/>
            <w:vAlign w:val="center"/>
          </w:tcPr>
          <w:p w14:paraId="61C4CE4C">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r>
      <w:tr w14:paraId="4D090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4E288DDA">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670" w:type="dxa"/>
            <w:vAlign w:val="center"/>
          </w:tcPr>
          <w:p w14:paraId="04D6D198">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829" w:type="dxa"/>
            <w:vAlign w:val="center"/>
          </w:tcPr>
          <w:p w14:paraId="40336F30">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816" w:type="dxa"/>
            <w:vAlign w:val="center"/>
          </w:tcPr>
          <w:p w14:paraId="103D5C68">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148" w:type="dxa"/>
            <w:vAlign w:val="center"/>
          </w:tcPr>
          <w:p w14:paraId="1D0EBEB3">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148" w:type="dxa"/>
            <w:vAlign w:val="center"/>
          </w:tcPr>
          <w:p w14:paraId="59B6A65A">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148" w:type="dxa"/>
            <w:vAlign w:val="center"/>
          </w:tcPr>
          <w:p w14:paraId="4F18B5EB">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744" w:type="dxa"/>
            <w:vAlign w:val="center"/>
          </w:tcPr>
          <w:p w14:paraId="0207CF71">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167" w:type="dxa"/>
            <w:vAlign w:val="center"/>
          </w:tcPr>
          <w:p w14:paraId="00ADD814">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c>
          <w:tcPr>
            <w:tcW w:w="1276" w:type="dxa"/>
            <w:vAlign w:val="center"/>
          </w:tcPr>
          <w:p w14:paraId="28472952">
            <w:pPr>
              <w:ind w:left="223" w:hanging="222" w:hangingChars="106"/>
              <w:jc w:val="center"/>
              <w:rPr>
                <w:rFonts w:hint="eastAsia" w:ascii="宋体" w:hAnsi="宋体" w:eastAsia="宋体" w:cs="宋体"/>
                <w:color w:val="000000" w:themeColor="text1"/>
                <w:szCs w:val="21"/>
                <w:highlight w:val="none"/>
                <w14:textFill>
                  <w14:solidFill>
                    <w14:schemeClr w14:val="tx1"/>
                  </w14:solidFill>
                </w14:textFill>
              </w:rPr>
            </w:pPr>
          </w:p>
        </w:tc>
      </w:tr>
      <w:tr w14:paraId="52B85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66" w:type="dxa"/>
            <w:gridSpan w:val="10"/>
            <w:vAlign w:val="center"/>
          </w:tcPr>
          <w:p w14:paraId="6E3DC4EB">
            <w:pPr>
              <w:ind w:left="223" w:hanging="222" w:hangingChars="106"/>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一旦我单位成交，将实行项目经理负责制，我方保证并配备上述项目管理机构。上述填报内容真实，若不真实，愿按有关规定接受处理。项目管理班子机构设置、职责分工等情况另附资料说明。</w:t>
            </w:r>
          </w:p>
        </w:tc>
      </w:tr>
    </w:tbl>
    <w:p w14:paraId="05D8F130">
      <w:pPr>
        <w:spacing w:line="360" w:lineRule="auto"/>
        <w:contextualSpacing/>
        <w:jc w:val="left"/>
        <w:rPr>
          <w:rFonts w:hint="eastAsia" w:ascii="宋体" w:hAnsi="宋体" w:eastAsia="宋体" w:cs="宋体"/>
          <w:color w:val="000000" w:themeColor="text1"/>
          <w:sz w:val="24"/>
          <w:szCs w:val="20"/>
          <w:highlight w:val="none"/>
          <w14:textFill>
            <w14:solidFill>
              <w14:schemeClr w14:val="tx1"/>
            </w14:solidFill>
          </w14:textFill>
        </w:rPr>
      </w:pPr>
      <w:r>
        <w:rPr>
          <w:rFonts w:hint="eastAsia" w:ascii="宋体" w:hAnsi="宋体" w:eastAsia="宋体" w:cs="宋体"/>
          <w:color w:val="000000" w:themeColor="text1"/>
          <w:sz w:val="24"/>
          <w:szCs w:val="20"/>
          <w:highlight w:val="none"/>
          <w14:textFill>
            <w14:solidFill>
              <w14:schemeClr w14:val="tx1"/>
            </w14:solidFill>
          </w14:textFill>
        </w:rPr>
        <w:t>备注：1.本表所列岗位的所有管理人员的情况均应如实填写。可按以上格式扩展为多页填写。</w:t>
      </w:r>
    </w:p>
    <w:p w14:paraId="6EA97522">
      <w:pPr>
        <w:spacing w:line="360" w:lineRule="auto"/>
        <w:contextualSpacing/>
        <w:jc w:val="left"/>
        <w:rPr>
          <w:rFonts w:hint="eastAsia" w:ascii="宋体" w:hAnsi="宋体" w:eastAsia="宋体" w:cs="宋体"/>
          <w:color w:val="000000" w:themeColor="text1"/>
          <w:sz w:val="24"/>
          <w:szCs w:val="20"/>
          <w:highlight w:val="none"/>
          <w14:textFill>
            <w14:solidFill>
              <w14:schemeClr w14:val="tx1"/>
            </w14:solidFill>
          </w14:textFill>
        </w:rPr>
      </w:pPr>
      <w:r>
        <w:rPr>
          <w:rFonts w:hint="eastAsia" w:ascii="宋体" w:hAnsi="宋体" w:eastAsia="宋体" w:cs="宋体"/>
          <w:color w:val="000000" w:themeColor="text1"/>
          <w:sz w:val="24"/>
          <w:szCs w:val="20"/>
          <w:highlight w:val="none"/>
          <w14:textFill>
            <w14:solidFill>
              <w14:schemeClr w14:val="tx1"/>
            </w14:solidFill>
          </w14:textFill>
        </w:rPr>
        <w:t>2.供应商应当在本表后附所有管理人员的身份证、职称证、执业或职业资格证书、劳动合同等证明在供应商单位就职的复印件并加盖供应商电子签章。</w:t>
      </w:r>
    </w:p>
    <w:p w14:paraId="75FF8A1E">
      <w:pPr>
        <w:spacing w:line="360" w:lineRule="auto"/>
        <w:ind w:firstLine="480" w:firstLineChars="200"/>
        <w:contextualSpacing/>
        <w:rPr>
          <w:rFonts w:hint="eastAsia" w:ascii="宋体" w:hAnsi="宋体" w:eastAsia="宋体" w:cs="宋体"/>
          <w:color w:val="000000" w:themeColor="text1"/>
          <w:spacing w:val="20"/>
          <w:sz w:val="24"/>
          <w:szCs w:val="20"/>
          <w:highlight w:val="none"/>
          <w:u w:val="singl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法定代表人或者委托代理人</w:t>
      </w:r>
      <w:r>
        <w:rPr>
          <w:rFonts w:hint="eastAsia" w:ascii="宋体" w:hAnsi="宋体" w:eastAsia="宋体" w:cs="宋体"/>
          <w:color w:val="000000" w:themeColor="text1"/>
          <w:spacing w:val="20"/>
          <w:sz w:val="24"/>
          <w:highlight w:val="none"/>
          <w14:textFill>
            <w14:solidFill>
              <w14:schemeClr w14:val="tx1"/>
            </w14:solidFill>
          </w14:textFill>
        </w:rPr>
        <w:t>签字：</w:t>
      </w:r>
    </w:p>
    <w:p w14:paraId="676288F9">
      <w:pPr>
        <w:spacing w:line="360" w:lineRule="auto"/>
        <w:ind w:firstLine="560" w:firstLineChars="200"/>
        <w:contextualSpacing/>
        <w:jc w:val="left"/>
        <w:rPr>
          <w:rFonts w:hint="eastAsia" w:ascii="宋体" w:hAnsi="宋体" w:eastAsia="宋体" w:cs="宋体"/>
          <w:color w:val="000000" w:themeColor="text1"/>
          <w:spacing w:val="20"/>
          <w:sz w:val="24"/>
          <w:highlight w:val="none"/>
          <w14:textFill>
            <w14:solidFill>
              <w14:schemeClr w14:val="tx1"/>
            </w14:solidFill>
          </w14:textFill>
        </w:rPr>
      </w:pPr>
      <w:r>
        <w:rPr>
          <w:rFonts w:hint="eastAsia" w:ascii="宋体" w:hAnsi="宋体" w:eastAsia="宋体" w:cs="宋体"/>
          <w:color w:val="000000" w:themeColor="text1"/>
          <w:spacing w:val="20"/>
          <w:sz w:val="24"/>
          <w:highlight w:val="none"/>
          <w14:textFill>
            <w14:solidFill>
              <w14:schemeClr w14:val="tx1"/>
            </w14:solidFill>
          </w14:textFill>
        </w:rPr>
        <w:t xml:space="preserve">供应商（电子签章）：              </w:t>
      </w:r>
    </w:p>
    <w:p w14:paraId="4A2D9DD6">
      <w:pPr>
        <w:spacing w:line="360" w:lineRule="auto"/>
        <w:ind w:firstLine="560" w:firstLineChars="200"/>
        <w:contextualSpacing/>
        <w:jc w:val="left"/>
        <w:rPr>
          <w:rFonts w:hint="eastAsia" w:ascii="宋体" w:hAnsi="宋体" w:eastAsia="宋体" w:cs="宋体"/>
          <w:color w:val="000000" w:themeColor="text1"/>
          <w:sz w:val="24"/>
          <w:szCs w:val="20"/>
          <w:highlight w:val="none"/>
          <w14:textFill>
            <w14:solidFill>
              <w14:schemeClr w14:val="tx1"/>
            </w14:solidFill>
          </w14:textFill>
        </w:rPr>
      </w:pPr>
      <w:r>
        <w:rPr>
          <w:rFonts w:hint="eastAsia" w:ascii="宋体" w:hAnsi="宋体" w:eastAsia="宋体" w:cs="宋体"/>
          <w:color w:val="000000" w:themeColor="text1"/>
          <w:spacing w:val="20"/>
          <w:sz w:val="24"/>
          <w:highlight w:val="none"/>
          <w14:textFill>
            <w14:solidFill>
              <w14:schemeClr w14:val="tx1"/>
            </w14:solidFill>
          </w14:textFill>
        </w:rPr>
        <w:t>日 期：</w:t>
      </w:r>
    </w:p>
    <w:p w14:paraId="530CEB5D">
      <w:pPr>
        <w:spacing w:line="360" w:lineRule="auto"/>
        <w:jc w:val="center"/>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br w:type="page"/>
      </w:r>
      <w:r>
        <w:rPr>
          <w:rFonts w:hint="eastAsia" w:ascii="宋体" w:hAnsi="宋体" w:eastAsia="宋体" w:cs="宋体"/>
          <w:b/>
          <w:color w:val="000000" w:themeColor="text1"/>
          <w:sz w:val="32"/>
          <w:szCs w:val="32"/>
          <w:highlight w:val="none"/>
          <w14:textFill>
            <w14:solidFill>
              <w14:schemeClr w14:val="tx1"/>
            </w14:solidFill>
          </w14:textFill>
        </w:rPr>
        <w:t>（二）拟投入的主要人员简历表</w:t>
      </w:r>
    </w:p>
    <w:p w14:paraId="31AE39B6">
      <w:pPr>
        <w:spacing w:line="360" w:lineRule="auto"/>
        <w:jc w:val="center"/>
        <w:rPr>
          <w:rFonts w:hint="eastAsia"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项目经理简历表</w:t>
      </w:r>
    </w:p>
    <w:tbl>
      <w:tblPr>
        <w:tblStyle w:val="42"/>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176"/>
        <w:gridCol w:w="55"/>
        <w:gridCol w:w="387"/>
        <w:gridCol w:w="888"/>
        <w:gridCol w:w="660"/>
        <w:gridCol w:w="328"/>
        <w:gridCol w:w="234"/>
        <w:gridCol w:w="1417"/>
        <w:gridCol w:w="242"/>
        <w:gridCol w:w="1088"/>
        <w:gridCol w:w="88"/>
        <w:gridCol w:w="409"/>
        <w:gridCol w:w="1108"/>
        <w:gridCol w:w="36"/>
        <w:gridCol w:w="79"/>
        <w:gridCol w:w="1405"/>
        <w:gridCol w:w="11"/>
      </w:tblGrid>
      <w:tr w14:paraId="75B8E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76" w:type="dxa"/>
            <w:vAlign w:val="center"/>
          </w:tcPr>
          <w:p w14:paraId="03E8B651">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姓名</w:t>
            </w:r>
          </w:p>
        </w:tc>
        <w:tc>
          <w:tcPr>
            <w:tcW w:w="2318" w:type="dxa"/>
            <w:gridSpan w:val="5"/>
            <w:vAlign w:val="center"/>
          </w:tcPr>
          <w:p w14:paraId="11A6E193">
            <w:pPr>
              <w:jc w:val="center"/>
              <w:rPr>
                <w:rFonts w:hint="eastAsia" w:ascii="宋体" w:hAnsi="宋体" w:eastAsia="宋体" w:cs="宋体"/>
                <w:color w:val="000000" w:themeColor="text1"/>
                <w:highlight w:val="none"/>
                <w14:textFill>
                  <w14:solidFill>
                    <w14:schemeClr w14:val="tx1"/>
                  </w14:solidFill>
                </w14:textFill>
              </w:rPr>
            </w:pPr>
          </w:p>
        </w:tc>
        <w:tc>
          <w:tcPr>
            <w:tcW w:w="1893" w:type="dxa"/>
            <w:gridSpan w:val="3"/>
            <w:vAlign w:val="center"/>
          </w:tcPr>
          <w:p w14:paraId="4A2874F5">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性别</w:t>
            </w:r>
          </w:p>
        </w:tc>
        <w:tc>
          <w:tcPr>
            <w:tcW w:w="1585" w:type="dxa"/>
            <w:gridSpan w:val="3"/>
            <w:vAlign w:val="center"/>
          </w:tcPr>
          <w:p w14:paraId="0D1BA975">
            <w:pPr>
              <w:jc w:val="center"/>
              <w:rPr>
                <w:rFonts w:hint="eastAsia" w:ascii="宋体" w:hAnsi="宋体" w:eastAsia="宋体" w:cs="宋体"/>
                <w:color w:val="000000" w:themeColor="text1"/>
                <w:highlight w:val="none"/>
                <w14:textFill>
                  <w14:solidFill>
                    <w14:schemeClr w14:val="tx1"/>
                  </w14:solidFill>
                </w14:textFill>
              </w:rPr>
            </w:pPr>
          </w:p>
        </w:tc>
        <w:tc>
          <w:tcPr>
            <w:tcW w:w="1108" w:type="dxa"/>
            <w:vAlign w:val="center"/>
          </w:tcPr>
          <w:p w14:paraId="7940A7CC">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年龄</w:t>
            </w:r>
          </w:p>
        </w:tc>
        <w:tc>
          <w:tcPr>
            <w:tcW w:w="1531" w:type="dxa"/>
            <w:gridSpan w:val="4"/>
            <w:vAlign w:val="center"/>
          </w:tcPr>
          <w:p w14:paraId="40722316">
            <w:pPr>
              <w:jc w:val="center"/>
              <w:rPr>
                <w:rFonts w:hint="eastAsia" w:ascii="宋体" w:hAnsi="宋体" w:eastAsia="宋体" w:cs="宋体"/>
                <w:color w:val="000000" w:themeColor="text1"/>
                <w:highlight w:val="none"/>
                <w14:textFill>
                  <w14:solidFill>
                    <w14:schemeClr w14:val="tx1"/>
                  </w14:solidFill>
                </w14:textFill>
              </w:rPr>
            </w:pPr>
          </w:p>
        </w:tc>
      </w:tr>
      <w:tr w14:paraId="44C59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76" w:type="dxa"/>
            <w:vAlign w:val="center"/>
          </w:tcPr>
          <w:p w14:paraId="5138DAD3">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岗位</w:t>
            </w:r>
          </w:p>
        </w:tc>
        <w:tc>
          <w:tcPr>
            <w:tcW w:w="2318" w:type="dxa"/>
            <w:gridSpan w:val="5"/>
            <w:vAlign w:val="center"/>
          </w:tcPr>
          <w:p w14:paraId="0D2FB117">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项目经理</w:t>
            </w:r>
          </w:p>
        </w:tc>
        <w:tc>
          <w:tcPr>
            <w:tcW w:w="1893" w:type="dxa"/>
            <w:gridSpan w:val="3"/>
            <w:vAlign w:val="center"/>
          </w:tcPr>
          <w:p w14:paraId="79A96A10">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职称</w:t>
            </w:r>
          </w:p>
        </w:tc>
        <w:tc>
          <w:tcPr>
            <w:tcW w:w="1585" w:type="dxa"/>
            <w:gridSpan w:val="3"/>
            <w:vAlign w:val="center"/>
          </w:tcPr>
          <w:p w14:paraId="7356D62E">
            <w:pPr>
              <w:jc w:val="center"/>
              <w:rPr>
                <w:rFonts w:hint="eastAsia" w:ascii="宋体" w:hAnsi="宋体" w:eastAsia="宋体" w:cs="宋体"/>
                <w:color w:val="000000" w:themeColor="text1"/>
                <w:highlight w:val="none"/>
                <w14:textFill>
                  <w14:solidFill>
                    <w14:schemeClr w14:val="tx1"/>
                  </w14:solidFill>
                </w14:textFill>
              </w:rPr>
            </w:pPr>
          </w:p>
        </w:tc>
        <w:tc>
          <w:tcPr>
            <w:tcW w:w="1108" w:type="dxa"/>
            <w:vAlign w:val="center"/>
          </w:tcPr>
          <w:p w14:paraId="656391FA">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学历</w:t>
            </w:r>
          </w:p>
        </w:tc>
        <w:tc>
          <w:tcPr>
            <w:tcW w:w="1531" w:type="dxa"/>
            <w:gridSpan w:val="4"/>
            <w:vAlign w:val="center"/>
          </w:tcPr>
          <w:p w14:paraId="37E419FC">
            <w:pPr>
              <w:jc w:val="center"/>
              <w:rPr>
                <w:rFonts w:hint="eastAsia" w:ascii="宋体" w:hAnsi="宋体" w:eastAsia="宋体" w:cs="宋体"/>
                <w:color w:val="000000" w:themeColor="text1"/>
                <w:highlight w:val="none"/>
                <w14:textFill>
                  <w14:solidFill>
                    <w14:schemeClr w14:val="tx1"/>
                  </w14:solidFill>
                </w14:textFill>
              </w:rPr>
            </w:pPr>
          </w:p>
        </w:tc>
      </w:tr>
      <w:tr w14:paraId="1FA1E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76" w:type="dxa"/>
            <w:vAlign w:val="center"/>
          </w:tcPr>
          <w:p w14:paraId="6C2BD63C">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从业开始时间</w:t>
            </w:r>
          </w:p>
        </w:tc>
        <w:tc>
          <w:tcPr>
            <w:tcW w:w="2318" w:type="dxa"/>
            <w:gridSpan w:val="5"/>
            <w:vAlign w:val="center"/>
          </w:tcPr>
          <w:p w14:paraId="68C6A48B">
            <w:pPr>
              <w:jc w:val="center"/>
              <w:rPr>
                <w:rFonts w:hint="eastAsia" w:ascii="宋体" w:hAnsi="宋体" w:eastAsia="宋体" w:cs="宋体"/>
                <w:color w:val="000000" w:themeColor="text1"/>
                <w:highlight w:val="none"/>
                <w14:textFill>
                  <w14:solidFill>
                    <w14:schemeClr w14:val="tx1"/>
                  </w14:solidFill>
                </w14:textFill>
              </w:rPr>
            </w:pPr>
          </w:p>
        </w:tc>
        <w:tc>
          <w:tcPr>
            <w:tcW w:w="1893" w:type="dxa"/>
            <w:gridSpan w:val="3"/>
            <w:vAlign w:val="center"/>
          </w:tcPr>
          <w:p w14:paraId="27A3664D">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职称获得时间</w:t>
            </w:r>
          </w:p>
        </w:tc>
        <w:tc>
          <w:tcPr>
            <w:tcW w:w="1585" w:type="dxa"/>
            <w:gridSpan w:val="3"/>
            <w:vAlign w:val="center"/>
          </w:tcPr>
          <w:p w14:paraId="429870D6">
            <w:pPr>
              <w:jc w:val="center"/>
              <w:rPr>
                <w:rFonts w:hint="eastAsia" w:ascii="宋体" w:hAnsi="宋体" w:eastAsia="宋体" w:cs="宋体"/>
                <w:color w:val="000000" w:themeColor="text1"/>
                <w:highlight w:val="none"/>
                <w14:textFill>
                  <w14:solidFill>
                    <w14:schemeClr w14:val="tx1"/>
                  </w14:solidFill>
                </w14:textFill>
              </w:rPr>
            </w:pPr>
          </w:p>
        </w:tc>
        <w:tc>
          <w:tcPr>
            <w:tcW w:w="1108" w:type="dxa"/>
            <w:vAlign w:val="center"/>
          </w:tcPr>
          <w:p w14:paraId="6D2DABEA">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毕业时间</w:t>
            </w:r>
          </w:p>
        </w:tc>
        <w:tc>
          <w:tcPr>
            <w:tcW w:w="1531" w:type="dxa"/>
            <w:gridSpan w:val="4"/>
            <w:vAlign w:val="center"/>
          </w:tcPr>
          <w:p w14:paraId="0C29189C">
            <w:pPr>
              <w:jc w:val="center"/>
              <w:rPr>
                <w:rFonts w:hint="eastAsia" w:ascii="宋体" w:hAnsi="宋体" w:eastAsia="宋体" w:cs="宋体"/>
                <w:color w:val="000000" w:themeColor="text1"/>
                <w:highlight w:val="none"/>
                <w14:textFill>
                  <w14:solidFill>
                    <w14:schemeClr w14:val="tx1"/>
                  </w14:solidFill>
                </w14:textFill>
              </w:rPr>
            </w:pPr>
          </w:p>
        </w:tc>
      </w:tr>
      <w:tr w14:paraId="748A2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vAlign w:val="center"/>
          </w:tcPr>
          <w:p w14:paraId="2068F9B7">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担任项目经理年限</w:t>
            </w:r>
          </w:p>
        </w:tc>
        <w:tc>
          <w:tcPr>
            <w:tcW w:w="2263" w:type="dxa"/>
            <w:gridSpan w:val="4"/>
            <w:vAlign w:val="center"/>
          </w:tcPr>
          <w:p w14:paraId="7640ACC8">
            <w:pPr>
              <w:jc w:val="center"/>
              <w:rPr>
                <w:rFonts w:hint="eastAsia" w:ascii="宋体" w:hAnsi="宋体" w:eastAsia="宋体" w:cs="宋体"/>
                <w:color w:val="000000" w:themeColor="text1"/>
                <w:highlight w:val="none"/>
                <w14:textFill>
                  <w14:solidFill>
                    <w14:schemeClr w14:val="tx1"/>
                  </w14:solidFill>
                </w14:textFill>
              </w:rPr>
            </w:pPr>
          </w:p>
        </w:tc>
        <w:tc>
          <w:tcPr>
            <w:tcW w:w="1893" w:type="dxa"/>
            <w:gridSpan w:val="3"/>
            <w:vAlign w:val="center"/>
          </w:tcPr>
          <w:p w14:paraId="2A31638D">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身份证号码</w:t>
            </w:r>
          </w:p>
        </w:tc>
        <w:tc>
          <w:tcPr>
            <w:tcW w:w="4224" w:type="dxa"/>
            <w:gridSpan w:val="8"/>
            <w:vAlign w:val="center"/>
          </w:tcPr>
          <w:p w14:paraId="43C4EB78">
            <w:pPr>
              <w:jc w:val="center"/>
              <w:rPr>
                <w:rFonts w:hint="eastAsia" w:ascii="宋体" w:hAnsi="宋体" w:eastAsia="宋体" w:cs="宋体"/>
                <w:color w:val="000000" w:themeColor="text1"/>
                <w:highlight w:val="none"/>
                <w14:textFill>
                  <w14:solidFill>
                    <w14:schemeClr w14:val="tx1"/>
                  </w14:solidFill>
                </w14:textFill>
              </w:rPr>
            </w:pPr>
          </w:p>
        </w:tc>
      </w:tr>
      <w:tr w14:paraId="27A47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vAlign w:val="center"/>
          </w:tcPr>
          <w:p w14:paraId="73E8050E">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证书名称</w:t>
            </w:r>
          </w:p>
        </w:tc>
        <w:tc>
          <w:tcPr>
            <w:tcW w:w="1275" w:type="dxa"/>
            <w:gridSpan w:val="2"/>
            <w:vAlign w:val="center"/>
          </w:tcPr>
          <w:p w14:paraId="2716E425">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注册专业</w:t>
            </w:r>
          </w:p>
        </w:tc>
        <w:tc>
          <w:tcPr>
            <w:tcW w:w="1222" w:type="dxa"/>
            <w:gridSpan w:val="3"/>
            <w:vAlign w:val="center"/>
          </w:tcPr>
          <w:p w14:paraId="343B353C">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级别</w:t>
            </w:r>
          </w:p>
        </w:tc>
        <w:tc>
          <w:tcPr>
            <w:tcW w:w="1417" w:type="dxa"/>
            <w:vAlign w:val="center"/>
          </w:tcPr>
          <w:p w14:paraId="5E7617CF">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证书编号</w:t>
            </w:r>
          </w:p>
        </w:tc>
        <w:tc>
          <w:tcPr>
            <w:tcW w:w="1418" w:type="dxa"/>
            <w:gridSpan w:val="3"/>
            <w:vAlign w:val="center"/>
          </w:tcPr>
          <w:p w14:paraId="737C584E">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注册时间</w:t>
            </w:r>
          </w:p>
        </w:tc>
        <w:tc>
          <w:tcPr>
            <w:tcW w:w="1632" w:type="dxa"/>
            <w:gridSpan w:val="4"/>
            <w:vAlign w:val="center"/>
          </w:tcPr>
          <w:p w14:paraId="0454AF10">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注册单位</w:t>
            </w:r>
          </w:p>
        </w:tc>
        <w:tc>
          <w:tcPr>
            <w:tcW w:w="1416" w:type="dxa"/>
            <w:gridSpan w:val="2"/>
            <w:vAlign w:val="center"/>
          </w:tcPr>
          <w:p w14:paraId="3FCC9CB4">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注册有效期</w:t>
            </w:r>
          </w:p>
        </w:tc>
      </w:tr>
      <w:tr w14:paraId="51724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vAlign w:val="center"/>
          </w:tcPr>
          <w:p w14:paraId="6CBA6BB7">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安全生产考核合格证书</w:t>
            </w:r>
          </w:p>
        </w:tc>
        <w:tc>
          <w:tcPr>
            <w:tcW w:w="1275" w:type="dxa"/>
            <w:gridSpan w:val="2"/>
            <w:vAlign w:val="center"/>
          </w:tcPr>
          <w:p w14:paraId="46C33EDF">
            <w:pPr>
              <w:jc w:val="center"/>
              <w:rPr>
                <w:rFonts w:hint="eastAsia" w:ascii="宋体" w:hAnsi="宋体" w:eastAsia="宋体" w:cs="宋体"/>
                <w:color w:val="000000" w:themeColor="text1"/>
                <w:highlight w:val="none"/>
                <w14:textFill>
                  <w14:solidFill>
                    <w14:schemeClr w14:val="tx1"/>
                  </w14:solidFill>
                </w14:textFill>
              </w:rPr>
            </w:pPr>
          </w:p>
        </w:tc>
        <w:tc>
          <w:tcPr>
            <w:tcW w:w="1222" w:type="dxa"/>
            <w:gridSpan w:val="3"/>
            <w:vAlign w:val="center"/>
          </w:tcPr>
          <w:p w14:paraId="4B4FC05C">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B类</w:t>
            </w:r>
          </w:p>
        </w:tc>
        <w:tc>
          <w:tcPr>
            <w:tcW w:w="1417" w:type="dxa"/>
            <w:vAlign w:val="center"/>
          </w:tcPr>
          <w:p w14:paraId="4D9370F9">
            <w:pPr>
              <w:jc w:val="center"/>
              <w:rPr>
                <w:rFonts w:hint="eastAsia" w:ascii="宋体" w:hAnsi="宋体" w:eastAsia="宋体" w:cs="宋体"/>
                <w:color w:val="000000" w:themeColor="text1"/>
                <w:highlight w:val="none"/>
                <w14:textFill>
                  <w14:solidFill>
                    <w14:schemeClr w14:val="tx1"/>
                  </w14:solidFill>
                </w14:textFill>
              </w:rPr>
            </w:pPr>
          </w:p>
        </w:tc>
        <w:tc>
          <w:tcPr>
            <w:tcW w:w="1418" w:type="dxa"/>
            <w:gridSpan w:val="3"/>
            <w:vAlign w:val="center"/>
          </w:tcPr>
          <w:p w14:paraId="2C61DB59">
            <w:pPr>
              <w:jc w:val="center"/>
              <w:rPr>
                <w:rFonts w:hint="eastAsia" w:ascii="宋体" w:hAnsi="宋体" w:eastAsia="宋体" w:cs="宋体"/>
                <w:color w:val="000000" w:themeColor="text1"/>
                <w:highlight w:val="none"/>
                <w14:textFill>
                  <w14:solidFill>
                    <w14:schemeClr w14:val="tx1"/>
                  </w14:solidFill>
                </w14:textFill>
              </w:rPr>
            </w:pPr>
          </w:p>
        </w:tc>
        <w:tc>
          <w:tcPr>
            <w:tcW w:w="1632" w:type="dxa"/>
            <w:gridSpan w:val="4"/>
            <w:vAlign w:val="center"/>
          </w:tcPr>
          <w:p w14:paraId="4128A579">
            <w:pPr>
              <w:jc w:val="center"/>
              <w:rPr>
                <w:rFonts w:hint="eastAsia" w:ascii="宋体" w:hAnsi="宋体" w:eastAsia="宋体" w:cs="宋体"/>
                <w:color w:val="000000" w:themeColor="text1"/>
                <w:highlight w:val="none"/>
                <w14:textFill>
                  <w14:solidFill>
                    <w14:schemeClr w14:val="tx1"/>
                  </w14:solidFill>
                </w14:textFill>
              </w:rPr>
            </w:pPr>
          </w:p>
        </w:tc>
        <w:tc>
          <w:tcPr>
            <w:tcW w:w="1416" w:type="dxa"/>
            <w:gridSpan w:val="2"/>
            <w:vAlign w:val="center"/>
          </w:tcPr>
          <w:p w14:paraId="4F60D904">
            <w:pPr>
              <w:jc w:val="center"/>
              <w:rPr>
                <w:rFonts w:hint="eastAsia" w:ascii="宋体" w:hAnsi="宋体" w:eastAsia="宋体" w:cs="宋体"/>
                <w:color w:val="000000" w:themeColor="text1"/>
                <w:highlight w:val="none"/>
                <w14:textFill>
                  <w14:solidFill>
                    <w14:schemeClr w14:val="tx1"/>
                  </w14:solidFill>
                </w14:textFill>
              </w:rPr>
            </w:pPr>
          </w:p>
        </w:tc>
      </w:tr>
      <w:tr w14:paraId="71828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7"/>
            <w:vAlign w:val="center"/>
          </w:tcPr>
          <w:p w14:paraId="2757E1EA">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在建和已完工程项目情况</w:t>
            </w:r>
          </w:p>
        </w:tc>
      </w:tr>
      <w:tr w14:paraId="34BC8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vAlign w:val="center"/>
          </w:tcPr>
          <w:p w14:paraId="375D9BD5">
            <w:pPr>
              <w:jc w:val="center"/>
              <w:rPr>
                <w:rFonts w:hint="eastAsia" w:ascii="宋体" w:hAnsi="宋体" w:eastAsia="宋体" w:cs="宋体"/>
                <w:color w:val="000000" w:themeColor="text1"/>
                <w:highlight w:val="none"/>
                <w14:textFill>
                  <w14:solidFill>
                    <w14:schemeClr w14:val="tx1"/>
                  </w14:solidFill>
                </w14:textFill>
              </w:rPr>
            </w:pPr>
          </w:p>
        </w:tc>
        <w:tc>
          <w:tcPr>
            <w:tcW w:w="1548" w:type="dxa"/>
            <w:gridSpan w:val="2"/>
            <w:vAlign w:val="center"/>
          </w:tcPr>
          <w:p w14:paraId="1D2FFEA4">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项目1</w:t>
            </w:r>
          </w:p>
        </w:tc>
        <w:tc>
          <w:tcPr>
            <w:tcW w:w="2221" w:type="dxa"/>
            <w:gridSpan w:val="4"/>
            <w:vAlign w:val="center"/>
          </w:tcPr>
          <w:p w14:paraId="55489F43">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项目2</w:t>
            </w:r>
          </w:p>
        </w:tc>
        <w:tc>
          <w:tcPr>
            <w:tcW w:w="1088" w:type="dxa"/>
            <w:vAlign w:val="center"/>
          </w:tcPr>
          <w:p w14:paraId="5E12A455">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项目3</w:t>
            </w:r>
          </w:p>
        </w:tc>
        <w:tc>
          <w:tcPr>
            <w:tcW w:w="1641" w:type="dxa"/>
            <w:gridSpan w:val="4"/>
            <w:vAlign w:val="center"/>
          </w:tcPr>
          <w:p w14:paraId="0C37264D">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项目4</w:t>
            </w:r>
          </w:p>
        </w:tc>
        <w:tc>
          <w:tcPr>
            <w:tcW w:w="1484" w:type="dxa"/>
            <w:gridSpan w:val="2"/>
            <w:vAlign w:val="center"/>
          </w:tcPr>
          <w:p w14:paraId="3AC50E25">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r>
      <w:tr w14:paraId="7AAB5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vAlign w:val="center"/>
          </w:tcPr>
          <w:p w14:paraId="3FB2553B">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项目名称</w:t>
            </w:r>
          </w:p>
        </w:tc>
        <w:tc>
          <w:tcPr>
            <w:tcW w:w="1548" w:type="dxa"/>
            <w:gridSpan w:val="2"/>
            <w:vAlign w:val="center"/>
          </w:tcPr>
          <w:p w14:paraId="377C9426">
            <w:pPr>
              <w:jc w:val="center"/>
              <w:rPr>
                <w:rFonts w:hint="eastAsia" w:ascii="宋体" w:hAnsi="宋体" w:eastAsia="宋体" w:cs="宋体"/>
                <w:color w:val="000000" w:themeColor="text1"/>
                <w:highlight w:val="none"/>
                <w14:textFill>
                  <w14:solidFill>
                    <w14:schemeClr w14:val="tx1"/>
                  </w14:solidFill>
                </w14:textFill>
              </w:rPr>
            </w:pPr>
          </w:p>
        </w:tc>
        <w:tc>
          <w:tcPr>
            <w:tcW w:w="2221" w:type="dxa"/>
            <w:gridSpan w:val="4"/>
            <w:vAlign w:val="center"/>
          </w:tcPr>
          <w:p w14:paraId="414C35DE">
            <w:pPr>
              <w:jc w:val="center"/>
              <w:rPr>
                <w:rFonts w:hint="eastAsia" w:ascii="宋体" w:hAnsi="宋体" w:eastAsia="宋体" w:cs="宋体"/>
                <w:color w:val="000000" w:themeColor="text1"/>
                <w:highlight w:val="none"/>
                <w14:textFill>
                  <w14:solidFill>
                    <w14:schemeClr w14:val="tx1"/>
                  </w14:solidFill>
                </w14:textFill>
              </w:rPr>
            </w:pPr>
          </w:p>
        </w:tc>
        <w:tc>
          <w:tcPr>
            <w:tcW w:w="1088" w:type="dxa"/>
            <w:vAlign w:val="center"/>
          </w:tcPr>
          <w:p w14:paraId="23BB6B1A">
            <w:pPr>
              <w:jc w:val="center"/>
              <w:rPr>
                <w:rFonts w:hint="eastAsia" w:ascii="宋体" w:hAnsi="宋体" w:eastAsia="宋体" w:cs="宋体"/>
                <w:color w:val="000000" w:themeColor="text1"/>
                <w:highlight w:val="none"/>
                <w14:textFill>
                  <w14:solidFill>
                    <w14:schemeClr w14:val="tx1"/>
                  </w14:solidFill>
                </w14:textFill>
              </w:rPr>
            </w:pPr>
          </w:p>
        </w:tc>
        <w:tc>
          <w:tcPr>
            <w:tcW w:w="1641" w:type="dxa"/>
            <w:gridSpan w:val="4"/>
            <w:vAlign w:val="center"/>
          </w:tcPr>
          <w:p w14:paraId="68089C09">
            <w:pPr>
              <w:jc w:val="center"/>
              <w:rPr>
                <w:rFonts w:hint="eastAsia" w:ascii="宋体" w:hAnsi="宋体" w:eastAsia="宋体" w:cs="宋体"/>
                <w:color w:val="000000" w:themeColor="text1"/>
                <w:highlight w:val="none"/>
                <w14:textFill>
                  <w14:solidFill>
                    <w14:schemeClr w14:val="tx1"/>
                  </w14:solidFill>
                </w14:textFill>
              </w:rPr>
            </w:pPr>
          </w:p>
        </w:tc>
        <w:tc>
          <w:tcPr>
            <w:tcW w:w="1484" w:type="dxa"/>
            <w:gridSpan w:val="2"/>
            <w:vAlign w:val="center"/>
          </w:tcPr>
          <w:p w14:paraId="2D56EC13">
            <w:pPr>
              <w:jc w:val="center"/>
              <w:rPr>
                <w:rFonts w:hint="eastAsia" w:ascii="宋体" w:hAnsi="宋体" w:eastAsia="宋体" w:cs="宋体"/>
                <w:color w:val="000000" w:themeColor="text1"/>
                <w:highlight w:val="none"/>
                <w14:textFill>
                  <w14:solidFill>
                    <w14:schemeClr w14:val="tx1"/>
                  </w14:solidFill>
                </w14:textFill>
              </w:rPr>
            </w:pPr>
          </w:p>
        </w:tc>
      </w:tr>
      <w:tr w14:paraId="3A3C8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193AF4F2">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建设单位</w:t>
            </w:r>
          </w:p>
        </w:tc>
        <w:tc>
          <w:tcPr>
            <w:tcW w:w="1548" w:type="dxa"/>
            <w:gridSpan w:val="2"/>
            <w:vAlign w:val="center"/>
          </w:tcPr>
          <w:p w14:paraId="05D3AA61">
            <w:pPr>
              <w:jc w:val="center"/>
              <w:rPr>
                <w:rFonts w:hint="eastAsia" w:ascii="宋体" w:hAnsi="宋体" w:eastAsia="宋体" w:cs="宋体"/>
                <w:color w:val="000000" w:themeColor="text1"/>
                <w:highlight w:val="none"/>
                <w14:textFill>
                  <w14:solidFill>
                    <w14:schemeClr w14:val="tx1"/>
                  </w14:solidFill>
                </w14:textFill>
              </w:rPr>
            </w:pPr>
          </w:p>
        </w:tc>
        <w:tc>
          <w:tcPr>
            <w:tcW w:w="2221" w:type="dxa"/>
            <w:gridSpan w:val="4"/>
            <w:vAlign w:val="center"/>
          </w:tcPr>
          <w:p w14:paraId="243C0323">
            <w:pPr>
              <w:jc w:val="center"/>
              <w:rPr>
                <w:rFonts w:hint="eastAsia" w:ascii="宋体" w:hAnsi="宋体" w:eastAsia="宋体" w:cs="宋体"/>
                <w:color w:val="000000" w:themeColor="text1"/>
                <w:highlight w:val="none"/>
                <w14:textFill>
                  <w14:solidFill>
                    <w14:schemeClr w14:val="tx1"/>
                  </w14:solidFill>
                </w14:textFill>
              </w:rPr>
            </w:pPr>
          </w:p>
        </w:tc>
        <w:tc>
          <w:tcPr>
            <w:tcW w:w="1088" w:type="dxa"/>
            <w:vAlign w:val="center"/>
          </w:tcPr>
          <w:p w14:paraId="2D511C86">
            <w:pPr>
              <w:jc w:val="center"/>
              <w:rPr>
                <w:rFonts w:hint="eastAsia" w:ascii="宋体" w:hAnsi="宋体" w:eastAsia="宋体" w:cs="宋体"/>
                <w:color w:val="000000" w:themeColor="text1"/>
                <w:highlight w:val="none"/>
                <w14:textFill>
                  <w14:solidFill>
                    <w14:schemeClr w14:val="tx1"/>
                  </w14:solidFill>
                </w14:textFill>
              </w:rPr>
            </w:pPr>
          </w:p>
        </w:tc>
        <w:tc>
          <w:tcPr>
            <w:tcW w:w="1641" w:type="dxa"/>
            <w:gridSpan w:val="4"/>
            <w:vAlign w:val="center"/>
          </w:tcPr>
          <w:p w14:paraId="1BC00D1C">
            <w:pPr>
              <w:jc w:val="center"/>
              <w:rPr>
                <w:rFonts w:hint="eastAsia" w:ascii="宋体" w:hAnsi="宋体" w:eastAsia="宋体" w:cs="宋体"/>
                <w:color w:val="000000" w:themeColor="text1"/>
                <w:highlight w:val="none"/>
                <w14:textFill>
                  <w14:solidFill>
                    <w14:schemeClr w14:val="tx1"/>
                  </w14:solidFill>
                </w14:textFill>
              </w:rPr>
            </w:pPr>
          </w:p>
        </w:tc>
        <w:tc>
          <w:tcPr>
            <w:tcW w:w="1484" w:type="dxa"/>
            <w:gridSpan w:val="2"/>
            <w:vAlign w:val="center"/>
          </w:tcPr>
          <w:p w14:paraId="31C3A924">
            <w:pPr>
              <w:jc w:val="center"/>
              <w:rPr>
                <w:rFonts w:hint="eastAsia" w:ascii="宋体" w:hAnsi="宋体" w:eastAsia="宋体" w:cs="宋体"/>
                <w:color w:val="000000" w:themeColor="text1"/>
                <w:highlight w:val="none"/>
                <w14:textFill>
                  <w14:solidFill>
                    <w14:schemeClr w14:val="tx1"/>
                  </w14:solidFill>
                </w14:textFill>
              </w:rPr>
            </w:pPr>
          </w:p>
        </w:tc>
      </w:tr>
      <w:tr w14:paraId="5FBD9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3EE893E7">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建设规模</w:t>
            </w:r>
          </w:p>
        </w:tc>
        <w:tc>
          <w:tcPr>
            <w:tcW w:w="1548" w:type="dxa"/>
            <w:gridSpan w:val="2"/>
            <w:vAlign w:val="center"/>
          </w:tcPr>
          <w:p w14:paraId="7B7EE13A">
            <w:pPr>
              <w:jc w:val="center"/>
              <w:rPr>
                <w:rFonts w:hint="eastAsia" w:ascii="宋体" w:hAnsi="宋体" w:eastAsia="宋体" w:cs="宋体"/>
                <w:color w:val="000000" w:themeColor="text1"/>
                <w:highlight w:val="none"/>
                <w14:textFill>
                  <w14:solidFill>
                    <w14:schemeClr w14:val="tx1"/>
                  </w14:solidFill>
                </w14:textFill>
              </w:rPr>
            </w:pPr>
          </w:p>
        </w:tc>
        <w:tc>
          <w:tcPr>
            <w:tcW w:w="2221" w:type="dxa"/>
            <w:gridSpan w:val="4"/>
            <w:vAlign w:val="center"/>
          </w:tcPr>
          <w:p w14:paraId="4D9365E1">
            <w:pPr>
              <w:jc w:val="center"/>
              <w:rPr>
                <w:rFonts w:hint="eastAsia" w:ascii="宋体" w:hAnsi="宋体" w:eastAsia="宋体" w:cs="宋体"/>
                <w:color w:val="000000" w:themeColor="text1"/>
                <w:highlight w:val="none"/>
                <w14:textFill>
                  <w14:solidFill>
                    <w14:schemeClr w14:val="tx1"/>
                  </w14:solidFill>
                </w14:textFill>
              </w:rPr>
            </w:pPr>
          </w:p>
        </w:tc>
        <w:tc>
          <w:tcPr>
            <w:tcW w:w="1088" w:type="dxa"/>
            <w:vAlign w:val="center"/>
          </w:tcPr>
          <w:p w14:paraId="2AB853AA">
            <w:pPr>
              <w:jc w:val="center"/>
              <w:rPr>
                <w:rFonts w:hint="eastAsia" w:ascii="宋体" w:hAnsi="宋体" w:eastAsia="宋体" w:cs="宋体"/>
                <w:color w:val="000000" w:themeColor="text1"/>
                <w:highlight w:val="none"/>
                <w14:textFill>
                  <w14:solidFill>
                    <w14:schemeClr w14:val="tx1"/>
                  </w14:solidFill>
                </w14:textFill>
              </w:rPr>
            </w:pPr>
          </w:p>
        </w:tc>
        <w:tc>
          <w:tcPr>
            <w:tcW w:w="1641" w:type="dxa"/>
            <w:gridSpan w:val="4"/>
            <w:vAlign w:val="center"/>
          </w:tcPr>
          <w:p w14:paraId="7C6E5BF3">
            <w:pPr>
              <w:jc w:val="center"/>
              <w:rPr>
                <w:rFonts w:hint="eastAsia" w:ascii="宋体" w:hAnsi="宋体" w:eastAsia="宋体" w:cs="宋体"/>
                <w:color w:val="000000" w:themeColor="text1"/>
                <w:highlight w:val="none"/>
                <w14:textFill>
                  <w14:solidFill>
                    <w14:schemeClr w14:val="tx1"/>
                  </w14:solidFill>
                </w14:textFill>
              </w:rPr>
            </w:pPr>
          </w:p>
        </w:tc>
        <w:tc>
          <w:tcPr>
            <w:tcW w:w="1484" w:type="dxa"/>
            <w:gridSpan w:val="2"/>
            <w:vAlign w:val="center"/>
          </w:tcPr>
          <w:p w14:paraId="30CA6626">
            <w:pPr>
              <w:jc w:val="center"/>
              <w:rPr>
                <w:rFonts w:hint="eastAsia" w:ascii="宋体" w:hAnsi="宋体" w:eastAsia="宋体" w:cs="宋体"/>
                <w:color w:val="000000" w:themeColor="text1"/>
                <w:highlight w:val="none"/>
                <w14:textFill>
                  <w14:solidFill>
                    <w14:schemeClr w14:val="tx1"/>
                  </w14:solidFill>
                </w14:textFill>
              </w:rPr>
            </w:pPr>
          </w:p>
        </w:tc>
      </w:tr>
      <w:tr w14:paraId="58AC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074EE588">
            <w:pPr>
              <w:jc w:val="center"/>
              <w:rPr>
                <w:rFonts w:hint="eastAsia" w:ascii="宋体" w:hAnsi="宋体" w:eastAsia="宋体" w:cs="宋体"/>
                <w:color w:val="000000" w:themeColor="text1"/>
                <w:sz w:val="27"/>
                <w:szCs w:val="27"/>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开工日期</w:t>
            </w:r>
          </w:p>
        </w:tc>
        <w:tc>
          <w:tcPr>
            <w:tcW w:w="1548" w:type="dxa"/>
            <w:gridSpan w:val="2"/>
            <w:vAlign w:val="center"/>
          </w:tcPr>
          <w:p w14:paraId="78C84894">
            <w:pPr>
              <w:jc w:val="center"/>
              <w:rPr>
                <w:rFonts w:hint="eastAsia" w:ascii="宋体" w:hAnsi="宋体" w:eastAsia="宋体" w:cs="宋体"/>
                <w:color w:val="000000" w:themeColor="text1"/>
                <w:highlight w:val="none"/>
                <w14:textFill>
                  <w14:solidFill>
                    <w14:schemeClr w14:val="tx1"/>
                  </w14:solidFill>
                </w14:textFill>
              </w:rPr>
            </w:pPr>
          </w:p>
        </w:tc>
        <w:tc>
          <w:tcPr>
            <w:tcW w:w="2221" w:type="dxa"/>
            <w:gridSpan w:val="4"/>
            <w:vAlign w:val="center"/>
          </w:tcPr>
          <w:p w14:paraId="36953C1E">
            <w:pPr>
              <w:jc w:val="center"/>
              <w:rPr>
                <w:rFonts w:hint="eastAsia" w:ascii="宋体" w:hAnsi="宋体" w:eastAsia="宋体" w:cs="宋体"/>
                <w:color w:val="000000" w:themeColor="text1"/>
                <w:highlight w:val="none"/>
                <w14:textFill>
                  <w14:solidFill>
                    <w14:schemeClr w14:val="tx1"/>
                  </w14:solidFill>
                </w14:textFill>
              </w:rPr>
            </w:pPr>
          </w:p>
        </w:tc>
        <w:tc>
          <w:tcPr>
            <w:tcW w:w="1088" w:type="dxa"/>
            <w:vAlign w:val="center"/>
          </w:tcPr>
          <w:p w14:paraId="16302989">
            <w:pPr>
              <w:jc w:val="center"/>
              <w:rPr>
                <w:rFonts w:hint="eastAsia" w:ascii="宋体" w:hAnsi="宋体" w:eastAsia="宋体" w:cs="宋体"/>
                <w:color w:val="000000" w:themeColor="text1"/>
                <w:highlight w:val="none"/>
                <w14:textFill>
                  <w14:solidFill>
                    <w14:schemeClr w14:val="tx1"/>
                  </w14:solidFill>
                </w14:textFill>
              </w:rPr>
            </w:pPr>
          </w:p>
        </w:tc>
        <w:tc>
          <w:tcPr>
            <w:tcW w:w="1641" w:type="dxa"/>
            <w:gridSpan w:val="4"/>
            <w:vAlign w:val="center"/>
          </w:tcPr>
          <w:p w14:paraId="50B6300E">
            <w:pPr>
              <w:jc w:val="center"/>
              <w:rPr>
                <w:rFonts w:hint="eastAsia" w:ascii="宋体" w:hAnsi="宋体" w:eastAsia="宋体" w:cs="宋体"/>
                <w:color w:val="000000" w:themeColor="text1"/>
                <w:highlight w:val="none"/>
                <w14:textFill>
                  <w14:solidFill>
                    <w14:schemeClr w14:val="tx1"/>
                  </w14:solidFill>
                </w14:textFill>
              </w:rPr>
            </w:pPr>
          </w:p>
        </w:tc>
        <w:tc>
          <w:tcPr>
            <w:tcW w:w="1484" w:type="dxa"/>
            <w:gridSpan w:val="2"/>
            <w:vAlign w:val="center"/>
          </w:tcPr>
          <w:p w14:paraId="785E6745">
            <w:pPr>
              <w:jc w:val="center"/>
              <w:rPr>
                <w:rFonts w:hint="eastAsia" w:ascii="宋体" w:hAnsi="宋体" w:eastAsia="宋体" w:cs="宋体"/>
                <w:color w:val="000000" w:themeColor="text1"/>
                <w:highlight w:val="none"/>
                <w14:textFill>
                  <w14:solidFill>
                    <w14:schemeClr w14:val="tx1"/>
                  </w14:solidFill>
                </w14:textFill>
              </w:rPr>
            </w:pPr>
          </w:p>
        </w:tc>
      </w:tr>
      <w:tr w14:paraId="4B216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72C02F9D">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竣工日期</w:t>
            </w:r>
          </w:p>
        </w:tc>
        <w:tc>
          <w:tcPr>
            <w:tcW w:w="1548" w:type="dxa"/>
            <w:gridSpan w:val="2"/>
            <w:vAlign w:val="center"/>
          </w:tcPr>
          <w:p w14:paraId="51EF7DFD">
            <w:pPr>
              <w:jc w:val="center"/>
              <w:rPr>
                <w:rFonts w:hint="eastAsia" w:ascii="宋体" w:hAnsi="宋体" w:eastAsia="宋体" w:cs="宋体"/>
                <w:color w:val="000000" w:themeColor="text1"/>
                <w:highlight w:val="none"/>
                <w14:textFill>
                  <w14:solidFill>
                    <w14:schemeClr w14:val="tx1"/>
                  </w14:solidFill>
                </w14:textFill>
              </w:rPr>
            </w:pPr>
          </w:p>
        </w:tc>
        <w:tc>
          <w:tcPr>
            <w:tcW w:w="2221" w:type="dxa"/>
            <w:gridSpan w:val="4"/>
            <w:vAlign w:val="center"/>
          </w:tcPr>
          <w:p w14:paraId="6BC138BC">
            <w:pPr>
              <w:jc w:val="center"/>
              <w:rPr>
                <w:rFonts w:hint="eastAsia" w:ascii="宋体" w:hAnsi="宋体" w:eastAsia="宋体" w:cs="宋体"/>
                <w:color w:val="000000" w:themeColor="text1"/>
                <w:highlight w:val="none"/>
                <w14:textFill>
                  <w14:solidFill>
                    <w14:schemeClr w14:val="tx1"/>
                  </w14:solidFill>
                </w14:textFill>
              </w:rPr>
            </w:pPr>
          </w:p>
        </w:tc>
        <w:tc>
          <w:tcPr>
            <w:tcW w:w="1088" w:type="dxa"/>
            <w:vAlign w:val="center"/>
          </w:tcPr>
          <w:p w14:paraId="6EAA7EBA">
            <w:pPr>
              <w:jc w:val="center"/>
              <w:rPr>
                <w:rFonts w:hint="eastAsia" w:ascii="宋体" w:hAnsi="宋体" w:eastAsia="宋体" w:cs="宋体"/>
                <w:color w:val="000000" w:themeColor="text1"/>
                <w:highlight w:val="none"/>
                <w14:textFill>
                  <w14:solidFill>
                    <w14:schemeClr w14:val="tx1"/>
                  </w14:solidFill>
                </w14:textFill>
              </w:rPr>
            </w:pPr>
          </w:p>
        </w:tc>
        <w:tc>
          <w:tcPr>
            <w:tcW w:w="1641" w:type="dxa"/>
            <w:gridSpan w:val="4"/>
            <w:vAlign w:val="center"/>
          </w:tcPr>
          <w:p w14:paraId="1DCC9E48">
            <w:pPr>
              <w:jc w:val="center"/>
              <w:rPr>
                <w:rFonts w:hint="eastAsia" w:ascii="宋体" w:hAnsi="宋体" w:eastAsia="宋体" w:cs="宋体"/>
                <w:color w:val="000000" w:themeColor="text1"/>
                <w:highlight w:val="none"/>
                <w14:textFill>
                  <w14:solidFill>
                    <w14:schemeClr w14:val="tx1"/>
                  </w14:solidFill>
                </w14:textFill>
              </w:rPr>
            </w:pPr>
          </w:p>
        </w:tc>
        <w:tc>
          <w:tcPr>
            <w:tcW w:w="1484" w:type="dxa"/>
            <w:gridSpan w:val="2"/>
            <w:vAlign w:val="center"/>
          </w:tcPr>
          <w:p w14:paraId="4DE0FB9C">
            <w:pPr>
              <w:jc w:val="center"/>
              <w:rPr>
                <w:rFonts w:hint="eastAsia" w:ascii="宋体" w:hAnsi="宋体" w:eastAsia="宋体" w:cs="宋体"/>
                <w:color w:val="000000" w:themeColor="text1"/>
                <w:highlight w:val="none"/>
                <w14:textFill>
                  <w14:solidFill>
                    <w14:schemeClr w14:val="tx1"/>
                  </w14:solidFill>
                </w14:textFill>
              </w:rPr>
            </w:pPr>
          </w:p>
        </w:tc>
      </w:tr>
      <w:tr w14:paraId="3A8B9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5B583E14">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人员角色</w:t>
            </w:r>
          </w:p>
        </w:tc>
        <w:tc>
          <w:tcPr>
            <w:tcW w:w="1548" w:type="dxa"/>
            <w:gridSpan w:val="2"/>
            <w:vAlign w:val="center"/>
          </w:tcPr>
          <w:p w14:paraId="63527EA6">
            <w:pPr>
              <w:jc w:val="center"/>
              <w:rPr>
                <w:rFonts w:hint="eastAsia" w:ascii="宋体" w:hAnsi="宋体" w:eastAsia="宋体" w:cs="宋体"/>
                <w:color w:val="000000" w:themeColor="text1"/>
                <w:highlight w:val="none"/>
                <w14:textFill>
                  <w14:solidFill>
                    <w14:schemeClr w14:val="tx1"/>
                  </w14:solidFill>
                </w14:textFill>
              </w:rPr>
            </w:pPr>
          </w:p>
        </w:tc>
        <w:tc>
          <w:tcPr>
            <w:tcW w:w="2221" w:type="dxa"/>
            <w:gridSpan w:val="4"/>
            <w:vAlign w:val="center"/>
          </w:tcPr>
          <w:p w14:paraId="6ED18A08">
            <w:pPr>
              <w:jc w:val="center"/>
              <w:rPr>
                <w:rFonts w:hint="eastAsia" w:ascii="宋体" w:hAnsi="宋体" w:eastAsia="宋体" w:cs="宋体"/>
                <w:color w:val="000000" w:themeColor="text1"/>
                <w:highlight w:val="none"/>
                <w14:textFill>
                  <w14:solidFill>
                    <w14:schemeClr w14:val="tx1"/>
                  </w14:solidFill>
                </w14:textFill>
              </w:rPr>
            </w:pPr>
          </w:p>
        </w:tc>
        <w:tc>
          <w:tcPr>
            <w:tcW w:w="1088" w:type="dxa"/>
            <w:vAlign w:val="center"/>
          </w:tcPr>
          <w:p w14:paraId="77A94C0A">
            <w:pPr>
              <w:jc w:val="center"/>
              <w:rPr>
                <w:rFonts w:hint="eastAsia" w:ascii="宋体" w:hAnsi="宋体" w:eastAsia="宋体" w:cs="宋体"/>
                <w:color w:val="000000" w:themeColor="text1"/>
                <w:highlight w:val="none"/>
                <w14:textFill>
                  <w14:solidFill>
                    <w14:schemeClr w14:val="tx1"/>
                  </w14:solidFill>
                </w14:textFill>
              </w:rPr>
            </w:pPr>
          </w:p>
        </w:tc>
        <w:tc>
          <w:tcPr>
            <w:tcW w:w="1641" w:type="dxa"/>
            <w:gridSpan w:val="4"/>
            <w:vAlign w:val="center"/>
          </w:tcPr>
          <w:p w14:paraId="34D714A5">
            <w:pPr>
              <w:jc w:val="center"/>
              <w:rPr>
                <w:rFonts w:hint="eastAsia" w:ascii="宋体" w:hAnsi="宋体" w:eastAsia="宋体" w:cs="宋体"/>
                <w:color w:val="000000" w:themeColor="text1"/>
                <w:highlight w:val="none"/>
                <w14:textFill>
                  <w14:solidFill>
                    <w14:schemeClr w14:val="tx1"/>
                  </w14:solidFill>
                </w14:textFill>
              </w:rPr>
            </w:pPr>
          </w:p>
        </w:tc>
        <w:tc>
          <w:tcPr>
            <w:tcW w:w="1484" w:type="dxa"/>
            <w:gridSpan w:val="2"/>
            <w:vAlign w:val="center"/>
          </w:tcPr>
          <w:p w14:paraId="3A3FBEE8">
            <w:pPr>
              <w:jc w:val="center"/>
              <w:rPr>
                <w:rFonts w:hint="eastAsia" w:ascii="宋体" w:hAnsi="宋体" w:eastAsia="宋体" w:cs="宋体"/>
                <w:color w:val="000000" w:themeColor="text1"/>
                <w:highlight w:val="none"/>
                <w14:textFill>
                  <w14:solidFill>
                    <w14:schemeClr w14:val="tx1"/>
                  </w14:solidFill>
                </w14:textFill>
              </w:rPr>
            </w:pPr>
          </w:p>
        </w:tc>
      </w:tr>
      <w:tr w14:paraId="12503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172A4D35">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在建或已完</w:t>
            </w:r>
          </w:p>
        </w:tc>
        <w:tc>
          <w:tcPr>
            <w:tcW w:w="1548" w:type="dxa"/>
            <w:gridSpan w:val="2"/>
            <w:vAlign w:val="center"/>
          </w:tcPr>
          <w:p w14:paraId="4CE0AF30">
            <w:pPr>
              <w:jc w:val="center"/>
              <w:rPr>
                <w:rFonts w:hint="eastAsia" w:ascii="宋体" w:hAnsi="宋体" w:eastAsia="宋体" w:cs="宋体"/>
                <w:color w:val="000000" w:themeColor="text1"/>
                <w:highlight w:val="none"/>
                <w14:textFill>
                  <w14:solidFill>
                    <w14:schemeClr w14:val="tx1"/>
                  </w14:solidFill>
                </w14:textFill>
              </w:rPr>
            </w:pPr>
          </w:p>
        </w:tc>
        <w:tc>
          <w:tcPr>
            <w:tcW w:w="2221" w:type="dxa"/>
            <w:gridSpan w:val="4"/>
            <w:vAlign w:val="center"/>
          </w:tcPr>
          <w:p w14:paraId="62ADA279">
            <w:pPr>
              <w:jc w:val="center"/>
              <w:rPr>
                <w:rFonts w:hint="eastAsia" w:ascii="宋体" w:hAnsi="宋体" w:eastAsia="宋体" w:cs="宋体"/>
                <w:color w:val="000000" w:themeColor="text1"/>
                <w:highlight w:val="none"/>
                <w14:textFill>
                  <w14:solidFill>
                    <w14:schemeClr w14:val="tx1"/>
                  </w14:solidFill>
                </w14:textFill>
              </w:rPr>
            </w:pPr>
          </w:p>
        </w:tc>
        <w:tc>
          <w:tcPr>
            <w:tcW w:w="1088" w:type="dxa"/>
            <w:vAlign w:val="center"/>
          </w:tcPr>
          <w:p w14:paraId="3A3ED439">
            <w:pPr>
              <w:jc w:val="center"/>
              <w:rPr>
                <w:rFonts w:hint="eastAsia" w:ascii="宋体" w:hAnsi="宋体" w:eastAsia="宋体" w:cs="宋体"/>
                <w:color w:val="000000" w:themeColor="text1"/>
                <w:highlight w:val="none"/>
                <w14:textFill>
                  <w14:solidFill>
                    <w14:schemeClr w14:val="tx1"/>
                  </w14:solidFill>
                </w14:textFill>
              </w:rPr>
            </w:pPr>
          </w:p>
        </w:tc>
        <w:tc>
          <w:tcPr>
            <w:tcW w:w="1641" w:type="dxa"/>
            <w:gridSpan w:val="4"/>
            <w:vAlign w:val="center"/>
          </w:tcPr>
          <w:p w14:paraId="17606780">
            <w:pPr>
              <w:jc w:val="center"/>
              <w:rPr>
                <w:rFonts w:hint="eastAsia" w:ascii="宋体" w:hAnsi="宋体" w:eastAsia="宋体" w:cs="宋体"/>
                <w:color w:val="000000" w:themeColor="text1"/>
                <w:highlight w:val="none"/>
                <w14:textFill>
                  <w14:solidFill>
                    <w14:schemeClr w14:val="tx1"/>
                  </w14:solidFill>
                </w14:textFill>
              </w:rPr>
            </w:pPr>
          </w:p>
        </w:tc>
        <w:tc>
          <w:tcPr>
            <w:tcW w:w="1484" w:type="dxa"/>
            <w:gridSpan w:val="2"/>
            <w:vAlign w:val="center"/>
          </w:tcPr>
          <w:p w14:paraId="686F5657">
            <w:pPr>
              <w:jc w:val="center"/>
              <w:rPr>
                <w:rFonts w:hint="eastAsia" w:ascii="宋体" w:hAnsi="宋体" w:eastAsia="宋体" w:cs="宋体"/>
                <w:color w:val="000000" w:themeColor="text1"/>
                <w:highlight w:val="none"/>
                <w14:textFill>
                  <w14:solidFill>
                    <w14:schemeClr w14:val="tx1"/>
                  </w14:solidFill>
                </w14:textFill>
              </w:rPr>
            </w:pPr>
          </w:p>
        </w:tc>
      </w:tr>
      <w:tr w14:paraId="618C9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29F4437F">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工程质量</w:t>
            </w:r>
          </w:p>
        </w:tc>
        <w:tc>
          <w:tcPr>
            <w:tcW w:w="1548" w:type="dxa"/>
            <w:gridSpan w:val="2"/>
            <w:vAlign w:val="center"/>
          </w:tcPr>
          <w:p w14:paraId="1ACE35D5">
            <w:pPr>
              <w:jc w:val="center"/>
              <w:rPr>
                <w:rFonts w:hint="eastAsia" w:ascii="宋体" w:hAnsi="宋体" w:eastAsia="宋体" w:cs="宋体"/>
                <w:color w:val="000000" w:themeColor="text1"/>
                <w:highlight w:val="none"/>
                <w14:textFill>
                  <w14:solidFill>
                    <w14:schemeClr w14:val="tx1"/>
                  </w14:solidFill>
                </w14:textFill>
              </w:rPr>
            </w:pPr>
          </w:p>
        </w:tc>
        <w:tc>
          <w:tcPr>
            <w:tcW w:w="2221" w:type="dxa"/>
            <w:gridSpan w:val="4"/>
            <w:vAlign w:val="center"/>
          </w:tcPr>
          <w:p w14:paraId="73F3E5EC">
            <w:pPr>
              <w:jc w:val="center"/>
              <w:rPr>
                <w:rFonts w:hint="eastAsia" w:ascii="宋体" w:hAnsi="宋体" w:eastAsia="宋体" w:cs="宋体"/>
                <w:color w:val="000000" w:themeColor="text1"/>
                <w:highlight w:val="none"/>
                <w14:textFill>
                  <w14:solidFill>
                    <w14:schemeClr w14:val="tx1"/>
                  </w14:solidFill>
                </w14:textFill>
              </w:rPr>
            </w:pPr>
          </w:p>
        </w:tc>
        <w:tc>
          <w:tcPr>
            <w:tcW w:w="1088" w:type="dxa"/>
            <w:vAlign w:val="center"/>
          </w:tcPr>
          <w:p w14:paraId="6EC87BC1">
            <w:pPr>
              <w:jc w:val="center"/>
              <w:rPr>
                <w:rFonts w:hint="eastAsia" w:ascii="宋体" w:hAnsi="宋体" w:eastAsia="宋体" w:cs="宋体"/>
                <w:color w:val="000000" w:themeColor="text1"/>
                <w:highlight w:val="none"/>
                <w14:textFill>
                  <w14:solidFill>
                    <w14:schemeClr w14:val="tx1"/>
                  </w14:solidFill>
                </w14:textFill>
              </w:rPr>
            </w:pPr>
          </w:p>
        </w:tc>
        <w:tc>
          <w:tcPr>
            <w:tcW w:w="1641" w:type="dxa"/>
            <w:gridSpan w:val="4"/>
            <w:vAlign w:val="center"/>
          </w:tcPr>
          <w:p w14:paraId="1C40800B">
            <w:pPr>
              <w:jc w:val="center"/>
              <w:rPr>
                <w:rFonts w:hint="eastAsia" w:ascii="宋体" w:hAnsi="宋体" w:eastAsia="宋体" w:cs="宋体"/>
                <w:color w:val="000000" w:themeColor="text1"/>
                <w:highlight w:val="none"/>
                <w14:textFill>
                  <w14:solidFill>
                    <w14:schemeClr w14:val="tx1"/>
                  </w14:solidFill>
                </w14:textFill>
              </w:rPr>
            </w:pPr>
          </w:p>
        </w:tc>
        <w:tc>
          <w:tcPr>
            <w:tcW w:w="1484" w:type="dxa"/>
            <w:gridSpan w:val="2"/>
            <w:vAlign w:val="center"/>
          </w:tcPr>
          <w:p w14:paraId="717CF33F">
            <w:pPr>
              <w:jc w:val="center"/>
              <w:rPr>
                <w:rFonts w:hint="eastAsia" w:ascii="宋体" w:hAnsi="宋体" w:eastAsia="宋体" w:cs="宋体"/>
                <w:color w:val="000000" w:themeColor="text1"/>
                <w:highlight w:val="none"/>
                <w14:textFill>
                  <w14:solidFill>
                    <w14:schemeClr w14:val="tx1"/>
                  </w14:solidFill>
                </w14:textFill>
              </w:rPr>
            </w:pPr>
          </w:p>
        </w:tc>
      </w:tr>
      <w:tr w14:paraId="1D693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6A4EEC6A">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受奖情况</w:t>
            </w:r>
          </w:p>
        </w:tc>
        <w:tc>
          <w:tcPr>
            <w:tcW w:w="1548" w:type="dxa"/>
            <w:gridSpan w:val="2"/>
            <w:vAlign w:val="center"/>
          </w:tcPr>
          <w:p w14:paraId="70D08874">
            <w:pPr>
              <w:jc w:val="center"/>
              <w:rPr>
                <w:rFonts w:hint="eastAsia" w:ascii="宋体" w:hAnsi="宋体" w:eastAsia="宋体" w:cs="宋体"/>
                <w:color w:val="000000" w:themeColor="text1"/>
                <w:highlight w:val="none"/>
                <w14:textFill>
                  <w14:solidFill>
                    <w14:schemeClr w14:val="tx1"/>
                  </w14:solidFill>
                </w14:textFill>
              </w:rPr>
            </w:pPr>
          </w:p>
        </w:tc>
        <w:tc>
          <w:tcPr>
            <w:tcW w:w="2221" w:type="dxa"/>
            <w:gridSpan w:val="4"/>
            <w:vAlign w:val="center"/>
          </w:tcPr>
          <w:p w14:paraId="0B0FC434">
            <w:pPr>
              <w:jc w:val="center"/>
              <w:rPr>
                <w:rFonts w:hint="eastAsia" w:ascii="宋体" w:hAnsi="宋体" w:eastAsia="宋体" w:cs="宋体"/>
                <w:color w:val="000000" w:themeColor="text1"/>
                <w:highlight w:val="none"/>
                <w14:textFill>
                  <w14:solidFill>
                    <w14:schemeClr w14:val="tx1"/>
                  </w14:solidFill>
                </w14:textFill>
              </w:rPr>
            </w:pPr>
          </w:p>
        </w:tc>
        <w:tc>
          <w:tcPr>
            <w:tcW w:w="1088" w:type="dxa"/>
            <w:vAlign w:val="center"/>
          </w:tcPr>
          <w:p w14:paraId="76E6AE51">
            <w:pPr>
              <w:jc w:val="center"/>
              <w:rPr>
                <w:rFonts w:hint="eastAsia" w:ascii="宋体" w:hAnsi="宋体" w:eastAsia="宋体" w:cs="宋体"/>
                <w:color w:val="000000" w:themeColor="text1"/>
                <w:highlight w:val="none"/>
                <w14:textFill>
                  <w14:solidFill>
                    <w14:schemeClr w14:val="tx1"/>
                  </w14:solidFill>
                </w14:textFill>
              </w:rPr>
            </w:pPr>
          </w:p>
        </w:tc>
        <w:tc>
          <w:tcPr>
            <w:tcW w:w="1641" w:type="dxa"/>
            <w:gridSpan w:val="4"/>
            <w:vAlign w:val="center"/>
          </w:tcPr>
          <w:p w14:paraId="0ABA58CF">
            <w:pPr>
              <w:jc w:val="center"/>
              <w:rPr>
                <w:rFonts w:hint="eastAsia" w:ascii="宋体" w:hAnsi="宋体" w:eastAsia="宋体" w:cs="宋体"/>
                <w:color w:val="000000" w:themeColor="text1"/>
                <w:highlight w:val="none"/>
                <w14:textFill>
                  <w14:solidFill>
                    <w14:schemeClr w14:val="tx1"/>
                  </w14:solidFill>
                </w14:textFill>
              </w:rPr>
            </w:pPr>
          </w:p>
        </w:tc>
        <w:tc>
          <w:tcPr>
            <w:tcW w:w="1484" w:type="dxa"/>
            <w:gridSpan w:val="2"/>
            <w:vAlign w:val="center"/>
          </w:tcPr>
          <w:p w14:paraId="29EDA896">
            <w:pPr>
              <w:jc w:val="center"/>
              <w:rPr>
                <w:rFonts w:hint="eastAsia" w:ascii="宋体" w:hAnsi="宋体" w:eastAsia="宋体" w:cs="宋体"/>
                <w:color w:val="000000" w:themeColor="text1"/>
                <w:highlight w:val="none"/>
                <w14:textFill>
                  <w14:solidFill>
                    <w14:schemeClr w14:val="tx1"/>
                  </w14:solidFill>
                </w14:textFill>
              </w:rPr>
            </w:pPr>
          </w:p>
        </w:tc>
      </w:tr>
    </w:tbl>
    <w:p w14:paraId="69425183">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备注：</w:t>
      </w:r>
    </w:p>
    <w:p w14:paraId="303E0115">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1.项目数可以根据需要增加。</w:t>
      </w:r>
    </w:p>
    <w:p w14:paraId="55BC4B15">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2.本表后附项目经理的学历证、安全生产考核合格证（B类）、本表所列证书复印件并加盖供应商电子签章。</w:t>
      </w:r>
    </w:p>
    <w:p w14:paraId="33995745">
      <w:pPr>
        <w:spacing w:before="120" w:beforeLines="50"/>
        <w:ind w:firstLine="643" w:firstLineChars="200"/>
        <w:jc w:val="center"/>
        <w:rPr>
          <w:rFonts w:hint="eastAsia"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br w:type="page"/>
      </w:r>
      <w:r>
        <w:rPr>
          <w:rFonts w:hint="eastAsia" w:ascii="宋体" w:hAnsi="宋体" w:eastAsia="宋体" w:cs="宋体"/>
          <w:b/>
          <w:color w:val="000000" w:themeColor="text1"/>
          <w:sz w:val="32"/>
          <w:szCs w:val="32"/>
          <w:highlight w:val="none"/>
          <w14:textFill>
            <w14:solidFill>
              <w14:schemeClr w14:val="tx1"/>
            </w14:solidFill>
          </w14:textFill>
        </w:rPr>
        <w:t>项目技术负责人（项目总工）简历表</w:t>
      </w:r>
    </w:p>
    <w:tbl>
      <w:tblPr>
        <w:tblStyle w:val="42"/>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154"/>
        <w:gridCol w:w="164"/>
        <w:gridCol w:w="300"/>
        <w:gridCol w:w="888"/>
        <w:gridCol w:w="660"/>
        <w:gridCol w:w="328"/>
        <w:gridCol w:w="234"/>
        <w:gridCol w:w="1275"/>
        <w:gridCol w:w="142"/>
        <w:gridCol w:w="242"/>
        <w:gridCol w:w="1088"/>
        <w:gridCol w:w="88"/>
        <w:gridCol w:w="409"/>
        <w:gridCol w:w="1108"/>
        <w:gridCol w:w="36"/>
        <w:gridCol w:w="79"/>
        <w:gridCol w:w="1405"/>
        <w:gridCol w:w="11"/>
      </w:tblGrid>
      <w:tr w14:paraId="3D9AB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vAlign w:val="center"/>
          </w:tcPr>
          <w:p w14:paraId="1CB5C876">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姓名</w:t>
            </w:r>
          </w:p>
        </w:tc>
        <w:tc>
          <w:tcPr>
            <w:tcW w:w="2340" w:type="dxa"/>
            <w:gridSpan w:val="5"/>
            <w:vAlign w:val="center"/>
          </w:tcPr>
          <w:p w14:paraId="04D81AE8">
            <w:pPr>
              <w:jc w:val="center"/>
              <w:rPr>
                <w:rFonts w:hint="eastAsia" w:ascii="宋体" w:hAnsi="宋体" w:eastAsia="宋体" w:cs="宋体"/>
                <w:color w:val="000000" w:themeColor="text1"/>
                <w:highlight w:val="none"/>
                <w14:textFill>
                  <w14:solidFill>
                    <w14:schemeClr w14:val="tx1"/>
                  </w14:solidFill>
                </w14:textFill>
              </w:rPr>
            </w:pPr>
          </w:p>
        </w:tc>
        <w:tc>
          <w:tcPr>
            <w:tcW w:w="1893" w:type="dxa"/>
            <w:gridSpan w:val="4"/>
            <w:vAlign w:val="center"/>
          </w:tcPr>
          <w:p w14:paraId="718CE70F">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性别</w:t>
            </w:r>
          </w:p>
        </w:tc>
        <w:tc>
          <w:tcPr>
            <w:tcW w:w="1585" w:type="dxa"/>
            <w:gridSpan w:val="3"/>
            <w:vAlign w:val="center"/>
          </w:tcPr>
          <w:p w14:paraId="45890DCE">
            <w:pPr>
              <w:jc w:val="center"/>
              <w:rPr>
                <w:rFonts w:hint="eastAsia" w:ascii="宋体" w:hAnsi="宋体" w:eastAsia="宋体" w:cs="宋体"/>
                <w:color w:val="000000" w:themeColor="text1"/>
                <w:highlight w:val="none"/>
                <w14:textFill>
                  <w14:solidFill>
                    <w14:schemeClr w14:val="tx1"/>
                  </w14:solidFill>
                </w14:textFill>
              </w:rPr>
            </w:pPr>
          </w:p>
        </w:tc>
        <w:tc>
          <w:tcPr>
            <w:tcW w:w="1108" w:type="dxa"/>
            <w:vAlign w:val="center"/>
          </w:tcPr>
          <w:p w14:paraId="35E36C48">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年龄</w:t>
            </w:r>
          </w:p>
        </w:tc>
        <w:tc>
          <w:tcPr>
            <w:tcW w:w="1531" w:type="dxa"/>
            <w:gridSpan w:val="4"/>
            <w:vAlign w:val="center"/>
          </w:tcPr>
          <w:p w14:paraId="70BDD4D4">
            <w:pPr>
              <w:jc w:val="center"/>
              <w:rPr>
                <w:rFonts w:hint="eastAsia" w:ascii="宋体" w:hAnsi="宋体" w:eastAsia="宋体" w:cs="宋体"/>
                <w:color w:val="000000" w:themeColor="text1"/>
                <w:highlight w:val="none"/>
                <w14:textFill>
                  <w14:solidFill>
                    <w14:schemeClr w14:val="tx1"/>
                  </w14:solidFill>
                </w14:textFill>
              </w:rPr>
            </w:pPr>
          </w:p>
        </w:tc>
      </w:tr>
      <w:tr w14:paraId="181DC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vAlign w:val="center"/>
          </w:tcPr>
          <w:p w14:paraId="748E0D74">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岗位</w:t>
            </w:r>
          </w:p>
        </w:tc>
        <w:tc>
          <w:tcPr>
            <w:tcW w:w="2340" w:type="dxa"/>
            <w:gridSpan w:val="5"/>
            <w:vAlign w:val="center"/>
          </w:tcPr>
          <w:p w14:paraId="08A7053E">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项目技术负责人（项目总工）</w:t>
            </w:r>
          </w:p>
        </w:tc>
        <w:tc>
          <w:tcPr>
            <w:tcW w:w="1893" w:type="dxa"/>
            <w:gridSpan w:val="4"/>
            <w:vAlign w:val="center"/>
          </w:tcPr>
          <w:p w14:paraId="0A80D6CC">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职称</w:t>
            </w:r>
          </w:p>
        </w:tc>
        <w:tc>
          <w:tcPr>
            <w:tcW w:w="1585" w:type="dxa"/>
            <w:gridSpan w:val="3"/>
            <w:vAlign w:val="center"/>
          </w:tcPr>
          <w:p w14:paraId="0BBCF73A">
            <w:pPr>
              <w:jc w:val="center"/>
              <w:rPr>
                <w:rFonts w:hint="eastAsia" w:ascii="宋体" w:hAnsi="宋体" w:eastAsia="宋体" w:cs="宋体"/>
                <w:color w:val="000000" w:themeColor="text1"/>
                <w:highlight w:val="none"/>
                <w14:textFill>
                  <w14:solidFill>
                    <w14:schemeClr w14:val="tx1"/>
                  </w14:solidFill>
                </w14:textFill>
              </w:rPr>
            </w:pPr>
          </w:p>
        </w:tc>
        <w:tc>
          <w:tcPr>
            <w:tcW w:w="1108" w:type="dxa"/>
            <w:vAlign w:val="center"/>
          </w:tcPr>
          <w:p w14:paraId="6B651880">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学历</w:t>
            </w:r>
          </w:p>
        </w:tc>
        <w:tc>
          <w:tcPr>
            <w:tcW w:w="1531" w:type="dxa"/>
            <w:gridSpan w:val="4"/>
            <w:vAlign w:val="center"/>
          </w:tcPr>
          <w:p w14:paraId="2069DBB1">
            <w:pPr>
              <w:jc w:val="center"/>
              <w:rPr>
                <w:rFonts w:hint="eastAsia" w:ascii="宋体" w:hAnsi="宋体" w:eastAsia="宋体" w:cs="宋体"/>
                <w:color w:val="000000" w:themeColor="text1"/>
                <w:highlight w:val="none"/>
                <w14:textFill>
                  <w14:solidFill>
                    <w14:schemeClr w14:val="tx1"/>
                  </w14:solidFill>
                </w14:textFill>
              </w:rPr>
            </w:pPr>
          </w:p>
        </w:tc>
      </w:tr>
      <w:tr w14:paraId="1CCF3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vAlign w:val="center"/>
          </w:tcPr>
          <w:p w14:paraId="4A2AC646">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从业开始时间</w:t>
            </w:r>
          </w:p>
        </w:tc>
        <w:tc>
          <w:tcPr>
            <w:tcW w:w="2340" w:type="dxa"/>
            <w:gridSpan w:val="5"/>
            <w:vAlign w:val="center"/>
          </w:tcPr>
          <w:p w14:paraId="66054F4F">
            <w:pPr>
              <w:jc w:val="center"/>
              <w:rPr>
                <w:rFonts w:hint="eastAsia" w:ascii="宋体" w:hAnsi="宋体" w:eastAsia="宋体" w:cs="宋体"/>
                <w:color w:val="000000" w:themeColor="text1"/>
                <w:highlight w:val="none"/>
                <w14:textFill>
                  <w14:solidFill>
                    <w14:schemeClr w14:val="tx1"/>
                  </w14:solidFill>
                </w14:textFill>
              </w:rPr>
            </w:pPr>
          </w:p>
        </w:tc>
        <w:tc>
          <w:tcPr>
            <w:tcW w:w="1893" w:type="dxa"/>
            <w:gridSpan w:val="4"/>
            <w:vAlign w:val="center"/>
          </w:tcPr>
          <w:p w14:paraId="74C06868">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职称获得时间</w:t>
            </w:r>
          </w:p>
        </w:tc>
        <w:tc>
          <w:tcPr>
            <w:tcW w:w="1585" w:type="dxa"/>
            <w:gridSpan w:val="3"/>
            <w:vAlign w:val="center"/>
          </w:tcPr>
          <w:p w14:paraId="14724E67">
            <w:pPr>
              <w:jc w:val="center"/>
              <w:rPr>
                <w:rFonts w:hint="eastAsia" w:ascii="宋体" w:hAnsi="宋体" w:eastAsia="宋体" w:cs="宋体"/>
                <w:color w:val="000000" w:themeColor="text1"/>
                <w:highlight w:val="none"/>
                <w14:textFill>
                  <w14:solidFill>
                    <w14:schemeClr w14:val="tx1"/>
                  </w14:solidFill>
                </w14:textFill>
              </w:rPr>
            </w:pPr>
          </w:p>
        </w:tc>
        <w:tc>
          <w:tcPr>
            <w:tcW w:w="1108" w:type="dxa"/>
            <w:vAlign w:val="center"/>
          </w:tcPr>
          <w:p w14:paraId="00367933">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毕业时间</w:t>
            </w:r>
          </w:p>
        </w:tc>
        <w:tc>
          <w:tcPr>
            <w:tcW w:w="1531" w:type="dxa"/>
            <w:gridSpan w:val="4"/>
            <w:vAlign w:val="center"/>
          </w:tcPr>
          <w:p w14:paraId="44D43A59">
            <w:pPr>
              <w:jc w:val="center"/>
              <w:rPr>
                <w:rFonts w:hint="eastAsia" w:ascii="宋体" w:hAnsi="宋体" w:eastAsia="宋体" w:cs="宋体"/>
                <w:color w:val="000000" w:themeColor="text1"/>
                <w:highlight w:val="none"/>
                <w14:textFill>
                  <w14:solidFill>
                    <w14:schemeClr w14:val="tx1"/>
                  </w14:solidFill>
                </w14:textFill>
              </w:rPr>
            </w:pPr>
          </w:p>
        </w:tc>
      </w:tr>
      <w:tr w14:paraId="7216F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vAlign w:val="center"/>
          </w:tcPr>
          <w:p w14:paraId="53A0CF45">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担任……年限</w:t>
            </w:r>
          </w:p>
        </w:tc>
        <w:tc>
          <w:tcPr>
            <w:tcW w:w="2410" w:type="dxa"/>
            <w:gridSpan w:val="5"/>
            <w:vAlign w:val="center"/>
          </w:tcPr>
          <w:p w14:paraId="5B3C694D">
            <w:pPr>
              <w:jc w:val="center"/>
              <w:rPr>
                <w:rFonts w:hint="eastAsia" w:ascii="宋体" w:hAnsi="宋体" w:eastAsia="宋体" w:cs="宋体"/>
                <w:color w:val="000000" w:themeColor="text1"/>
                <w:highlight w:val="none"/>
                <w14:textFill>
                  <w14:solidFill>
                    <w14:schemeClr w14:val="tx1"/>
                  </w14:solidFill>
                </w14:textFill>
              </w:rPr>
            </w:pPr>
          </w:p>
        </w:tc>
        <w:tc>
          <w:tcPr>
            <w:tcW w:w="1275" w:type="dxa"/>
            <w:vAlign w:val="center"/>
          </w:tcPr>
          <w:p w14:paraId="37A083A4">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身份证号码</w:t>
            </w:r>
          </w:p>
        </w:tc>
        <w:tc>
          <w:tcPr>
            <w:tcW w:w="4608" w:type="dxa"/>
            <w:gridSpan w:val="10"/>
            <w:vAlign w:val="center"/>
          </w:tcPr>
          <w:p w14:paraId="23E70E29">
            <w:pPr>
              <w:jc w:val="center"/>
              <w:rPr>
                <w:rFonts w:hint="eastAsia" w:ascii="宋体" w:hAnsi="宋体" w:eastAsia="宋体" w:cs="宋体"/>
                <w:color w:val="000000" w:themeColor="text1"/>
                <w:highlight w:val="none"/>
                <w14:textFill>
                  <w14:solidFill>
                    <w14:schemeClr w14:val="tx1"/>
                  </w14:solidFill>
                </w14:textFill>
              </w:rPr>
            </w:pPr>
          </w:p>
        </w:tc>
      </w:tr>
      <w:tr w14:paraId="2D7CD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vAlign w:val="center"/>
          </w:tcPr>
          <w:p w14:paraId="7710C9AB">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证书名称</w:t>
            </w:r>
          </w:p>
        </w:tc>
        <w:tc>
          <w:tcPr>
            <w:tcW w:w="1188" w:type="dxa"/>
            <w:gridSpan w:val="2"/>
            <w:vAlign w:val="center"/>
          </w:tcPr>
          <w:p w14:paraId="5A15A420">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注册专业</w:t>
            </w:r>
          </w:p>
        </w:tc>
        <w:tc>
          <w:tcPr>
            <w:tcW w:w="1222" w:type="dxa"/>
            <w:gridSpan w:val="3"/>
            <w:vAlign w:val="center"/>
          </w:tcPr>
          <w:p w14:paraId="0B4634F9">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级别</w:t>
            </w:r>
          </w:p>
        </w:tc>
        <w:tc>
          <w:tcPr>
            <w:tcW w:w="1417" w:type="dxa"/>
            <w:gridSpan w:val="2"/>
            <w:vAlign w:val="center"/>
          </w:tcPr>
          <w:p w14:paraId="1F6AE3AA">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证书编号</w:t>
            </w:r>
          </w:p>
        </w:tc>
        <w:tc>
          <w:tcPr>
            <w:tcW w:w="1418" w:type="dxa"/>
            <w:gridSpan w:val="3"/>
            <w:vAlign w:val="center"/>
          </w:tcPr>
          <w:p w14:paraId="62ACB4DE">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注册时间</w:t>
            </w:r>
          </w:p>
        </w:tc>
        <w:tc>
          <w:tcPr>
            <w:tcW w:w="1632" w:type="dxa"/>
            <w:gridSpan w:val="4"/>
            <w:vAlign w:val="center"/>
          </w:tcPr>
          <w:p w14:paraId="16A386C3">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注册单位</w:t>
            </w:r>
          </w:p>
        </w:tc>
        <w:tc>
          <w:tcPr>
            <w:tcW w:w="1416" w:type="dxa"/>
            <w:gridSpan w:val="2"/>
            <w:vAlign w:val="center"/>
          </w:tcPr>
          <w:p w14:paraId="1A759FB7">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注册有效期</w:t>
            </w:r>
          </w:p>
        </w:tc>
      </w:tr>
      <w:tr w14:paraId="70CFE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vAlign w:val="center"/>
          </w:tcPr>
          <w:p w14:paraId="2A554B9A">
            <w:pPr>
              <w:jc w:val="center"/>
              <w:rPr>
                <w:rFonts w:hint="eastAsia" w:ascii="宋体" w:hAnsi="宋体" w:eastAsia="宋体" w:cs="宋体"/>
                <w:color w:val="000000" w:themeColor="text1"/>
                <w:highlight w:val="none"/>
                <w14:textFill>
                  <w14:solidFill>
                    <w14:schemeClr w14:val="tx1"/>
                  </w14:solidFill>
                </w14:textFill>
              </w:rPr>
            </w:pPr>
          </w:p>
        </w:tc>
        <w:tc>
          <w:tcPr>
            <w:tcW w:w="1188" w:type="dxa"/>
            <w:gridSpan w:val="2"/>
            <w:vAlign w:val="center"/>
          </w:tcPr>
          <w:p w14:paraId="254215C9">
            <w:pPr>
              <w:jc w:val="center"/>
              <w:rPr>
                <w:rFonts w:hint="eastAsia" w:ascii="宋体" w:hAnsi="宋体" w:eastAsia="宋体" w:cs="宋体"/>
                <w:color w:val="000000" w:themeColor="text1"/>
                <w:highlight w:val="none"/>
                <w14:textFill>
                  <w14:solidFill>
                    <w14:schemeClr w14:val="tx1"/>
                  </w14:solidFill>
                </w14:textFill>
              </w:rPr>
            </w:pPr>
          </w:p>
        </w:tc>
        <w:tc>
          <w:tcPr>
            <w:tcW w:w="1222" w:type="dxa"/>
            <w:gridSpan w:val="3"/>
            <w:vAlign w:val="center"/>
          </w:tcPr>
          <w:p w14:paraId="734A7464">
            <w:pPr>
              <w:jc w:val="center"/>
              <w:rPr>
                <w:rFonts w:hint="eastAsia" w:ascii="宋体" w:hAnsi="宋体" w:eastAsia="宋体" w:cs="宋体"/>
                <w:color w:val="000000" w:themeColor="text1"/>
                <w:highlight w:val="none"/>
                <w14:textFill>
                  <w14:solidFill>
                    <w14:schemeClr w14:val="tx1"/>
                  </w14:solidFill>
                </w14:textFill>
              </w:rPr>
            </w:pPr>
          </w:p>
        </w:tc>
        <w:tc>
          <w:tcPr>
            <w:tcW w:w="1417" w:type="dxa"/>
            <w:gridSpan w:val="2"/>
            <w:vAlign w:val="center"/>
          </w:tcPr>
          <w:p w14:paraId="0A601F43">
            <w:pPr>
              <w:jc w:val="center"/>
              <w:rPr>
                <w:rFonts w:hint="eastAsia" w:ascii="宋体" w:hAnsi="宋体" w:eastAsia="宋体" w:cs="宋体"/>
                <w:color w:val="000000" w:themeColor="text1"/>
                <w:highlight w:val="none"/>
                <w14:textFill>
                  <w14:solidFill>
                    <w14:schemeClr w14:val="tx1"/>
                  </w14:solidFill>
                </w14:textFill>
              </w:rPr>
            </w:pPr>
          </w:p>
        </w:tc>
        <w:tc>
          <w:tcPr>
            <w:tcW w:w="1418" w:type="dxa"/>
            <w:gridSpan w:val="3"/>
            <w:vAlign w:val="center"/>
          </w:tcPr>
          <w:p w14:paraId="249BF56E">
            <w:pPr>
              <w:jc w:val="center"/>
              <w:rPr>
                <w:rFonts w:hint="eastAsia" w:ascii="宋体" w:hAnsi="宋体" w:eastAsia="宋体" w:cs="宋体"/>
                <w:color w:val="000000" w:themeColor="text1"/>
                <w:highlight w:val="none"/>
                <w14:textFill>
                  <w14:solidFill>
                    <w14:schemeClr w14:val="tx1"/>
                  </w14:solidFill>
                </w14:textFill>
              </w:rPr>
            </w:pPr>
          </w:p>
        </w:tc>
        <w:tc>
          <w:tcPr>
            <w:tcW w:w="1632" w:type="dxa"/>
            <w:gridSpan w:val="4"/>
            <w:vAlign w:val="center"/>
          </w:tcPr>
          <w:p w14:paraId="0E233742">
            <w:pPr>
              <w:jc w:val="center"/>
              <w:rPr>
                <w:rFonts w:hint="eastAsia" w:ascii="宋体" w:hAnsi="宋体" w:eastAsia="宋体" w:cs="宋体"/>
                <w:color w:val="000000" w:themeColor="text1"/>
                <w:highlight w:val="none"/>
                <w14:textFill>
                  <w14:solidFill>
                    <w14:schemeClr w14:val="tx1"/>
                  </w14:solidFill>
                </w14:textFill>
              </w:rPr>
            </w:pPr>
          </w:p>
        </w:tc>
        <w:tc>
          <w:tcPr>
            <w:tcW w:w="1416" w:type="dxa"/>
            <w:gridSpan w:val="2"/>
            <w:vAlign w:val="center"/>
          </w:tcPr>
          <w:p w14:paraId="780B9E96">
            <w:pPr>
              <w:jc w:val="center"/>
              <w:rPr>
                <w:rFonts w:hint="eastAsia" w:ascii="宋体" w:hAnsi="宋体" w:eastAsia="宋体" w:cs="宋体"/>
                <w:color w:val="000000" w:themeColor="text1"/>
                <w:highlight w:val="none"/>
                <w14:textFill>
                  <w14:solidFill>
                    <w14:schemeClr w14:val="tx1"/>
                  </w14:solidFill>
                </w14:textFill>
              </w:rPr>
            </w:pPr>
          </w:p>
        </w:tc>
      </w:tr>
      <w:tr w14:paraId="1BE8F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vAlign w:val="center"/>
          </w:tcPr>
          <w:p w14:paraId="7325303D">
            <w:pPr>
              <w:jc w:val="center"/>
              <w:rPr>
                <w:rFonts w:hint="eastAsia" w:ascii="宋体" w:hAnsi="宋体" w:eastAsia="宋体" w:cs="宋体"/>
                <w:color w:val="000000" w:themeColor="text1"/>
                <w:highlight w:val="none"/>
                <w14:textFill>
                  <w14:solidFill>
                    <w14:schemeClr w14:val="tx1"/>
                  </w14:solidFill>
                </w14:textFill>
              </w:rPr>
            </w:pPr>
          </w:p>
        </w:tc>
        <w:tc>
          <w:tcPr>
            <w:tcW w:w="1188" w:type="dxa"/>
            <w:gridSpan w:val="2"/>
            <w:vAlign w:val="center"/>
          </w:tcPr>
          <w:p w14:paraId="74B878C9">
            <w:pPr>
              <w:jc w:val="center"/>
              <w:rPr>
                <w:rFonts w:hint="eastAsia" w:ascii="宋体" w:hAnsi="宋体" w:eastAsia="宋体" w:cs="宋体"/>
                <w:color w:val="000000" w:themeColor="text1"/>
                <w:highlight w:val="none"/>
                <w14:textFill>
                  <w14:solidFill>
                    <w14:schemeClr w14:val="tx1"/>
                  </w14:solidFill>
                </w14:textFill>
              </w:rPr>
            </w:pPr>
          </w:p>
        </w:tc>
        <w:tc>
          <w:tcPr>
            <w:tcW w:w="1222" w:type="dxa"/>
            <w:gridSpan w:val="3"/>
            <w:vAlign w:val="center"/>
          </w:tcPr>
          <w:p w14:paraId="63FEB51F">
            <w:pPr>
              <w:jc w:val="center"/>
              <w:rPr>
                <w:rFonts w:hint="eastAsia" w:ascii="宋体" w:hAnsi="宋体" w:eastAsia="宋体" w:cs="宋体"/>
                <w:color w:val="000000" w:themeColor="text1"/>
                <w:highlight w:val="none"/>
                <w14:textFill>
                  <w14:solidFill>
                    <w14:schemeClr w14:val="tx1"/>
                  </w14:solidFill>
                </w14:textFill>
              </w:rPr>
            </w:pPr>
          </w:p>
        </w:tc>
        <w:tc>
          <w:tcPr>
            <w:tcW w:w="1417" w:type="dxa"/>
            <w:gridSpan w:val="2"/>
            <w:vAlign w:val="center"/>
          </w:tcPr>
          <w:p w14:paraId="3D775B13">
            <w:pPr>
              <w:jc w:val="center"/>
              <w:rPr>
                <w:rFonts w:hint="eastAsia" w:ascii="宋体" w:hAnsi="宋体" w:eastAsia="宋体" w:cs="宋体"/>
                <w:color w:val="000000" w:themeColor="text1"/>
                <w:highlight w:val="none"/>
                <w14:textFill>
                  <w14:solidFill>
                    <w14:schemeClr w14:val="tx1"/>
                  </w14:solidFill>
                </w14:textFill>
              </w:rPr>
            </w:pPr>
          </w:p>
        </w:tc>
        <w:tc>
          <w:tcPr>
            <w:tcW w:w="1418" w:type="dxa"/>
            <w:gridSpan w:val="3"/>
            <w:vAlign w:val="center"/>
          </w:tcPr>
          <w:p w14:paraId="26EDC890">
            <w:pPr>
              <w:jc w:val="center"/>
              <w:rPr>
                <w:rFonts w:hint="eastAsia" w:ascii="宋体" w:hAnsi="宋体" w:eastAsia="宋体" w:cs="宋体"/>
                <w:color w:val="000000" w:themeColor="text1"/>
                <w:highlight w:val="none"/>
                <w14:textFill>
                  <w14:solidFill>
                    <w14:schemeClr w14:val="tx1"/>
                  </w14:solidFill>
                </w14:textFill>
              </w:rPr>
            </w:pPr>
          </w:p>
        </w:tc>
        <w:tc>
          <w:tcPr>
            <w:tcW w:w="1632" w:type="dxa"/>
            <w:gridSpan w:val="4"/>
            <w:vAlign w:val="center"/>
          </w:tcPr>
          <w:p w14:paraId="0B33FBEE">
            <w:pPr>
              <w:jc w:val="center"/>
              <w:rPr>
                <w:rFonts w:hint="eastAsia" w:ascii="宋体" w:hAnsi="宋体" w:eastAsia="宋体" w:cs="宋体"/>
                <w:color w:val="000000" w:themeColor="text1"/>
                <w:highlight w:val="none"/>
                <w14:textFill>
                  <w14:solidFill>
                    <w14:schemeClr w14:val="tx1"/>
                  </w14:solidFill>
                </w14:textFill>
              </w:rPr>
            </w:pPr>
          </w:p>
        </w:tc>
        <w:tc>
          <w:tcPr>
            <w:tcW w:w="1416" w:type="dxa"/>
            <w:gridSpan w:val="2"/>
            <w:vAlign w:val="center"/>
          </w:tcPr>
          <w:p w14:paraId="6454951A">
            <w:pPr>
              <w:jc w:val="center"/>
              <w:rPr>
                <w:rFonts w:hint="eastAsia" w:ascii="宋体" w:hAnsi="宋体" w:eastAsia="宋体" w:cs="宋体"/>
                <w:color w:val="000000" w:themeColor="text1"/>
                <w:highlight w:val="none"/>
                <w14:textFill>
                  <w14:solidFill>
                    <w14:schemeClr w14:val="tx1"/>
                  </w14:solidFill>
                </w14:textFill>
              </w:rPr>
            </w:pPr>
          </w:p>
        </w:tc>
      </w:tr>
      <w:tr w14:paraId="2B3DA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8"/>
            <w:vAlign w:val="center"/>
          </w:tcPr>
          <w:p w14:paraId="534F7B65">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在建和已完工程项目情况</w:t>
            </w:r>
          </w:p>
        </w:tc>
      </w:tr>
      <w:tr w14:paraId="3B16A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vAlign w:val="center"/>
          </w:tcPr>
          <w:p w14:paraId="768BA1DA">
            <w:pPr>
              <w:jc w:val="center"/>
              <w:rPr>
                <w:rFonts w:hint="eastAsia" w:ascii="宋体" w:hAnsi="宋体" w:eastAsia="宋体" w:cs="宋体"/>
                <w:color w:val="000000" w:themeColor="text1"/>
                <w:highlight w:val="none"/>
                <w14:textFill>
                  <w14:solidFill>
                    <w14:schemeClr w14:val="tx1"/>
                  </w14:solidFill>
                </w14:textFill>
              </w:rPr>
            </w:pPr>
          </w:p>
        </w:tc>
        <w:tc>
          <w:tcPr>
            <w:tcW w:w="1548" w:type="dxa"/>
            <w:gridSpan w:val="2"/>
            <w:vAlign w:val="center"/>
          </w:tcPr>
          <w:p w14:paraId="65CD2BFE">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项目1</w:t>
            </w:r>
          </w:p>
        </w:tc>
        <w:tc>
          <w:tcPr>
            <w:tcW w:w="1837" w:type="dxa"/>
            <w:gridSpan w:val="3"/>
            <w:vAlign w:val="center"/>
          </w:tcPr>
          <w:p w14:paraId="0B1D9C99">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项目2</w:t>
            </w:r>
          </w:p>
        </w:tc>
        <w:tc>
          <w:tcPr>
            <w:tcW w:w="1472" w:type="dxa"/>
            <w:gridSpan w:val="3"/>
            <w:vAlign w:val="center"/>
          </w:tcPr>
          <w:p w14:paraId="0A0D4D96">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项目3</w:t>
            </w:r>
          </w:p>
        </w:tc>
        <w:tc>
          <w:tcPr>
            <w:tcW w:w="1641" w:type="dxa"/>
            <w:gridSpan w:val="4"/>
            <w:vAlign w:val="center"/>
          </w:tcPr>
          <w:p w14:paraId="3B662937">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项目4</w:t>
            </w:r>
          </w:p>
        </w:tc>
        <w:tc>
          <w:tcPr>
            <w:tcW w:w="1484" w:type="dxa"/>
            <w:gridSpan w:val="2"/>
            <w:vAlign w:val="center"/>
          </w:tcPr>
          <w:p w14:paraId="594805E2">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r>
      <w:tr w14:paraId="2F2D6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vAlign w:val="center"/>
          </w:tcPr>
          <w:p w14:paraId="6EF72486">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项目名称</w:t>
            </w:r>
          </w:p>
        </w:tc>
        <w:tc>
          <w:tcPr>
            <w:tcW w:w="1548" w:type="dxa"/>
            <w:gridSpan w:val="2"/>
            <w:vAlign w:val="center"/>
          </w:tcPr>
          <w:p w14:paraId="1A41243D">
            <w:pPr>
              <w:jc w:val="center"/>
              <w:rPr>
                <w:rFonts w:hint="eastAsia" w:ascii="宋体" w:hAnsi="宋体" w:eastAsia="宋体" w:cs="宋体"/>
                <w:color w:val="000000" w:themeColor="text1"/>
                <w:highlight w:val="none"/>
                <w14:textFill>
                  <w14:solidFill>
                    <w14:schemeClr w14:val="tx1"/>
                  </w14:solidFill>
                </w14:textFill>
              </w:rPr>
            </w:pPr>
          </w:p>
        </w:tc>
        <w:tc>
          <w:tcPr>
            <w:tcW w:w="1837" w:type="dxa"/>
            <w:gridSpan w:val="3"/>
            <w:vAlign w:val="center"/>
          </w:tcPr>
          <w:p w14:paraId="5017FFDE">
            <w:pPr>
              <w:jc w:val="center"/>
              <w:rPr>
                <w:rFonts w:hint="eastAsia" w:ascii="宋体" w:hAnsi="宋体" w:eastAsia="宋体" w:cs="宋体"/>
                <w:color w:val="000000" w:themeColor="text1"/>
                <w:highlight w:val="none"/>
                <w14:textFill>
                  <w14:solidFill>
                    <w14:schemeClr w14:val="tx1"/>
                  </w14:solidFill>
                </w14:textFill>
              </w:rPr>
            </w:pPr>
          </w:p>
        </w:tc>
        <w:tc>
          <w:tcPr>
            <w:tcW w:w="1472" w:type="dxa"/>
            <w:gridSpan w:val="3"/>
            <w:vAlign w:val="center"/>
          </w:tcPr>
          <w:p w14:paraId="43BFBAF8">
            <w:pPr>
              <w:jc w:val="center"/>
              <w:rPr>
                <w:rFonts w:hint="eastAsia" w:ascii="宋体" w:hAnsi="宋体" w:eastAsia="宋体" w:cs="宋体"/>
                <w:color w:val="000000" w:themeColor="text1"/>
                <w:highlight w:val="none"/>
                <w14:textFill>
                  <w14:solidFill>
                    <w14:schemeClr w14:val="tx1"/>
                  </w14:solidFill>
                </w14:textFill>
              </w:rPr>
            </w:pPr>
          </w:p>
        </w:tc>
        <w:tc>
          <w:tcPr>
            <w:tcW w:w="1641" w:type="dxa"/>
            <w:gridSpan w:val="4"/>
            <w:vAlign w:val="center"/>
          </w:tcPr>
          <w:p w14:paraId="2D749556">
            <w:pPr>
              <w:jc w:val="center"/>
              <w:rPr>
                <w:rFonts w:hint="eastAsia" w:ascii="宋体" w:hAnsi="宋体" w:eastAsia="宋体" w:cs="宋体"/>
                <w:color w:val="000000" w:themeColor="text1"/>
                <w:highlight w:val="none"/>
                <w14:textFill>
                  <w14:solidFill>
                    <w14:schemeClr w14:val="tx1"/>
                  </w14:solidFill>
                </w14:textFill>
              </w:rPr>
            </w:pPr>
          </w:p>
        </w:tc>
        <w:tc>
          <w:tcPr>
            <w:tcW w:w="1484" w:type="dxa"/>
            <w:gridSpan w:val="2"/>
            <w:vAlign w:val="center"/>
          </w:tcPr>
          <w:p w14:paraId="6C91C487">
            <w:pPr>
              <w:jc w:val="center"/>
              <w:rPr>
                <w:rFonts w:hint="eastAsia" w:ascii="宋体" w:hAnsi="宋体" w:eastAsia="宋体" w:cs="宋体"/>
                <w:color w:val="000000" w:themeColor="text1"/>
                <w:highlight w:val="none"/>
                <w14:textFill>
                  <w14:solidFill>
                    <w14:schemeClr w14:val="tx1"/>
                  </w14:solidFill>
                </w14:textFill>
              </w:rPr>
            </w:pPr>
          </w:p>
        </w:tc>
      </w:tr>
      <w:tr w14:paraId="10CC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7C315FB8">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建设单位</w:t>
            </w:r>
          </w:p>
        </w:tc>
        <w:tc>
          <w:tcPr>
            <w:tcW w:w="1548" w:type="dxa"/>
            <w:gridSpan w:val="2"/>
            <w:vAlign w:val="center"/>
          </w:tcPr>
          <w:p w14:paraId="0D3204BE">
            <w:pPr>
              <w:jc w:val="center"/>
              <w:rPr>
                <w:rFonts w:hint="eastAsia" w:ascii="宋体" w:hAnsi="宋体" w:eastAsia="宋体" w:cs="宋体"/>
                <w:color w:val="000000" w:themeColor="text1"/>
                <w:highlight w:val="none"/>
                <w14:textFill>
                  <w14:solidFill>
                    <w14:schemeClr w14:val="tx1"/>
                  </w14:solidFill>
                </w14:textFill>
              </w:rPr>
            </w:pPr>
          </w:p>
        </w:tc>
        <w:tc>
          <w:tcPr>
            <w:tcW w:w="1837" w:type="dxa"/>
            <w:gridSpan w:val="3"/>
            <w:vAlign w:val="center"/>
          </w:tcPr>
          <w:p w14:paraId="52EC99E8">
            <w:pPr>
              <w:jc w:val="center"/>
              <w:rPr>
                <w:rFonts w:hint="eastAsia" w:ascii="宋体" w:hAnsi="宋体" w:eastAsia="宋体" w:cs="宋体"/>
                <w:color w:val="000000" w:themeColor="text1"/>
                <w:highlight w:val="none"/>
                <w14:textFill>
                  <w14:solidFill>
                    <w14:schemeClr w14:val="tx1"/>
                  </w14:solidFill>
                </w14:textFill>
              </w:rPr>
            </w:pPr>
          </w:p>
        </w:tc>
        <w:tc>
          <w:tcPr>
            <w:tcW w:w="1472" w:type="dxa"/>
            <w:gridSpan w:val="3"/>
            <w:vAlign w:val="center"/>
          </w:tcPr>
          <w:p w14:paraId="59D92B8D">
            <w:pPr>
              <w:jc w:val="center"/>
              <w:rPr>
                <w:rFonts w:hint="eastAsia" w:ascii="宋体" w:hAnsi="宋体" w:eastAsia="宋体" w:cs="宋体"/>
                <w:color w:val="000000" w:themeColor="text1"/>
                <w:highlight w:val="none"/>
                <w14:textFill>
                  <w14:solidFill>
                    <w14:schemeClr w14:val="tx1"/>
                  </w14:solidFill>
                </w14:textFill>
              </w:rPr>
            </w:pPr>
          </w:p>
        </w:tc>
        <w:tc>
          <w:tcPr>
            <w:tcW w:w="1641" w:type="dxa"/>
            <w:gridSpan w:val="4"/>
            <w:vAlign w:val="center"/>
          </w:tcPr>
          <w:p w14:paraId="7B68AAFE">
            <w:pPr>
              <w:jc w:val="center"/>
              <w:rPr>
                <w:rFonts w:hint="eastAsia" w:ascii="宋体" w:hAnsi="宋体" w:eastAsia="宋体" w:cs="宋体"/>
                <w:color w:val="000000" w:themeColor="text1"/>
                <w:highlight w:val="none"/>
                <w14:textFill>
                  <w14:solidFill>
                    <w14:schemeClr w14:val="tx1"/>
                  </w14:solidFill>
                </w14:textFill>
              </w:rPr>
            </w:pPr>
          </w:p>
        </w:tc>
        <w:tc>
          <w:tcPr>
            <w:tcW w:w="1484" w:type="dxa"/>
            <w:gridSpan w:val="2"/>
            <w:vAlign w:val="center"/>
          </w:tcPr>
          <w:p w14:paraId="7974CC41">
            <w:pPr>
              <w:jc w:val="center"/>
              <w:rPr>
                <w:rFonts w:hint="eastAsia" w:ascii="宋体" w:hAnsi="宋体" w:eastAsia="宋体" w:cs="宋体"/>
                <w:color w:val="000000" w:themeColor="text1"/>
                <w:highlight w:val="none"/>
                <w14:textFill>
                  <w14:solidFill>
                    <w14:schemeClr w14:val="tx1"/>
                  </w14:solidFill>
                </w14:textFill>
              </w:rPr>
            </w:pPr>
          </w:p>
        </w:tc>
      </w:tr>
      <w:tr w14:paraId="697A5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1C238BD1">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建设规模</w:t>
            </w:r>
          </w:p>
        </w:tc>
        <w:tc>
          <w:tcPr>
            <w:tcW w:w="1548" w:type="dxa"/>
            <w:gridSpan w:val="2"/>
            <w:vAlign w:val="center"/>
          </w:tcPr>
          <w:p w14:paraId="1AB78707">
            <w:pPr>
              <w:jc w:val="center"/>
              <w:rPr>
                <w:rFonts w:hint="eastAsia" w:ascii="宋体" w:hAnsi="宋体" w:eastAsia="宋体" w:cs="宋体"/>
                <w:color w:val="000000" w:themeColor="text1"/>
                <w:highlight w:val="none"/>
                <w14:textFill>
                  <w14:solidFill>
                    <w14:schemeClr w14:val="tx1"/>
                  </w14:solidFill>
                </w14:textFill>
              </w:rPr>
            </w:pPr>
          </w:p>
        </w:tc>
        <w:tc>
          <w:tcPr>
            <w:tcW w:w="1837" w:type="dxa"/>
            <w:gridSpan w:val="3"/>
            <w:vAlign w:val="center"/>
          </w:tcPr>
          <w:p w14:paraId="0DC3D091">
            <w:pPr>
              <w:jc w:val="center"/>
              <w:rPr>
                <w:rFonts w:hint="eastAsia" w:ascii="宋体" w:hAnsi="宋体" w:eastAsia="宋体" w:cs="宋体"/>
                <w:color w:val="000000" w:themeColor="text1"/>
                <w:highlight w:val="none"/>
                <w14:textFill>
                  <w14:solidFill>
                    <w14:schemeClr w14:val="tx1"/>
                  </w14:solidFill>
                </w14:textFill>
              </w:rPr>
            </w:pPr>
          </w:p>
        </w:tc>
        <w:tc>
          <w:tcPr>
            <w:tcW w:w="1472" w:type="dxa"/>
            <w:gridSpan w:val="3"/>
            <w:vAlign w:val="center"/>
          </w:tcPr>
          <w:p w14:paraId="2C2506EB">
            <w:pPr>
              <w:jc w:val="center"/>
              <w:rPr>
                <w:rFonts w:hint="eastAsia" w:ascii="宋体" w:hAnsi="宋体" w:eastAsia="宋体" w:cs="宋体"/>
                <w:color w:val="000000" w:themeColor="text1"/>
                <w:highlight w:val="none"/>
                <w14:textFill>
                  <w14:solidFill>
                    <w14:schemeClr w14:val="tx1"/>
                  </w14:solidFill>
                </w14:textFill>
              </w:rPr>
            </w:pPr>
          </w:p>
        </w:tc>
        <w:tc>
          <w:tcPr>
            <w:tcW w:w="1641" w:type="dxa"/>
            <w:gridSpan w:val="4"/>
            <w:vAlign w:val="center"/>
          </w:tcPr>
          <w:p w14:paraId="238740B6">
            <w:pPr>
              <w:jc w:val="center"/>
              <w:rPr>
                <w:rFonts w:hint="eastAsia" w:ascii="宋体" w:hAnsi="宋体" w:eastAsia="宋体" w:cs="宋体"/>
                <w:color w:val="000000" w:themeColor="text1"/>
                <w:highlight w:val="none"/>
                <w14:textFill>
                  <w14:solidFill>
                    <w14:schemeClr w14:val="tx1"/>
                  </w14:solidFill>
                </w14:textFill>
              </w:rPr>
            </w:pPr>
          </w:p>
        </w:tc>
        <w:tc>
          <w:tcPr>
            <w:tcW w:w="1484" w:type="dxa"/>
            <w:gridSpan w:val="2"/>
            <w:vAlign w:val="center"/>
          </w:tcPr>
          <w:p w14:paraId="16CA49B5">
            <w:pPr>
              <w:jc w:val="center"/>
              <w:rPr>
                <w:rFonts w:hint="eastAsia" w:ascii="宋体" w:hAnsi="宋体" w:eastAsia="宋体" w:cs="宋体"/>
                <w:color w:val="000000" w:themeColor="text1"/>
                <w:highlight w:val="none"/>
                <w14:textFill>
                  <w14:solidFill>
                    <w14:schemeClr w14:val="tx1"/>
                  </w14:solidFill>
                </w14:textFill>
              </w:rPr>
            </w:pPr>
          </w:p>
        </w:tc>
      </w:tr>
      <w:tr w14:paraId="47AE3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14ABEBB7">
            <w:pPr>
              <w:jc w:val="center"/>
              <w:rPr>
                <w:rFonts w:hint="eastAsia" w:ascii="宋体" w:hAnsi="宋体" w:eastAsia="宋体" w:cs="宋体"/>
                <w:color w:val="000000" w:themeColor="text1"/>
                <w:sz w:val="27"/>
                <w:szCs w:val="27"/>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开工日期</w:t>
            </w:r>
          </w:p>
        </w:tc>
        <w:tc>
          <w:tcPr>
            <w:tcW w:w="1548" w:type="dxa"/>
            <w:gridSpan w:val="2"/>
            <w:vAlign w:val="center"/>
          </w:tcPr>
          <w:p w14:paraId="227E772A">
            <w:pPr>
              <w:jc w:val="center"/>
              <w:rPr>
                <w:rFonts w:hint="eastAsia" w:ascii="宋体" w:hAnsi="宋体" w:eastAsia="宋体" w:cs="宋体"/>
                <w:color w:val="000000" w:themeColor="text1"/>
                <w:highlight w:val="none"/>
                <w14:textFill>
                  <w14:solidFill>
                    <w14:schemeClr w14:val="tx1"/>
                  </w14:solidFill>
                </w14:textFill>
              </w:rPr>
            </w:pPr>
          </w:p>
        </w:tc>
        <w:tc>
          <w:tcPr>
            <w:tcW w:w="1837" w:type="dxa"/>
            <w:gridSpan w:val="3"/>
            <w:vAlign w:val="center"/>
          </w:tcPr>
          <w:p w14:paraId="68AE5C20">
            <w:pPr>
              <w:jc w:val="center"/>
              <w:rPr>
                <w:rFonts w:hint="eastAsia" w:ascii="宋体" w:hAnsi="宋体" w:eastAsia="宋体" w:cs="宋体"/>
                <w:color w:val="000000" w:themeColor="text1"/>
                <w:highlight w:val="none"/>
                <w14:textFill>
                  <w14:solidFill>
                    <w14:schemeClr w14:val="tx1"/>
                  </w14:solidFill>
                </w14:textFill>
              </w:rPr>
            </w:pPr>
          </w:p>
        </w:tc>
        <w:tc>
          <w:tcPr>
            <w:tcW w:w="1472" w:type="dxa"/>
            <w:gridSpan w:val="3"/>
            <w:vAlign w:val="center"/>
          </w:tcPr>
          <w:p w14:paraId="0411179D">
            <w:pPr>
              <w:jc w:val="center"/>
              <w:rPr>
                <w:rFonts w:hint="eastAsia" w:ascii="宋体" w:hAnsi="宋体" w:eastAsia="宋体" w:cs="宋体"/>
                <w:color w:val="000000" w:themeColor="text1"/>
                <w:highlight w:val="none"/>
                <w14:textFill>
                  <w14:solidFill>
                    <w14:schemeClr w14:val="tx1"/>
                  </w14:solidFill>
                </w14:textFill>
              </w:rPr>
            </w:pPr>
          </w:p>
        </w:tc>
        <w:tc>
          <w:tcPr>
            <w:tcW w:w="1641" w:type="dxa"/>
            <w:gridSpan w:val="4"/>
            <w:vAlign w:val="center"/>
          </w:tcPr>
          <w:p w14:paraId="1EC3894D">
            <w:pPr>
              <w:jc w:val="center"/>
              <w:rPr>
                <w:rFonts w:hint="eastAsia" w:ascii="宋体" w:hAnsi="宋体" w:eastAsia="宋体" w:cs="宋体"/>
                <w:color w:val="000000" w:themeColor="text1"/>
                <w:highlight w:val="none"/>
                <w14:textFill>
                  <w14:solidFill>
                    <w14:schemeClr w14:val="tx1"/>
                  </w14:solidFill>
                </w14:textFill>
              </w:rPr>
            </w:pPr>
          </w:p>
        </w:tc>
        <w:tc>
          <w:tcPr>
            <w:tcW w:w="1484" w:type="dxa"/>
            <w:gridSpan w:val="2"/>
            <w:vAlign w:val="center"/>
          </w:tcPr>
          <w:p w14:paraId="4E770957">
            <w:pPr>
              <w:jc w:val="center"/>
              <w:rPr>
                <w:rFonts w:hint="eastAsia" w:ascii="宋体" w:hAnsi="宋体" w:eastAsia="宋体" w:cs="宋体"/>
                <w:color w:val="000000" w:themeColor="text1"/>
                <w:highlight w:val="none"/>
                <w14:textFill>
                  <w14:solidFill>
                    <w14:schemeClr w14:val="tx1"/>
                  </w14:solidFill>
                </w14:textFill>
              </w:rPr>
            </w:pPr>
          </w:p>
        </w:tc>
      </w:tr>
      <w:tr w14:paraId="2DD61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022F6E1D">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竣工日期</w:t>
            </w:r>
          </w:p>
        </w:tc>
        <w:tc>
          <w:tcPr>
            <w:tcW w:w="1548" w:type="dxa"/>
            <w:gridSpan w:val="2"/>
            <w:vAlign w:val="center"/>
          </w:tcPr>
          <w:p w14:paraId="709FF280">
            <w:pPr>
              <w:jc w:val="center"/>
              <w:rPr>
                <w:rFonts w:hint="eastAsia" w:ascii="宋体" w:hAnsi="宋体" w:eastAsia="宋体" w:cs="宋体"/>
                <w:color w:val="000000" w:themeColor="text1"/>
                <w:highlight w:val="none"/>
                <w14:textFill>
                  <w14:solidFill>
                    <w14:schemeClr w14:val="tx1"/>
                  </w14:solidFill>
                </w14:textFill>
              </w:rPr>
            </w:pPr>
          </w:p>
        </w:tc>
        <w:tc>
          <w:tcPr>
            <w:tcW w:w="1837" w:type="dxa"/>
            <w:gridSpan w:val="3"/>
            <w:vAlign w:val="center"/>
          </w:tcPr>
          <w:p w14:paraId="4326F989">
            <w:pPr>
              <w:jc w:val="center"/>
              <w:rPr>
                <w:rFonts w:hint="eastAsia" w:ascii="宋体" w:hAnsi="宋体" w:eastAsia="宋体" w:cs="宋体"/>
                <w:color w:val="000000" w:themeColor="text1"/>
                <w:highlight w:val="none"/>
                <w14:textFill>
                  <w14:solidFill>
                    <w14:schemeClr w14:val="tx1"/>
                  </w14:solidFill>
                </w14:textFill>
              </w:rPr>
            </w:pPr>
          </w:p>
        </w:tc>
        <w:tc>
          <w:tcPr>
            <w:tcW w:w="1472" w:type="dxa"/>
            <w:gridSpan w:val="3"/>
            <w:vAlign w:val="center"/>
          </w:tcPr>
          <w:p w14:paraId="493FCFDD">
            <w:pPr>
              <w:jc w:val="center"/>
              <w:rPr>
                <w:rFonts w:hint="eastAsia" w:ascii="宋体" w:hAnsi="宋体" w:eastAsia="宋体" w:cs="宋体"/>
                <w:color w:val="000000" w:themeColor="text1"/>
                <w:highlight w:val="none"/>
                <w14:textFill>
                  <w14:solidFill>
                    <w14:schemeClr w14:val="tx1"/>
                  </w14:solidFill>
                </w14:textFill>
              </w:rPr>
            </w:pPr>
          </w:p>
        </w:tc>
        <w:tc>
          <w:tcPr>
            <w:tcW w:w="1641" w:type="dxa"/>
            <w:gridSpan w:val="4"/>
            <w:vAlign w:val="center"/>
          </w:tcPr>
          <w:p w14:paraId="30163BFC">
            <w:pPr>
              <w:jc w:val="center"/>
              <w:rPr>
                <w:rFonts w:hint="eastAsia" w:ascii="宋体" w:hAnsi="宋体" w:eastAsia="宋体" w:cs="宋体"/>
                <w:color w:val="000000" w:themeColor="text1"/>
                <w:highlight w:val="none"/>
                <w14:textFill>
                  <w14:solidFill>
                    <w14:schemeClr w14:val="tx1"/>
                  </w14:solidFill>
                </w14:textFill>
              </w:rPr>
            </w:pPr>
          </w:p>
        </w:tc>
        <w:tc>
          <w:tcPr>
            <w:tcW w:w="1484" w:type="dxa"/>
            <w:gridSpan w:val="2"/>
            <w:vAlign w:val="center"/>
          </w:tcPr>
          <w:p w14:paraId="6007FF32">
            <w:pPr>
              <w:jc w:val="center"/>
              <w:rPr>
                <w:rFonts w:hint="eastAsia" w:ascii="宋体" w:hAnsi="宋体" w:eastAsia="宋体" w:cs="宋体"/>
                <w:color w:val="000000" w:themeColor="text1"/>
                <w:highlight w:val="none"/>
                <w14:textFill>
                  <w14:solidFill>
                    <w14:schemeClr w14:val="tx1"/>
                  </w14:solidFill>
                </w14:textFill>
              </w:rPr>
            </w:pPr>
          </w:p>
        </w:tc>
      </w:tr>
      <w:tr w14:paraId="291DF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09BF90DA">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人员角色</w:t>
            </w:r>
          </w:p>
        </w:tc>
        <w:tc>
          <w:tcPr>
            <w:tcW w:w="1548" w:type="dxa"/>
            <w:gridSpan w:val="2"/>
            <w:vAlign w:val="center"/>
          </w:tcPr>
          <w:p w14:paraId="1524ADDA">
            <w:pPr>
              <w:jc w:val="center"/>
              <w:rPr>
                <w:rFonts w:hint="eastAsia" w:ascii="宋体" w:hAnsi="宋体" w:eastAsia="宋体" w:cs="宋体"/>
                <w:color w:val="000000" w:themeColor="text1"/>
                <w:highlight w:val="none"/>
                <w14:textFill>
                  <w14:solidFill>
                    <w14:schemeClr w14:val="tx1"/>
                  </w14:solidFill>
                </w14:textFill>
              </w:rPr>
            </w:pPr>
          </w:p>
        </w:tc>
        <w:tc>
          <w:tcPr>
            <w:tcW w:w="1837" w:type="dxa"/>
            <w:gridSpan w:val="3"/>
            <w:vAlign w:val="center"/>
          </w:tcPr>
          <w:p w14:paraId="3B2E2F94">
            <w:pPr>
              <w:jc w:val="center"/>
              <w:rPr>
                <w:rFonts w:hint="eastAsia" w:ascii="宋体" w:hAnsi="宋体" w:eastAsia="宋体" w:cs="宋体"/>
                <w:color w:val="000000" w:themeColor="text1"/>
                <w:highlight w:val="none"/>
                <w14:textFill>
                  <w14:solidFill>
                    <w14:schemeClr w14:val="tx1"/>
                  </w14:solidFill>
                </w14:textFill>
              </w:rPr>
            </w:pPr>
          </w:p>
        </w:tc>
        <w:tc>
          <w:tcPr>
            <w:tcW w:w="1472" w:type="dxa"/>
            <w:gridSpan w:val="3"/>
            <w:vAlign w:val="center"/>
          </w:tcPr>
          <w:p w14:paraId="75E4211F">
            <w:pPr>
              <w:jc w:val="center"/>
              <w:rPr>
                <w:rFonts w:hint="eastAsia" w:ascii="宋体" w:hAnsi="宋体" w:eastAsia="宋体" w:cs="宋体"/>
                <w:color w:val="000000" w:themeColor="text1"/>
                <w:highlight w:val="none"/>
                <w14:textFill>
                  <w14:solidFill>
                    <w14:schemeClr w14:val="tx1"/>
                  </w14:solidFill>
                </w14:textFill>
              </w:rPr>
            </w:pPr>
          </w:p>
        </w:tc>
        <w:tc>
          <w:tcPr>
            <w:tcW w:w="1641" w:type="dxa"/>
            <w:gridSpan w:val="4"/>
            <w:vAlign w:val="center"/>
          </w:tcPr>
          <w:p w14:paraId="4BD792BB">
            <w:pPr>
              <w:jc w:val="center"/>
              <w:rPr>
                <w:rFonts w:hint="eastAsia" w:ascii="宋体" w:hAnsi="宋体" w:eastAsia="宋体" w:cs="宋体"/>
                <w:color w:val="000000" w:themeColor="text1"/>
                <w:highlight w:val="none"/>
                <w14:textFill>
                  <w14:solidFill>
                    <w14:schemeClr w14:val="tx1"/>
                  </w14:solidFill>
                </w14:textFill>
              </w:rPr>
            </w:pPr>
          </w:p>
        </w:tc>
        <w:tc>
          <w:tcPr>
            <w:tcW w:w="1484" w:type="dxa"/>
            <w:gridSpan w:val="2"/>
            <w:vAlign w:val="center"/>
          </w:tcPr>
          <w:p w14:paraId="2824DC23">
            <w:pPr>
              <w:jc w:val="center"/>
              <w:rPr>
                <w:rFonts w:hint="eastAsia" w:ascii="宋体" w:hAnsi="宋体" w:eastAsia="宋体" w:cs="宋体"/>
                <w:color w:val="000000" w:themeColor="text1"/>
                <w:highlight w:val="none"/>
                <w14:textFill>
                  <w14:solidFill>
                    <w14:schemeClr w14:val="tx1"/>
                  </w14:solidFill>
                </w14:textFill>
              </w:rPr>
            </w:pPr>
          </w:p>
        </w:tc>
      </w:tr>
      <w:tr w14:paraId="4D8D2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7E11FF3B">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在建或已完</w:t>
            </w:r>
          </w:p>
        </w:tc>
        <w:tc>
          <w:tcPr>
            <w:tcW w:w="1548" w:type="dxa"/>
            <w:gridSpan w:val="2"/>
            <w:vAlign w:val="center"/>
          </w:tcPr>
          <w:p w14:paraId="13797791">
            <w:pPr>
              <w:jc w:val="center"/>
              <w:rPr>
                <w:rFonts w:hint="eastAsia" w:ascii="宋体" w:hAnsi="宋体" w:eastAsia="宋体" w:cs="宋体"/>
                <w:color w:val="000000" w:themeColor="text1"/>
                <w:highlight w:val="none"/>
                <w14:textFill>
                  <w14:solidFill>
                    <w14:schemeClr w14:val="tx1"/>
                  </w14:solidFill>
                </w14:textFill>
              </w:rPr>
            </w:pPr>
          </w:p>
        </w:tc>
        <w:tc>
          <w:tcPr>
            <w:tcW w:w="1837" w:type="dxa"/>
            <w:gridSpan w:val="3"/>
            <w:vAlign w:val="center"/>
          </w:tcPr>
          <w:p w14:paraId="35ECB657">
            <w:pPr>
              <w:jc w:val="center"/>
              <w:rPr>
                <w:rFonts w:hint="eastAsia" w:ascii="宋体" w:hAnsi="宋体" w:eastAsia="宋体" w:cs="宋体"/>
                <w:color w:val="000000" w:themeColor="text1"/>
                <w:highlight w:val="none"/>
                <w14:textFill>
                  <w14:solidFill>
                    <w14:schemeClr w14:val="tx1"/>
                  </w14:solidFill>
                </w14:textFill>
              </w:rPr>
            </w:pPr>
          </w:p>
        </w:tc>
        <w:tc>
          <w:tcPr>
            <w:tcW w:w="1472" w:type="dxa"/>
            <w:gridSpan w:val="3"/>
            <w:vAlign w:val="center"/>
          </w:tcPr>
          <w:p w14:paraId="551BF814">
            <w:pPr>
              <w:jc w:val="center"/>
              <w:rPr>
                <w:rFonts w:hint="eastAsia" w:ascii="宋体" w:hAnsi="宋体" w:eastAsia="宋体" w:cs="宋体"/>
                <w:color w:val="000000" w:themeColor="text1"/>
                <w:highlight w:val="none"/>
                <w14:textFill>
                  <w14:solidFill>
                    <w14:schemeClr w14:val="tx1"/>
                  </w14:solidFill>
                </w14:textFill>
              </w:rPr>
            </w:pPr>
          </w:p>
        </w:tc>
        <w:tc>
          <w:tcPr>
            <w:tcW w:w="1641" w:type="dxa"/>
            <w:gridSpan w:val="4"/>
            <w:vAlign w:val="center"/>
          </w:tcPr>
          <w:p w14:paraId="2D08F441">
            <w:pPr>
              <w:jc w:val="center"/>
              <w:rPr>
                <w:rFonts w:hint="eastAsia" w:ascii="宋体" w:hAnsi="宋体" w:eastAsia="宋体" w:cs="宋体"/>
                <w:color w:val="000000" w:themeColor="text1"/>
                <w:highlight w:val="none"/>
                <w14:textFill>
                  <w14:solidFill>
                    <w14:schemeClr w14:val="tx1"/>
                  </w14:solidFill>
                </w14:textFill>
              </w:rPr>
            </w:pPr>
          </w:p>
        </w:tc>
        <w:tc>
          <w:tcPr>
            <w:tcW w:w="1484" w:type="dxa"/>
            <w:gridSpan w:val="2"/>
            <w:vAlign w:val="center"/>
          </w:tcPr>
          <w:p w14:paraId="4B8F250C">
            <w:pPr>
              <w:jc w:val="center"/>
              <w:rPr>
                <w:rFonts w:hint="eastAsia" w:ascii="宋体" w:hAnsi="宋体" w:eastAsia="宋体" w:cs="宋体"/>
                <w:color w:val="000000" w:themeColor="text1"/>
                <w:highlight w:val="none"/>
                <w14:textFill>
                  <w14:solidFill>
                    <w14:schemeClr w14:val="tx1"/>
                  </w14:solidFill>
                </w14:textFill>
              </w:rPr>
            </w:pPr>
          </w:p>
        </w:tc>
      </w:tr>
      <w:tr w14:paraId="101C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3B7D31A5">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工程质量</w:t>
            </w:r>
          </w:p>
        </w:tc>
        <w:tc>
          <w:tcPr>
            <w:tcW w:w="1548" w:type="dxa"/>
            <w:gridSpan w:val="2"/>
            <w:vAlign w:val="center"/>
          </w:tcPr>
          <w:p w14:paraId="4CE6583D">
            <w:pPr>
              <w:jc w:val="center"/>
              <w:rPr>
                <w:rFonts w:hint="eastAsia" w:ascii="宋体" w:hAnsi="宋体" w:eastAsia="宋体" w:cs="宋体"/>
                <w:color w:val="000000" w:themeColor="text1"/>
                <w:highlight w:val="none"/>
                <w14:textFill>
                  <w14:solidFill>
                    <w14:schemeClr w14:val="tx1"/>
                  </w14:solidFill>
                </w14:textFill>
              </w:rPr>
            </w:pPr>
          </w:p>
        </w:tc>
        <w:tc>
          <w:tcPr>
            <w:tcW w:w="1837" w:type="dxa"/>
            <w:gridSpan w:val="3"/>
            <w:vAlign w:val="center"/>
          </w:tcPr>
          <w:p w14:paraId="3BD3F912">
            <w:pPr>
              <w:jc w:val="center"/>
              <w:rPr>
                <w:rFonts w:hint="eastAsia" w:ascii="宋体" w:hAnsi="宋体" w:eastAsia="宋体" w:cs="宋体"/>
                <w:color w:val="000000" w:themeColor="text1"/>
                <w:highlight w:val="none"/>
                <w14:textFill>
                  <w14:solidFill>
                    <w14:schemeClr w14:val="tx1"/>
                  </w14:solidFill>
                </w14:textFill>
              </w:rPr>
            </w:pPr>
          </w:p>
        </w:tc>
        <w:tc>
          <w:tcPr>
            <w:tcW w:w="1472" w:type="dxa"/>
            <w:gridSpan w:val="3"/>
            <w:vAlign w:val="center"/>
          </w:tcPr>
          <w:p w14:paraId="4E070A5E">
            <w:pPr>
              <w:jc w:val="center"/>
              <w:rPr>
                <w:rFonts w:hint="eastAsia" w:ascii="宋体" w:hAnsi="宋体" w:eastAsia="宋体" w:cs="宋体"/>
                <w:color w:val="000000" w:themeColor="text1"/>
                <w:highlight w:val="none"/>
                <w14:textFill>
                  <w14:solidFill>
                    <w14:schemeClr w14:val="tx1"/>
                  </w14:solidFill>
                </w14:textFill>
              </w:rPr>
            </w:pPr>
          </w:p>
        </w:tc>
        <w:tc>
          <w:tcPr>
            <w:tcW w:w="1641" w:type="dxa"/>
            <w:gridSpan w:val="4"/>
            <w:vAlign w:val="center"/>
          </w:tcPr>
          <w:p w14:paraId="7F25A863">
            <w:pPr>
              <w:jc w:val="center"/>
              <w:rPr>
                <w:rFonts w:hint="eastAsia" w:ascii="宋体" w:hAnsi="宋体" w:eastAsia="宋体" w:cs="宋体"/>
                <w:color w:val="000000" w:themeColor="text1"/>
                <w:highlight w:val="none"/>
                <w14:textFill>
                  <w14:solidFill>
                    <w14:schemeClr w14:val="tx1"/>
                  </w14:solidFill>
                </w14:textFill>
              </w:rPr>
            </w:pPr>
          </w:p>
        </w:tc>
        <w:tc>
          <w:tcPr>
            <w:tcW w:w="1484" w:type="dxa"/>
            <w:gridSpan w:val="2"/>
            <w:vAlign w:val="center"/>
          </w:tcPr>
          <w:p w14:paraId="62B9E1E9">
            <w:pPr>
              <w:jc w:val="center"/>
              <w:rPr>
                <w:rFonts w:hint="eastAsia" w:ascii="宋体" w:hAnsi="宋体" w:eastAsia="宋体" w:cs="宋体"/>
                <w:color w:val="000000" w:themeColor="text1"/>
                <w:highlight w:val="none"/>
                <w14:textFill>
                  <w14:solidFill>
                    <w14:schemeClr w14:val="tx1"/>
                  </w14:solidFill>
                </w14:textFill>
              </w:rPr>
            </w:pPr>
          </w:p>
        </w:tc>
      </w:tr>
      <w:tr w14:paraId="578B5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35A24A0A">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受奖情况</w:t>
            </w:r>
          </w:p>
        </w:tc>
        <w:tc>
          <w:tcPr>
            <w:tcW w:w="1548" w:type="dxa"/>
            <w:gridSpan w:val="2"/>
            <w:vAlign w:val="center"/>
          </w:tcPr>
          <w:p w14:paraId="2DFF3E78">
            <w:pPr>
              <w:jc w:val="center"/>
              <w:rPr>
                <w:rFonts w:hint="eastAsia" w:ascii="宋体" w:hAnsi="宋体" w:eastAsia="宋体" w:cs="宋体"/>
                <w:color w:val="000000" w:themeColor="text1"/>
                <w:highlight w:val="none"/>
                <w14:textFill>
                  <w14:solidFill>
                    <w14:schemeClr w14:val="tx1"/>
                  </w14:solidFill>
                </w14:textFill>
              </w:rPr>
            </w:pPr>
          </w:p>
        </w:tc>
        <w:tc>
          <w:tcPr>
            <w:tcW w:w="1837" w:type="dxa"/>
            <w:gridSpan w:val="3"/>
            <w:vAlign w:val="center"/>
          </w:tcPr>
          <w:p w14:paraId="340C5D75">
            <w:pPr>
              <w:jc w:val="center"/>
              <w:rPr>
                <w:rFonts w:hint="eastAsia" w:ascii="宋体" w:hAnsi="宋体" w:eastAsia="宋体" w:cs="宋体"/>
                <w:color w:val="000000" w:themeColor="text1"/>
                <w:highlight w:val="none"/>
                <w14:textFill>
                  <w14:solidFill>
                    <w14:schemeClr w14:val="tx1"/>
                  </w14:solidFill>
                </w14:textFill>
              </w:rPr>
            </w:pPr>
          </w:p>
        </w:tc>
        <w:tc>
          <w:tcPr>
            <w:tcW w:w="1472" w:type="dxa"/>
            <w:gridSpan w:val="3"/>
            <w:vAlign w:val="center"/>
          </w:tcPr>
          <w:p w14:paraId="596A1F81">
            <w:pPr>
              <w:jc w:val="center"/>
              <w:rPr>
                <w:rFonts w:hint="eastAsia" w:ascii="宋体" w:hAnsi="宋体" w:eastAsia="宋体" w:cs="宋体"/>
                <w:color w:val="000000" w:themeColor="text1"/>
                <w:highlight w:val="none"/>
                <w14:textFill>
                  <w14:solidFill>
                    <w14:schemeClr w14:val="tx1"/>
                  </w14:solidFill>
                </w14:textFill>
              </w:rPr>
            </w:pPr>
          </w:p>
        </w:tc>
        <w:tc>
          <w:tcPr>
            <w:tcW w:w="1641" w:type="dxa"/>
            <w:gridSpan w:val="4"/>
            <w:vAlign w:val="center"/>
          </w:tcPr>
          <w:p w14:paraId="57477513">
            <w:pPr>
              <w:jc w:val="center"/>
              <w:rPr>
                <w:rFonts w:hint="eastAsia" w:ascii="宋体" w:hAnsi="宋体" w:eastAsia="宋体" w:cs="宋体"/>
                <w:color w:val="000000" w:themeColor="text1"/>
                <w:highlight w:val="none"/>
                <w14:textFill>
                  <w14:solidFill>
                    <w14:schemeClr w14:val="tx1"/>
                  </w14:solidFill>
                </w14:textFill>
              </w:rPr>
            </w:pPr>
          </w:p>
        </w:tc>
        <w:tc>
          <w:tcPr>
            <w:tcW w:w="1484" w:type="dxa"/>
            <w:gridSpan w:val="2"/>
            <w:vAlign w:val="center"/>
          </w:tcPr>
          <w:p w14:paraId="6B63323E">
            <w:pPr>
              <w:jc w:val="center"/>
              <w:rPr>
                <w:rFonts w:hint="eastAsia" w:ascii="宋体" w:hAnsi="宋体" w:eastAsia="宋体" w:cs="宋体"/>
                <w:color w:val="000000" w:themeColor="text1"/>
                <w:highlight w:val="none"/>
                <w14:textFill>
                  <w14:solidFill>
                    <w14:schemeClr w14:val="tx1"/>
                  </w14:solidFill>
                </w14:textFill>
              </w:rPr>
            </w:pPr>
          </w:p>
        </w:tc>
      </w:tr>
    </w:tbl>
    <w:p w14:paraId="172D2D65">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备注：</w:t>
      </w:r>
    </w:p>
    <w:p w14:paraId="3B3329FF">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1.项目数可以根据需要增加。</w:t>
      </w:r>
    </w:p>
    <w:p w14:paraId="34DEFF38">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2.本表后附项目技术负责人（项目总工）的学历证、本表所列证书复印件并加盖供应商电子签章。</w:t>
      </w:r>
    </w:p>
    <w:p w14:paraId="69F1CA2D">
      <w:pPr>
        <w:spacing w:line="360" w:lineRule="auto"/>
        <w:rPr>
          <w:rFonts w:hint="eastAsia" w:ascii="宋体" w:hAnsi="宋体" w:eastAsia="宋体" w:cs="宋体"/>
          <w:color w:val="000000" w:themeColor="text1"/>
          <w:highlight w:val="none"/>
          <w14:textFill>
            <w14:solidFill>
              <w14:schemeClr w14:val="tx1"/>
            </w14:solidFill>
          </w14:textFill>
        </w:rPr>
      </w:pPr>
    </w:p>
    <w:p w14:paraId="7BE62172">
      <w:pPr>
        <w:bidi w:val="0"/>
        <w:jc w:val="center"/>
        <w:rPr>
          <w:rFonts w:hint="eastAsia" w:ascii="宋体" w:hAnsi="宋体" w:eastAsia="宋体" w:cs="宋体"/>
          <w:color w:val="000000" w:themeColor="text1"/>
          <w:sz w:val="32"/>
          <w:szCs w:val="40"/>
          <w:highlight w:val="none"/>
          <w:lang w:val="en-US" w:eastAsia="zh-CN"/>
          <w14:textFill>
            <w14:solidFill>
              <w14:schemeClr w14:val="tx1"/>
            </w14:solidFill>
          </w14:textFill>
        </w:rPr>
      </w:pPr>
      <w:r>
        <w:rPr>
          <w:rFonts w:hint="eastAsia" w:ascii="宋体" w:hAnsi="宋体" w:eastAsia="宋体" w:cs="宋体"/>
          <w:b/>
          <w:bCs/>
          <w:color w:val="000000" w:themeColor="text1"/>
          <w:szCs w:val="28"/>
          <w:highlight w:val="none"/>
          <w14:textFill>
            <w14:solidFill>
              <w14:schemeClr w14:val="tx1"/>
            </w14:solidFill>
          </w14:textFill>
        </w:rPr>
        <w:br w:type="page"/>
      </w:r>
      <w:r>
        <w:rPr>
          <w:rFonts w:hint="eastAsia" w:ascii="宋体" w:hAnsi="宋体" w:eastAsia="宋体" w:cs="宋体"/>
          <w:color w:val="000000" w:themeColor="text1"/>
          <w:sz w:val="32"/>
          <w:szCs w:val="40"/>
          <w:highlight w:val="none"/>
          <w:lang w:val="en-US" w:eastAsia="zh-CN"/>
          <w14:textFill>
            <w14:solidFill>
              <w14:schemeClr w14:val="tx1"/>
            </w14:solidFill>
          </w14:textFill>
        </w:rPr>
        <w:t>专职安全生产管理人员</w:t>
      </w:r>
    </w:p>
    <w:tbl>
      <w:tblPr>
        <w:tblStyle w:val="42"/>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154"/>
        <w:gridCol w:w="464"/>
        <w:gridCol w:w="888"/>
        <w:gridCol w:w="660"/>
        <w:gridCol w:w="328"/>
        <w:gridCol w:w="234"/>
        <w:gridCol w:w="1417"/>
        <w:gridCol w:w="242"/>
        <w:gridCol w:w="1088"/>
        <w:gridCol w:w="88"/>
        <w:gridCol w:w="409"/>
        <w:gridCol w:w="1108"/>
        <w:gridCol w:w="36"/>
        <w:gridCol w:w="79"/>
        <w:gridCol w:w="1405"/>
        <w:gridCol w:w="11"/>
      </w:tblGrid>
      <w:tr w14:paraId="78E4F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vAlign w:val="center"/>
          </w:tcPr>
          <w:p w14:paraId="469E1158">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姓名</w:t>
            </w:r>
          </w:p>
        </w:tc>
        <w:tc>
          <w:tcPr>
            <w:tcW w:w="2340" w:type="dxa"/>
            <w:gridSpan w:val="4"/>
            <w:vAlign w:val="center"/>
          </w:tcPr>
          <w:p w14:paraId="390C2B6B">
            <w:pPr>
              <w:jc w:val="center"/>
              <w:rPr>
                <w:rFonts w:hint="eastAsia" w:ascii="宋体" w:hAnsi="宋体" w:eastAsia="宋体" w:cs="宋体"/>
                <w:color w:val="000000" w:themeColor="text1"/>
                <w:highlight w:val="none"/>
                <w14:textFill>
                  <w14:solidFill>
                    <w14:schemeClr w14:val="tx1"/>
                  </w14:solidFill>
                </w14:textFill>
              </w:rPr>
            </w:pPr>
          </w:p>
        </w:tc>
        <w:tc>
          <w:tcPr>
            <w:tcW w:w="1893" w:type="dxa"/>
            <w:gridSpan w:val="3"/>
            <w:vAlign w:val="center"/>
          </w:tcPr>
          <w:p w14:paraId="22EA8888">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性别</w:t>
            </w:r>
          </w:p>
        </w:tc>
        <w:tc>
          <w:tcPr>
            <w:tcW w:w="1585" w:type="dxa"/>
            <w:gridSpan w:val="3"/>
            <w:vAlign w:val="center"/>
          </w:tcPr>
          <w:p w14:paraId="1A848906">
            <w:pPr>
              <w:jc w:val="center"/>
              <w:rPr>
                <w:rFonts w:hint="eastAsia" w:ascii="宋体" w:hAnsi="宋体" w:eastAsia="宋体" w:cs="宋体"/>
                <w:color w:val="000000" w:themeColor="text1"/>
                <w:highlight w:val="none"/>
                <w14:textFill>
                  <w14:solidFill>
                    <w14:schemeClr w14:val="tx1"/>
                  </w14:solidFill>
                </w14:textFill>
              </w:rPr>
            </w:pPr>
          </w:p>
        </w:tc>
        <w:tc>
          <w:tcPr>
            <w:tcW w:w="1108" w:type="dxa"/>
            <w:vAlign w:val="center"/>
          </w:tcPr>
          <w:p w14:paraId="698966D2">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年龄</w:t>
            </w:r>
          </w:p>
        </w:tc>
        <w:tc>
          <w:tcPr>
            <w:tcW w:w="1531" w:type="dxa"/>
            <w:gridSpan w:val="4"/>
            <w:vAlign w:val="center"/>
          </w:tcPr>
          <w:p w14:paraId="573A769B">
            <w:pPr>
              <w:jc w:val="center"/>
              <w:rPr>
                <w:rFonts w:hint="eastAsia" w:ascii="宋体" w:hAnsi="宋体" w:eastAsia="宋体" w:cs="宋体"/>
                <w:color w:val="000000" w:themeColor="text1"/>
                <w:highlight w:val="none"/>
                <w14:textFill>
                  <w14:solidFill>
                    <w14:schemeClr w14:val="tx1"/>
                  </w14:solidFill>
                </w14:textFill>
              </w:rPr>
            </w:pPr>
          </w:p>
        </w:tc>
      </w:tr>
      <w:tr w14:paraId="4A9F5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vAlign w:val="center"/>
          </w:tcPr>
          <w:p w14:paraId="03C57AFD">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岗位</w:t>
            </w:r>
          </w:p>
        </w:tc>
        <w:tc>
          <w:tcPr>
            <w:tcW w:w="2340" w:type="dxa"/>
            <w:gridSpan w:val="4"/>
            <w:vAlign w:val="center"/>
          </w:tcPr>
          <w:p w14:paraId="4A0BE126">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专职安全生产管理人员</w:t>
            </w:r>
          </w:p>
        </w:tc>
        <w:tc>
          <w:tcPr>
            <w:tcW w:w="1893" w:type="dxa"/>
            <w:gridSpan w:val="3"/>
            <w:vAlign w:val="center"/>
          </w:tcPr>
          <w:p w14:paraId="44C95335">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职称</w:t>
            </w:r>
          </w:p>
        </w:tc>
        <w:tc>
          <w:tcPr>
            <w:tcW w:w="1585" w:type="dxa"/>
            <w:gridSpan w:val="3"/>
            <w:vAlign w:val="center"/>
          </w:tcPr>
          <w:p w14:paraId="7A8A0160">
            <w:pPr>
              <w:jc w:val="center"/>
              <w:rPr>
                <w:rFonts w:hint="eastAsia" w:ascii="宋体" w:hAnsi="宋体" w:eastAsia="宋体" w:cs="宋体"/>
                <w:color w:val="000000" w:themeColor="text1"/>
                <w:highlight w:val="none"/>
                <w14:textFill>
                  <w14:solidFill>
                    <w14:schemeClr w14:val="tx1"/>
                  </w14:solidFill>
                </w14:textFill>
              </w:rPr>
            </w:pPr>
          </w:p>
        </w:tc>
        <w:tc>
          <w:tcPr>
            <w:tcW w:w="1108" w:type="dxa"/>
            <w:vAlign w:val="center"/>
          </w:tcPr>
          <w:p w14:paraId="1B63BA03">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学历</w:t>
            </w:r>
          </w:p>
        </w:tc>
        <w:tc>
          <w:tcPr>
            <w:tcW w:w="1531" w:type="dxa"/>
            <w:gridSpan w:val="4"/>
            <w:vAlign w:val="center"/>
          </w:tcPr>
          <w:p w14:paraId="5BE3BB90">
            <w:pPr>
              <w:jc w:val="center"/>
              <w:rPr>
                <w:rFonts w:hint="eastAsia" w:ascii="宋体" w:hAnsi="宋体" w:eastAsia="宋体" w:cs="宋体"/>
                <w:color w:val="000000" w:themeColor="text1"/>
                <w:highlight w:val="none"/>
                <w14:textFill>
                  <w14:solidFill>
                    <w14:schemeClr w14:val="tx1"/>
                  </w14:solidFill>
                </w14:textFill>
              </w:rPr>
            </w:pPr>
          </w:p>
        </w:tc>
      </w:tr>
      <w:tr w14:paraId="67356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vAlign w:val="center"/>
          </w:tcPr>
          <w:p w14:paraId="5F130F59">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从业开始时间</w:t>
            </w:r>
          </w:p>
        </w:tc>
        <w:tc>
          <w:tcPr>
            <w:tcW w:w="2340" w:type="dxa"/>
            <w:gridSpan w:val="4"/>
            <w:vAlign w:val="center"/>
          </w:tcPr>
          <w:p w14:paraId="7940A68A">
            <w:pPr>
              <w:jc w:val="center"/>
              <w:rPr>
                <w:rFonts w:hint="eastAsia" w:ascii="宋体" w:hAnsi="宋体" w:eastAsia="宋体" w:cs="宋体"/>
                <w:color w:val="000000" w:themeColor="text1"/>
                <w:highlight w:val="none"/>
                <w14:textFill>
                  <w14:solidFill>
                    <w14:schemeClr w14:val="tx1"/>
                  </w14:solidFill>
                </w14:textFill>
              </w:rPr>
            </w:pPr>
          </w:p>
        </w:tc>
        <w:tc>
          <w:tcPr>
            <w:tcW w:w="1893" w:type="dxa"/>
            <w:gridSpan w:val="3"/>
            <w:vAlign w:val="center"/>
          </w:tcPr>
          <w:p w14:paraId="4041FAD6">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职称获得时间</w:t>
            </w:r>
          </w:p>
        </w:tc>
        <w:tc>
          <w:tcPr>
            <w:tcW w:w="1585" w:type="dxa"/>
            <w:gridSpan w:val="3"/>
            <w:vAlign w:val="center"/>
          </w:tcPr>
          <w:p w14:paraId="3E40C393">
            <w:pPr>
              <w:jc w:val="center"/>
              <w:rPr>
                <w:rFonts w:hint="eastAsia" w:ascii="宋体" w:hAnsi="宋体" w:eastAsia="宋体" w:cs="宋体"/>
                <w:color w:val="000000" w:themeColor="text1"/>
                <w:highlight w:val="none"/>
                <w14:textFill>
                  <w14:solidFill>
                    <w14:schemeClr w14:val="tx1"/>
                  </w14:solidFill>
                </w14:textFill>
              </w:rPr>
            </w:pPr>
          </w:p>
        </w:tc>
        <w:tc>
          <w:tcPr>
            <w:tcW w:w="1108" w:type="dxa"/>
            <w:vAlign w:val="center"/>
          </w:tcPr>
          <w:p w14:paraId="559BC474">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毕业时间</w:t>
            </w:r>
          </w:p>
        </w:tc>
        <w:tc>
          <w:tcPr>
            <w:tcW w:w="1531" w:type="dxa"/>
            <w:gridSpan w:val="4"/>
            <w:vAlign w:val="center"/>
          </w:tcPr>
          <w:p w14:paraId="53CC7F1D">
            <w:pPr>
              <w:jc w:val="center"/>
              <w:rPr>
                <w:rFonts w:hint="eastAsia" w:ascii="宋体" w:hAnsi="宋体" w:eastAsia="宋体" w:cs="宋体"/>
                <w:color w:val="000000" w:themeColor="text1"/>
                <w:highlight w:val="none"/>
                <w14:textFill>
                  <w14:solidFill>
                    <w14:schemeClr w14:val="tx1"/>
                  </w14:solidFill>
                </w14:textFill>
              </w:rPr>
            </w:pPr>
          </w:p>
        </w:tc>
      </w:tr>
      <w:tr w14:paraId="458C8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vAlign w:val="center"/>
          </w:tcPr>
          <w:p w14:paraId="06D955DE">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担任……年限</w:t>
            </w:r>
          </w:p>
        </w:tc>
        <w:tc>
          <w:tcPr>
            <w:tcW w:w="2340" w:type="dxa"/>
            <w:gridSpan w:val="4"/>
            <w:vAlign w:val="center"/>
          </w:tcPr>
          <w:p w14:paraId="5ABFCC76">
            <w:pPr>
              <w:jc w:val="center"/>
              <w:rPr>
                <w:rFonts w:hint="eastAsia" w:ascii="宋体" w:hAnsi="宋体" w:eastAsia="宋体" w:cs="宋体"/>
                <w:color w:val="000000" w:themeColor="text1"/>
                <w:highlight w:val="none"/>
                <w14:textFill>
                  <w14:solidFill>
                    <w14:schemeClr w14:val="tx1"/>
                  </w14:solidFill>
                </w14:textFill>
              </w:rPr>
            </w:pPr>
          </w:p>
        </w:tc>
        <w:tc>
          <w:tcPr>
            <w:tcW w:w="1893" w:type="dxa"/>
            <w:gridSpan w:val="3"/>
            <w:vAlign w:val="center"/>
          </w:tcPr>
          <w:p w14:paraId="0B13A828">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身份证号码</w:t>
            </w:r>
          </w:p>
        </w:tc>
        <w:tc>
          <w:tcPr>
            <w:tcW w:w="4224" w:type="dxa"/>
            <w:gridSpan w:val="8"/>
            <w:vAlign w:val="center"/>
          </w:tcPr>
          <w:p w14:paraId="0C26BF7B">
            <w:pPr>
              <w:jc w:val="center"/>
              <w:rPr>
                <w:rFonts w:hint="eastAsia" w:ascii="宋体" w:hAnsi="宋体" w:eastAsia="宋体" w:cs="宋体"/>
                <w:color w:val="000000" w:themeColor="text1"/>
                <w:highlight w:val="none"/>
                <w14:textFill>
                  <w14:solidFill>
                    <w14:schemeClr w14:val="tx1"/>
                  </w14:solidFill>
                </w14:textFill>
              </w:rPr>
            </w:pPr>
          </w:p>
        </w:tc>
      </w:tr>
      <w:tr w14:paraId="4A07F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vAlign w:val="center"/>
          </w:tcPr>
          <w:p w14:paraId="3B224477">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证书名称</w:t>
            </w:r>
          </w:p>
        </w:tc>
        <w:tc>
          <w:tcPr>
            <w:tcW w:w="1352" w:type="dxa"/>
            <w:gridSpan w:val="2"/>
            <w:vAlign w:val="center"/>
          </w:tcPr>
          <w:p w14:paraId="2CA94C71">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注册专业</w:t>
            </w:r>
          </w:p>
        </w:tc>
        <w:tc>
          <w:tcPr>
            <w:tcW w:w="1222" w:type="dxa"/>
            <w:gridSpan w:val="3"/>
            <w:vAlign w:val="center"/>
          </w:tcPr>
          <w:p w14:paraId="75E66244">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级别</w:t>
            </w:r>
          </w:p>
        </w:tc>
        <w:tc>
          <w:tcPr>
            <w:tcW w:w="1417" w:type="dxa"/>
            <w:vAlign w:val="center"/>
          </w:tcPr>
          <w:p w14:paraId="2254B507">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证书编号</w:t>
            </w:r>
          </w:p>
        </w:tc>
        <w:tc>
          <w:tcPr>
            <w:tcW w:w="1418" w:type="dxa"/>
            <w:gridSpan w:val="3"/>
            <w:vAlign w:val="center"/>
          </w:tcPr>
          <w:p w14:paraId="26B19DCB">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注册时间</w:t>
            </w:r>
          </w:p>
        </w:tc>
        <w:tc>
          <w:tcPr>
            <w:tcW w:w="1632" w:type="dxa"/>
            <w:gridSpan w:val="4"/>
            <w:vAlign w:val="center"/>
          </w:tcPr>
          <w:p w14:paraId="06FF3CD5">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注册单位</w:t>
            </w:r>
          </w:p>
        </w:tc>
        <w:tc>
          <w:tcPr>
            <w:tcW w:w="1416" w:type="dxa"/>
            <w:gridSpan w:val="2"/>
            <w:vAlign w:val="center"/>
          </w:tcPr>
          <w:p w14:paraId="08CD60D1">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注册有效期</w:t>
            </w:r>
          </w:p>
        </w:tc>
      </w:tr>
      <w:tr w14:paraId="2B798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vAlign w:val="center"/>
          </w:tcPr>
          <w:p w14:paraId="2E8AB47A">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安全生产考核合格证书</w:t>
            </w:r>
          </w:p>
        </w:tc>
        <w:tc>
          <w:tcPr>
            <w:tcW w:w="1352" w:type="dxa"/>
            <w:gridSpan w:val="2"/>
            <w:vAlign w:val="center"/>
          </w:tcPr>
          <w:p w14:paraId="1A3A6EB6">
            <w:pPr>
              <w:jc w:val="center"/>
              <w:rPr>
                <w:rFonts w:hint="eastAsia" w:ascii="宋体" w:hAnsi="宋体" w:eastAsia="宋体" w:cs="宋体"/>
                <w:color w:val="000000" w:themeColor="text1"/>
                <w:highlight w:val="none"/>
                <w14:textFill>
                  <w14:solidFill>
                    <w14:schemeClr w14:val="tx1"/>
                  </w14:solidFill>
                </w14:textFill>
              </w:rPr>
            </w:pPr>
          </w:p>
        </w:tc>
        <w:tc>
          <w:tcPr>
            <w:tcW w:w="1222" w:type="dxa"/>
            <w:gridSpan w:val="3"/>
            <w:vAlign w:val="center"/>
          </w:tcPr>
          <w:p w14:paraId="4EB5ED0B">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C类</w:t>
            </w:r>
          </w:p>
        </w:tc>
        <w:tc>
          <w:tcPr>
            <w:tcW w:w="1417" w:type="dxa"/>
            <w:vAlign w:val="center"/>
          </w:tcPr>
          <w:p w14:paraId="3453B04A">
            <w:pPr>
              <w:jc w:val="center"/>
              <w:rPr>
                <w:rFonts w:hint="eastAsia" w:ascii="宋体" w:hAnsi="宋体" w:eastAsia="宋体" w:cs="宋体"/>
                <w:color w:val="000000" w:themeColor="text1"/>
                <w:highlight w:val="none"/>
                <w14:textFill>
                  <w14:solidFill>
                    <w14:schemeClr w14:val="tx1"/>
                  </w14:solidFill>
                </w14:textFill>
              </w:rPr>
            </w:pPr>
          </w:p>
        </w:tc>
        <w:tc>
          <w:tcPr>
            <w:tcW w:w="1418" w:type="dxa"/>
            <w:gridSpan w:val="3"/>
            <w:vAlign w:val="center"/>
          </w:tcPr>
          <w:p w14:paraId="099ED2F0">
            <w:pPr>
              <w:jc w:val="center"/>
              <w:rPr>
                <w:rFonts w:hint="eastAsia" w:ascii="宋体" w:hAnsi="宋体" w:eastAsia="宋体" w:cs="宋体"/>
                <w:color w:val="000000" w:themeColor="text1"/>
                <w:highlight w:val="none"/>
                <w14:textFill>
                  <w14:solidFill>
                    <w14:schemeClr w14:val="tx1"/>
                  </w14:solidFill>
                </w14:textFill>
              </w:rPr>
            </w:pPr>
          </w:p>
        </w:tc>
        <w:tc>
          <w:tcPr>
            <w:tcW w:w="1632" w:type="dxa"/>
            <w:gridSpan w:val="4"/>
            <w:vAlign w:val="center"/>
          </w:tcPr>
          <w:p w14:paraId="2D0F02AD">
            <w:pPr>
              <w:jc w:val="center"/>
              <w:rPr>
                <w:rFonts w:hint="eastAsia" w:ascii="宋体" w:hAnsi="宋体" w:eastAsia="宋体" w:cs="宋体"/>
                <w:color w:val="000000" w:themeColor="text1"/>
                <w:highlight w:val="none"/>
                <w14:textFill>
                  <w14:solidFill>
                    <w14:schemeClr w14:val="tx1"/>
                  </w14:solidFill>
                </w14:textFill>
              </w:rPr>
            </w:pPr>
          </w:p>
        </w:tc>
        <w:tc>
          <w:tcPr>
            <w:tcW w:w="1416" w:type="dxa"/>
            <w:gridSpan w:val="2"/>
            <w:vAlign w:val="center"/>
          </w:tcPr>
          <w:p w14:paraId="33E6773F">
            <w:pPr>
              <w:jc w:val="center"/>
              <w:rPr>
                <w:rFonts w:hint="eastAsia" w:ascii="宋体" w:hAnsi="宋体" w:eastAsia="宋体" w:cs="宋体"/>
                <w:color w:val="000000" w:themeColor="text1"/>
                <w:highlight w:val="none"/>
                <w14:textFill>
                  <w14:solidFill>
                    <w14:schemeClr w14:val="tx1"/>
                  </w14:solidFill>
                </w14:textFill>
              </w:rPr>
            </w:pPr>
          </w:p>
        </w:tc>
      </w:tr>
      <w:tr w14:paraId="08418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vAlign w:val="center"/>
          </w:tcPr>
          <w:p w14:paraId="6F7968D6">
            <w:pPr>
              <w:jc w:val="center"/>
              <w:rPr>
                <w:rFonts w:hint="eastAsia" w:ascii="宋体" w:hAnsi="宋体" w:eastAsia="宋体" w:cs="宋体"/>
                <w:color w:val="000000" w:themeColor="text1"/>
                <w:highlight w:val="none"/>
                <w14:textFill>
                  <w14:solidFill>
                    <w14:schemeClr w14:val="tx1"/>
                  </w14:solidFill>
                </w14:textFill>
              </w:rPr>
            </w:pPr>
          </w:p>
        </w:tc>
        <w:tc>
          <w:tcPr>
            <w:tcW w:w="1352" w:type="dxa"/>
            <w:gridSpan w:val="2"/>
            <w:vAlign w:val="center"/>
          </w:tcPr>
          <w:p w14:paraId="1FB7C57E">
            <w:pPr>
              <w:jc w:val="center"/>
              <w:rPr>
                <w:rFonts w:hint="eastAsia" w:ascii="宋体" w:hAnsi="宋体" w:eastAsia="宋体" w:cs="宋体"/>
                <w:color w:val="000000" w:themeColor="text1"/>
                <w:highlight w:val="none"/>
                <w14:textFill>
                  <w14:solidFill>
                    <w14:schemeClr w14:val="tx1"/>
                  </w14:solidFill>
                </w14:textFill>
              </w:rPr>
            </w:pPr>
          </w:p>
        </w:tc>
        <w:tc>
          <w:tcPr>
            <w:tcW w:w="1222" w:type="dxa"/>
            <w:gridSpan w:val="3"/>
            <w:vAlign w:val="center"/>
          </w:tcPr>
          <w:p w14:paraId="68202E0A">
            <w:pPr>
              <w:jc w:val="center"/>
              <w:rPr>
                <w:rFonts w:hint="eastAsia" w:ascii="宋体" w:hAnsi="宋体" w:eastAsia="宋体" w:cs="宋体"/>
                <w:color w:val="000000" w:themeColor="text1"/>
                <w:highlight w:val="none"/>
                <w14:textFill>
                  <w14:solidFill>
                    <w14:schemeClr w14:val="tx1"/>
                  </w14:solidFill>
                </w14:textFill>
              </w:rPr>
            </w:pPr>
          </w:p>
        </w:tc>
        <w:tc>
          <w:tcPr>
            <w:tcW w:w="1417" w:type="dxa"/>
            <w:vAlign w:val="center"/>
          </w:tcPr>
          <w:p w14:paraId="35932979">
            <w:pPr>
              <w:jc w:val="center"/>
              <w:rPr>
                <w:rFonts w:hint="eastAsia" w:ascii="宋体" w:hAnsi="宋体" w:eastAsia="宋体" w:cs="宋体"/>
                <w:color w:val="000000" w:themeColor="text1"/>
                <w:highlight w:val="none"/>
                <w14:textFill>
                  <w14:solidFill>
                    <w14:schemeClr w14:val="tx1"/>
                  </w14:solidFill>
                </w14:textFill>
              </w:rPr>
            </w:pPr>
          </w:p>
        </w:tc>
        <w:tc>
          <w:tcPr>
            <w:tcW w:w="1418" w:type="dxa"/>
            <w:gridSpan w:val="3"/>
            <w:vAlign w:val="center"/>
          </w:tcPr>
          <w:p w14:paraId="69AAD9C0">
            <w:pPr>
              <w:jc w:val="center"/>
              <w:rPr>
                <w:rFonts w:hint="eastAsia" w:ascii="宋体" w:hAnsi="宋体" w:eastAsia="宋体" w:cs="宋体"/>
                <w:color w:val="000000" w:themeColor="text1"/>
                <w:highlight w:val="none"/>
                <w14:textFill>
                  <w14:solidFill>
                    <w14:schemeClr w14:val="tx1"/>
                  </w14:solidFill>
                </w14:textFill>
              </w:rPr>
            </w:pPr>
          </w:p>
        </w:tc>
        <w:tc>
          <w:tcPr>
            <w:tcW w:w="1632" w:type="dxa"/>
            <w:gridSpan w:val="4"/>
            <w:vAlign w:val="center"/>
          </w:tcPr>
          <w:p w14:paraId="5A708FF0">
            <w:pPr>
              <w:jc w:val="center"/>
              <w:rPr>
                <w:rFonts w:hint="eastAsia" w:ascii="宋体" w:hAnsi="宋体" w:eastAsia="宋体" w:cs="宋体"/>
                <w:color w:val="000000" w:themeColor="text1"/>
                <w:highlight w:val="none"/>
                <w14:textFill>
                  <w14:solidFill>
                    <w14:schemeClr w14:val="tx1"/>
                  </w14:solidFill>
                </w14:textFill>
              </w:rPr>
            </w:pPr>
          </w:p>
        </w:tc>
        <w:tc>
          <w:tcPr>
            <w:tcW w:w="1416" w:type="dxa"/>
            <w:gridSpan w:val="2"/>
            <w:vAlign w:val="center"/>
          </w:tcPr>
          <w:p w14:paraId="2B4EC753">
            <w:pPr>
              <w:jc w:val="center"/>
              <w:rPr>
                <w:rFonts w:hint="eastAsia" w:ascii="宋体" w:hAnsi="宋体" w:eastAsia="宋体" w:cs="宋体"/>
                <w:color w:val="000000" w:themeColor="text1"/>
                <w:highlight w:val="none"/>
                <w14:textFill>
                  <w14:solidFill>
                    <w14:schemeClr w14:val="tx1"/>
                  </w14:solidFill>
                </w14:textFill>
              </w:rPr>
            </w:pPr>
          </w:p>
        </w:tc>
      </w:tr>
      <w:tr w14:paraId="2EBF5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6"/>
            <w:vAlign w:val="center"/>
          </w:tcPr>
          <w:p w14:paraId="55B8D48F">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在建和已完工程项目情况</w:t>
            </w:r>
          </w:p>
        </w:tc>
      </w:tr>
      <w:tr w14:paraId="6FCE2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7C862DA5">
            <w:pPr>
              <w:jc w:val="center"/>
              <w:rPr>
                <w:rFonts w:hint="eastAsia" w:ascii="宋体" w:hAnsi="宋体" w:eastAsia="宋体" w:cs="宋体"/>
                <w:color w:val="000000" w:themeColor="text1"/>
                <w:highlight w:val="none"/>
                <w14:textFill>
                  <w14:solidFill>
                    <w14:schemeClr w14:val="tx1"/>
                  </w14:solidFill>
                </w14:textFill>
              </w:rPr>
            </w:pPr>
          </w:p>
        </w:tc>
        <w:tc>
          <w:tcPr>
            <w:tcW w:w="1548" w:type="dxa"/>
            <w:gridSpan w:val="2"/>
            <w:vAlign w:val="center"/>
          </w:tcPr>
          <w:p w14:paraId="4292135E">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项目1</w:t>
            </w:r>
          </w:p>
        </w:tc>
        <w:tc>
          <w:tcPr>
            <w:tcW w:w="2221" w:type="dxa"/>
            <w:gridSpan w:val="4"/>
            <w:vAlign w:val="center"/>
          </w:tcPr>
          <w:p w14:paraId="78FDE3DF">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项目2</w:t>
            </w:r>
          </w:p>
        </w:tc>
        <w:tc>
          <w:tcPr>
            <w:tcW w:w="1088" w:type="dxa"/>
            <w:vAlign w:val="center"/>
          </w:tcPr>
          <w:p w14:paraId="3F1BE357">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项目3</w:t>
            </w:r>
          </w:p>
        </w:tc>
        <w:tc>
          <w:tcPr>
            <w:tcW w:w="1641" w:type="dxa"/>
            <w:gridSpan w:val="4"/>
            <w:vAlign w:val="center"/>
          </w:tcPr>
          <w:p w14:paraId="2BED47DD">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项目4</w:t>
            </w:r>
          </w:p>
        </w:tc>
        <w:tc>
          <w:tcPr>
            <w:tcW w:w="1484" w:type="dxa"/>
            <w:gridSpan w:val="2"/>
            <w:vAlign w:val="center"/>
          </w:tcPr>
          <w:p w14:paraId="48EAB929">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r>
      <w:tr w14:paraId="6C2F1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52815D8A">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项目名称</w:t>
            </w:r>
          </w:p>
        </w:tc>
        <w:tc>
          <w:tcPr>
            <w:tcW w:w="1548" w:type="dxa"/>
            <w:gridSpan w:val="2"/>
            <w:vAlign w:val="center"/>
          </w:tcPr>
          <w:p w14:paraId="47EE6042">
            <w:pPr>
              <w:jc w:val="center"/>
              <w:rPr>
                <w:rFonts w:hint="eastAsia" w:ascii="宋体" w:hAnsi="宋体" w:eastAsia="宋体" w:cs="宋体"/>
                <w:color w:val="000000" w:themeColor="text1"/>
                <w:highlight w:val="none"/>
                <w14:textFill>
                  <w14:solidFill>
                    <w14:schemeClr w14:val="tx1"/>
                  </w14:solidFill>
                </w14:textFill>
              </w:rPr>
            </w:pPr>
          </w:p>
        </w:tc>
        <w:tc>
          <w:tcPr>
            <w:tcW w:w="2221" w:type="dxa"/>
            <w:gridSpan w:val="4"/>
            <w:vAlign w:val="center"/>
          </w:tcPr>
          <w:p w14:paraId="1EEF97C0">
            <w:pPr>
              <w:jc w:val="center"/>
              <w:rPr>
                <w:rFonts w:hint="eastAsia" w:ascii="宋体" w:hAnsi="宋体" w:eastAsia="宋体" w:cs="宋体"/>
                <w:color w:val="000000" w:themeColor="text1"/>
                <w:highlight w:val="none"/>
                <w14:textFill>
                  <w14:solidFill>
                    <w14:schemeClr w14:val="tx1"/>
                  </w14:solidFill>
                </w14:textFill>
              </w:rPr>
            </w:pPr>
          </w:p>
        </w:tc>
        <w:tc>
          <w:tcPr>
            <w:tcW w:w="1088" w:type="dxa"/>
            <w:vAlign w:val="center"/>
          </w:tcPr>
          <w:p w14:paraId="689D5712">
            <w:pPr>
              <w:jc w:val="center"/>
              <w:rPr>
                <w:rFonts w:hint="eastAsia" w:ascii="宋体" w:hAnsi="宋体" w:eastAsia="宋体" w:cs="宋体"/>
                <w:color w:val="000000" w:themeColor="text1"/>
                <w:highlight w:val="none"/>
                <w14:textFill>
                  <w14:solidFill>
                    <w14:schemeClr w14:val="tx1"/>
                  </w14:solidFill>
                </w14:textFill>
              </w:rPr>
            </w:pPr>
          </w:p>
        </w:tc>
        <w:tc>
          <w:tcPr>
            <w:tcW w:w="1641" w:type="dxa"/>
            <w:gridSpan w:val="4"/>
            <w:vAlign w:val="center"/>
          </w:tcPr>
          <w:p w14:paraId="772241D3">
            <w:pPr>
              <w:jc w:val="center"/>
              <w:rPr>
                <w:rFonts w:hint="eastAsia" w:ascii="宋体" w:hAnsi="宋体" w:eastAsia="宋体" w:cs="宋体"/>
                <w:color w:val="000000" w:themeColor="text1"/>
                <w:highlight w:val="none"/>
                <w14:textFill>
                  <w14:solidFill>
                    <w14:schemeClr w14:val="tx1"/>
                  </w14:solidFill>
                </w14:textFill>
              </w:rPr>
            </w:pPr>
          </w:p>
        </w:tc>
        <w:tc>
          <w:tcPr>
            <w:tcW w:w="1484" w:type="dxa"/>
            <w:gridSpan w:val="2"/>
            <w:vAlign w:val="center"/>
          </w:tcPr>
          <w:p w14:paraId="78443841">
            <w:pPr>
              <w:jc w:val="center"/>
              <w:rPr>
                <w:rFonts w:hint="eastAsia" w:ascii="宋体" w:hAnsi="宋体" w:eastAsia="宋体" w:cs="宋体"/>
                <w:color w:val="000000" w:themeColor="text1"/>
                <w:highlight w:val="none"/>
                <w14:textFill>
                  <w14:solidFill>
                    <w14:schemeClr w14:val="tx1"/>
                  </w14:solidFill>
                </w14:textFill>
              </w:rPr>
            </w:pPr>
          </w:p>
        </w:tc>
      </w:tr>
      <w:tr w14:paraId="74B7C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65CC4004">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建设单位</w:t>
            </w:r>
          </w:p>
        </w:tc>
        <w:tc>
          <w:tcPr>
            <w:tcW w:w="1548" w:type="dxa"/>
            <w:gridSpan w:val="2"/>
            <w:vAlign w:val="center"/>
          </w:tcPr>
          <w:p w14:paraId="67C0BEFB">
            <w:pPr>
              <w:jc w:val="center"/>
              <w:rPr>
                <w:rFonts w:hint="eastAsia" w:ascii="宋体" w:hAnsi="宋体" w:eastAsia="宋体" w:cs="宋体"/>
                <w:color w:val="000000" w:themeColor="text1"/>
                <w:highlight w:val="none"/>
                <w14:textFill>
                  <w14:solidFill>
                    <w14:schemeClr w14:val="tx1"/>
                  </w14:solidFill>
                </w14:textFill>
              </w:rPr>
            </w:pPr>
          </w:p>
        </w:tc>
        <w:tc>
          <w:tcPr>
            <w:tcW w:w="2221" w:type="dxa"/>
            <w:gridSpan w:val="4"/>
            <w:vAlign w:val="center"/>
          </w:tcPr>
          <w:p w14:paraId="686B81BE">
            <w:pPr>
              <w:jc w:val="center"/>
              <w:rPr>
                <w:rFonts w:hint="eastAsia" w:ascii="宋体" w:hAnsi="宋体" w:eastAsia="宋体" w:cs="宋体"/>
                <w:color w:val="000000" w:themeColor="text1"/>
                <w:highlight w:val="none"/>
                <w14:textFill>
                  <w14:solidFill>
                    <w14:schemeClr w14:val="tx1"/>
                  </w14:solidFill>
                </w14:textFill>
              </w:rPr>
            </w:pPr>
          </w:p>
        </w:tc>
        <w:tc>
          <w:tcPr>
            <w:tcW w:w="1088" w:type="dxa"/>
            <w:vAlign w:val="center"/>
          </w:tcPr>
          <w:p w14:paraId="7F5D38B3">
            <w:pPr>
              <w:jc w:val="center"/>
              <w:rPr>
                <w:rFonts w:hint="eastAsia" w:ascii="宋体" w:hAnsi="宋体" w:eastAsia="宋体" w:cs="宋体"/>
                <w:color w:val="000000" w:themeColor="text1"/>
                <w:highlight w:val="none"/>
                <w14:textFill>
                  <w14:solidFill>
                    <w14:schemeClr w14:val="tx1"/>
                  </w14:solidFill>
                </w14:textFill>
              </w:rPr>
            </w:pPr>
          </w:p>
        </w:tc>
        <w:tc>
          <w:tcPr>
            <w:tcW w:w="1641" w:type="dxa"/>
            <w:gridSpan w:val="4"/>
            <w:vAlign w:val="center"/>
          </w:tcPr>
          <w:p w14:paraId="365533B3">
            <w:pPr>
              <w:jc w:val="center"/>
              <w:rPr>
                <w:rFonts w:hint="eastAsia" w:ascii="宋体" w:hAnsi="宋体" w:eastAsia="宋体" w:cs="宋体"/>
                <w:color w:val="000000" w:themeColor="text1"/>
                <w:highlight w:val="none"/>
                <w14:textFill>
                  <w14:solidFill>
                    <w14:schemeClr w14:val="tx1"/>
                  </w14:solidFill>
                </w14:textFill>
              </w:rPr>
            </w:pPr>
          </w:p>
        </w:tc>
        <w:tc>
          <w:tcPr>
            <w:tcW w:w="1484" w:type="dxa"/>
            <w:gridSpan w:val="2"/>
            <w:vAlign w:val="center"/>
          </w:tcPr>
          <w:p w14:paraId="7DAD197D">
            <w:pPr>
              <w:jc w:val="center"/>
              <w:rPr>
                <w:rFonts w:hint="eastAsia" w:ascii="宋体" w:hAnsi="宋体" w:eastAsia="宋体" w:cs="宋体"/>
                <w:color w:val="000000" w:themeColor="text1"/>
                <w:highlight w:val="none"/>
                <w14:textFill>
                  <w14:solidFill>
                    <w14:schemeClr w14:val="tx1"/>
                  </w14:solidFill>
                </w14:textFill>
              </w:rPr>
            </w:pPr>
          </w:p>
        </w:tc>
      </w:tr>
      <w:tr w14:paraId="44BD7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49ED92D1">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建设规模</w:t>
            </w:r>
          </w:p>
        </w:tc>
        <w:tc>
          <w:tcPr>
            <w:tcW w:w="1548" w:type="dxa"/>
            <w:gridSpan w:val="2"/>
            <w:vAlign w:val="center"/>
          </w:tcPr>
          <w:p w14:paraId="3A262761">
            <w:pPr>
              <w:jc w:val="center"/>
              <w:rPr>
                <w:rFonts w:hint="eastAsia" w:ascii="宋体" w:hAnsi="宋体" w:eastAsia="宋体" w:cs="宋体"/>
                <w:color w:val="000000" w:themeColor="text1"/>
                <w:highlight w:val="none"/>
                <w14:textFill>
                  <w14:solidFill>
                    <w14:schemeClr w14:val="tx1"/>
                  </w14:solidFill>
                </w14:textFill>
              </w:rPr>
            </w:pPr>
          </w:p>
        </w:tc>
        <w:tc>
          <w:tcPr>
            <w:tcW w:w="2221" w:type="dxa"/>
            <w:gridSpan w:val="4"/>
            <w:vAlign w:val="center"/>
          </w:tcPr>
          <w:p w14:paraId="64C18AB4">
            <w:pPr>
              <w:jc w:val="center"/>
              <w:rPr>
                <w:rFonts w:hint="eastAsia" w:ascii="宋体" w:hAnsi="宋体" w:eastAsia="宋体" w:cs="宋体"/>
                <w:color w:val="000000" w:themeColor="text1"/>
                <w:highlight w:val="none"/>
                <w14:textFill>
                  <w14:solidFill>
                    <w14:schemeClr w14:val="tx1"/>
                  </w14:solidFill>
                </w14:textFill>
              </w:rPr>
            </w:pPr>
          </w:p>
        </w:tc>
        <w:tc>
          <w:tcPr>
            <w:tcW w:w="1088" w:type="dxa"/>
            <w:vAlign w:val="center"/>
          </w:tcPr>
          <w:p w14:paraId="6FF30CC1">
            <w:pPr>
              <w:jc w:val="center"/>
              <w:rPr>
                <w:rFonts w:hint="eastAsia" w:ascii="宋体" w:hAnsi="宋体" w:eastAsia="宋体" w:cs="宋体"/>
                <w:color w:val="000000" w:themeColor="text1"/>
                <w:highlight w:val="none"/>
                <w14:textFill>
                  <w14:solidFill>
                    <w14:schemeClr w14:val="tx1"/>
                  </w14:solidFill>
                </w14:textFill>
              </w:rPr>
            </w:pPr>
          </w:p>
        </w:tc>
        <w:tc>
          <w:tcPr>
            <w:tcW w:w="1641" w:type="dxa"/>
            <w:gridSpan w:val="4"/>
            <w:vAlign w:val="center"/>
          </w:tcPr>
          <w:p w14:paraId="5A3D417F">
            <w:pPr>
              <w:jc w:val="center"/>
              <w:rPr>
                <w:rFonts w:hint="eastAsia" w:ascii="宋体" w:hAnsi="宋体" w:eastAsia="宋体" w:cs="宋体"/>
                <w:color w:val="000000" w:themeColor="text1"/>
                <w:highlight w:val="none"/>
                <w14:textFill>
                  <w14:solidFill>
                    <w14:schemeClr w14:val="tx1"/>
                  </w14:solidFill>
                </w14:textFill>
              </w:rPr>
            </w:pPr>
          </w:p>
        </w:tc>
        <w:tc>
          <w:tcPr>
            <w:tcW w:w="1484" w:type="dxa"/>
            <w:gridSpan w:val="2"/>
            <w:vAlign w:val="center"/>
          </w:tcPr>
          <w:p w14:paraId="7B0688DD">
            <w:pPr>
              <w:jc w:val="center"/>
              <w:rPr>
                <w:rFonts w:hint="eastAsia" w:ascii="宋体" w:hAnsi="宋体" w:eastAsia="宋体" w:cs="宋体"/>
                <w:color w:val="000000" w:themeColor="text1"/>
                <w:highlight w:val="none"/>
                <w14:textFill>
                  <w14:solidFill>
                    <w14:schemeClr w14:val="tx1"/>
                  </w14:solidFill>
                </w14:textFill>
              </w:rPr>
            </w:pPr>
          </w:p>
        </w:tc>
      </w:tr>
      <w:tr w14:paraId="393D8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34816AE2">
            <w:pPr>
              <w:jc w:val="center"/>
              <w:rPr>
                <w:rFonts w:hint="eastAsia" w:ascii="宋体" w:hAnsi="宋体" w:eastAsia="宋体" w:cs="宋体"/>
                <w:color w:val="000000" w:themeColor="text1"/>
                <w:sz w:val="27"/>
                <w:szCs w:val="27"/>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开工日期</w:t>
            </w:r>
          </w:p>
        </w:tc>
        <w:tc>
          <w:tcPr>
            <w:tcW w:w="1548" w:type="dxa"/>
            <w:gridSpan w:val="2"/>
            <w:vAlign w:val="center"/>
          </w:tcPr>
          <w:p w14:paraId="63EE20FD">
            <w:pPr>
              <w:jc w:val="center"/>
              <w:rPr>
                <w:rFonts w:hint="eastAsia" w:ascii="宋体" w:hAnsi="宋体" w:eastAsia="宋体" w:cs="宋体"/>
                <w:color w:val="000000" w:themeColor="text1"/>
                <w:highlight w:val="none"/>
                <w14:textFill>
                  <w14:solidFill>
                    <w14:schemeClr w14:val="tx1"/>
                  </w14:solidFill>
                </w14:textFill>
              </w:rPr>
            </w:pPr>
          </w:p>
        </w:tc>
        <w:tc>
          <w:tcPr>
            <w:tcW w:w="2221" w:type="dxa"/>
            <w:gridSpan w:val="4"/>
            <w:vAlign w:val="center"/>
          </w:tcPr>
          <w:p w14:paraId="41746F4A">
            <w:pPr>
              <w:jc w:val="center"/>
              <w:rPr>
                <w:rFonts w:hint="eastAsia" w:ascii="宋体" w:hAnsi="宋体" w:eastAsia="宋体" w:cs="宋体"/>
                <w:color w:val="000000" w:themeColor="text1"/>
                <w:highlight w:val="none"/>
                <w14:textFill>
                  <w14:solidFill>
                    <w14:schemeClr w14:val="tx1"/>
                  </w14:solidFill>
                </w14:textFill>
              </w:rPr>
            </w:pPr>
          </w:p>
        </w:tc>
        <w:tc>
          <w:tcPr>
            <w:tcW w:w="1088" w:type="dxa"/>
            <w:vAlign w:val="center"/>
          </w:tcPr>
          <w:p w14:paraId="2ADE3A82">
            <w:pPr>
              <w:jc w:val="center"/>
              <w:rPr>
                <w:rFonts w:hint="eastAsia" w:ascii="宋体" w:hAnsi="宋体" w:eastAsia="宋体" w:cs="宋体"/>
                <w:color w:val="000000" w:themeColor="text1"/>
                <w:highlight w:val="none"/>
                <w14:textFill>
                  <w14:solidFill>
                    <w14:schemeClr w14:val="tx1"/>
                  </w14:solidFill>
                </w14:textFill>
              </w:rPr>
            </w:pPr>
          </w:p>
        </w:tc>
        <w:tc>
          <w:tcPr>
            <w:tcW w:w="1641" w:type="dxa"/>
            <w:gridSpan w:val="4"/>
            <w:vAlign w:val="center"/>
          </w:tcPr>
          <w:p w14:paraId="2A7751CA">
            <w:pPr>
              <w:jc w:val="center"/>
              <w:rPr>
                <w:rFonts w:hint="eastAsia" w:ascii="宋体" w:hAnsi="宋体" w:eastAsia="宋体" w:cs="宋体"/>
                <w:color w:val="000000" w:themeColor="text1"/>
                <w:highlight w:val="none"/>
                <w14:textFill>
                  <w14:solidFill>
                    <w14:schemeClr w14:val="tx1"/>
                  </w14:solidFill>
                </w14:textFill>
              </w:rPr>
            </w:pPr>
          </w:p>
        </w:tc>
        <w:tc>
          <w:tcPr>
            <w:tcW w:w="1484" w:type="dxa"/>
            <w:gridSpan w:val="2"/>
            <w:vAlign w:val="center"/>
          </w:tcPr>
          <w:p w14:paraId="3E896D94">
            <w:pPr>
              <w:jc w:val="center"/>
              <w:rPr>
                <w:rFonts w:hint="eastAsia" w:ascii="宋体" w:hAnsi="宋体" w:eastAsia="宋体" w:cs="宋体"/>
                <w:color w:val="000000" w:themeColor="text1"/>
                <w:highlight w:val="none"/>
                <w14:textFill>
                  <w14:solidFill>
                    <w14:schemeClr w14:val="tx1"/>
                  </w14:solidFill>
                </w14:textFill>
              </w:rPr>
            </w:pPr>
          </w:p>
        </w:tc>
      </w:tr>
      <w:tr w14:paraId="11DA8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09618D5A">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竣工日期</w:t>
            </w:r>
          </w:p>
        </w:tc>
        <w:tc>
          <w:tcPr>
            <w:tcW w:w="1548" w:type="dxa"/>
            <w:gridSpan w:val="2"/>
            <w:vAlign w:val="center"/>
          </w:tcPr>
          <w:p w14:paraId="7E785DC7">
            <w:pPr>
              <w:jc w:val="center"/>
              <w:rPr>
                <w:rFonts w:hint="eastAsia" w:ascii="宋体" w:hAnsi="宋体" w:eastAsia="宋体" w:cs="宋体"/>
                <w:color w:val="000000" w:themeColor="text1"/>
                <w:highlight w:val="none"/>
                <w14:textFill>
                  <w14:solidFill>
                    <w14:schemeClr w14:val="tx1"/>
                  </w14:solidFill>
                </w14:textFill>
              </w:rPr>
            </w:pPr>
          </w:p>
        </w:tc>
        <w:tc>
          <w:tcPr>
            <w:tcW w:w="2221" w:type="dxa"/>
            <w:gridSpan w:val="4"/>
            <w:vAlign w:val="center"/>
          </w:tcPr>
          <w:p w14:paraId="6AB2A250">
            <w:pPr>
              <w:jc w:val="center"/>
              <w:rPr>
                <w:rFonts w:hint="eastAsia" w:ascii="宋体" w:hAnsi="宋体" w:eastAsia="宋体" w:cs="宋体"/>
                <w:color w:val="000000" w:themeColor="text1"/>
                <w:highlight w:val="none"/>
                <w14:textFill>
                  <w14:solidFill>
                    <w14:schemeClr w14:val="tx1"/>
                  </w14:solidFill>
                </w14:textFill>
              </w:rPr>
            </w:pPr>
          </w:p>
        </w:tc>
        <w:tc>
          <w:tcPr>
            <w:tcW w:w="1088" w:type="dxa"/>
            <w:vAlign w:val="center"/>
          </w:tcPr>
          <w:p w14:paraId="6209BD30">
            <w:pPr>
              <w:jc w:val="center"/>
              <w:rPr>
                <w:rFonts w:hint="eastAsia" w:ascii="宋体" w:hAnsi="宋体" w:eastAsia="宋体" w:cs="宋体"/>
                <w:color w:val="000000" w:themeColor="text1"/>
                <w:highlight w:val="none"/>
                <w14:textFill>
                  <w14:solidFill>
                    <w14:schemeClr w14:val="tx1"/>
                  </w14:solidFill>
                </w14:textFill>
              </w:rPr>
            </w:pPr>
          </w:p>
        </w:tc>
        <w:tc>
          <w:tcPr>
            <w:tcW w:w="1641" w:type="dxa"/>
            <w:gridSpan w:val="4"/>
            <w:vAlign w:val="center"/>
          </w:tcPr>
          <w:p w14:paraId="2AABCA62">
            <w:pPr>
              <w:jc w:val="center"/>
              <w:rPr>
                <w:rFonts w:hint="eastAsia" w:ascii="宋体" w:hAnsi="宋体" w:eastAsia="宋体" w:cs="宋体"/>
                <w:color w:val="000000" w:themeColor="text1"/>
                <w:highlight w:val="none"/>
                <w14:textFill>
                  <w14:solidFill>
                    <w14:schemeClr w14:val="tx1"/>
                  </w14:solidFill>
                </w14:textFill>
              </w:rPr>
            </w:pPr>
          </w:p>
        </w:tc>
        <w:tc>
          <w:tcPr>
            <w:tcW w:w="1484" w:type="dxa"/>
            <w:gridSpan w:val="2"/>
            <w:vAlign w:val="center"/>
          </w:tcPr>
          <w:p w14:paraId="1B7FD351">
            <w:pPr>
              <w:jc w:val="center"/>
              <w:rPr>
                <w:rFonts w:hint="eastAsia" w:ascii="宋体" w:hAnsi="宋体" w:eastAsia="宋体" w:cs="宋体"/>
                <w:color w:val="000000" w:themeColor="text1"/>
                <w:highlight w:val="none"/>
                <w14:textFill>
                  <w14:solidFill>
                    <w14:schemeClr w14:val="tx1"/>
                  </w14:solidFill>
                </w14:textFill>
              </w:rPr>
            </w:pPr>
          </w:p>
        </w:tc>
      </w:tr>
      <w:tr w14:paraId="0C980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07D4A4CF">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人员角色</w:t>
            </w:r>
          </w:p>
        </w:tc>
        <w:tc>
          <w:tcPr>
            <w:tcW w:w="1548" w:type="dxa"/>
            <w:gridSpan w:val="2"/>
            <w:vAlign w:val="center"/>
          </w:tcPr>
          <w:p w14:paraId="03C33B85">
            <w:pPr>
              <w:jc w:val="center"/>
              <w:rPr>
                <w:rFonts w:hint="eastAsia" w:ascii="宋体" w:hAnsi="宋体" w:eastAsia="宋体" w:cs="宋体"/>
                <w:color w:val="000000" w:themeColor="text1"/>
                <w:highlight w:val="none"/>
                <w14:textFill>
                  <w14:solidFill>
                    <w14:schemeClr w14:val="tx1"/>
                  </w14:solidFill>
                </w14:textFill>
              </w:rPr>
            </w:pPr>
          </w:p>
        </w:tc>
        <w:tc>
          <w:tcPr>
            <w:tcW w:w="2221" w:type="dxa"/>
            <w:gridSpan w:val="4"/>
            <w:vAlign w:val="center"/>
          </w:tcPr>
          <w:p w14:paraId="73CF1822">
            <w:pPr>
              <w:jc w:val="center"/>
              <w:rPr>
                <w:rFonts w:hint="eastAsia" w:ascii="宋体" w:hAnsi="宋体" w:eastAsia="宋体" w:cs="宋体"/>
                <w:color w:val="000000" w:themeColor="text1"/>
                <w:highlight w:val="none"/>
                <w14:textFill>
                  <w14:solidFill>
                    <w14:schemeClr w14:val="tx1"/>
                  </w14:solidFill>
                </w14:textFill>
              </w:rPr>
            </w:pPr>
          </w:p>
        </w:tc>
        <w:tc>
          <w:tcPr>
            <w:tcW w:w="1088" w:type="dxa"/>
            <w:vAlign w:val="center"/>
          </w:tcPr>
          <w:p w14:paraId="6ADDC0BE">
            <w:pPr>
              <w:jc w:val="center"/>
              <w:rPr>
                <w:rFonts w:hint="eastAsia" w:ascii="宋体" w:hAnsi="宋体" w:eastAsia="宋体" w:cs="宋体"/>
                <w:color w:val="000000" w:themeColor="text1"/>
                <w:highlight w:val="none"/>
                <w14:textFill>
                  <w14:solidFill>
                    <w14:schemeClr w14:val="tx1"/>
                  </w14:solidFill>
                </w14:textFill>
              </w:rPr>
            </w:pPr>
          </w:p>
        </w:tc>
        <w:tc>
          <w:tcPr>
            <w:tcW w:w="1641" w:type="dxa"/>
            <w:gridSpan w:val="4"/>
            <w:vAlign w:val="center"/>
          </w:tcPr>
          <w:p w14:paraId="5838248B">
            <w:pPr>
              <w:jc w:val="center"/>
              <w:rPr>
                <w:rFonts w:hint="eastAsia" w:ascii="宋体" w:hAnsi="宋体" w:eastAsia="宋体" w:cs="宋体"/>
                <w:color w:val="000000" w:themeColor="text1"/>
                <w:highlight w:val="none"/>
                <w14:textFill>
                  <w14:solidFill>
                    <w14:schemeClr w14:val="tx1"/>
                  </w14:solidFill>
                </w14:textFill>
              </w:rPr>
            </w:pPr>
          </w:p>
        </w:tc>
        <w:tc>
          <w:tcPr>
            <w:tcW w:w="1484" w:type="dxa"/>
            <w:gridSpan w:val="2"/>
            <w:vAlign w:val="center"/>
          </w:tcPr>
          <w:p w14:paraId="7CDEDB82">
            <w:pPr>
              <w:jc w:val="center"/>
              <w:rPr>
                <w:rFonts w:hint="eastAsia" w:ascii="宋体" w:hAnsi="宋体" w:eastAsia="宋体" w:cs="宋体"/>
                <w:color w:val="000000" w:themeColor="text1"/>
                <w:highlight w:val="none"/>
                <w14:textFill>
                  <w14:solidFill>
                    <w14:schemeClr w14:val="tx1"/>
                  </w14:solidFill>
                </w14:textFill>
              </w:rPr>
            </w:pPr>
          </w:p>
        </w:tc>
      </w:tr>
      <w:tr w14:paraId="5418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3EC99BCF">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在建或已完</w:t>
            </w:r>
          </w:p>
        </w:tc>
        <w:tc>
          <w:tcPr>
            <w:tcW w:w="1548" w:type="dxa"/>
            <w:gridSpan w:val="2"/>
            <w:vAlign w:val="center"/>
          </w:tcPr>
          <w:p w14:paraId="576B3B26">
            <w:pPr>
              <w:jc w:val="center"/>
              <w:rPr>
                <w:rFonts w:hint="eastAsia" w:ascii="宋体" w:hAnsi="宋体" w:eastAsia="宋体" w:cs="宋体"/>
                <w:color w:val="000000" w:themeColor="text1"/>
                <w:highlight w:val="none"/>
                <w14:textFill>
                  <w14:solidFill>
                    <w14:schemeClr w14:val="tx1"/>
                  </w14:solidFill>
                </w14:textFill>
              </w:rPr>
            </w:pPr>
          </w:p>
        </w:tc>
        <w:tc>
          <w:tcPr>
            <w:tcW w:w="2221" w:type="dxa"/>
            <w:gridSpan w:val="4"/>
            <w:vAlign w:val="center"/>
          </w:tcPr>
          <w:p w14:paraId="47C910AC">
            <w:pPr>
              <w:jc w:val="center"/>
              <w:rPr>
                <w:rFonts w:hint="eastAsia" w:ascii="宋体" w:hAnsi="宋体" w:eastAsia="宋体" w:cs="宋体"/>
                <w:color w:val="000000" w:themeColor="text1"/>
                <w:highlight w:val="none"/>
                <w14:textFill>
                  <w14:solidFill>
                    <w14:schemeClr w14:val="tx1"/>
                  </w14:solidFill>
                </w14:textFill>
              </w:rPr>
            </w:pPr>
          </w:p>
        </w:tc>
        <w:tc>
          <w:tcPr>
            <w:tcW w:w="1088" w:type="dxa"/>
            <w:vAlign w:val="center"/>
          </w:tcPr>
          <w:p w14:paraId="07917798">
            <w:pPr>
              <w:jc w:val="center"/>
              <w:rPr>
                <w:rFonts w:hint="eastAsia" w:ascii="宋体" w:hAnsi="宋体" w:eastAsia="宋体" w:cs="宋体"/>
                <w:color w:val="000000" w:themeColor="text1"/>
                <w:highlight w:val="none"/>
                <w14:textFill>
                  <w14:solidFill>
                    <w14:schemeClr w14:val="tx1"/>
                  </w14:solidFill>
                </w14:textFill>
              </w:rPr>
            </w:pPr>
          </w:p>
        </w:tc>
        <w:tc>
          <w:tcPr>
            <w:tcW w:w="1641" w:type="dxa"/>
            <w:gridSpan w:val="4"/>
            <w:vAlign w:val="center"/>
          </w:tcPr>
          <w:p w14:paraId="72A5C547">
            <w:pPr>
              <w:jc w:val="center"/>
              <w:rPr>
                <w:rFonts w:hint="eastAsia" w:ascii="宋体" w:hAnsi="宋体" w:eastAsia="宋体" w:cs="宋体"/>
                <w:color w:val="000000" w:themeColor="text1"/>
                <w:highlight w:val="none"/>
                <w14:textFill>
                  <w14:solidFill>
                    <w14:schemeClr w14:val="tx1"/>
                  </w14:solidFill>
                </w14:textFill>
              </w:rPr>
            </w:pPr>
          </w:p>
        </w:tc>
        <w:tc>
          <w:tcPr>
            <w:tcW w:w="1484" w:type="dxa"/>
            <w:gridSpan w:val="2"/>
            <w:vAlign w:val="center"/>
          </w:tcPr>
          <w:p w14:paraId="5C8E246F">
            <w:pPr>
              <w:jc w:val="center"/>
              <w:rPr>
                <w:rFonts w:hint="eastAsia" w:ascii="宋体" w:hAnsi="宋体" w:eastAsia="宋体" w:cs="宋体"/>
                <w:color w:val="000000" w:themeColor="text1"/>
                <w:highlight w:val="none"/>
                <w14:textFill>
                  <w14:solidFill>
                    <w14:schemeClr w14:val="tx1"/>
                  </w14:solidFill>
                </w14:textFill>
              </w:rPr>
            </w:pPr>
          </w:p>
        </w:tc>
      </w:tr>
      <w:tr w14:paraId="7BC53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5119C1FE">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工程质量</w:t>
            </w:r>
          </w:p>
        </w:tc>
        <w:tc>
          <w:tcPr>
            <w:tcW w:w="1548" w:type="dxa"/>
            <w:gridSpan w:val="2"/>
            <w:vAlign w:val="center"/>
          </w:tcPr>
          <w:p w14:paraId="6434138C">
            <w:pPr>
              <w:jc w:val="center"/>
              <w:rPr>
                <w:rFonts w:hint="eastAsia" w:ascii="宋体" w:hAnsi="宋体" w:eastAsia="宋体" w:cs="宋体"/>
                <w:color w:val="000000" w:themeColor="text1"/>
                <w:highlight w:val="none"/>
                <w14:textFill>
                  <w14:solidFill>
                    <w14:schemeClr w14:val="tx1"/>
                  </w14:solidFill>
                </w14:textFill>
              </w:rPr>
            </w:pPr>
          </w:p>
        </w:tc>
        <w:tc>
          <w:tcPr>
            <w:tcW w:w="2221" w:type="dxa"/>
            <w:gridSpan w:val="4"/>
            <w:vAlign w:val="center"/>
          </w:tcPr>
          <w:p w14:paraId="3CDEDFBD">
            <w:pPr>
              <w:jc w:val="center"/>
              <w:rPr>
                <w:rFonts w:hint="eastAsia" w:ascii="宋体" w:hAnsi="宋体" w:eastAsia="宋体" w:cs="宋体"/>
                <w:color w:val="000000" w:themeColor="text1"/>
                <w:highlight w:val="none"/>
                <w14:textFill>
                  <w14:solidFill>
                    <w14:schemeClr w14:val="tx1"/>
                  </w14:solidFill>
                </w14:textFill>
              </w:rPr>
            </w:pPr>
          </w:p>
        </w:tc>
        <w:tc>
          <w:tcPr>
            <w:tcW w:w="1088" w:type="dxa"/>
            <w:vAlign w:val="center"/>
          </w:tcPr>
          <w:p w14:paraId="4D3A357E">
            <w:pPr>
              <w:jc w:val="center"/>
              <w:rPr>
                <w:rFonts w:hint="eastAsia" w:ascii="宋体" w:hAnsi="宋体" w:eastAsia="宋体" w:cs="宋体"/>
                <w:color w:val="000000" w:themeColor="text1"/>
                <w:highlight w:val="none"/>
                <w14:textFill>
                  <w14:solidFill>
                    <w14:schemeClr w14:val="tx1"/>
                  </w14:solidFill>
                </w14:textFill>
              </w:rPr>
            </w:pPr>
          </w:p>
        </w:tc>
        <w:tc>
          <w:tcPr>
            <w:tcW w:w="1641" w:type="dxa"/>
            <w:gridSpan w:val="4"/>
            <w:vAlign w:val="center"/>
          </w:tcPr>
          <w:p w14:paraId="4D2308D3">
            <w:pPr>
              <w:jc w:val="center"/>
              <w:rPr>
                <w:rFonts w:hint="eastAsia" w:ascii="宋体" w:hAnsi="宋体" w:eastAsia="宋体" w:cs="宋体"/>
                <w:color w:val="000000" w:themeColor="text1"/>
                <w:highlight w:val="none"/>
                <w14:textFill>
                  <w14:solidFill>
                    <w14:schemeClr w14:val="tx1"/>
                  </w14:solidFill>
                </w14:textFill>
              </w:rPr>
            </w:pPr>
          </w:p>
        </w:tc>
        <w:tc>
          <w:tcPr>
            <w:tcW w:w="1484" w:type="dxa"/>
            <w:gridSpan w:val="2"/>
            <w:vAlign w:val="center"/>
          </w:tcPr>
          <w:p w14:paraId="54166FA0">
            <w:pPr>
              <w:jc w:val="center"/>
              <w:rPr>
                <w:rFonts w:hint="eastAsia" w:ascii="宋体" w:hAnsi="宋体" w:eastAsia="宋体" w:cs="宋体"/>
                <w:color w:val="000000" w:themeColor="text1"/>
                <w:highlight w:val="none"/>
                <w14:textFill>
                  <w14:solidFill>
                    <w14:schemeClr w14:val="tx1"/>
                  </w14:solidFill>
                </w14:textFill>
              </w:rPr>
            </w:pPr>
          </w:p>
        </w:tc>
      </w:tr>
      <w:tr w14:paraId="6718A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5834E3B7">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受奖情况</w:t>
            </w:r>
          </w:p>
        </w:tc>
        <w:tc>
          <w:tcPr>
            <w:tcW w:w="1548" w:type="dxa"/>
            <w:gridSpan w:val="2"/>
            <w:vAlign w:val="center"/>
          </w:tcPr>
          <w:p w14:paraId="0010D719">
            <w:pPr>
              <w:jc w:val="center"/>
              <w:rPr>
                <w:rFonts w:hint="eastAsia" w:ascii="宋体" w:hAnsi="宋体" w:eastAsia="宋体" w:cs="宋体"/>
                <w:color w:val="000000" w:themeColor="text1"/>
                <w:highlight w:val="none"/>
                <w14:textFill>
                  <w14:solidFill>
                    <w14:schemeClr w14:val="tx1"/>
                  </w14:solidFill>
                </w14:textFill>
              </w:rPr>
            </w:pPr>
          </w:p>
        </w:tc>
        <w:tc>
          <w:tcPr>
            <w:tcW w:w="2221" w:type="dxa"/>
            <w:gridSpan w:val="4"/>
            <w:vAlign w:val="center"/>
          </w:tcPr>
          <w:p w14:paraId="211897FA">
            <w:pPr>
              <w:jc w:val="center"/>
              <w:rPr>
                <w:rFonts w:hint="eastAsia" w:ascii="宋体" w:hAnsi="宋体" w:eastAsia="宋体" w:cs="宋体"/>
                <w:color w:val="000000" w:themeColor="text1"/>
                <w:highlight w:val="none"/>
                <w14:textFill>
                  <w14:solidFill>
                    <w14:schemeClr w14:val="tx1"/>
                  </w14:solidFill>
                </w14:textFill>
              </w:rPr>
            </w:pPr>
          </w:p>
        </w:tc>
        <w:tc>
          <w:tcPr>
            <w:tcW w:w="1088" w:type="dxa"/>
            <w:vAlign w:val="center"/>
          </w:tcPr>
          <w:p w14:paraId="478B06A5">
            <w:pPr>
              <w:jc w:val="center"/>
              <w:rPr>
                <w:rFonts w:hint="eastAsia" w:ascii="宋体" w:hAnsi="宋体" w:eastAsia="宋体" w:cs="宋体"/>
                <w:color w:val="000000" w:themeColor="text1"/>
                <w:highlight w:val="none"/>
                <w14:textFill>
                  <w14:solidFill>
                    <w14:schemeClr w14:val="tx1"/>
                  </w14:solidFill>
                </w14:textFill>
              </w:rPr>
            </w:pPr>
          </w:p>
        </w:tc>
        <w:tc>
          <w:tcPr>
            <w:tcW w:w="1641" w:type="dxa"/>
            <w:gridSpan w:val="4"/>
            <w:vAlign w:val="center"/>
          </w:tcPr>
          <w:p w14:paraId="3B8AD197">
            <w:pPr>
              <w:jc w:val="center"/>
              <w:rPr>
                <w:rFonts w:hint="eastAsia" w:ascii="宋体" w:hAnsi="宋体" w:eastAsia="宋体" w:cs="宋体"/>
                <w:color w:val="000000" w:themeColor="text1"/>
                <w:highlight w:val="none"/>
                <w14:textFill>
                  <w14:solidFill>
                    <w14:schemeClr w14:val="tx1"/>
                  </w14:solidFill>
                </w14:textFill>
              </w:rPr>
            </w:pPr>
          </w:p>
        </w:tc>
        <w:tc>
          <w:tcPr>
            <w:tcW w:w="1484" w:type="dxa"/>
            <w:gridSpan w:val="2"/>
            <w:vAlign w:val="center"/>
          </w:tcPr>
          <w:p w14:paraId="57976C0A">
            <w:pPr>
              <w:jc w:val="center"/>
              <w:rPr>
                <w:rFonts w:hint="eastAsia" w:ascii="宋体" w:hAnsi="宋体" w:eastAsia="宋体" w:cs="宋体"/>
                <w:color w:val="000000" w:themeColor="text1"/>
                <w:highlight w:val="none"/>
                <w14:textFill>
                  <w14:solidFill>
                    <w14:schemeClr w14:val="tx1"/>
                  </w14:solidFill>
                </w14:textFill>
              </w:rPr>
            </w:pPr>
          </w:p>
        </w:tc>
      </w:tr>
    </w:tbl>
    <w:p w14:paraId="37055F4A">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备注：</w:t>
      </w:r>
    </w:p>
    <w:p w14:paraId="64257DD6">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1.供应商可以根据项目情况增减表格内容，项目数可以根据需要增加。</w:t>
      </w:r>
    </w:p>
    <w:p w14:paraId="0D59606C">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本表后附专职安全生产管理人员的学历证、安全生产考核合格证（C类）、本表所列证书复印件并加盖供应商电子签章。</w:t>
      </w:r>
    </w:p>
    <w:p w14:paraId="38D4D55E">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br w:type="page"/>
      </w:r>
      <w:r>
        <w:rPr>
          <w:rFonts w:hint="eastAsia" w:ascii="宋体" w:hAnsi="宋体" w:eastAsia="宋体" w:cs="宋体"/>
          <w:b/>
          <w:bCs/>
          <w:color w:val="000000" w:themeColor="text1"/>
          <w:sz w:val="24"/>
          <w:highlight w:val="none"/>
          <w14:textFill>
            <w14:solidFill>
              <w14:schemeClr w14:val="tx1"/>
            </w14:solidFill>
          </w14:textFill>
        </w:rPr>
        <w:t>其他文书、文件格式</w:t>
      </w:r>
    </w:p>
    <w:p w14:paraId="580A5196">
      <w:pPr>
        <w:jc w:val="center"/>
        <w:rPr>
          <w:rFonts w:hint="eastAsia" w:ascii="宋体" w:hAnsi="宋体" w:eastAsia="宋体" w:cs="宋体"/>
          <w:color w:val="000000" w:themeColor="text1"/>
          <w:sz w:val="44"/>
          <w:szCs w:val="44"/>
          <w:highlight w:val="none"/>
          <w14:textFill>
            <w14:solidFill>
              <w14:schemeClr w14:val="tx1"/>
            </w14:solidFill>
          </w14:textFill>
        </w:rPr>
      </w:pPr>
      <w:bookmarkStart w:id="91" w:name="_Toc71365926"/>
      <w:r>
        <w:rPr>
          <w:rFonts w:hint="eastAsia" w:ascii="宋体" w:hAnsi="宋体" w:eastAsia="宋体" w:cs="宋体"/>
          <w:color w:val="000000" w:themeColor="text1"/>
          <w:sz w:val="44"/>
          <w:szCs w:val="44"/>
          <w:highlight w:val="none"/>
          <w14:textFill>
            <w14:solidFill>
              <w14:schemeClr w14:val="tx1"/>
            </w14:solidFill>
          </w14:textFill>
        </w:rPr>
        <w:t>中小企业声明函（工程）</w:t>
      </w:r>
      <w:bookmarkEnd w:id="91"/>
    </w:p>
    <w:p w14:paraId="1EE8CA8D">
      <w:pPr>
        <w:spacing w:before="2" w:line="500" w:lineRule="exact"/>
        <w:ind w:firstLine="708" w:firstLineChars="294"/>
        <w:rPr>
          <w:rFonts w:hint="eastAsia" w:ascii="宋体" w:hAnsi="宋体" w:eastAsia="宋体" w:cs="宋体"/>
          <w:b/>
          <w:bCs/>
          <w:color w:val="000000" w:themeColor="text1"/>
          <w:sz w:val="24"/>
          <w:highlight w:val="none"/>
          <w14:textFill>
            <w14:solidFill>
              <w14:schemeClr w14:val="tx1"/>
            </w14:solidFill>
          </w14:textFill>
        </w:rPr>
      </w:pPr>
    </w:p>
    <w:p w14:paraId="63AF3BA4">
      <w:pPr>
        <w:pStyle w:val="18"/>
        <w:spacing w:line="500" w:lineRule="exact"/>
        <w:ind w:right="142" w:firstLine="705" w:firstLineChars="294"/>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本公司（联合体）郑重声明，根据《政府采购促进中小企业发展管理办法》（财库﹝2020﹞46号）的规定，本公司（联合体）参加</w:t>
      </w:r>
      <w:r>
        <w:rPr>
          <w:rFonts w:hint="eastAsia" w:ascii="宋体" w:hAnsi="宋体" w:eastAsia="宋体" w:cs="宋体"/>
          <w:color w:val="000000" w:themeColor="text1"/>
          <w:sz w:val="24"/>
          <w:highlight w:val="none"/>
          <w:u w:val="single"/>
          <w14:textFill>
            <w14:solidFill>
              <w14:schemeClr w14:val="tx1"/>
            </w14:solidFill>
          </w14:textFill>
        </w:rPr>
        <w:t>（单位名称）</w:t>
      </w:r>
      <w:r>
        <w:rPr>
          <w:rFonts w:hint="eastAsia" w:ascii="宋体" w:hAnsi="宋体" w:eastAsia="宋体" w:cs="宋体"/>
          <w:color w:val="000000" w:themeColor="text1"/>
          <w:sz w:val="24"/>
          <w:highlight w:val="none"/>
          <w14:textFill>
            <w14:solidFill>
              <w14:schemeClr w14:val="tx1"/>
            </w14:solidFill>
          </w14:textFill>
        </w:rPr>
        <w:t>的</w:t>
      </w:r>
      <w:r>
        <w:rPr>
          <w:rFonts w:hint="eastAsia" w:ascii="宋体" w:hAnsi="宋体" w:eastAsia="宋体" w:cs="宋体"/>
          <w:color w:val="000000" w:themeColor="text1"/>
          <w:sz w:val="24"/>
          <w:highlight w:val="none"/>
          <w:u w:val="single"/>
          <w14:textFill>
            <w14:solidFill>
              <w14:schemeClr w14:val="tx1"/>
            </w14:solidFill>
          </w14:textFill>
        </w:rPr>
        <w:t>（项目名称）</w:t>
      </w:r>
      <w:r>
        <w:rPr>
          <w:rFonts w:hint="eastAsia" w:ascii="宋体" w:hAnsi="宋体" w:eastAsia="宋体" w:cs="宋体"/>
          <w:color w:val="000000" w:themeColor="text1"/>
          <w:sz w:val="24"/>
          <w:highlight w:val="none"/>
          <w14:textFill>
            <w14:solidFill>
              <w14:schemeClr w14:val="tx1"/>
            </w14:solidFill>
          </w14:textFill>
        </w:rPr>
        <w:t>采购活动，工程的施工单位全部为符合政策要求的中小企业。相关企业（含联合体中的中小企业、签订分包意向协议的中小企业）的具体情况如下：</w:t>
      </w:r>
    </w:p>
    <w:p w14:paraId="548FFA2A">
      <w:pPr>
        <w:tabs>
          <w:tab w:val="left" w:pos="1384"/>
          <w:tab w:val="left" w:pos="4562"/>
          <w:tab w:val="left" w:pos="6803"/>
        </w:tabs>
        <w:spacing w:before="13" w:line="500" w:lineRule="exact"/>
        <w:ind w:right="142" w:firstLine="772" w:firstLineChars="32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u w:val="single"/>
          <w14:textFill>
            <w14:solidFill>
              <w14:schemeClr w14:val="tx1"/>
            </w14:solidFill>
          </w14:textFill>
        </w:rPr>
        <w:t>（标的名称）</w:t>
      </w:r>
      <w:r>
        <w:rPr>
          <w:rFonts w:hint="eastAsia" w:ascii="宋体" w:hAnsi="宋体" w:eastAsia="宋体" w:cs="宋体"/>
          <w:color w:val="000000" w:themeColor="text1"/>
          <w:sz w:val="24"/>
          <w:highlight w:val="none"/>
          <w14:textFill>
            <w14:solidFill>
              <w14:schemeClr w14:val="tx1"/>
            </w14:solidFill>
          </w14:textFill>
        </w:rPr>
        <w:t>，属于</w:t>
      </w:r>
      <w:r>
        <w:rPr>
          <w:rFonts w:hint="eastAsia" w:ascii="宋体" w:hAnsi="宋体" w:eastAsia="宋体" w:cs="宋体"/>
          <w:color w:val="000000" w:themeColor="text1"/>
          <w:sz w:val="24"/>
          <w:highlight w:val="none"/>
          <w:u w:val="single"/>
          <w14:textFill>
            <w14:solidFill>
              <w14:schemeClr w14:val="tx1"/>
            </w14:solidFill>
          </w14:textFill>
        </w:rPr>
        <w:t>（采购文件中明确的所属行业）</w:t>
      </w:r>
      <w:r>
        <w:rPr>
          <w:rFonts w:hint="eastAsia" w:ascii="宋体" w:hAnsi="宋体" w:eastAsia="宋体" w:cs="宋体"/>
          <w:color w:val="000000" w:themeColor="text1"/>
          <w:sz w:val="24"/>
          <w:highlight w:val="none"/>
          <w14:textFill>
            <w14:solidFill>
              <w14:schemeClr w14:val="tx1"/>
            </w14:solidFill>
          </w14:textFill>
        </w:rPr>
        <w:t>；承建企业为</w:t>
      </w:r>
      <w:r>
        <w:rPr>
          <w:rFonts w:hint="eastAsia" w:ascii="宋体" w:hAnsi="宋体" w:eastAsia="宋体" w:cs="宋体"/>
          <w:color w:val="000000" w:themeColor="text1"/>
          <w:sz w:val="24"/>
          <w:highlight w:val="none"/>
          <w:u w:val="single"/>
          <w14:textFill>
            <w14:solidFill>
              <w14:schemeClr w14:val="tx1"/>
            </w14:solidFill>
          </w14:textFill>
        </w:rPr>
        <w:t>（企业名称）</w:t>
      </w:r>
      <w:r>
        <w:rPr>
          <w:rFonts w:hint="eastAsia" w:ascii="宋体" w:hAnsi="宋体" w:eastAsia="宋体" w:cs="宋体"/>
          <w:color w:val="000000" w:themeColor="text1"/>
          <w:sz w:val="24"/>
          <w:highlight w:val="none"/>
          <w14:textFill>
            <w14:solidFill>
              <w14:schemeClr w14:val="tx1"/>
            </w14:solidFill>
          </w14:textFill>
        </w:rPr>
        <w:t>，从业人员人，营业收入为万元，资产总额为万元，属于</w:t>
      </w:r>
      <w:r>
        <w:rPr>
          <w:rFonts w:hint="eastAsia" w:ascii="宋体" w:hAnsi="宋体" w:eastAsia="宋体" w:cs="宋体"/>
          <w:color w:val="000000" w:themeColor="text1"/>
          <w:sz w:val="24"/>
          <w:highlight w:val="none"/>
          <w:u w:val="single"/>
          <w14:textFill>
            <w14:solidFill>
              <w14:schemeClr w14:val="tx1"/>
            </w14:solidFill>
          </w14:textFill>
        </w:rPr>
        <w:t>（中型企业、小型企业、微型企业）</w:t>
      </w:r>
      <w:r>
        <w:rPr>
          <w:rFonts w:hint="eastAsia" w:ascii="宋体" w:hAnsi="宋体" w:eastAsia="宋体" w:cs="宋体"/>
          <w:color w:val="000000" w:themeColor="text1"/>
          <w:sz w:val="24"/>
          <w:highlight w:val="none"/>
          <w14:textFill>
            <w14:solidFill>
              <w14:schemeClr w14:val="tx1"/>
            </w14:solidFill>
          </w14:textFill>
        </w:rPr>
        <w:t>；</w:t>
      </w:r>
    </w:p>
    <w:p w14:paraId="327CF334">
      <w:pPr>
        <w:tabs>
          <w:tab w:val="left" w:pos="1065"/>
          <w:tab w:val="left" w:pos="4262"/>
          <w:tab w:val="left" w:pos="6477"/>
        </w:tabs>
        <w:spacing w:before="20" w:line="500" w:lineRule="exact"/>
        <w:ind w:right="84" w:firstLine="772" w:firstLineChars="322"/>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w:t>
      </w:r>
      <w:r>
        <w:rPr>
          <w:rFonts w:hint="eastAsia" w:ascii="宋体" w:hAnsi="宋体" w:eastAsia="宋体" w:cs="宋体"/>
          <w:color w:val="000000" w:themeColor="text1"/>
          <w:sz w:val="24"/>
          <w:highlight w:val="none"/>
          <w:u w:val="single"/>
          <w14:textFill>
            <w14:solidFill>
              <w14:schemeClr w14:val="tx1"/>
            </w14:solidFill>
          </w14:textFill>
        </w:rPr>
        <w:t>（标的名称）</w:t>
      </w:r>
      <w:r>
        <w:rPr>
          <w:rFonts w:hint="eastAsia" w:ascii="宋体" w:hAnsi="宋体" w:eastAsia="宋体" w:cs="宋体"/>
          <w:color w:val="000000" w:themeColor="text1"/>
          <w:sz w:val="24"/>
          <w:highlight w:val="none"/>
          <w14:textFill>
            <w14:solidFill>
              <w14:schemeClr w14:val="tx1"/>
            </w14:solidFill>
          </w14:textFill>
        </w:rPr>
        <w:t>，属于</w:t>
      </w:r>
      <w:r>
        <w:rPr>
          <w:rFonts w:hint="eastAsia" w:ascii="宋体" w:hAnsi="宋体" w:eastAsia="宋体" w:cs="宋体"/>
          <w:color w:val="000000" w:themeColor="text1"/>
          <w:sz w:val="24"/>
          <w:highlight w:val="none"/>
          <w:u w:val="single"/>
          <w14:textFill>
            <w14:solidFill>
              <w14:schemeClr w14:val="tx1"/>
            </w14:solidFill>
          </w14:textFill>
        </w:rPr>
        <w:t>（采购文件中明确的所属行业）</w:t>
      </w:r>
      <w:r>
        <w:rPr>
          <w:rFonts w:hint="eastAsia" w:ascii="宋体" w:hAnsi="宋体" w:eastAsia="宋体" w:cs="宋体"/>
          <w:color w:val="000000" w:themeColor="text1"/>
          <w:sz w:val="24"/>
          <w:highlight w:val="none"/>
          <w14:textFill>
            <w14:solidFill>
              <w14:schemeClr w14:val="tx1"/>
            </w14:solidFill>
          </w14:textFill>
        </w:rPr>
        <w:t>；承建企业为</w:t>
      </w:r>
      <w:r>
        <w:rPr>
          <w:rFonts w:hint="eastAsia" w:ascii="宋体" w:hAnsi="宋体" w:eastAsia="宋体" w:cs="宋体"/>
          <w:color w:val="000000" w:themeColor="text1"/>
          <w:sz w:val="24"/>
          <w:highlight w:val="none"/>
          <w:u w:val="single"/>
          <w14:textFill>
            <w14:solidFill>
              <w14:schemeClr w14:val="tx1"/>
            </w14:solidFill>
          </w14:textFill>
        </w:rPr>
        <w:t>（企业名称）</w:t>
      </w:r>
      <w:r>
        <w:rPr>
          <w:rFonts w:hint="eastAsia" w:ascii="宋体" w:hAnsi="宋体" w:eastAsia="宋体" w:cs="宋体"/>
          <w:color w:val="000000" w:themeColor="text1"/>
          <w:sz w:val="24"/>
          <w:highlight w:val="none"/>
          <w14:textFill>
            <w14:solidFill>
              <w14:schemeClr w14:val="tx1"/>
            </w14:solidFill>
          </w14:textFill>
        </w:rPr>
        <w:t>，从业人员人，营业收入为万元，资产总额为万元，属于</w:t>
      </w:r>
      <w:r>
        <w:rPr>
          <w:rFonts w:hint="eastAsia" w:ascii="宋体" w:hAnsi="宋体" w:eastAsia="宋体" w:cs="宋体"/>
          <w:color w:val="000000" w:themeColor="text1"/>
          <w:sz w:val="24"/>
          <w:highlight w:val="none"/>
          <w:u w:val="single"/>
          <w14:textFill>
            <w14:solidFill>
              <w14:schemeClr w14:val="tx1"/>
            </w14:solidFill>
          </w14:textFill>
        </w:rPr>
        <w:t>（中型企业、小型企业、微型企业）</w:t>
      </w:r>
      <w:r>
        <w:rPr>
          <w:rFonts w:hint="eastAsia" w:ascii="宋体" w:hAnsi="宋体" w:eastAsia="宋体" w:cs="宋体"/>
          <w:color w:val="000000" w:themeColor="text1"/>
          <w:sz w:val="24"/>
          <w:highlight w:val="none"/>
          <w14:textFill>
            <w14:solidFill>
              <w14:schemeClr w14:val="tx1"/>
            </w14:solidFill>
          </w14:textFill>
        </w:rPr>
        <w:t>；</w:t>
      </w:r>
    </w:p>
    <w:p w14:paraId="7E8AD27A">
      <w:pPr>
        <w:pStyle w:val="18"/>
        <w:spacing w:before="34" w:line="500" w:lineRule="exact"/>
        <w:ind w:right="142" w:firstLine="705" w:firstLineChars="294"/>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 </w:t>
      </w:r>
    </w:p>
    <w:p w14:paraId="2EB98231">
      <w:pPr>
        <w:pStyle w:val="18"/>
        <w:spacing w:before="34" w:line="500" w:lineRule="exact"/>
        <w:ind w:right="142" w:firstLine="705" w:firstLineChars="294"/>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1DC44C9F">
      <w:pPr>
        <w:pStyle w:val="18"/>
        <w:spacing w:before="25" w:line="500" w:lineRule="exact"/>
        <w:ind w:right="142" w:firstLine="705" w:firstLineChars="294"/>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本企业对上述声明内容的真实性负责。如有虚假，将依法承担相应责任。</w:t>
      </w:r>
    </w:p>
    <w:p w14:paraId="0EBC39CB">
      <w:pPr>
        <w:pStyle w:val="18"/>
        <w:spacing w:before="56" w:line="500" w:lineRule="exact"/>
        <w:ind w:right="1808" w:firstLine="705" w:firstLineChars="294"/>
        <w:rPr>
          <w:rFonts w:hint="eastAsia" w:ascii="宋体" w:hAnsi="宋体" w:eastAsia="宋体" w:cs="宋体"/>
          <w:color w:val="000000" w:themeColor="text1"/>
          <w:sz w:val="24"/>
          <w:highlight w:val="none"/>
          <w14:textFill>
            <w14:solidFill>
              <w14:schemeClr w14:val="tx1"/>
            </w14:solidFill>
          </w14:textFill>
        </w:rPr>
      </w:pPr>
    </w:p>
    <w:p w14:paraId="6601E5E7">
      <w:pPr>
        <w:pStyle w:val="18"/>
        <w:spacing w:before="56" w:line="500" w:lineRule="exact"/>
        <w:ind w:right="650" w:firstLine="5625" w:firstLineChars="2344"/>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企业名称（章）： </w:t>
      </w:r>
    </w:p>
    <w:p w14:paraId="71DDC1DB">
      <w:pPr>
        <w:pStyle w:val="18"/>
        <w:spacing w:before="56" w:line="500" w:lineRule="exact"/>
        <w:ind w:right="1808" w:firstLine="5625" w:firstLineChars="2344"/>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日 期：</w:t>
      </w:r>
    </w:p>
    <w:p w14:paraId="6362E0D3">
      <w:pPr>
        <w:spacing w:line="52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6357D8A4">
      <w:pPr>
        <w:spacing w:line="520" w:lineRule="exact"/>
        <w:jc w:val="center"/>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br w:type="page"/>
      </w:r>
      <w:r>
        <w:rPr>
          <w:rFonts w:hint="eastAsia" w:ascii="宋体" w:hAnsi="宋体" w:eastAsia="宋体" w:cs="宋体"/>
          <w:color w:val="000000" w:themeColor="text1"/>
          <w:sz w:val="44"/>
          <w:szCs w:val="44"/>
          <w:highlight w:val="none"/>
          <w14:textFill>
            <w14:solidFill>
              <w14:schemeClr w14:val="tx1"/>
            </w14:solidFill>
          </w14:textFill>
        </w:rPr>
        <w:t>残疾人福利性单位声明函</w:t>
      </w:r>
    </w:p>
    <w:p w14:paraId="3C1EEB30">
      <w:pPr>
        <w:spacing w:line="360" w:lineRule="auto"/>
        <w:contextualSpacing/>
        <w:rPr>
          <w:rFonts w:hint="eastAsia" w:ascii="宋体" w:hAnsi="宋体" w:eastAsia="宋体" w:cs="宋体"/>
          <w:color w:val="000000" w:themeColor="text1"/>
          <w:sz w:val="32"/>
          <w:szCs w:val="32"/>
          <w:highlight w:val="none"/>
          <w14:textFill>
            <w14:solidFill>
              <w14:schemeClr w14:val="tx1"/>
            </w14:solidFill>
          </w14:textFill>
        </w:rPr>
      </w:pPr>
    </w:p>
    <w:p w14:paraId="09316197">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46798677">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本单位对上述声明的真实性负责。如有虚假，将依法承担相应责任。</w:t>
      </w:r>
    </w:p>
    <w:p w14:paraId="3F286E4E">
      <w:pPr>
        <w:spacing w:line="360" w:lineRule="auto"/>
        <w:contextualSpacing/>
        <w:rPr>
          <w:rFonts w:hint="eastAsia" w:ascii="宋体" w:hAnsi="宋体" w:eastAsia="宋体" w:cs="宋体"/>
          <w:color w:val="000000" w:themeColor="text1"/>
          <w:sz w:val="24"/>
          <w:highlight w:val="none"/>
          <w14:textFill>
            <w14:solidFill>
              <w14:schemeClr w14:val="tx1"/>
            </w14:solidFill>
          </w14:textFill>
        </w:rPr>
      </w:pPr>
    </w:p>
    <w:p w14:paraId="0D1C6F78">
      <w:pPr>
        <w:spacing w:line="360" w:lineRule="auto"/>
        <w:contextualSpacing/>
        <w:rPr>
          <w:rFonts w:hint="eastAsia" w:ascii="宋体" w:hAnsi="宋体" w:eastAsia="宋体" w:cs="宋体"/>
          <w:color w:val="000000" w:themeColor="text1"/>
          <w:sz w:val="24"/>
          <w:highlight w:val="none"/>
          <w14:textFill>
            <w14:solidFill>
              <w14:schemeClr w14:val="tx1"/>
            </w14:solidFill>
          </w14:textFill>
        </w:rPr>
      </w:pPr>
    </w:p>
    <w:p w14:paraId="16ED0CDD">
      <w:pPr>
        <w:spacing w:line="360" w:lineRule="auto"/>
        <w:contextualSpacing/>
        <w:rPr>
          <w:rFonts w:hint="eastAsia" w:ascii="宋体" w:hAnsi="宋体" w:eastAsia="宋体" w:cs="宋体"/>
          <w:color w:val="000000" w:themeColor="text1"/>
          <w:sz w:val="24"/>
          <w:highlight w:val="none"/>
          <w14:textFill>
            <w14:solidFill>
              <w14:schemeClr w14:val="tx1"/>
            </w14:solidFill>
          </w14:textFill>
        </w:rPr>
      </w:pPr>
    </w:p>
    <w:p w14:paraId="1F132B97">
      <w:pPr>
        <w:spacing w:line="360" w:lineRule="auto"/>
        <w:ind w:firstLine="2400" w:firstLineChars="10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单位名称（盖章）：</w:t>
      </w:r>
    </w:p>
    <w:p w14:paraId="3D7C0743">
      <w:pPr>
        <w:spacing w:line="360" w:lineRule="auto"/>
        <w:ind w:firstLine="3600" w:firstLineChars="15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日  期：</w:t>
      </w:r>
    </w:p>
    <w:p w14:paraId="5A2F7326">
      <w:pPr>
        <w:spacing w:line="360" w:lineRule="auto"/>
        <w:contextualSpacing/>
        <w:rPr>
          <w:rFonts w:hint="eastAsia" w:ascii="宋体" w:hAnsi="宋体" w:eastAsia="宋体" w:cs="宋体"/>
          <w:color w:val="000000" w:themeColor="text1"/>
          <w:sz w:val="24"/>
          <w:highlight w:val="none"/>
          <w14:textFill>
            <w14:solidFill>
              <w14:schemeClr w14:val="tx1"/>
            </w14:solidFill>
          </w14:textFill>
        </w:rPr>
      </w:pPr>
    </w:p>
    <w:p w14:paraId="69616287">
      <w:pPr>
        <w:spacing w:line="360" w:lineRule="auto"/>
        <w:contextualSpacing/>
        <w:rPr>
          <w:rFonts w:hint="eastAsia" w:ascii="宋体" w:hAnsi="宋体" w:eastAsia="宋体" w:cs="宋体"/>
          <w:color w:val="000000" w:themeColor="text1"/>
          <w:sz w:val="24"/>
          <w:highlight w:val="none"/>
          <w14:textFill>
            <w14:solidFill>
              <w14:schemeClr w14:val="tx1"/>
            </w14:solidFill>
          </w14:textFill>
        </w:rPr>
      </w:pPr>
    </w:p>
    <w:p w14:paraId="580DBA32">
      <w:pPr>
        <w:spacing w:line="360" w:lineRule="auto"/>
        <w:contextualSpacing/>
        <w:rPr>
          <w:rFonts w:hint="eastAsia" w:ascii="宋体" w:hAnsi="宋体" w:eastAsia="宋体" w:cs="宋体"/>
          <w:color w:val="000000" w:themeColor="text1"/>
          <w:sz w:val="24"/>
          <w:highlight w:val="none"/>
          <w14:textFill>
            <w14:solidFill>
              <w14:schemeClr w14:val="tx1"/>
            </w14:solidFill>
          </w14:textFill>
        </w:rPr>
      </w:pPr>
    </w:p>
    <w:p w14:paraId="21ACF23F">
      <w:pPr>
        <w:spacing w:line="360" w:lineRule="auto"/>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注：请根据自己的真实情况出具《残疾人福利性单位声明函》。依法享受中小企业优惠政策的，采购人或者采购代理机构在公告成交结果时，同时公告其《残疾人福利性单位声明函》，接受社会监督。</w:t>
      </w:r>
    </w:p>
    <w:p w14:paraId="02D62BD0">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br w:type="page"/>
      </w:r>
    </w:p>
    <w:p w14:paraId="6D5B84A1">
      <w:pPr>
        <w:spacing w:line="360" w:lineRule="auto"/>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44"/>
          <w:szCs w:val="44"/>
          <w:highlight w:val="none"/>
          <w14:textFill>
            <w14:solidFill>
              <w14:schemeClr w14:val="tx1"/>
            </w14:solidFill>
          </w14:textFill>
        </w:rPr>
        <w:t>质疑函（格式）</w:t>
      </w:r>
    </w:p>
    <w:p w14:paraId="6AFC0BED">
      <w:pPr>
        <w:pStyle w:val="24"/>
        <w:spacing w:line="360" w:lineRule="auto"/>
        <w:ind w:firstLine="482" w:firstLineChars="200"/>
        <w:contextualSpacing/>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一、质疑供应商基本信息：</w:t>
      </w:r>
    </w:p>
    <w:p w14:paraId="6262622E">
      <w:pPr>
        <w:pStyle w:val="24"/>
        <w:spacing w:line="360" w:lineRule="auto"/>
        <w:ind w:firstLine="480" w:firstLineChars="200"/>
        <w:contextualSpacing/>
        <w:rPr>
          <w:rFonts w:hint="eastAsia" w:ascii="宋体" w:hAnsi="宋体" w:eastAsia="宋体" w:cs="宋体"/>
          <w:bCs/>
          <w:color w:val="000000" w:themeColor="text1"/>
          <w:sz w:val="24"/>
          <w:szCs w:val="24"/>
          <w:highlight w:val="none"/>
          <w:u w:val="singl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质疑供应商：</w:t>
      </w:r>
    </w:p>
    <w:p w14:paraId="735D6BE1">
      <w:pPr>
        <w:pStyle w:val="24"/>
        <w:spacing w:line="360" w:lineRule="auto"/>
        <w:ind w:firstLine="480" w:firstLineChars="200"/>
        <w:contextualSpacing/>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地址：邮编：</w:t>
      </w:r>
    </w:p>
    <w:p w14:paraId="62008987">
      <w:pPr>
        <w:pStyle w:val="24"/>
        <w:spacing w:line="360" w:lineRule="auto"/>
        <w:ind w:firstLine="480" w:firstLineChars="200"/>
        <w:contextualSpacing/>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联系人：联系电话：</w:t>
      </w:r>
    </w:p>
    <w:p w14:paraId="49A8E45F">
      <w:pPr>
        <w:pStyle w:val="24"/>
        <w:spacing w:line="360" w:lineRule="auto"/>
        <w:ind w:firstLine="480" w:firstLineChars="200"/>
        <w:contextualSpacing/>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授权代表：</w:t>
      </w:r>
    </w:p>
    <w:p w14:paraId="6F4DF2AA">
      <w:pPr>
        <w:pStyle w:val="24"/>
        <w:spacing w:line="360" w:lineRule="auto"/>
        <w:ind w:firstLine="480" w:firstLineChars="200"/>
        <w:contextualSpacing/>
        <w:rPr>
          <w:rFonts w:hint="eastAsia" w:ascii="宋体" w:hAnsi="宋体" w:eastAsia="宋体" w:cs="宋体"/>
          <w:bCs/>
          <w:color w:val="000000" w:themeColor="text1"/>
          <w:sz w:val="24"/>
          <w:szCs w:val="24"/>
          <w:highlight w:val="none"/>
          <w:u w:val="singl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联系电话：</w:t>
      </w:r>
    </w:p>
    <w:p w14:paraId="1C636204">
      <w:pPr>
        <w:pStyle w:val="24"/>
        <w:spacing w:line="360" w:lineRule="auto"/>
        <w:ind w:firstLine="480" w:firstLineChars="200"/>
        <w:contextualSpacing/>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地址：邮编：</w:t>
      </w:r>
    </w:p>
    <w:p w14:paraId="2BB3E97A">
      <w:pPr>
        <w:pStyle w:val="24"/>
        <w:spacing w:line="360" w:lineRule="auto"/>
        <w:ind w:firstLine="482" w:firstLineChars="200"/>
        <w:contextualSpacing/>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二、质疑项目基本情况：</w:t>
      </w:r>
    </w:p>
    <w:p w14:paraId="3010C5BD">
      <w:pPr>
        <w:pStyle w:val="24"/>
        <w:spacing w:line="360" w:lineRule="auto"/>
        <w:ind w:left="25" w:leftChars="12" w:firstLine="472" w:firstLineChars="197"/>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质疑</w:t>
      </w:r>
      <w:r>
        <w:rPr>
          <w:rFonts w:hint="eastAsia" w:ascii="宋体" w:hAnsi="宋体" w:eastAsia="宋体" w:cs="宋体"/>
          <w:color w:val="000000" w:themeColor="text1"/>
          <w:sz w:val="24"/>
          <w:szCs w:val="24"/>
          <w:highlight w:val="none"/>
          <w14:textFill>
            <w14:solidFill>
              <w14:schemeClr w14:val="tx1"/>
            </w14:solidFill>
          </w14:textFill>
        </w:rPr>
        <w:t>项目的名称：</w:t>
      </w:r>
    </w:p>
    <w:p w14:paraId="0E7EA407">
      <w:pPr>
        <w:pStyle w:val="24"/>
        <w:spacing w:line="360" w:lineRule="auto"/>
        <w:ind w:left="25" w:leftChars="12" w:firstLine="472" w:firstLineChars="197"/>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质疑</w:t>
      </w:r>
      <w:r>
        <w:rPr>
          <w:rFonts w:hint="eastAsia" w:ascii="宋体" w:hAnsi="宋体" w:eastAsia="宋体" w:cs="宋体"/>
          <w:color w:val="000000" w:themeColor="text1"/>
          <w:sz w:val="24"/>
          <w:szCs w:val="24"/>
          <w:highlight w:val="none"/>
          <w14:textFill>
            <w14:solidFill>
              <w14:schemeClr w14:val="tx1"/>
            </w14:solidFill>
          </w14:textFill>
        </w:rPr>
        <w:t>项目的编号：</w:t>
      </w:r>
    </w:p>
    <w:p w14:paraId="2B675525">
      <w:pPr>
        <w:pStyle w:val="24"/>
        <w:spacing w:line="360" w:lineRule="auto"/>
        <w:ind w:left="25" w:leftChars="12" w:firstLine="472" w:firstLineChars="197"/>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采购人名称：</w:t>
      </w:r>
    </w:p>
    <w:p w14:paraId="363A338D">
      <w:pPr>
        <w:pStyle w:val="24"/>
        <w:spacing w:line="360" w:lineRule="auto"/>
        <w:ind w:left="25" w:leftChars="12" w:firstLine="472" w:firstLineChars="197"/>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质疑事项：</w:t>
      </w:r>
    </w:p>
    <w:p w14:paraId="71D86A28">
      <w:pPr>
        <w:pStyle w:val="24"/>
        <w:spacing w:line="360" w:lineRule="auto"/>
        <w:ind w:left="25" w:leftChars="12" w:firstLine="352" w:firstLineChars="147"/>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□采购文件   采购文件获取日期：</w:t>
      </w:r>
    </w:p>
    <w:p w14:paraId="166D7ABE">
      <w:pPr>
        <w:pStyle w:val="24"/>
        <w:spacing w:line="360" w:lineRule="auto"/>
        <w:ind w:left="25" w:leftChars="12" w:firstLine="352" w:firstLineChars="147"/>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□采购过程   </w:t>
      </w:r>
    </w:p>
    <w:p w14:paraId="010A8865">
      <w:pPr>
        <w:pStyle w:val="24"/>
        <w:spacing w:line="360" w:lineRule="auto"/>
        <w:ind w:left="25" w:leftChars="12" w:firstLine="352" w:firstLineChars="147"/>
        <w:contextualSpacing/>
        <w:rPr>
          <w:rFonts w:hint="eastAsia" w:ascii="宋体" w:hAnsi="宋体" w:eastAsia="宋体" w:cs="宋体"/>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□成交结果   </w:t>
      </w:r>
    </w:p>
    <w:p w14:paraId="0C1F351B">
      <w:pPr>
        <w:pStyle w:val="24"/>
        <w:spacing w:line="360" w:lineRule="auto"/>
        <w:ind w:left="25" w:leftChars="12" w:firstLine="472" w:firstLineChars="196"/>
        <w:contextualSpacing/>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三、质疑事项具体内容</w:t>
      </w:r>
    </w:p>
    <w:p w14:paraId="2444F8F2">
      <w:pPr>
        <w:pStyle w:val="24"/>
        <w:spacing w:line="360" w:lineRule="auto"/>
        <w:ind w:left="25" w:leftChars="12" w:firstLine="472" w:firstLineChars="197"/>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质疑事项1：</w:t>
      </w:r>
    </w:p>
    <w:p w14:paraId="050F1A5F">
      <w:pPr>
        <w:pStyle w:val="24"/>
        <w:spacing w:line="360" w:lineRule="auto"/>
        <w:ind w:left="25" w:leftChars="12" w:firstLine="472" w:firstLineChars="197"/>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事实依据：</w:t>
      </w:r>
    </w:p>
    <w:p w14:paraId="2F735E0E">
      <w:pPr>
        <w:pStyle w:val="24"/>
        <w:spacing w:line="360" w:lineRule="auto"/>
        <w:ind w:left="25" w:leftChars="12" w:firstLine="472" w:firstLineChars="197"/>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法律依据：</w:t>
      </w:r>
    </w:p>
    <w:p w14:paraId="77EC0F5E">
      <w:pPr>
        <w:pStyle w:val="24"/>
        <w:spacing w:line="360" w:lineRule="auto"/>
        <w:ind w:left="25" w:leftChars="12" w:firstLine="472" w:firstLineChars="197"/>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质疑事项2</w:t>
      </w:r>
    </w:p>
    <w:p w14:paraId="36168E42">
      <w:pPr>
        <w:pStyle w:val="24"/>
        <w:spacing w:line="360" w:lineRule="auto"/>
        <w:ind w:left="25" w:leftChars="12" w:firstLine="472" w:firstLineChars="197"/>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p>
    <w:p w14:paraId="1A5C5B03">
      <w:pPr>
        <w:pStyle w:val="24"/>
        <w:spacing w:line="360" w:lineRule="auto"/>
        <w:ind w:left="25" w:leftChars="12" w:firstLine="472" w:firstLineChars="197"/>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四、与质疑事项相关的质疑请求：</w:t>
      </w:r>
    </w:p>
    <w:p w14:paraId="641C3E2E">
      <w:pPr>
        <w:pStyle w:val="24"/>
        <w:spacing w:line="360" w:lineRule="auto"/>
        <w:ind w:left="25" w:leftChars="12" w:firstLine="472" w:firstLineChars="197"/>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请求：</w:t>
      </w:r>
    </w:p>
    <w:p w14:paraId="2A8A5E7A">
      <w:pPr>
        <w:pStyle w:val="24"/>
        <w:spacing w:line="360" w:lineRule="auto"/>
        <w:ind w:left="25" w:leftChars="12" w:firstLine="352" w:firstLineChars="147"/>
        <w:contextualSpacing/>
        <w:rPr>
          <w:rFonts w:hint="eastAsia" w:ascii="宋体" w:hAnsi="宋体" w:eastAsia="宋体" w:cs="宋体"/>
          <w:color w:val="000000" w:themeColor="text1"/>
          <w:sz w:val="24"/>
          <w:szCs w:val="24"/>
          <w:highlight w:val="none"/>
          <w14:textFill>
            <w14:solidFill>
              <w14:schemeClr w14:val="tx1"/>
            </w14:solidFill>
          </w14:textFill>
        </w:rPr>
      </w:pPr>
    </w:p>
    <w:p w14:paraId="19573A27">
      <w:pPr>
        <w:pStyle w:val="24"/>
        <w:spacing w:line="360" w:lineRule="auto"/>
        <w:ind w:left="25" w:leftChars="12" w:firstLine="472" w:firstLineChars="197"/>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签字（签章）：                                       公章：</w:t>
      </w:r>
    </w:p>
    <w:p w14:paraId="425E96C0">
      <w:pPr>
        <w:pStyle w:val="24"/>
        <w:spacing w:line="360" w:lineRule="auto"/>
        <w:ind w:firstLine="480" w:firstLineChars="200"/>
        <w:contextualSpacing/>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日期：</w:t>
      </w:r>
    </w:p>
    <w:p w14:paraId="41CA2083">
      <w:pPr>
        <w:pStyle w:val="24"/>
        <w:spacing w:line="360" w:lineRule="auto"/>
        <w:contextualSpacing/>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说明：</w:t>
      </w:r>
    </w:p>
    <w:p w14:paraId="024E167D">
      <w:pPr>
        <w:pStyle w:val="24"/>
        <w:spacing w:line="360" w:lineRule="auto"/>
        <w:ind w:left="25" w:leftChars="12" w:firstLine="354" w:firstLineChars="147"/>
        <w:contextualSpacing/>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1.供应商提出质疑时，应提交质疑函和必要的证明材料</w:t>
      </w:r>
      <w:r>
        <w:rPr>
          <w:rFonts w:hint="eastAsia" w:ascii="宋体" w:hAnsi="宋体" w:eastAsia="宋体" w:cs="宋体"/>
          <w:b/>
          <w:bCs/>
          <w:color w:val="000000" w:themeColor="text1"/>
          <w:sz w:val="24"/>
          <w:szCs w:val="24"/>
          <w:highlight w:val="none"/>
          <w14:textFill>
            <w14:solidFill>
              <w14:schemeClr w14:val="tx1"/>
            </w14:solidFill>
          </w14:textFill>
        </w:rPr>
        <w:t>。</w:t>
      </w:r>
    </w:p>
    <w:p w14:paraId="08C1652C">
      <w:pPr>
        <w:pStyle w:val="24"/>
        <w:spacing w:line="360" w:lineRule="auto"/>
        <w:ind w:left="25" w:leftChars="12" w:firstLine="354" w:firstLineChars="147"/>
        <w:contextualSpacing/>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E52FF75">
      <w:pPr>
        <w:pStyle w:val="24"/>
        <w:spacing w:line="360" w:lineRule="auto"/>
        <w:ind w:left="25" w:leftChars="12" w:firstLine="354" w:firstLineChars="147"/>
        <w:contextualSpacing/>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3.质疑函的质疑事项应具体、明确，并有必要的事实依据和法律依据。</w:t>
      </w:r>
    </w:p>
    <w:p w14:paraId="511F1E5C">
      <w:pPr>
        <w:pStyle w:val="24"/>
        <w:spacing w:line="360" w:lineRule="auto"/>
        <w:ind w:left="25" w:leftChars="12" w:firstLine="354" w:firstLineChars="147"/>
        <w:contextualSpacing/>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4.质疑函的质疑请求应与质疑事项相关。</w:t>
      </w:r>
    </w:p>
    <w:p w14:paraId="31DC8B83">
      <w:pPr>
        <w:pStyle w:val="24"/>
        <w:spacing w:line="360" w:lineRule="auto"/>
        <w:ind w:left="25" w:leftChars="12" w:firstLine="354" w:firstLineChars="147"/>
        <w:contextualSpacing/>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5.质疑供应商为法人或者其他组织的，质疑函应由法定代表人、主要负责人，或者其授权代表签字或者盖章，并加盖公章。</w:t>
      </w:r>
    </w:p>
    <w:p w14:paraId="74E0DD21">
      <w:pPr>
        <w:pStyle w:val="24"/>
        <w:snapToGrid w:val="0"/>
        <w:rPr>
          <w:rFonts w:hint="eastAsia" w:ascii="宋体" w:hAnsi="宋体" w:eastAsia="宋体" w:cs="宋体"/>
          <w:b/>
          <w:color w:val="000000" w:themeColor="text1"/>
          <w:sz w:val="24"/>
          <w:szCs w:val="24"/>
          <w:highlight w:val="none"/>
          <w14:textFill>
            <w14:solidFill>
              <w14:schemeClr w14:val="tx1"/>
            </w14:solidFill>
          </w14:textFill>
        </w:rPr>
      </w:pPr>
    </w:p>
    <w:p w14:paraId="71903232">
      <w:pPr>
        <w:rPr>
          <w:rFonts w:hint="eastAsia" w:ascii="宋体" w:hAnsi="宋体" w:eastAsia="宋体" w:cs="宋体"/>
          <w:color w:val="000000" w:themeColor="text1"/>
          <w:sz w:val="32"/>
          <w:szCs w:val="40"/>
          <w:highlight w:val="none"/>
          <w14:textFill>
            <w14:solidFill>
              <w14:schemeClr w14:val="tx1"/>
            </w14:solidFill>
          </w14:textFill>
        </w:rPr>
      </w:pPr>
    </w:p>
    <w:p w14:paraId="43E2A811">
      <w:pPr>
        <w:rPr>
          <w:rFonts w:hint="eastAsia" w:ascii="宋体" w:hAnsi="宋体" w:eastAsia="宋体" w:cs="宋体"/>
          <w:color w:val="000000" w:themeColor="text1"/>
          <w:sz w:val="32"/>
          <w:szCs w:val="40"/>
          <w:highlight w:val="none"/>
          <w14:textFill>
            <w14:solidFill>
              <w14:schemeClr w14:val="tx1"/>
            </w14:solidFill>
          </w14:textFill>
        </w:rPr>
      </w:pPr>
    </w:p>
    <w:p w14:paraId="69567069">
      <w:pPr>
        <w:rPr>
          <w:rFonts w:hint="eastAsia" w:ascii="宋体" w:hAnsi="宋体" w:eastAsia="宋体" w:cs="宋体"/>
          <w:color w:val="000000" w:themeColor="text1"/>
          <w:sz w:val="32"/>
          <w:szCs w:val="40"/>
          <w:highlight w:val="none"/>
          <w14:textFill>
            <w14:solidFill>
              <w14:schemeClr w14:val="tx1"/>
            </w14:solidFill>
          </w14:textFill>
        </w:rPr>
      </w:pPr>
    </w:p>
    <w:p w14:paraId="34235CFD">
      <w:pPr>
        <w:rPr>
          <w:rFonts w:hint="eastAsia" w:ascii="宋体" w:hAnsi="宋体" w:eastAsia="宋体" w:cs="宋体"/>
          <w:color w:val="000000" w:themeColor="text1"/>
          <w:sz w:val="32"/>
          <w:szCs w:val="40"/>
          <w:highlight w:val="none"/>
          <w14:textFill>
            <w14:solidFill>
              <w14:schemeClr w14:val="tx1"/>
            </w14:solidFill>
          </w14:textFill>
        </w:rPr>
      </w:pPr>
    </w:p>
    <w:p w14:paraId="4BB31E84">
      <w:pPr>
        <w:rPr>
          <w:rFonts w:hint="eastAsia" w:ascii="宋体" w:hAnsi="宋体" w:eastAsia="宋体" w:cs="宋体"/>
          <w:color w:val="000000" w:themeColor="text1"/>
          <w:sz w:val="32"/>
          <w:szCs w:val="40"/>
          <w:highlight w:val="none"/>
          <w14:textFill>
            <w14:solidFill>
              <w14:schemeClr w14:val="tx1"/>
            </w14:solidFill>
          </w14:textFill>
        </w:rPr>
      </w:pPr>
    </w:p>
    <w:p w14:paraId="31A6882B">
      <w:pPr>
        <w:rPr>
          <w:rFonts w:hint="eastAsia" w:ascii="宋体" w:hAnsi="宋体" w:eastAsia="宋体" w:cs="宋体"/>
          <w:color w:val="000000" w:themeColor="text1"/>
          <w:sz w:val="32"/>
          <w:szCs w:val="40"/>
          <w:highlight w:val="none"/>
          <w14:textFill>
            <w14:solidFill>
              <w14:schemeClr w14:val="tx1"/>
            </w14:solidFill>
          </w14:textFill>
        </w:rPr>
      </w:pPr>
    </w:p>
    <w:p w14:paraId="5CC2A7C5">
      <w:pPr>
        <w:rPr>
          <w:rFonts w:hint="eastAsia" w:ascii="宋体" w:hAnsi="宋体" w:eastAsia="宋体" w:cs="宋体"/>
          <w:color w:val="000000" w:themeColor="text1"/>
          <w:sz w:val="32"/>
          <w:szCs w:val="40"/>
          <w:highlight w:val="none"/>
          <w14:textFill>
            <w14:solidFill>
              <w14:schemeClr w14:val="tx1"/>
            </w14:solidFill>
          </w14:textFill>
        </w:rPr>
      </w:pPr>
    </w:p>
    <w:p w14:paraId="32AB1BB7">
      <w:pPr>
        <w:rPr>
          <w:rFonts w:hint="eastAsia" w:ascii="宋体" w:hAnsi="宋体" w:eastAsia="宋体" w:cs="宋体"/>
          <w:color w:val="000000" w:themeColor="text1"/>
          <w:sz w:val="32"/>
          <w:szCs w:val="40"/>
          <w:highlight w:val="none"/>
          <w14:textFill>
            <w14:solidFill>
              <w14:schemeClr w14:val="tx1"/>
            </w14:solidFill>
          </w14:textFill>
        </w:rPr>
      </w:pPr>
    </w:p>
    <w:p w14:paraId="69530B94">
      <w:pPr>
        <w:rPr>
          <w:rFonts w:hint="eastAsia" w:ascii="宋体" w:hAnsi="宋体" w:eastAsia="宋体" w:cs="宋体"/>
          <w:color w:val="000000" w:themeColor="text1"/>
          <w:sz w:val="32"/>
          <w:szCs w:val="40"/>
          <w:highlight w:val="none"/>
          <w14:textFill>
            <w14:solidFill>
              <w14:schemeClr w14:val="tx1"/>
            </w14:solidFill>
          </w14:textFill>
        </w:rPr>
      </w:pPr>
    </w:p>
    <w:p w14:paraId="31F00D46">
      <w:pPr>
        <w:rPr>
          <w:rFonts w:hint="eastAsia" w:ascii="宋体" w:hAnsi="宋体" w:eastAsia="宋体" w:cs="宋体"/>
          <w:color w:val="000000" w:themeColor="text1"/>
          <w:sz w:val="32"/>
          <w:szCs w:val="40"/>
          <w:highlight w:val="none"/>
          <w14:textFill>
            <w14:solidFill>
              <w14:schemeClr w14:val="tx1"/>
            </w14:solidFill>
          </w14:textFill>
        </w:rPr>
      </w:pPr>
    </w:p>
    <w:p w14:paraId="613A0E78">
      <w:pPr>
        <w:rPr>
          <w:rFonts w:hint="eastAsia" w:ascii="宋体" w:hAnsi="宋体" w:eastAsia="宋体" w:cs="宋体"/>
          <w:color w:val="000000" w:themeColor="text1"/>
          <w:sz w:val="32"/>
          <w:szCs w:val="40"/>
          <w:highlight w:val="none"/>
          <w14:textFill>
            <w14:solidFill>
              <w14:schemeClr w14:val="tx1"/>
            </w14:solidFill>
          </w14:textFill>
        </w:rPr>
      </w:pPr>
    </w:p>
    <w:p w14:paraId="0B49FBD8">
      <w:pPr>
        <w:rPr>
          <w:rFonts w:hint="eastAsia" w:ascii="宋体" w:hAnsi="宋体" w:eastAsia="宋体" w:cs="宋体"/>
          <w:color w:val="000000" w:themeColor="text1"/>
          <w:sz w:val="32"/>
          <w:szCs w:val="40"/>
          <w:highlight w:val="none"/>
          <w14:textFill>
            <w14:solidFill>
              <w14:schemeClr w14:val="tx1"/>
            </w14:solidFill>
          </w14:textFill>
        </w:rPr>
      </w:pPr>
    </w:p>
    <w:p w14:paraId="304F56AD">
      <w:pPr>
        <w:rPr>
          <w:rFonts w:hint="eastAsia" w:ascii="宋体" w:hAnsi="宋体" w:eastAsia="宋体" w:cs="宋体"/>
          <w:color w:val="000000" w:themeColor="text1"/>
          <w:sz w:val="32"/>
          <w:szCs w:val="40"/>
          <w:highlight w:val="none"/>
          <w14:textFill>
            <w14:solidFill>
              <w14:schemeClr w14:val="tx1"/>
            </w14:solidFill>
          </w14:textFill>
        </w:rPr>
      </w:pPr>
    </w:p>
    <w:p w14:paraId="6EBCF014">
      <w:pPr>
        <w:rPr>
          <w:rFonts w:hint="eastAsia" w:ascii="宋体" w:hAnsi="宋体" w:eastAsia="宋体" w:cs="宋体"/>
          <w:color w:val="000000" w:themeColor="text1"/>
          <w:sz w:val="32"/>
          <w:szCs w:val="40"/>
          <w:highlight w:val="none"/>
          <w14:textFill>
            <w14:solidFill>
              <w14:schemeClr w14:val="tx1"/>
            </w14:solidFill>
          </w14:textFill>
        </w:rPr>
      </w:pPr>
    </w:p>
    <w:p w14:paraId="6153292C">
      <w:pPr>
        <w:rPr>
          <w:rFonts w:hint="eastAsia" w:ascii="宋体" w:hAnsi="宋体" w:eastAsia="宋体" w:cs="宋体"/>
          <w:color w:val="000000" w:themeColor="text1"/>
          <w:sz w:val="32"/>
          <w:szCs w:val="40"/>
          <w:highlight w:val="none"/>
          <w14:textFill>
            <w14:solidFill>
              <w14:schemeClr w14:val="tx1"/>
            </w14:solidFill>
          </w14:textFill>
        </w:rPr>
      </w:pPr>
    </w:p>
    <w:p w14:paraId="4E5F6B34">
      <w:pPr>
        <w:rPr>
          <w:rFonts w:hint="eastAsia" w:ascii="宋体" w:hAnsi="宋体" w:eastAsia="宋体" w:cs="宋体"/>
          <w:color w:val="000000" w:themeColor="text1"/>
          <w:sz w:val="32"/>
          <w:szCs w:val="40"/>
          <w:highlight w:val="none"/>
          <w14:textFill>
            <w14:solidFill>
              <w14:schemeClr w14:val="tx1"/>
            </w14:solidFill>
          </w14:textFill>
        </w:rPr>
      </w:pPr>
    </w:p>
    <w:p w14:paraId="3DA08B26">
      <w:pPr>
        <w:rPr>
          <w:rFonts w:hint="eastAsia" w:ascii="宋体" w:hAnsi="宋体" w:eastAsia="宋体" w:cs="宋体"/>
          <w:color w:val="000000" w:themeColor="text1"/>
          <w:sz w:val="32"/>
          <w:szCs w:val="40"/>
          <w:highlight w:val="none"/>
          <w14:textFill>
            <w14:solidFill>
              <w14:schemeClr w14:val="tx1"/>
            </w14:solidFill>
          </w14:textFill>
        </w:rPr>
      </w:pPr>
    </w:p>
    <w:p w14:paraId="530701CD">
      <w:pPr>
        <w:rPr>
          <w:rFonts w:hint="eastAsia" w:ascii="宋体" w:hAnsi="宋体" w:eastAsia="宋体" w:cs="宋体"/>
          <w:color w:val="000000" w:themeColor="text1"/>
          <w:sz w:val="32"/>
          <w:szCs w:val="40"/>
          <w:highlight w:val="none"/>
          <w14:textFill>
            <w14:solidFill>
              <w14:schemeClr w14:val="tx1"/>
            </w14:solidFill>
          </w14:textFill>
        </w:rPr>
      </w:pPr>
    </w:p>
    <w:p w14:paraId="4EDCFCE0">
      <w:pPr>
        <w:rPr>
          <w:rFonts w:hint="eastAsia" w:ascii="宋体" w:hAnsi="宋体" w:eastAsia="宋体" w:cs="宋体"/>
          <w:color w:val="000000" w:themeColor="text1"/>
          <w:sz w:val="32"/>
          <w:szCs w:val="40"/>
          <w:highlight w:val="none"/>
          <w14:textFill>
            <w14:solidFill>
              <w14:schemeClr w14:val="tx1"/>
            </w14:solidFill>
          </w14:textFill>
        </w:rPr>
      </w:pPr>
      <w:r>
        <w:rPr>
          <w:rFonts w:hint="eastAsia" w:ascii="宋体" w:hAnsi="宋体" w:eastAsia="宋体" w:cs="宋体"/>
          <w:color w:val="000000" w:themeColor="text1"/>
          <w:sz w:val="32"/>
          <w:szCs w:val="40"/>
          <w:highlight w:val="none"/>
          <w14:textFill>
            <w14:solidFill>
              <w14:schemeClr w14:val="tx1"/>
            </w14:solidFill>
          </w14:textFill>
        </w:rPr>
        <w:br w:type="page"/>
      </w:r>
    </w:p>
    <w:p w14:paraId="4F591CDD">
      <w:pPr>
        <w:spacing w:line="360" w:lineRule="auto"/>
        <w:jc w:val="center"/>
        <w:rPr>
          <w:rFonts w:hint="eastAsia" w:ascii="宋体" w:hAnsi="宋体" w:eastAsia="宋体" w:cs="宋体"/>
          <w:color w:val="000000" w:themeColor="text1"/>
          <w:sz w:val="44"/>
          <w:szCs w:val="44"/>
          <w:highlight w:val="none"/>
          <w14:textFill>
            <w14:solidFill>
              <w14:schemeClr w14:val="tx1"/>
            </w14:solidFill>
          </w14:textFill>
        </w:rPr>
      </w:pPr>
      <w:r>
        <w:rPr>
          <w:rFonts w:hint="eastAsia" w:ascii="宋体" w:hAnsi="宋体" w:eastAsia="宋体" w:cs="宋体"/>
          <w:color w:val="000000" w:themeColor="text1"/>
          <w:sz w:val="44"/>
          <w:szCs w:val="44"/>
          <w:highlight w:val="none"/>
          <w14:textFill>
            <w14:solidFill>
              <w14:schemeClr w14:val="tx1"/>
            </w14:solidFill>
          </w14:textFill>
        </w:rPr>
        <w:t>投诉书（格式）</w:t>
      </w:r>
    </w:p>
    <w:p w14:paraId="28B524E0">
      <w:pPr>
        <w:pStyle w:val="24"/>
        <w:snapToGrid w:val="0"/>
        <w:spacing w:line="360" w:lineRule="auto"/>
        <w:ind w:firstLine="482" w:firstLineChars="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一、投诉相关主体基本情况：</w:t>
      </w:r>
    </w:p>
    <w:p w14:paraId="48547001">
      <w:pPr>
        <w:pStyle w:val="24"/>
        <w:snapToGrid w:val="0"/>
        <w:spacing w:line="360" w:lineRule="auto"/>
        <w:ind w:firstLine="480" w:firstLineChars="200"/>
        <w:rPr>
          <w:rFonts w:hint="eastAsia" w:ascii="宋体" w:hAnsi="宋体" w:eastAsia="宋体" w:cs="宋体"/>
          <w:bCs/>
          <w:color w:val="000000" w:themeColor="text1"/>
          <w:sz w:val="24"/>
          <w:szCs w:val="24"/>
          <w:highlight w:val="none"/>
          <w:u w:val="singl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供应商：</w:t>
      </w:r>
    </w:p>
    <w:p w14:paraId="6A59ACE7">
      <w:pPr>
        <w:pStyle w:val="24"/>
        <w:snapToGrid w:val="0"/>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地址：邮编：</w:t>
      </w:r>
    </w:p>
    <w:p w14:paraId="0D4B1242">
      <w:pPr>
        <w:pStyle w:val="24"/>
        <w:snapToGrid w:val="0"/>
        <w:spacing w:line="360" w:lineRule="auto"/>
        <w:ind w:firstLine="480" w:firstLineChars="200"/>
        <w:rPr>
          <w:rFonts w:hint="eastAsia" w:ascii="宋体" w:hAnsi="宋体" w:eastAsia="宋体" w:cs="宋体"/>
          <w:bCs/>
          <w:color w:val="000000" w:themeColor="text1"/>
          <w:sz w:val="24"/>
          <w:szCs w:val="24"/>
          <w:highlight w:val="none"/>
          <w:u w:val="singl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法定代表人/主要负责人：</w:t>
      </w:r>
    </w:p>
    <w:p w14:paraId="14081684">
      <w:pPr>
        <w:pStyle w:val="24"/>
        <w:snapToGrid w:val="0"/>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联系电话：</w:t>
      </w:r>
    </w:p>
    <w:p w14:paraId="155483B2">
      <w:pPr>
        <w:pStyle w:val="24"/>
        <w:snapToGrid w:val="0"/>
        <w:spacing w:line="360" w:lineRule="auto"/>
        <w:ind w:firstLine="480" w:firstLineChars="200"/>
        <w:rPr>
          <w:rFonts w:hint="eastAsia" w:ascii="宋体" w:hAnsi="宋体" w:eastAsia="宋体" w:cs="宋体"/>
          <w:bCs/>
          <w:color w:val="000000" w:themeColor="text1"/>
          <w:sz w:val="24"/>
          <w:szCs w:val="24"/>
          <w:highlight w:val="none"/>
          <w:u w:val="singl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授权代表：联系电话：</w:t>
      </w:r>
    </w:p>
    <w:p w14:paraId="664D10EA">
      <w:pPr>
        <w:pStyle w:val="24"/>
        <w:snapToGrid w:val="0"/>
        <w:spacing w:line="360" w:lineRule="auto"/>
        <w:ind w:firstLine="480" w:firstLineChars="200"/>
        <w:rPr>
          <w:rFonts w:hint="eastAsia" w:ascii="宋体" w:hAnsi="宋体" w:eastAsia="宋体" w:cs="宋体"/>
          <w:bCs/>
          <w:color w:val="000000" w:themeColor="text1"/>
          <w:sz w:val="24"/>
          <w:szCs w:val="24"/>
          <w:highlight w:val="none"/>
          <w:u w:val="singl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地址：</w:t>
      </w:r>
    </w:p>
    <w:p w14:paraId="358EC543">
      <w:pPr>
        <w:pStyle w:val="24"/>
        <w:snapToGrid w:val="0"/>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邮编：</w:t>
      </w:r>
    </w:p>
    <w:p w14:paraId="41327687">
      <w:pPr>
        <w:pStyle w:val="24"/>
        <w:snapToGrid w:val="0"/>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被投诉人1：</w:t>
      </w:r>
    </w:p>
    <w:p w14:paraId="47F9F50E">
      <w:pPr>
        <w:pStyle w:val="24"/>
        <w:snapToGrid w:val="0"/>
        <w:spacing w:line="360" w:lineRule="auto"/>
        <w:ind w:firstLine="480" w:firstLineChars="200"/>
        <w:rPr>
          <w:rFonts w:hint="eastAsia" w:ascii="宋体" w:hAnsi="宋体" w:eastAsia="宋体" w:cs="宋体"/>
          <w:bCs/>
          <w:color w:val="000000" w:themeColor="text1"/>
          <w:sz w:val="24"/>
          <w:szCs w:val="24"/>
          <w:highlight w:val="none"/>
          <w:u w:val="singl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地址：</w:t>
      </w:r>
    </w:p>
    <w:p w14:paraId="5B3AF606">
      <w:pPr>
        <w:pStyle w:val="24"/>
        <w:snapToGrid w:val="0"/>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邮编：</w:t>
      </w:r>
    </w:p>
    <w:p w14:paraId="7FFD1925">
      <w:pPr>
        <w:pStyle w:val="24"/>
        <w:snapToGrid w:val="0"/>
        <w:spacing w:line="360" w:lineRule="auto"/>
        <w:ind w:firstLine="480" w:firstLineChars="200"/>
        <w:rPr>
          <w:rFonts w:hint="eastAsia" w:ascii="宋体" w:hAnsi="宋体" w:eastAsia="宋体" w:cs="宋体"/>
          <w:bCs/>
          <w:color w:val="000000" w:themeColor="text1"/>
          <w:sz w:val="24"/>
          <w:szCs w:val="24"/>
          <w:highlight w:val="none"/>
          <w:u w:val="singl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联系人：联系电话：</w:t>
      </w:r>
    </w:p>
    <w:p w14:paraId="2BBA9FE5">
      <w:pPr>
        <w:pStyle w:val="24"/>
        <w:snapToGrid w:val="0"/>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被投诉人2：</w:t>
      </w:r>
    </w:p>
    <w:p w14:paraId="3194ECFC">
      <w:pPr>
        <w:pStyle w:val="24"/>
        <w:snapToGrid w:val="0"/>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w:t>
      </w:r>
    </w:p>
    <w:p w14:paraId="39543C64">
      <w:pPr>
        <w:pStyle w:val="24"/>
        <w:snapToGrid w:val="0"/>
        <w:spacing w:line="360" w:lineRule="auto"/>
        <w:ind w:firstLine="480" w:firstLineChars="200"/>
        <w:rPr>
          <w:rFonts w:hint="eastAsia" w:ascii="宋体" w:hAnsi="宋体" w:eastAsia="宋体" w:cs="宋体"/>
          <w:bCs/>
          <w:color w:val="000000" w:themeColor="text1"/>
          <w:sz w:val="24"/>
          <w:szCs w:val="24"/>
          <w:highlight w:val="none"/>
          <w:u w:val="singl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相关供应商：</w:t>
      </w:r>
    </w:p>
    <w:p w14:paraId="6F9D8EAF">
      <w:pPr>
        <w:pStyle w:val="24"/>
        <w:snapToGrid w:val="0"/>
        <w:spacing w:line="360" w:lineRule="auto"/>
        <w:ind w:firstLine="480" w:firstLineChars="200"/>
        <w:rPr>
          <w:rFonts w:hint="eastAsia" w:ascii="宋体" w:hAnsi="宋体" w:eastAsia="宋体" w:cs="宋体"/>
          <w:bCs/>
          <w:color w:val="000000" w:themeColor="text1"/>
          <w:sz w:val="24"/>
          <w:szCs w:val="24"/>
          <w:highlight w:val="none"/>
          <w:u w:val="singl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地址：邮编：</w:t>
      </w:r>
    </w:p>
    <w:p w14:paraId="0A77BEEC">
      <w:pPr>
        <w:pStyle w:val="24"/>
        <w:snapToGrid w:val="0"/>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联系人：联系电话：</w:t>
      </w:r>
    </w:p>
    <w:p w14:paraId="2EE41437">
      <w:pPr>
        <w:pStyle w:val="24"/>
        <w:snapToGrid w:val="0"/>
        <w:spacing w:line="360" w:lineRule="auto"/>
        <w:ind w:firstLine="482" w:firstLineChars="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二、投诉项目基本情况：</w:t>
      </w:r>
    </w:p>
    <w:p w14:paraId="7EE84975">
      <w:pPr>
        <w:pStyle w:val="24"/>
        <w:spacing w:line="360" w:lineRule="auto"/>
        <w:ind w:left="25" w:leftChars="12" w:firstLine="472" w:firstLineChars="19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采购</w:t>
      </w:r>
      <w:r>
        <w:rPr>
          <w:rFonts w:hint="eastAsia" w:ascii="宋体" w:hAnsi="宋体" w:eastAsia="宋体" w:cs="宋体"/>
          <w:color w:val="000000" w:themeColor="text1"/>
          <w:sz w:val="24"/>
          <w:szCs w:val="24"/>
          <w:highlight w:val="none"/>
          <w14:textFill>
            <w14:solidFill>
              <w14:schemeClr w14:val="tx1"/>
            </w14:solidFill>
          </w14:textFill>
        </w:rPr>
        <w:t>项目的名称：</w:t>
      </w:r>
    </w:p>
    <w:p w14:paraId="305718A6">
      <w:pPr>
        <w:pStyle w:val="24"/>
        <w:spacing w:line="360" w:lineRule="auto"/>
        <w:ind w:left="25" w:leftChars="12" w:firstLine="472" w:firstLineChars="19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采购</w:t>
      </w:r>
      <w:r>
        <w:rPr>
          <w:rFonts w:hint="eastAsia" w:ascii="宋体" w:hAnsi="宋体" w:eastAsia="宋体" w:cs="宋体"/>
          <w:color w:val="000000" w:themeColor="text1"/>
          <w:sz w:val="24"/>
          <w:szCs w:val="24"/>
          <w:highlight w:val="none"/>
          <w14:textFill>
            <w14:solidFill>
              <w14:schemeClr w14:val="tx1"/>
            </w14:solidFill>
          </w14:textFill>
        </w:rPr>
        <w:t>项目的编号：</w:t>
      </w:r>
    </w:p>
    <w:p w14:paraId="1859579F">
      <w:pPr>
        <w:pStyle w:val="24"/>
        <w:spacing w:line="360" w:lineRule="auto"/>
        <w:ind w:left="25" w:leftChars="12" w:firstLine="472" w:firstLineChars="197"/>
        <w:rPr>
          <w:rFonts w:hint="eastAsia" w:ascii="宋体" w:hAnsi="宋体" w:eastAsia="宋体" w:cs="宋体"/>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采购人名称：</w:t>
      </w:r>
    </w:p>
    <w:p w14:paraId="368334E5">
      <w:pPr>
        <w:pStyle w:val="24"/>
        <w:spacing w:line="360" w:lineRule="auto"/>
        <w:ind w:left="25" w:leftChars="12" w:firstLine="472" w:firstLineChars="197"/>
        <w:rPr>
          <w:rFonts w:hint="eastAsia" w:ascii="宋体" w:hAnsi="宋体" w:eastAsia="宋体" w:cs="宋体"/>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代理机构名称：</w:t>
      </w:r>
    </w:p>
    <w:p w14:paraId="62910FA1">
      <w:pPr>
        <w:pStyle w:val="24"/>
        <w:spacing w:line="360" w:lineRule="auto"/>
        <w:ind w:left="25" w:leftChars="12" w:firstLine="472" w:firstLineChars="197"/>
        <w:rPr>
          <w:rFonts w:hint="eastAsia" w:ascii="宋体" w:hAnsi="宋体" w:eastAsia="宋体" w:cs="宋体"/>
          <w:bCs/>
          <w:color w:val="000000" w:themeColor="text1"/>
          <w:sz w:val="24"/>
          <w:szCs w:val="24"/>
          <w:highlight w:val="none"/>
          <w:u w:val="singl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采购文件公告：</w:t>
      </w:r>
      <w:r>
        <w:rPr>
          <w:rFonts w:hint="eastAsia" w:ascii="宋体" w:hAnsi="宋体" w:eastAsia="宋体" w:cs="宋体"/>
          <w:bCs/>
          <w:color w:val="000000" w:themeColor="text1"/>
          <w:sz w:val="24"/>
          <w:szCs w:val="24"/>
          <w:highlight w:val="none"/>
          <w:u w:val="single"/>
          <w14:textFill>
            <w14:solidFill>
              <w14:schemeClr w14:val="tx1"/>
            </w14:solidFill>
          </w14:textFill>
        </w:rPr>
        <w:t>是/否</w:t>
      </w:r>
      <w:r>
        <w:rPr>
          <w:rFonts w:hint="eastAsia" w:ascii="宋体" w:hAnsi="宋体" w:eastAsia="宋体" w:cs="宋体"/>
          <w:bCs/>
          <w:color w:val="000000" w:themeColor="text1"/>
          <w:sz w:val="24"/>
          <w:szCs w:val="24"/>
          <w:highlight w:val="none"/>
          <w14:textFill>
            <w14:solidFill>
              <w14:schemeClr w14:val="tx1"/>
            </w14:solidFill>
          </w14:textFill>
        </w:rPr>
        <w:t>公告期限：</w:t>
      </w:r>
    </w:p>
    <w:p w14:paraId="7211768A">
      <w:pPr>
        <w:pStyle w:val="24"/>
        <w:spacing w:line="360" w:lineRule="auto"/>
        <w:ind w:left="25" w:leftChars="12" w:firstLine="472" w:firstLineChars="197"/>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采购结果公告：</w:t>
      </w:r>
      <w:r>
        <w:rPr>
          <w:rFonts w:hint="eastAsia" w:ascii="宋体" w:hAnsi="宋体" w:eastAsia="宋体" w:cs="宋体"/>
          <w:bCs/>
          <w:color w:val="000000" w:themeColor="text1"/>
          <w:sz w:val="24"/>
          <w:szCs w:val="24"/>
          <w:highlight w:val="none"/>
          <w:u w:val="single"/>
          <w14:textFill>
            <w14:solidFill>
              <w14:schemeClr w14:val="tx1"/>
            </w14:solidFill>
          </w14:textFill>
        </w:rPr>
        <w:t>是/否</w:t>
      </w:r>
      <w:r>
        <w:rPr>
          <w:rFonts w:hint="eastAsia" w:ascii="宋体" w:hAnsi="宋体" w:eastAsia="宋体" w:cs="宋体"/>
          <w:bCs/>
          <w:color w:val="000000" w:themeColor="text1"/>
          <w:sz w:val="24"/>
          <w:szCs w:val="24"/>
          <w:highlight w:val="none"/>
          <w14:textFill>
            <w14:solidFill>
              <w14:schemeClr w14:val="tx1"/>
            </w14:solidFill>
          </w14:textFill>
        </w:rPr>
        <w:t>公告期限：</w:t>
      </w:r>
    </w:p>
    <w:p w14:paraId="22FD9148">
      <w:pPr>
        <w:pStyle w:val="24"/>
        <w:spacing w:line="360" w:lineRule="auto"/>
        <w:ind w:left="25" w:leftChars="12" w:firstLine="472" w:firstLineChars="196"/>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三、质疑基本情况</w:t>
      </w:r>
    </w:p>
    <w:p w14:paraId="74BB4873">
      <w:pPr>
        <w:pStyle w:val="24"/>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投诉人于年月日，向提出质疑，质疑事项为：</w:t>
      </w:r>
    </w:p>
    <w:p w14:paraId="4FD7670D">
      <w:pPr>
        <w:pStyle w:val="24"/>
        <w:spacing w:line="360" w:lineRule="auto"/>
        <w:ind w:firstLine="241"/>
        <w:rPr>
          <w:rFonts w:hint="eastAsia" w:ascii="宋体" w:hAnsi="宋体" w:eastAsia="宋体" w:cs="宋体"/>
          <w:bCs/>
          <w:color w:val="000000" w:themeColor="text1"/>
          <w:sz w:val="24"/>
          <w:szCs w:val="24"/>
          <w:highlight w:val="none"/>
          <w:u w:val="single"/>
          <w14:textFill>
            <w14:solidFill>
              <w14:schemeClr w14:val="tx1"/>
            </w14:solidFill>
          </w14:textFill>
        </w:rPr>
      </w:pPr>
    </w:p>
    <w:p w14:paraId="1599408E">
      <w:pPr>
        <w:pStyle w:val="24"/>
        <w:spacing w:line="360" w:lineRule="auto"/>
        <w:ind w:firstLine="241"/>
        <w:rPr>
          <w:rFonts w:hint="eastAsia" w:ascii="宋体" w:hAnsi="宋体" w:eastAsia="宋体" w:cs="宋体"/>
          <w:bCs/>
          <w:color w:val="000000" w:themeColor="text1"/>
          <w:sz w:val="24"/>
          <w:szCs w:val="24"/>
          <w:highlight w:val="none"/>
          <w:u w:val="single"/>
          <w14:textFill>
            <w14:solidFill>
              <w14:schemeClr w14:val="tx1"/>
            </w14:solidFill>
          </w14:textFill>
        </w:rPr>
      </w:pPr>
    </w:p>
    <w:p w14:paraId="334E5177">
      <w:pPr>
        <w:pStyle w:val="24"/>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u w:val="single"/>
          <w14:textFill>
            <w14:solidFill>
              <w14:schemeClr w14:val="tx1"/>
            </w14:solidFill>
          </w14:textFill>
        </w:rPr>
        <w:t>采购人/代理机构</w:t>
      </w:r>
      <w:r>
        <w:rPr>
          <w:rFonts w:hint="eastAsia" w:ascii="宋体" w:hAnsi="宋体" w:eastAsia="宋体" w:cs="宋体"/>
          <w:bCs/>
          <w:color w:val="000000" w:themeColor="text1"/>
          <w:sz w:val="24"/>
          <w:szCs w:val="24"/>
          <w:highlight w:val="none"/>
          <w14:textFill>
            <w14:solidFill>
              <w14:schemeClr w14:val="tx1"/>
            </w14:solidFill>
          </w14:textFill>
        </w:rPr>
        <w:t>于</w:t>
      </w:r>
      <w:r>
        <w:rPr>
          <w:rFonts w:hint="eastAsia" w:ascii="宋体" w:hAnsi="宋体" w:eastAsia="宋体" w:cs="宋体"/>
          <w:color w:val="000000" w:themeColor="text1"/>
          <w:sz w:val="24"/>
          <w:szCs w:val="24"/>
          <w:highlight w:val="none"/>
          <w14:textFill>
            <w14:solidFill>
              <w14:schemeClr w14:val="tx1"/>
            </w14:solidFill>
          </w14:textFill>
        </w:rPr>
        <w:t>年月日，</w:t>
      </w:r>
      <w:r>
        <w:rPr>
          <w:rFonts w:hint="eastAsia" w:ascii="宋体" w:hAnsi="宋体" w:eastAsia="宋体" w:cs="宋体"/>
          <w:bCs/>
          <w:color w:val="000000" w:themeColor="text1"/>
          <w:sz w:val="24"/>
          <w:szCs w:val="24"/>
          <w:highlight w:val="none"/>
          <w14:textFill>
            <w14:solidFill>
              <w14:schemeClr w14:val="tx1"/>
            </w14:solidFill>
          </w14:textFill>
        </w:rPr>
        <w:t xml:space="preserve">就质疑事项作出了答复/没有在法定期限内作出答复。                                                                                             </w:t>
      </w:r>
    </w:p>
    <w:p w14:paraId="5E981FD0">
      <w:pPr>
        <w:pStyle w:val="24"/>
        <w:spacing w:line="360" w:lineRule="auto"/>
        <w:ind w:left="25" w:leftChars="12" w:firstLine="472" w:firstLineChars="196"/>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四、投诉事项具体内容</w:t>
      </w:r>
    </w:p>
    <w:p w14:paraId="0D0969BF">
      <w:pPr>
        <w:pStyle w:val="24"/>
        <w:spacing w:line="360" w:lineRule="auto"/>
        <w:ind w:left="25" w:leftChars="12" w:firstLine="472" w:firstLineChars="197"/>
        <w:rPr>
          <w:rFonts w:hint="eastAsia" w:ascii="宋体" w:hAnsi="宋体" w:eastAsia="宋体" w:cs="宋体"/>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投诉事项1：</w:t>
      </w:r>
    </w:p>
    <w:p w14:paraId="3D2A8F8A">
      <w:pPr>
        <w:pStyle w:val="24"/>
        <w:spacing w:line="360" w:lineRule="auto"/>
        <w:ind w:firstLine="480" w:firstLineChars="200"/>
        <w:rPr>
          <w:rFonts w:hint="eastAsia" w:ascii="宋体" w:hAnsi="宋体" w:eastAsia="宋体" w:cs="宋体"/>
          <w:bCs/>
          <w:color w:val="000000" w:themeColor="text1"/>
          <w:sz w:val="24"/>
          <w:szCs w:val="24"/>
          <w:highlight w:val="none"/>
          <w:u w:val="singl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事实依据：</w:t>
      </w:r>
    </w:p>
    <w:p w14:paraId="24D18218">
      <w:pPr>
        <w:pStyle w:val="24"/>
        <w:spacing w:line="360" w:lineRule="auto"/>
        <w:ind w:left="25" w:leftChars="12" w:firstLine="472" w:firstLineChars="197"/>
        <w:rPr>
          <w:rFonts w:hint="eastAsia" w:ascii="宋体" w:hAnsi="宋体" w:eastAsia="宋体" w:cs="宋体"/>
          <w:color w:val="000000" w:themeColor="text1"/>
          <w:sz w:val="24"/>
          <w:szCs w:val="24"/>
          <w:highlight w:val="none"/>
          <w14:textFill>
            <w14:solidFill>
              <w14:schemeClr w14:val="tx1"/>
            </w14:solidFill>
          </w14:textFill>
        </w:rPr>
      </w:pPr>
    </w:p>
    <w:p w14:paraId="147887D9">
      <w:pPr>
        <w:pStyle w:val="24"/>
        <w:spacing w:line="360" w:lineRule="auto"/>
        <w:ind w:firstLine="480" w:firstLineChars="200"/>
        <w:rPr>
          <w:rFonts w:hint="eastAsia" w:ascii="宋体" w:hAnsi="宋体" w:eastAsia="宋体" w:cs="宋体"/>
          <w:bCs/>
          <w:color w:val="000000" w:themeColor="text1"/>
          <w:sz w:val="24"/>
          <w:szCs w:val="24"/>
          <w:highlight w:val="none"/>
          <w:u w:val="singl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法律依据：</w:t>
      </w:r>
    </w:p>
    <w:p w14:paraId="6F003AFD">
      <w:pPr>
        <w:pStyle w:val="24"/>
        <w:spacing w:line="360" w:lineRule="auto"/>
        <w:ind w:left="25" w:leftChars="12" w:firstLine="352" w:firstLineChars="147"/>
        <w:rPr>
          <w:rFonts w:hint="eastAsia" w:ascii="宋体" w:hAnsi="宋体" w:eastAsia="宋体" w:cs="宋体"/>
          <w:bCs/>
          <w:color w:val="000000" w:themeColor="text1"/>
          <w:sz w:val="24"/>
          <w:szCs w:val="24"/>
          <w:highlight w:val="none"/>
          <w:u w:val="single"/>
          <w14:textFill>
            <w14:solidFill>
              <w14:schemeClr w14:val="tx1"/>
            </w14:solidFill>
          </w14:textFill>
        </w:rPr>
      </w:pPr>
    </w:p>
    <w:p w14:paraId="76E3EDB9">
      <w:pPr>
        <w:pStyle w:val="24"/>
        <w:spacing w:line="360" w:lineRule="auto"/>
        <w:ind w:left="25" w:leftChars="12" w:firstLine="472" w:firstLineChars="197"/>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投诉事项2  </w:t>
      </w:r>
    </w:p>
    <w:p w14:paraId="2123CF1D">
      <w:pPr>
        <w:pStyle w:val="24"/>
        <w:spacing w:line="360" w:lineRule="auto"/>
        <w:ind w:left="25" w:leftChars="12" w:firstLine="472" w:firstLineChars="197"/>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w:t>
      </w:r>
    </w:p>
    <w:p w14:paraId="75CD5D94">
      <w:pPr>
        <w:pStyle w:val="24"/>
        <w:spacing w:line="360" w:lineRule="auto"/>
        <w:ind w:left="25" w:leftChars="12" w:firstLine="472" w:firstLineChars="196"/>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五、与投诉事项相关的投诉请求：</w:t>
      </w:r>
    </w:p>
    <w:p w14:paraId="628BF2FF">
      <w:pPr>
        <w:pStyle w:val="24"/>
        <w:spacing w:line="360" w:lineRule="auto"/>
        <w:ind w:left="25" w:leftChars="12" w:firstLine="472" w:firstLineChars="19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请求：</w:t>
      </w:r>
    </w:p>
    <w:p w14:paraId="2DF600C5">
      <w:pPr>
        <w:pStyle w:val="24"/>
        <w:spacing w:line="360" w:lineRule="auto"/>
        <w:ind w:left="25" w:leftChars="12" w:firstLine="352" w:firstLineChars="147"/>
        <w:rPr>
          <w:rFonts w:hint="eastAsia" w:ascii="宋体" w:hAnsi="宋体" w:eastAsia="宋体" w:cs="宋体"/>
          <w:color w:val="000000" w:themeColor="text1"/>
          <w:sz w:val="24"/>
          <w:szCs w:val="24"/>
          <w:highlight w:val="none"/>
          <w14:textFill>
            <w14:solidFill>
              <w14:schemeClr w14:val="tx1"/>
            </w14:solidFill>
          </w14:textFill>
        </w:rPr>
      </w:pPr>
    </w:p>
    <w:p w14:paraId="51886121">
      <w:pPr>
        <w:pStyle w:val="24"/>
        <w:spacing w:line="360" w:lineRule="auto"/>
        <w:ind w:left="25" w:leftChars="12" w:firstLine="472" w:firstLineChars="19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签字（签章）：                                       公章：</w:t>
      </w:r>
    </w:p>
    <w:p w14:paraId="7803077A">
      <w:pPr>
        <w:pStyle w:val="24"/>
        <w:spacing w:line="360" w:lineRule="auto"/>
        <w:ind w:left="25" w:leftChars="12" w:firstLine="352" w:firstLineChars="147"/>
        <w:rPr>
          <w:rFonts w:hint="eastAsia" w:ascii="宋体" w:hAnsi="宋体" w:eastAsia="宋体" w:cs="宋体"/>
          <w:color w:val="000000" w:themeColor="text1"/>
          <w:sz w:val="24"/>
          <w:szCs w:val="24"/>
          <w:highlight w:val="none"/>
          <w14:textFill>
            <w14:solidFill>
              <w14:schemeClr w14:val="tx1"/>
            </w14:solidFill>
          </w14:textFill>
        </w:rPr>
      </w:pPr>
    </w:p>
    <w:p w14:paraId="2742C104">
      <w:pPr>
        <w:pStyle w:val="24"/>
        <w:spacing w:line="360" w:lineRule="auto"/>
        <w:ind w:left="25" w:leftChars="12" w:firstLine="472" w:firstLineChars="19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日期：</w:t>
      </w:r>
    </w:p>
    <w:p w14:paraId="46F38D4B">
      <w:pPr>
        <w:pStyle w:val="24"/>
        <w:spacing w:line="360" w:lineRule="auto"/>
        <w:ind w:left="25" w:leftChars="12" w:firstLine="475" w:firstLineChars="197"/>
        <w:rPr>
          <w:rFonts w:hint="eastAsia" w:ascii="宋体" w:hAnsi="宋体" w:eastAsia="宋体" w:cs="宋体"/>
          <w:b/>
          <w:color w:val="000000" w:themeColor="text1"/>
          <w:sz w:val="24"/>
          <w:szCs w:val="24"/>
          <w:highlight w:val="none"/>
          <w14:textFill>
            <w14:solidFill>
              <w14:schemeClr w14:val="tx1"/>
            </w14:solidFill>
          </w14:textFill>
        </w:rPr>
      </w:pPr>
    </w:p>
    <w:p w14:paraId="08806418">
      <w:pPr>
        <w:pStyle w:val="24"/>
        <w:snapToGrid w:val="0"/>
        <w:spacing w:line="360" w:lineRule="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说明：</w:t>
      </w:r>
    </w:p>
    <w:p w14:paraId="408CAB22">
      <w:pPr>
        <w:pStyle w:val="24"/>
        <w:spacing w:line="360" w:lineRule="auto"/>
        <w:ind w:left="25" w:leftChars="12" w:firstLine="354" w:firstLineChars="147"/>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1.投诉人提起投诉时，应当提交投诉书和必要的证明材料，并按照被投诉人和与投诉事项有关的供应商数量提供投诉书副本</w:t>
      </w:r>
      <w:r>
        <w:rPr>
          <w:rFonts w:hint="eastAsia" w:ascii="宋体" w:hAnsi="宋体" w:eastAsia="宋体" w:cs="宋体"/>
          <w:b/>
          <w:bCs/>
          <w:color w:val="000000" w:themeColor="text1"/>
          <w:sz w:val="24"/>
          <w:szCs w:val="24"/>
          <w:highlight w:val="none"/>
          <w14:textFill>
            <w14:solidFill>
              <w14:schemeClr w14:val="tx1"/>
            </w14:solidFill>
          </w14:textFill>
        </w:rPr>
        <w:t>。</w:t>
      </w:r>
    </w:p>
    <w:p w14:paraId="6F8E1CF4">
      <w:pPr>
        <w:pStyle w:val="24"/>
        <w:spacing w:line="360" w:lineRule="auto"/>
        <w:ind w:left="25" w:leftChars="12" w:firstLine="354" w:firstLineChars="147"/>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9F9A22B">
      <w:pPr>
        <w:pStyle w:val="24"/>
        <w:spacing w:line="360" w:lineRule="auto"/>
        <w:ind w:left="25" w:leftChars="12" w:firstLine="354" w:firstLineChars="147"/>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3.投诉书应简要列明质疑事项，质疑函、质疑答复等作为附件材料提供。</w:t>
      </w:r>
    </w:p>
    <w:p w14:paraId="38CF2A42">
      <w:pPr>
        <w:pStyle w:val="24"/>
        <w:spacing w:line="360" w:lineRule="auto"/>
        <w:ind w:left="25" w:leftChars="12" w:firstLine="354" w:firstLineChars="147"/>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4.投诉书的投诉事项应具体、明确，并有必要的事实依据和法律依据。</w:t>
      </w:r>
    </w:p>
    <w:p w14:paraId="7E94E942">
      <w:pPr>
        <w:pStyle w:val="24"/>
        <w:spacing w:line="360" w:lineRule="auto"/>
        <w:ind w:left="25" w:leftChars="12" w:firstLine="354" w:firstLineChars="147"/>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5.投诉书的投诉请求应与投诉事项相关。</w:t>
      </w:r>
    </w:p>
    <w:p w14:paraId="31C58D87">
      <w:pPr>
        <w:pStyle w:val="24"/>
        <w:spacing w:line="360" w:lineRule="auto"/>
        <w:ind w:left="25" w:leftChars="12" w:firstLine="354" w:firstLineChars="147"/>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6.投诉人为法人或者其他组织的，投诉书应由法定代表人、主要负责人，或者其授权代表签字或者盖章，并加盖公章。</w:t>
      </w:r>
    </w:p>
    <w:p w14:paraId="02D333F6">
      <w:pPr>
        <w:bidi w:val="0"/>
        <w:rPr>
          <w:rFonts w:hint="eastAsia" w:ascii="宋体" w:hAnsi="宋体" w:eastAsia="宋体" w:cs="宋体"/>
          <w:color w:val="000000" w:themeColor="text1"/>
          <w:highlight w:val="none"/>
          <w14:textFill>
            <w14:solidFill>
              <w14:schemeClr w14:val="tx1"/>
            </w14:solidFill>
          </w14:textFill>
        </w:rPr>
      </w:pPr>
    </w:p>
    <w:p w14:paraId="7B7D1584">
      <w:pPr>
        <w:bidi w:val="0"/>
        <w:rPr>
          <w:rFonts w:hint="eastAsia" w:ascii="宋体" w:hAnsi="宋体" w:eastAsia="宋体" w:cs="宋体"/>
          <w:color w:val="000000" w:themeColor="text1"/>
          <w:highlight w:val="none"/>
          <w14:textFill>
            <w14:solidFill>
              <w14:schemeClr w14:val="tx1"/>
            </w14:solidFill>
          </w14:textFill>
        </w:rPr>
      </w:pPr>
    </w:p>
    <w:p w14:paraId="08AF6F28">
      <w:pPr>
        <w:bidi w:val="0"/>
        <w:rPr>
          <w:rFonts w:hint="eastAsia" w:ascii="宋体" w:hAnsi="宋体" w:eastAsia="宋体" w:cs="宋体"/>
          <w:color w:val="000000" w:themeColor="text1"/>
          <w:highlight w:val="none"/>
          <w14:textFill>
            <w14:solidFill>
              <w14:schemeClr w14:val="tx1"/>
            </w14:solidFill>
          </w14:textFill>
        </w:rPr>
      </w:pPr>
    </w:p>
    <w:p w14:paraId="4D4801DC">
      <w:pPr>
        <w:pStyle w:val="2"/>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宋体" w:hAnsi="宋体" w:eastAsia="宋体" w:cs="宋体"/>
          <w:color w:val="000000" w:themeColor="text1"/>
          <w:sz w:val="40"/>
          <w:szCs w:val="40"/>
          <w:highlight w:val="none"/>
          <w14:textFill>
            <w14:solidFill>
              <w14:schemeClr w14:val="tx1"/>
            </w14:solidFill>
          </w14:textFill>
        </w:rPr>
      </w:pPr>
      <w:bookmarkStart w:id="92" w:name="_Toc9284"/>
      <w:r>
        <w:rPr>
          <w:rFonts w:hint="eastAsia" w:ascii="宋体" w:hAnsi="宋体" w:eastAsia="宋体" w:cs="宋体"/>
          <w:color w:val="000000" w:themeColor="text1"/>
          <w:sz w:val="40"/>
          <w:szCs w:val="40"/>
          <w:highlight w:val="none"/>
          <w14:textFill>
            <w14:solidFill>
              <w14:schemeClr w14:val="tx1"/>
            </w14:solidFill>
          </w14:textFill>
        </w:rPr>
        <w:t>第七章</w:t>
      </w:r>
      <w:r>
        <w:rPr>
          <w:rFonts w:hint="eastAsia" w:ascii="宋体" w:hAnsi="宋体" w:eastAsia="宋体" w:cs="宋体"/>
          <w:color w:val="000000" w:themeColor="text1"/>
          <w:sz w:val="40"/>
          <w:szCs w:val="40"/>
          <w:highlight w:val="none"/>
          <w:lang w:val="en-US" w:eastAsia="zh-CN"/>
          <w14:textFill>
            <w14:solidFill>
              <w14:schemeClr w14:val="tx1"/>
            </w14:solidFill>
          </w14:textFill>
        </w:rPr>
        <w:t xml:space="preserve"> </w:t>
      </w:r>
      <w:r>
        <w:rPr>
          <w:rFonts w:hint="eastAsia" w:ascii="宋体" w:hAnsi="宋体" w:eastAsia="宋体" w:cs="宋体"/>
          <w:color w:val="000000" w:themeColor="text1"/>
          <w:sz w:val="40"/>
          <w:szCs w:val="40"/>
          <w:highlight w:val="none"/>
          <w14:textFill>
            <w14:solidFill>
              <w14:schemeClr w14:val="tx1"/>
            </w14:solidFill>
          </w14:textFill>
        </w:rPr>
        <w:t>合同文本</w:t>
      </w:r>
      <w:bookmarkEnd w:id="92"/>
    </w:p>
    <w:p w14:paraId="4120D086">
      <w:pPr>
        <w:bidi w:val="0"/>
        <w:rPr>
          <w:color w:val="000000" w:themeColor="text1"/>
          <w:highlight w:val="none"/>
          <w14:textFill>
            <w14:solidFill>
              <w14:schemeClr w14:val="tx1"/>
            </w14:solidFill>
          </w14:textFill>
        </w:rPr>
      </w:pPr>
    </w:p>
    <w:p w14:paraId="685AA1C3">
      <w:pPr>
        <w:pStyle w:val="3"/>
        <w:keepNext/>
        <w:keepLines/>
        <w:pageBreakBefore w:val="0"/>
        <w:widowControl w:val="0"/>
        <w:kinsoku/>
        <w:wordWrap/>
        <w:overflowPunct/>
        <w:topLinePunct w:val="0"/>
        <w:autoSpaceDE/>
        <w:autoSpaceDN/>
        <w:bidi w:val="0"/>
        <w:adjustRightInd/>
        <w:snapToGrid/>
        <w:spacing w:before="0" w:after="0" w:line="460" w:lineRule="exact"/>
        <w:jc w:val="center"/>
        <w:textAlignment w:val="auto"/>
        <w:rPr>
          <w:rFonts w:hint="eastAsia" w:eastAsia="宋体" w:cs="Times New Roman"/>
          <w:color w:val="000000" w:themeColor="text1"/>
          <w:highlight w:val="none"/>
          <w14:textFill>
            <w14:solidFill>
              <w14:schemeClr w14:val="tx1"/>
            </w14:solidFill>
          </w14:textFill>
        </w:rPr>
      </w:pPr>
      <w:bookmarkStart w:id="1051" w:name="_GoBack"/>
      <w:bookmarkEnd w:id="1051"/>
      <w:r>
        <w:rPr>
          <w:rFonts w:hint="eastAsia" w:eastAsia="宋体" w:cs="Times New Roman"/>
          <w:color w:val="000000" w:themeColor="text1"/>
          <w:highlight w:val="none"/>
          <w14:textFill>
            <w14:solidFill>
              <w14:schemeClr w14:val="tx1"/>
            </w14:solidFill>
          </w14:textFill>
        </w:rPr>
        <w:t>第一部分 合同协议书</w:t>
      </w:r>
    </w:p>
    <w:p w14:paraId="123AE346">
      <w:pPr>
        <w:pageBreakBefore w:val="0"/>
        <w:wordWrap/>
        <w:overflowPunct/>
        <w:topLinePunct w:val="0"/>
        <w:bidi w:val="0"/>
        <w:spacing w:line="460" w:lineRule="exact"/>
        <w:rPr>
          <w:rFonts w:hint="eastAsia" w:ascii="宋体" w:hAnsi="宋体" w:eastAsia="宋体" w:cs="宋体"/>
          <w:color w:val="000000" w:themeColor="text1"/>
          <w:sz w:val="22"/>
          <w:szCs w:val="22"/>
          <w14:textFill>
            <w14:solidFill>
              <w14:schemeClr w14:val="tx1"/>
            </w14:solidFill>
          </w14:textFill>
        </w:rPr>
      </w:pPr>
    </w:p>
    <w:p w14:paraId="40C028E0">
      <w:pPr>
        <w:pStyle w:val="237"/>
        <w:pageBreakBefore w:val="0"/>
        <w:wordWrap/>
        <w:overflowPunct/>
        <w:topLinePunct w:val="0"/>
        <w:bidi w:val="0"/>
        <w:spacing w:line="460" w:lineRule="exact"/>
        <w:rPr>
          <w:rFonts w:hint="eastAsia" w:ascii="宋体" w:hAnsi="宋体" w:eastAsia="宋体" w:cs="宋体"/>
          <w:color w:val="000000" w:themeColor="text1"/>
          <w:sz w:val="24"/>
          <w:szCs w:val="24"/>
          <w:u w:val="single"/>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发包人（全称）：</w:t>
      </w:r>
      <w:r>
        <w:rPr>
          <w:rFonts w:hint="eastAsia" w:ascii="宋体" w:hAnsi="宋体" w:eastAsia="宋体" w:cs="宋体"/>
          <w:b/>
          <w:bCs/>
          <w:color w:val="000000" w:themeColor="text1"/>
          <w:sz w:val="24"/>
          <w:szCs w:val="24"/>
          <w:u w:val="single"/>
          <w14:textFill>
            <w14:solidFill>
              <w14:schemeClr w14:val="tx1"/>
            </w14:solidFill>
          </w14:textFill>
        </w:rPr>
        <w:t xml:space="preserve"> </w:t>
      </w:r>
      <w:r>
        <w:rPr>
          <w:rFonts w:hint="eastAsia" w:ascii="宋体" w:hAnsi="宋体" w:eastAsia="宋体" w:cs="宋体"/>
          <w:b/>
          <w:bCs/>
          <w:color w:val="000000" w:themeColor="text1"/>
          <w:sz w:val="24"/>
          <w:szCs w:val="24"/>
          <w:u w:val="single"/>
          <w:lang w:eastAsia="zh-CN"/>
          <w14:textFill>
            <w14:solidFill>
              <w14:schemeClr w14:val="tx1"/>
            </w14:solidFill>
          </w14:textFill>
        </w:rPr>
        <w:t xml:space="preserve">                      </w:t>
      </w:r>
      <w:r>
        <w:rPr>
          <w:rFonts w:hint="eastAsia" w:ascii="宋体" w:hAnsi="宋体" w:eastAsia="宋体" w:cs="宋体"/>
          <w:b/>
          <w:bCs/>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u w:val="single"/>
          <w14:textFill>
            <w14:solidFill>
              <w14:schemeClr w14:val="tx1"/>
            </w14:solidFill>
          </w14:textFill>
        </w:rPr>
        <w:t xml:space="preserve">  </w:t>
      </w:r>
    </w:p>
    <w:p w14:paraId="771328E0">
      <w:pPr>
        <w:pStyle w:val="237"/>
        <w:pageBreakBefore w:val="0"/>
        <w:wordWrap/>
        <w:overflowPunct/>
        <w:topLinePunct w:val="0"/>
        <w:bidi w:val="0"/>
        <w:spacing w:line="460" w:lineRule="exact"/>
        <w:rPr>
          <w:rFonts w:hint="eastAsia" w:ascii="宋体" w:hAnsi="宋体" w:eastAsia="宋体" w:cs="宋体"/>
          <w:color w:val="000000" w:themeColor="text1"/>
          <w:sz w:val="24"/>
          <w:szCs w:val="24"/>
          <w:u w:val="single"/>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承包人（全称）：</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b/>
          <w:bCs/>
          <w:color w:val="000000" w:themeColor="text1"/>
          <w:sz w:val="24"/>
          <w:szCs w:val="24"/>
          <w:u w:val="single"/>
          <w:lang w:eastAsia="zh-CN"/>
          <w14:textFill>
            <w14:solidFill>
              <w14:schemeClr w14:val="tx1"/>
            </w14:solidFill>
          </w14:textFill>
        </w:rPr>
        <w:t xml:space="preserve"> </w:t>
      </w:r>
      <w:r>
        <w:rPr>
          <w:rFonts w:hint="eastAsia" w:ascii="宋体" w:hAnsi="宋体" w:eastAsia="宋体" w:cs="宋体"/>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u w:val="single"/>
          <w:lang w:eastAsia="zh-CN"/>
          <w14:textFill>
            <w14:solidFill>
              <w14:schemeClr w14:val="tx1"/>
            </w14:solidFill>
          </w14:textFill>
        </w:rPr>
        <w:t xml:space="preserve">         </w:t>
      </w:r>
      <w:r>
        <w:rPr>
          <w:rFonts w:hint="eastAsia" w:ascii="宋体" w:hAnsi="宋体" w:eastAsia="宋体" w:cs="宋体"/>
          <w:b/>
          <w:bCs/>
          <w:color w:val="000000" w:themeColor="text1"/>
          <w:sz w:val="24"/>
          <w:szCs w:val="24"/>
          <w:u w:val="single"/>
          <w14:textFill>
            <w14:solidFill>
              <w14:schemeClr w14:val="tx1"/>
            </w14:solidFill>
          </w14:textFill>
        </w:rPr>
        <w:t xml:space="preserve">  </w:t>
      </w:r>
    </w:p>
    <w:p w14:paraId="48D58339">
      <w:pPr>
        <w:pStyle w:val="237"/>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根据《中华人民共和国民法典》、《中华人民共和国建筑法》及有关法律规定，遵循平等、自愿、公平和诚实信用的原则，双方</w:t>
      </w:r>
      <w:r>
        <w:rPr>
          <w:rFonts w:hint="eastAsia" w:ascii="宋体" w:hAnsi="宋体" w:eastAsia="宋体" w:cs="宋体"/>
          <w:b w:val="0"/>
          <w:bCs w:val="0"/>
          <w:color w:val="000000" w:themeColor="text1"/>
          <w:sz w:val="24"/>
          <w:szCs w:val="24"/>
          <w14:textFill>
            <w14:solidFill>
              <w14:schemeClr w14:val="tx1"/>
            </w14:solidFill>
          </w14:textFill>
        </w:rPr>
        <w:t>就</w:t>
      </w:r>
      <w:r>
        <w:rPr>
          <w:rFonts w:hint="eastAsia" w:ascii="宋体" w:hAnsi="宋体" w:eastAsia="宋体" w:cs="宋体"/>
          <w:b w:val="0"/>
          <w:bCs w:val="0"/>
          <w:color w:val="000000" w:themeColor="text1"/>
          <w:sz w:val="24"/>
          <w:szCs w:val="24"/>
          <w:u w:val="single"/>
          <w14:textFill>
            <w14:solidFill>
              <w14:schemeClr w14:val="tx1"/>
            </w14:solidFill>
          </w14:textFill>
        </w:rPr>
        <w:t xml:space="preserve"> </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贵港市港南区养老服务中心附属设施建设项目</w:t>
      </w:r>
      <w:r>
        <w:rPr>
          <w:rFonts w:hint="eastAsia" w:ascii="宋体" w:hAnsi="宋体" w:eastAsia="宋体" w:cs="宋体"/>
          <w:b w:val="0"/>
          <w:bCs w:val="0"/>
          <w:color w:val="000000" w:themeColor="text1"/>
          <w:sz w:val="24"/>
          <w:szCs w:val="24"/>
          <w:u w:val="single"/>
          <w14:textFill>
            <w14:solidFill>
              <w14:schemeClr w14:val="tx1"/>
            </w14:solidFill>
          </w14:textFill>
        </w:rPr>
        <w:t xml:space="preserve"> </w:t>
      </w:r>
      <w:r>
        <w:rPr>
          <w:rFonts w:hint="eastAsia" w:ascii="宋体" w:hAnsi="宋体" w:eastAsia="宋体" w:cs="宋体"/>
          <w:b w:val="0"/>
          <w:bCs w:val="0"/>
          <w:color w:val="000000" w:themeColor="text1"/>
          <w:sz w:val="24"/>
          <w:szCs w:val="24"/>
          <w14:textFill>
            <w14:solidFill>
              <w14:schemeClr w14:val="tx1"/>
            </w14:solidFill>
          </w14:textFill>
        </w:rPr>
        <w:t>工</w:t>
      </w:r>
      <w:r>
        <w:rPr>
          <w:rFonts w:hint="eastAsia" w:ascii="宋体" w:hAnsi="宋体" w:eastAsia="宋体" w:cs="宋体"/>
          <w:color w:val="000000" w:themeColor="text1"/>
          <w:sz w:val="24"/>
          <w:szCs w:val="24"/>
          <w14:textFill>
            <w14:solidFill>
              <w14:schemeClr w14:val="tx1"/>
            </w14:solidFill>
          </w14:textFill>
        </w:rPr>
        <w:t>程施工及有关事项协商一致，共同达成如下协议：</w:t>
      </w:r>
      <w:bookmarkStart w:id="93" w:name="_Toc351203481"/>
    </w:p>
    <w:p w14:paraId="426629BF">
      <w:pPr>
        <w:pStyle w:val="237"/>
        <w:pageBreakBefore w:val="0"/>
        <w:wordWrap/>
        <w:overflowPunct/>
        <w:topLinePunct w:val="0"/>
        <w:bidi w:val="0"/>
        <w:spacing w:line="460" w:lineRule="exact"/>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一、工程概况</w:t>
      </w:r>
      <w:bookmarkEnd w:id="93"/>
    </w:p>
    <w:p w14:paraId="1B225C1B">
      <w:pPr>
        <w:pStyle w:val="237"/>
        <w:pageBreakBefore w:val="0"/>
        <w:wordWrap/>
        <w:overflowPunct/>
        <w:topLinePunct w:val="0"/>
        <w:bidi w:val="0"/>
        <w:spacing w:line="460" w:lineRule="exact"/>
        <w:ind w:firstLine="470" w:firstLineChars="196"/>
        <w:rPr>
          <w:rFonts w:hint="eastAsia" w:ascii="宋体" w:hAnsi="宋体" w:eastAsia="宋体" w:cs="宋体"/>
          <w:color w:val="000000" w:themeColor="text1"/>
          <w:sz w:val="24"/>
          <w:szCs w:val="24"/>
          <w:u w:val="single"/>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 工程名称：</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贵港市港南区养老服务中心附属设施建设项目</w:t>
      </w:r>
      <w:r>
        <w:rPr>
          <w:rFonts w:hint="eastAsia" w:ascii="宋体" w:hAnsi="宋体" w:eastAsia="宋体" w:cs="宋体"/>
          <w:b w:val="0"/>
          <w:bCs w:val="0"/>
          <w:color w:val="000000" w:themeColor="text1"/>
          <w:sz w:val="24"/>
          <w:szCs w:val="24"/>
          <w:u w:val="single"/>
          <w14:textFill>
            <w14:solidFill>
              <w14:schemeClr w14:val="tx1"/>
            </w14:solidFill>
          </w14:textFill>
        </w:rPr>
        <w:t xml:space="preserve"> </w:t>
      </w:r>
      <w:r>
        <w:rPr>
          <w:rFonts w:hint="eastAsia" w:ascii="宋体" w:hAnsi="宋体" w:eastAsia="宋体" w:cs="宋体"/>
          <w:b w:val="0"/>
          <w:bCs w:val="0"/>
          <w:color w:val="000000" w:themeColor="text1"/>
          <w:sz w:val="24"/>
          <w:szCs w:val="24"/>
          <w14:textFill>
            <w14:solidFill>
              <w14:schemeClr w14:val="tx1"/>
            </w14:solidFill>
          </w14:textFill>
        </w:rPr>
        <w:t>。</w:t>
      </w:r>
    </w:p>
    <w:p w14:paraId="6671F7A0">
      <w:pPr>
        <w:pStyle w:val="237"/>
        <w:pageBreakBefore w:val="0"/>
        <w:wordWrap/>
        <w:overflowPunct/>
        <w:topLinePunct w:val="0"/>
        <w:bidi w:val="0"/>
        <w:spacing w:line="460" w:lineRule="exact"/>
        <w:ind w:firstLine="470" w:firstLineChars="19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 工程地点：</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贵港市港南区东津镇石连村冲口屯</w:t>
      </w:r>
      <w:r>
        <w:rPr>
          <w:rFonts w:hint="eastAsia" w:ascii="宋体" w:hAnsi="宋体" w:eastAsia="宋体" w:cs="宋体"/>
          <w:b/>
          <w:bCs/>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w:t>
      </w:r>
    </w:p>
    <w:p w14:paraId="6083B43E">
      <w:pPr>
        <w:pStyle w:val="237"/>
        <w:pageBreakBefore w:val="0"/>
        <w:wordWrap/>
        <w:overflowPunct/>
        <w:topLinePunct w:val="0"/>
        <w:bidi w:val="0"/>
        <w:spacing w:line="460" w:lineRule="exact"/>
        <w:ind w:firstLine="470" w:firstLineChars="19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 资金来源：</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b/>
          <w:bCs/>
          <w:color w:val="000000" w:themeColor="text1"/>
          <w:sz w:val="24"/>
          <w:szCs w:val="24"/>
          <w:u w:val="single"/>
          <w:lang w:eastAsia="zh-CN"/>
          <w14:textFill>
            <w14:solidFill>
              <w14:schemeClr w14:val="tx1"/>
            </w14:solidFill>
          </w14:textFill>
        </w:rPr>
        <w:t xml:space="preserve"> </w:t>
      </w:r>
      <w:r>
        <w:rPr>
          <w:rFonts w:hint="eastAsia" w:ascii="宋体" w:hAnsi="宋体" w:eastAsia="宋体" w:cs="宋体"/>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w:t>
      </w:r>
    </w:p>
    <w:p w14:paraId="0A0B9540">
      <w:pPr>
        <w:pStyle w:val="237"/>
        <w:pageBreakBefore w:val="0"/>
        <w:wordWrap/>
        <w:overflowPunct/>
        <w:topLinePunct w:val="0"/>
        <w:bidi w:val="0"/>
        <w:spacing w:line="460" w:lineRule="exact"/>
        <w:ind w:firstLine="470" w:firstLineChars="196"/>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 工程</w:t>
      </w:r>
      <w:r>
        <w:rPr>
          <w:rFonts w:hint="eastAsia" w:ascii="宋体" w:hAnsi="宋体" w:eastAsia="宋体" w:cs="宋体"/>
          <w:color w:val="000000" w:themeColor="text1"/>
          <w:sz w:val="24"/>
          <w:szCs w:val="24"/>
          <w:lang w:val="en-US" w:eastAsia="zh-CN"/>
          <w14:textFill>
            <w14:solidFill>
              <w14:schemeClr w14:val="tx1"/>
            </w14:solidFill>
          </w14:textFill>
        </w:rPr>
        <w:t>规模</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14:textFill>
            <w14:solidFill>
              <w14:schemeClr w14:val="tx1"/>
            </w14:solidFill>
          </w14:textFill>
        </w:rPr>
        <w:t>。</w:t>
      </w:r>
    </w:p>
    <w:p w14:paraId="47DC4C86">
      <w:pPr>
        <w:pStyle w:val="237"/>
        <w:pageBreakBefore w:val="0"/>
        <w:wordWrap/>
        <w:overflowPunct/>
        <w:topLinePunct w:val="0"/>
        <w:bidi w:val="0"/>
        <w:spacing w:line="460" w:lineRule="exact"/>
        <w:ind w:firstLine="470" w:firstLineChars="19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 工程承包范围：</w:t>
      </w:r>
      <w:r>
        <w:rPr>
          <w:rFonts w:hint="eastAsia" w:ascii="宋体" w:hAnsi="宋体" w:eastAsia="宋体" w:cs="宋体"/>
          <w:b/>
          <w:bCs/>
          <w:color w:val="000000" w:themeColor="text1"/>
          <w:sz w:val="24"/>
          <w:szCs w:val="24"/>
          <w:u w:val="single"/>
          <w14:textFill>
            <w14:solidFill>
              <w14:schemeClr w14:val="tx1"/>
            </w14:solidFill>
          </w14:textFill>
        </w:rPr>
        <w:t xml:space="preserve"> </w:t>
      </w:r>
      <w:r>
        <w:rPr>
          <w:rFonts w:hint="eastAsia" w:ascii="宋体" w:hAnsi="宋体" w:eastAsia="宋体" w:cs="宋体"/>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u w:val="single"/>
          <w14:textFill>
            <w14:solidFill>
              <w14:schemeClr w14:val="tx1"/>
            </w14:solidFill>
          </w14:textFill>
        </w:rPr>
        <w:t>。</w:t>
      </w:r>
    </w:p>
    <w:p w14:paraId="0C7C0012">
      <w:pPr>
        <w:pStyle w:val="237"/>
        <w:pageBreakBefore w:val="0"/>
        <w:wordWrap/>
        <w:overflowPunct/>
        <w:topLinePunct w:val="0"/>
        <w:bidi w:val="0"/>
        <w:spacing w:line="460" w:lineRule="exact"/>
        <w:rPr>
          <w:rFonts w:hint="eastAsia" w:ascii="宋体" w:hAnsi="宋体" w:eastAsia="宋体" w:cs="宋体"/>
          <w:color w:val="000000" w:themeColor="text1"/>
          <w:sz w:val="24"/>
          <w:szCs w:val="24"/>
          <w14:textFill>
            <w14:solidFill>
              <w14:schemeClr w14:val="tx1"/>
            </w14:solidFill>
          </w14:textFill>
        </w:rPr>
      </w:pPr>
      <w:bookmarkStart w:id="94" w:name="_Toc351203482"/>
      <w:r>
        <w:rPr>
          <w:rFonts w:hint="eastAsia" w:ascii="宋体" w:hAnsi="宋体" w:eastAsia="宋体" w:cs="宋体"/>
          <w:color w:val="000000" w:themeColor="text1"/>
          <w:sz w:val="24"/>
          <w:szCs w:val="24"/>
          <w14:textFill>
            <w14:solidFill>
              <w14:schemeClr w14:val="tx1"/>
            </w14:solidFill>
          </w14:textFill>
        </w:rPr>
        <w:t>二、合同工期</w:t>
      </w:r>
      <w:bookmarkEnd w:id="94"/>
    </w:p>
    <w:p w14:paraId="21D1B47B">
      <w:pPr>
        <w:pStyle w:val="237"/>
        <w:pageBreakBefore w:val="0"/>
        <w:wordWrap/>
        <w:overflowPunct/>
        <w:topLinePunct w:val="0"/>
        <w:bidi w:val="0"/>
        <w:spacing w:line="460" w:lineRule="exact"/>
        <w:ind w:firstLine="459"/>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计划开工日期：</w:t>
      </w:r>
      <w:r>
        <w:rPr>
          <w:rFonts w:hint="eastAsia" w:ascii="宋体" w:hAnsi="宋体" w:eastAsia="宋体" w:cs="宋体"/>
          <w:b/>
          <w:bCs/>
          <w:color w:val="000000" w:themeColor="text1"/>
          <w:sz w:val="24"/>
          <w:szCs w:val="24"/>
          <w:u w:val="single"/>
          <w14:textFill>
            <w14:solidFill>
              <w14:schemeClr w14:val="tx1"/>
            </w14:solidFill>
          </w14:textFill>
        </w:rPr>
        <w:t xml:space="preserve">    </w:t>
      </w:r>
      <w:r>
        <w:rPr>
          <w:rFonts w:hint="eastAsia" w:ascii="宋体" w:hAnsi="宋体" w:eastAsia="宋体" w:cs="宋体"/>
          <w:b w:val="0"/>
          <w:bCs w:val="0"/>
          <w:color w:val="000000" w:themeColor="text1"/>
          <w:sz w:val="24"/>
          <w:szCs w:val="24"/>
          <w:u w:val="single"/>
          <w14:textFill>
            <w14:solidFill>
              <w14:schemeClr w14:val="tx1"/>
            </w14:solidFill>
          </w14:textFill>
        </w:rPr>
        <w:t xml:space="preserve"> </w:t>
      </w:r>
      <w:r>
        <w:rPr>
          <w:rFonts w:hint="eastAsia" w:ascii="宋体" w:hAnsi="宋体" w:eastAsia="宋体" w:cs="宋体"/>
          <w:b w:val="0"/>
          <w:bCs w:val="0"/>
          <w:color w:val="000000" w:themeColor="text1"/>
          <w:sz w:val="24"/>
          <w:szCs w:val="24"/>
          <w14:textFill>
            <w14:solidFill>
              <w14:schemeClr w14:val="tx1"/>
            </w14:solidFill>
          </w14:textFill>
        </w:rPr>
        <w:t>年</w:t>
      </w:r>
      <w:r>
        <w:rPr>
          <w:rFonts w:hint="eastAsia" w:ascii="宋体" w:hAnsi="宋体" w:eastAsia="宋体" w:cs="宋体"/>
          <w:b w:val="0"/>
          <w:bCs w:val="0"/>
          <w:color w:val="000000" w:themeColor="text1"/>
          <w:sz w:val="24"/>
          <w:szCs w:val="24"/>
          <w:u w:val="single"/>
          <w14:textFill>
            <w14:solidFill>
              <w14:schemeClr w14:val="tx1"/>
            </w14:solidFill>
          </w14:textFill>
        </w:rPr>
        <w:t xml:space="preserve">    </w:t>
      </w:r>
      <w:r>
        <w:rPr>
          <w:rFonts w:hint="eastAsia" w:ascii="宋体" w:hAnsi="宋体" w:eastAsia="宋体" w:cs="宋体"/>
          <w:b w:val="0"/>
          <w:bCs w:val="0"/>
          <w:color w:val="000000" w:themeColor="text1"/>
          <w:sz w:val="24"/>
          <w:szCs w:val="24"/>
          <w14:textFill>
            <w14:solidFill>
              <w14:schemeClr w14:val="tx1"/>
            </w14:solidFill>
          </w14:textFill>
        </w:rPr>
        <w:t>月</w:t>
      </w:r>
      <w:r>
        <w:rPr>
          <w:rFonts w:hint="eastAsia" w:ascii="宋体" w:hAnsi="宋体" w:eastAsia="宋体" w:cs="宋体"/>
          <w:b w:val="0"/>
          <w:bCs w:val="0"/>
          <w:color w:val="000000" w:themeColor="text1"/>
          <w:sz w:val="24"/>
          <w:szCs w:val="24"/>
          <w:u w:val="single"/>
          <w14:textFill>
            <w14:solidFill>
              <w14:schemeClr w14:val="tx1"/>
            </w14:solidFill>
          </w14:textFill>
        </w:rPr>
        <w:t xml:space="preserve">     </w:t>
      </w:r>
      <w:r>
        <w:rPr>
          <w:rFonts w:hint="eastAsia" w:ascii="宋体" w:hAnsi="宋体" w:eastAsia="宋体" w:cs="宋体"/>
          <w:b w:val="0"/>
          <w:bCs w:val="0"/>
          <w:color w:val="000000" w:themeColor="text1"/>
          <w:sz w:val="24"/>
          <w:szCs w:val="24"/>
          <w14:textFill>
            <w14:solidFill>
              <w14:schemeClr w14:val="tx1"/>
            </w14:solidFill>
          </w14:textFill>
        </w:rPr>
        <w:t>日。（具体以</w:t>
      </w:r>
      <w:r>
        <w:rPr>
          <w:rFonts w:hint="eastAsia" w:ascii="宋体" w:hAnsi="宋体" w:eastAsia="宋体" w:cs="宋体"/>
          <w:b w:val="0"/>
          <w:bCs w:val="0"/>
          <w:color w:val="000000" w:themeColor="text1"/>
          <w:sz w:val="24"/>
          <w:szCs w:val="24"/>
          <w:lang w:val="en-US" w:eastAsia="zh-CN"/>
          <w14:textFill>
            <w14:solidFill>
              <w14:schemeClr w14:val="tx1"/>
            </w14:solidFill>
          </w14:textFill>
        </w:rPr>
        <w:t>监理签发开工令</w:t>
      </w:r>
      <w:r>
        <w:rPr>
          <w:rFonts w:hint="eastAsia" w:ascii="宋体" w:hAnsi="宋体" w:eastAsia="宋体" w:cs="宋体"/>
          <w:b w:val="0"/>
          <w:bCs w:val="0"/>
          <w:color w:val="000000" w:themeColor="text1"/>
          <w:sz w:val="24"/>
          <w:szCs w:val="24"/>
          <w14:textFill>
            <w14:solidFill>
              <w14:schemeClr w14:val="tx1"/>
            </w14:solidFill>
          </w14:textFill>
        </w:rPr>
        <w:t>为准）</w:t>
      </w:r>
    </w:p>
    <w:p w14:paraId="6FADF307">
      <w:pPr>
        <w:pStyle w:val="237"/>
        <w:pageBreakBefore w:val="0"/>
        <w:wordWrap/>
        <w:overflowPunct/>
        <w:topLinePunct w:val="0"/>
        <w:bidi w:val="0"/>
        <w:spacing w:line="460" w:lineRule="exact"/>
        <w:ind w:firstLine="45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计划竣工日期：</w:t>
      </w:r>
      <w:r>
        <w:rPr>
          <w:rFonts w:hint="eastAsia" w:ascii="宋体" w:hAnsi="宋体" w:eastAsia="宋体" w:cs="宋体"/>
          <w:b w:val="0"/>
          <w:bCs w:val="0"/>
          <w:color w:val="000000" w:themeColor="text1"/>
          <w:sz w:val="24"/>
          <w:szCs w:val="24"/>
          <w:u w:val="single"/>
          <w14:textFill>
            <w14:solidFill>
              <w14:schemeClr w14:val="tx1"/>
            </w14:solidFill>
          </w14:textFill>
        </w:rPr>
        <w:t xml:space="preserve">     </w:t>
      </w:r>
      <w:r>
        <w:rPr>
          <w:rFonts w:hint="eastAsia" w:ascii="宋体" w:hAnsi="宋体" w:eastAsia="宋体" w:cs="宋体"/>
          <w:b w:val="0"/>
          <w:bCs w:val="0"/>
          <w:color w:val="000000" w:themeColor="text1"/>
          <w:sz w:val="24"/>
          <w:szCs w:val="24"/>
          <w14:textFill>
            <w14:solidFill>
              <w14:schemeClr w14:val="tx1"/>
            </w14:solidFill>
          </w14:textFill>
        </w:rPr>
        <w:t>年</w:t>
      </w:r>
      <w:r>
        <w:rPr>
          <w:rFonts w:hint="eastAsia" w:ascii="宋体" w:hAnsi="宋体" w:eastAsia="宋体" w:cs="宋体"/>
          <w:b w:val="0"/>
          <w:bCs w:val="0"/>
          <w:color w:val="000000" w:themeColor="text1"/>
          <w:sz w:val="24"/>
          <w:szCs w:val="24"/>
          <w:u w:val="single"/>
          <w14:textFill>
            <w14:solidFill>
              <w14:schemeClr w14:val="tx1"/>
            </w14:solidFill>
          </w14:textFill>
        </w:rPr>
        <w:t xml:space="preserve">    </w:t>
      </w:r>
      <w:r>
        <w:rPr>
          <w:rFonts w:hint="eastAsia" w:ascii="宋体" w:hAnsi="宋体" w:eastAsia="宋体" w:cs="宋体"/>
          <w:b w:val="0"/>
          <w:bCs w:val="0"/>
          <w:color w:val="000000" w:themeColor="text1"/>
          <w:sz w:val="24"/>
          <w:szCs w:val="24"/>
          <w14:textFill>
            <w14:solidFill>
              <w14:schemeClr w14:val="tx1"/>
            </w14:solidFill>
          </w14:textFill>
        </w:rPr>
        <w:t>月</w:t>
      </w:r>
      <w:r>
        <w:rPr>
          <w:rFonts w:hint="eastAsia" w:ascii="宋体" w:hAnsi="宋体" w:eastAsia="宋体" w:cs="宋体"/>
          <w:b w:val="0"/>
          <w:bCs w:val="0"/>
          <w:color w:val="000000" w:themeColor="text1"/>
          <w:sz w:val="24"/>
          <w:szCs w:val="24"/>
          <w:u w:val="single"/>
          <w14:textFill>
            <w14:solidFill>
              <w14:schemeClr w14:val="tx1"/>
            </w14:solidFill>
          </w14:textFill>
        </w:rPr>
        <w:t xml:space="preserve">     </w:t>
      </w:r>
      <w:r>
        <w:rPr>
          <w:rFonts w:hint="eastAsia" w:ascii="宋体" w:hAnsi="宋体" w:eastAsia="宋体" w:cs="宋体"/>
          <w:b w:val="0"/>
          <w:bCs w:val="0"/>
          <w:color w:val="000000" w:themeColor="text1"/>
          <w:sz w:val="24"/>
          <w:szCs w:val="24"/>
          <w14:textFill>
            <w14:solidFill>
              <w14:schemeClr w14:val="tx1"/>
            </w14:solidFill>
          </w14:textFill>
        </w:rPr>
        <w:t>日</w:t>
      </w:r>
      <w:r>
        <w:rPr>
          <w:rFonts w:hint="eastAsia" w:ascii="宋体" w:hAnsi="宋体" w:eastAsia="宋体" w:cs="宋体"/>
          <w:color w:val="000000" w:themeColor="text1"/>
          <w:sz w:val="24"/>
          <w:szCs w:val="24"/>
          <w14:textFill>
            <w14:solidFill>
              <w14:schemeClr w14:val="tx1"/>
            </w14:solidFill>
          </w14:textFill>
        </w:rPr>
        <w:t>。</w:t>
      </w:r>
    </w:p>
    <w:p w14:paraId="2D6058F0">
      <w:pPr>
        <w:pStyle w:val="237"/>
        <w:pageBreakBefore w:val="0"/>
        <w:wordWrap/>
        <w:overflowPunct/>
        <w:topLinePunct w:val="0"/>
        <w:bidi w:val="0"/>
        <w:spacing w:line="460" w:lineRule="exact"/>
        <w:ind w:firstLine="459"/>
        <w:rPr>
          <w:rFonts w:hint="eastAsia" w:ascii="宋体" w:hAnsi="宋体" w:eastAsia="宋体" w:cs="宋体"/>
          <w:color w:val="000000" w:themeColor="text1"/>
          <w:sz w:val="24"/>
          <w:szCs w:val="24"/>
          <w14:textFill>
            <w14:solidFill>
              <w14:schemeClr w14:val="tx1"/>
            </w14:solidFill>
          </w14:textFill>
        </w:rPr>
      </w:pPr>
      <w:bookmarkStart w:id="95" w:name="_Toc351203483"/>
      <w:r>
        <w:rPr>
          <w:rFonts w:hint="eastAsia" w:ascii="宋体" w:hAnsi="宋体" w:eastAsia="宋体" w:cs="宋体"/>
          <w:color w:val="000000" w:themeColor="text1"/>
          <w:sz w:val="24"/>
          <w:szCs w:val="24"/>
          <w14:textFill>
            <w14:solidFill>
              <w14:schemeClr w14:val="tx1"/>
            </w14:solidFill>
          </w14:textFill>
        </w:rPr>
        <w:t>工期日历天数</w:t>
      </w:r>
      <w:r>
        <w:rPr>
          <w:rFonts w:hint="eastAsia" w:ascii="宋体" w:hAnsi="宋体" w:eastAsia="宋体" w:cs="宋体"/>
          <w:b/>
          <w:bCs/>
          <w:color w:val="000000" w:themeColor="text1"/>
          <w:sz w:val="24"/>
          <w:szCs w:val="24"/>
          <w:u w:val="single"/>
          <w14:textFill>
            <w14:solidFill>
              <w14:schemeClr w14:val="tx1"/>
            </w14:solidFill>
          </w14:textFill>
        </w:rPr>
        <w:t xml:space="preserve"> </w:t>
      </w:r>
      <w:r>
        <w:rPr>
          <w:rFonts w:hint="eastAsia" w:ascii="宋体" w:hAnsi="宋体" w:eastAsia="宋体" w:cs="宋体"/>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天</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，工期总日历天数与根据前述计划开竣日期计算的工期天数不一致的</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以工期总日历天数为准。</w:t>
      </w:r>
    </w:p>
    <w:p w14:paraId="1C925D15">
      <w:pPr>
        <w:pStyle w:val="237"/>
        <w:pageBreakBefore w:val="0"/>
        <w:wordWrap/>
        <w:overflowPunct/>
        <w:topLinePunct w:val="0"/>
        <w:bidi w:val="0"/>
        <w:spacing w:line="46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三、质量标准</w:t>
      </w:r>
      <w:bookmarkEnd w:id="95"/>
    </w:p>
    <w:p w14:paraId="39584989">
      <w:pPr>
        <w:pStyle w:val="237"/>
        <w:pageBreakBefore w:val="0"/>
        <w:wordWrap/>
        <w:overflowPunct/>
        <w:topLinePunct w:val="0"/>
        <w:bidi w:val="0"/>
        <w:spacing w:line="460" w:lineRule="exact"/>
        <w:ind w:firstLine="459"/>
        <w:rPr>
          <w:rFonts w:hint="eastAsia" w:ascii="宋体" w:hAnsi="宋体" w:eastAsia="宋体" w:cs="宋体"/>
          <w:color w:val="000000" w:themeColor="text1"/>
          <w:sz w:val="24"/>
          <w:szCs w:val="24"/>
          <w:u w:val="single"/>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工程质量符合</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b/>
          <w:bCs/>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标准。</w:t>
      </w:r>
    </w:p>
    <w:p w14:paraId="3278D900">
      <w:pPr>
        <w:pStyle w:val="237"/>
        <w:pageBreakBefore w:val="0"/>
        <w:wordWrap/>
        <w:overflowPunct/>
        <w:topLinePunct w:val="0"/>
        <w:bidi w:val="0"/>
        <w:spacing w:line="460" w:lineRule="exact"/>
        <w:rPr>
          <w:rFonts w:hint="eastAsia" w:ascii="宋体" w:hAnsi="宋体" w:eastAsia="宋体" w:cs="宋体"/>
          <w:color w:val="000000" w:themeColor="text1"/>
          <w:sz w:val="24"/>
          <w:szCs w:val="24"/>
          <w14:textFill>
            <w14:solidFill>
              <w14:schemeClr w14:val="tx1"/>
            </w14:solidFill>
          </w14:textFill>
        </w:rPr>
      </w:pPr>
      <w:bookmarkStart w:id="96" w:name="_Toc351203484"/>
      <w:r>
        <w:rPr>
          <w:rFonts w:hint="eastAsia" w:ascii="宋体" w:hAnsi="宋体" w:eastAsia="宋体" w:cs="宋体"/>
          <w:color w:val="000000" w:themeColor="text1"/>
          <w:sz w:val="24"/>
          <w:szCs w:val="24"/>
          <w14:textFill>
            <w14:solidFill>
              <w14:schemeClr w14:val="tx1"/>
            </w14:solidFill>
          </w14:textFill>
        </w:rPr>
        <w:t>四、签约合同价与合同价格形式</w:t>
      </w:r>
      <w:bookmarkEnd w:id="96"/>
    </w:p>
    <w:p w14:paraId="01981BB9">
      <w:pPr>
        <w:pStyle w:val="237"/>
        <w:pageBreakBefore w:val="0"/>
        <w:wordWrap/>
        <w:overflowPunct/>
        <w:topLinePunct w:val="0"/>
        <w:bidi w:val="0"/>
        <w:spacing w:line="460" w:lineRule="exact"/>
        <w:ind w:firstLine="45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 签约合同价为：</w:t>
      </w:r>
    </w:p>
    <w:p w14:paraId="5632C9C8">
      <w:pPr>
        <w:pStyle w:val="237"/>
        <w:pageBreakBefore w:val="0"/>
        <w:wordWrap/>
        <w:overflowPunct/>
        <w:topLinePunct w:val="0"/>
        <w:bidi w:val="0"/>
        <w:spacing w:line="460" w:lineRule="exact"/>
        <w:ind w:firstLine="45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人民币(大写)</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(合同总价包含安全文明施工费等费用），最终以工程竣工结算审核为准</w:t>
      </w:r>
      <w:r>
        <w:rPr>
          <w:rFonts w:hint="eastAsia" w:ascii="宋体" w:hAnsi="宋体" w:eastAsia="宋体" w:cs="宋体"/>
          <w:color w:val="000000" w:themeColor="text1"/>
          <w:sz w:val="24"/>
          <w:szCs w:val="24"/>
          <w:lang w:eastAsia="zh-CN"/>
          <w14:textFill>
            <w14:solidFill>
              <w14:schemeClr w14:val="tx1"/>
            </w14:solidFill>
          </w14:textFill>
        </w:rPr>
        <w:t>。</w:t>
      </w:r>
    </w:p>
    <w:p w14:paraId="18736624">
      <w:pPr>
        <w:pStyle w:val="237"/>
        <w:pageBreakBefore w:val="0"/>
        <w:numPr>
          <w:ilvl w:val="0"/>
          <w:numId w:val="0"/>
        </w:numPr>
        <w:wordWrap/>
        <w:overflowPunct/>
        <w:topLinePunct w:val="0"/>
        <w:bidi w:val="0"/>
        <w:spacing w:line="460" w:lineRule="exact"/>
        <w:ind w:firstLine="480" w:firstLineChars="200"/>
        <w:rPr>
          <w:rFonts w:hint="eastAsia" w:ascii="宋体" w:hAnsi="宋体" w:eastAsia="宋体" w:cs="宋体"/>
          <w:color w:val="000000" w:themeColor="text1"/>
          <w:sz w:val="24"/>
          <w:szCs w:val="24"/>
          <w:lang w:val="en-US"/>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本项目预付款为：人民币(大写)</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u w:val="single"/>
          <w:lang w:val="en-US" w:eastAsia="zh-CN"/>
          <w14:textFill>
            <w14:solidFill>
              <w14:schemeClr w14:val="tx1"/>
            </w14:solidFill>
          </w14:textFill>
        </w:rPr>
        <w:t xml:space="preserve">              。</w:t>
      </w:r>
    </w:p>
    <w:p w14:paraId="24D201AF">
      <w:pPr>
        <w:pStyle w:val="237"/>
        <w:pageBreakBefore w:val="0"/>
        <w:numPr>
          <w:ilvl w:val="0"/>
          <w:numId w:val="3"/>
        </w:numPr>
        <w:wordWrap/>
        <w:overflowPunct/>
        <w:topLinePunct w:val="0"/>
        <w:bidi w:val="0"/>
        <w:spacing w:line="460" w:lineRule="exact"/>
        <w:ind w:left="360" w:leftChars="0" w:firstLine="48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合同价格形式： </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w:t>
      </w:r>
    </w:p>
    <w:p w14:paraId="04EDE2AB">
      <w:pPr>
        <w:pStyle w:val="237"/>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u w:val="single"/>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3.（1）其它工程款支付账户：</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u w:val="single"/>
          <w14:textFill>
            <w14:solidFill>
              <w14:schemeClr w14:val="tx1"/>
            </w14:solidFill>
          </w14:textFill>
        </w:rPr>
        <w:t>。</w:t>
      </w:r>
      <w:r>
        <w:rPr>
          <w:rFonts w:hint="eastAsia" w:ascii="宋体" w:hAnsi="宋体" w:eastAsia="宋体" w:cs="宋体"/>
          <w:color w:val="000000" w:themeColor="text1"/>
          <w:sz w:val="24"/>
          <w:szCs w:val="24"/>
          <w:u w:val="single"/>
          <w14:textFill>
            <w14:solidFill>
              <w14:schemeClr w14:val="tx1"/>
            </w14:solidFill>
          </w14:textFill>
        </w:rPr>
        <w:t xml:space="preserve"> </w:t>
      </w:r>
    </w:p>
    <w:p w14:paraId="73D73909">
      <w:pPr>
        <w:pStyle w:val="237"/>
        <w:pageBreakBefore w:val="0"/>
        <w:wordWrap/>
        <w:overflowPunct/>
        <w:topLinePunct w:val="0"/>
        <w:bidi w:val="0"/>
        <w:spacing w:line="460" w:lineRule="exact"/>
        <w:ind w:firstLine="960" w:firstLineChars="4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账号：</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b/>
          <w:bCs/>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w:t>
      </w:r>
    </w:p>
    <w:p w14:paraId="3A7B7801">
      <w:pPr>
        <w:pStyle w:val="237"/>
        <w:pageBreakBefore w:val="0"/>
        <w:wordWrap/>
        <w:overflowPunct/>
        <w:topLinePunct w:val="0"/>
        <w:bidi w:val="0"/>
        <w:spacing w:line="460" w:lineRule="exact"/>
        <w:rPr>
          <w:rFonts w:hint="eastAsia" w:ascii="宋体" w:hAnsi="宋体" w:eastAsia="宋体" w:cs="宋体"/>
          <w:color w:val="000000" w:themeColor="text1"/>
          <w:sz w:val="24"/>
          <w:szCs w:val="24"/>
          <w:u w:val="single"/>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          开户银行：</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u w:val="single"/>
          <w14:textFill>
            <w14:solidFill>
              <w14:schemeClr w14:val="tx1"/>
            </w14:solidFill>
          </w14:textFill>
        </w:rPr>
        <w:t xml:space="preserve"> 。</w:t>
      </w:r>
    </w:p>
    <w:p w14:paraId="64B37D29">
      <w:pPr>
        <w:pStyle w:val="237"/>
        <w:pageBreakBefore w:val="0"/>
        <w:numPr>
          <w:ilvl w:val="0"/>
          <w:numId w:val="4"/>
        </w:numPr>
        <w:wordWrap/>
        <w:overflowPunct/>
        <w:topLinePunct w:val="0"/>
        <w:bidi w:val="0"/>
        <w:spacing w:line="46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安全生产费用支付专用账户：</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w:t>
      </w:r>
    </w:p>
    <w:p w14:paraId="11859F82">
      <w:pPr>
        <w:pStyle w:val="237"/>
        <w:pageBreakBefore w:val="0"/>
        <w:wordWrap/>
        <w:overflowPunct/>
        <w:topLinePunct w:val="0"/>
        <w:bidi w:val="0"/>
        <w:spacing w:line="460" w:lineRule="exact"/>
        <w:ind w:left="525"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账号：</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u w:val="single"/>
          <w14:textFill>
            <w14:solidFill>
              <w14:schemeClr w14:val="tx1"/>
            </w14:solidFill>
          </w14:textFill>
        </w:rPr>
        <w:t>。</w:t>
      </w:r>
      <w:r>
        <w:rPr>
          <w:rFonts w:hint="eastAsia" w:ascii="宋体" w:hAnsi="宋体" w:eastAsia="宋体" w:cs="宋体"/>
          <w:b/>
          <w:bCs/>
          <w:color w:val="000000" w:themeColor="text1"/>
          <w:sz w:val="24"/>
          <w:szCs w:val="24"/>
          <w14:textFill>
            <w14:solidFill>
              <w14:schemeClr w14:val="tx1"/>
            </w14:solidFill>
          </w14:textFill>
        </w:rPr>
        <w:t xml:space="preserve"> </w:t>
      </w:r>
    </w:p>
    <w:p w14:paraId="3E67B4A4">
      <w:pPr>
        <w:pStyle w:val="237"/>
        <w:pageBreakBefore w:val="0"/>
        <w:wordWrap/>
        <w:overflowPunct/>
        <w:topLinePunct w:val="0"/>
        <w:bidi w:val="0"/>
        <w:spacing w:line="460" w:lineRule="exact"/>
        <w:ind w:firstLine="1200" w:firstLineChars="5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开户银行：</w:t>
      </w:r>
      <w:r>
        <w:rPr>
          <w:rFonts w:hint="eastAsia" w:ascii="宋体" w:hAnsi="宋体" w:eastAsia="宋体" w:cs="宋体"/>
          <w:b/>
          <w:bCs/>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u w:val="single"/>
          <w14:textFill>
            <w14:solidFill>
              <w14:schemeClr w14:val="tx1"/>
            </w14:solidFill>
          </w14:textFill>
        </w:rPr>
        <w:t>。</w:t>
      </w:r>
    </w:p>
    <w:p w14:paraId="5CEF369E">
      <w:pPr>
        <w:pStyle w:val="237"/>
        <w:pageBreakBefore w:val="0"/>
        <w:numPr>
          <w:ilvl w:val="0"/>
          <w:numId w:val="4"/>
        </w:numPr>
        <w:wordWrap/>
        <w:overflowPunct/>
        <w:topLinePunct w:val="0"/>
        <w:bidi w:val="0"/>
        <w:spacing w:line="460" w:lineRule="exact"/>
        <w:rPr>
          <w:rFonts w:hint="eastAsia" w:ascii="宋体" w:hAnsi="宋体" w:eastAsia="宋体" w:cs="宋体"/>
          <w:b/>
          <w:bCs/>
          <w:color w:val="000000" w:themeColor="text1"/>
          <w:sz w:val="24"/>
          <w:szCs w:val="24"/>
          <w:u w:val="single"/>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农民工工资支付专用账户：</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u w:val="single"/>
          <w14:textFill>
            <w14:solidFill>
              <w14:schemeClr w14:val="tx1"/>
            </w14:solidFill>
          </w14:textFill>
        </w:rPr>
        <w:t>。</w:t>
      </w:r>
    </w:p>
    <w:p w14:paraId="64A03EFE">
      <w:pPr>
        <w:pStyle w:val="237"/>
        <w:pageBreakBefore w:val="0"/>
        <w:wordWrap/>
        <w:overflowPunct/>
        <w:topLinePunct w:val="0"/>
        <w:bidi w:val="0"/>
        <w:spacing w:line="460" w:lineRule="exact"/>
        <w:ind w:left="525" w:firstLine="480" w:firstLineChars="200"/>
        <w:rPr>
          <w:rFonts w:hint="eastAsia" w:ascii="宋体" w:hAnsi="宋体" w:eastAsia="宋体" w:cs="宋体"/>
          <w:color w:val="000000" w:themeColor="text1"/>
          <w:sz w:val="24"/>
          <w:szCs w:val="24"/>
          <w:u w:val="single"/>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账号：</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u w:val="single"/>
          <w14:textFill>
            <w14:solidFill>
              <w14:schemeClr w14:val="tx1"/>
            </w14:solidFill>
          </w14:textFill>
        </w:rPr>
        <w:t xml:space="preserve"> </w:t>
      </w:r>
    </w:p>
    <w:p w14:paraId="5DD45561">
      <w:pPr>
        <w:pStyle w:val="237"/>
        <w:pageBreakBefore w:val="0"/>
        <w:wordWrap/>
        <w:overflowPunct/>
        <w:topLinePunct w:val="0"/>
        <w:bidi w:val="0"/>
        <w:spacing w:line="460" w:lineRule="exact"/>
        <w:ind w:left="525"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开户银行</w:t>
      </w:r>
      <w:r>
        <w:rPr>
          <w:rFonts w:hint="eastAsia" w:ascii="宋体" w:hAnsi="宋体" w:eastAsia="宋体" w:cs="宋体"/>
          <w:color w:val="000000" w:themeColor="text1"/>
          <w:sz w:val="24"/>
          <w:szCs w:val="24"/>
          <w:u w:val="single"/>
          <w14:textFill>
            <w14:solidFill>
              <w14:schemeClr w14:val="tx1"/>
            </w14:solidFill>
          </w14:textFill>
        </w:rPr>
        <w:t>：</w:t>
      </w:r>
      <w:r>
        <w:rPr>
          <w:rFonts w:hint="eastAsia" w:ascii="宋体" w:hAnsi="宋体" w:eastAsia="宋体" w:cs="宋体"/>
          <w:b/>
          <w:bCs/>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u w:val="single"/>
          <w14:textFill>
            <w14:solidFill>
              <w14:schemeClr w14:val="tx1"/>
            </w14:solidFill>
          </w14:textFill>
        </w:rPr>
        <w:t>。</w:t>
      </w:r>
      <w:r>
        <w:rPr>
          <w:rFonts w:hint="eastAsia" w:ascii="宋体" w:hAnsi="宋体" w:eastAsia="宋体" w:cs="宋体"/>
          <w:color w:val="000000" w:themeColor="text1"/>
          <w:sz w:val="24"/>
          <w:szCs w:val="24"/>
          <w:u w:val="single"/>
          <w14:textFill>
            <w14:solidFill>
              <w14:schemeClr w14:val="tx1"/>
            </w14:solidFill>
          </w14:textFill>
        </w:rPr>
        <w:t xml:space="preserve"> </w:t>
      </w:r>
    </w:p>
    <w:p w14:paraId="5A1B0185">
      <w:pPr>
        <w:pStyle w:val="237"/>
        <w:pageBreakBefore w:val="0"/>
        <w:wordWrap/>
        <w:overflowPunct/>
        <w:topLinePunct w:val="0"/>
        <w:bidi w:val="0"/>
        <w:spacing w:line="460" w:lineRule="exact"/>
        <w:rPr>
          <w:rFonts w:hint="eastAsia" w:ascii="宋体" w:hAnsi="宋体" w:eastAsia="宋体" w:cs="宋体"/>
          <w:color w:val="000000" w:themeColor="text1"/>
          <w:sz w:val="24"/>
          <w:szCs w:val="24"/>
          <w14:textFill>
            <w14:solidFill>
              <w14:schemeClr w14:val="tx1"/>
            </w14:solidFill>
          </w14:textFill>
        </w:rPr>
      </w:pPr>
      <w:bookmarkStart w:id="97" w:name="_Toc351203485"/>
      <w:r>
        <w:rPr>
          <w:rFonts w:hint="eastAsia" w:ascii="宋体" w:hAnsi="宋体" w:eastAsia="宋体" w:cs="宋体"/>
          <w:color w:val="000000" w:themeColor="text1"/>
          <w:sz w:val="24"/>
          <w:szCs w:val="24"/>
          <w14:textFill>
            <w14:solidFill>
              <w14:schemeClr w14:val="tx1"/>
            </w14:solidFill>
          </w14:textFill>
        </w:rPr>
        <w:t>五、</w:t>
      </w:r>
      <w:bookmarkEnd w:id="97"/>
      <w:r>
        <w:rPr>
          <w:rFonts w:hint="eastAsia" w:ascii="宋体" w:hAnsi="宋体" w:eastAsia="宋体" w:cs="宋体"/>
          <w:color w:val="000000" w:themeColor="text1"/>
          <w:sz w:val="24"/>
          <w:szCs w:val="24"/>
          <w14:textFill>
            <w14:solidFill>
              <w14:schemeClr w14:val="tx1"/>
            </w14:solidFill>
          </w14:textFill>
        </w:rPr>
        <w:t>项目经理</w:t>
      </w:r>
    </w:p>
    <w:p w14:paraId="5DCAA8F1">
      <w:pPr>
        <w:pStyle w:val="237"/>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承包人项目经理：</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b/>
          <w:bCs/>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w:t>
      </w:r>
    </w:p>
    <w:p w14:paraId="0293254A">
      <w:pPr>
        <w:pStyle w:val="237"/>
        <w:pageBreakBefore w:val="0"/>
        <w:wordWrap/>
        <w:overflowPunct/>
        <w:topLinePunct w:val="0"/>
        <w:bidi w:val="0"/>
        <w:spacing w:line="460" w:lineRule="exact"/>
        <w:rPr>
          <w:rFonts w:hint="eastAsia" w:ascii="宋体" w:hAnsi="宋体" w:eastAsia="宋体" w:cs="宋体"/>
          <w:color w:val="000000" w:themeColor="text1"/>
          <w:sz w:val="24"/>
          <w:szCs w:val="24"/>
          <w14:textFill>
            <w14:solidFill>
              <w14:schemeClr w14:val="tx1"/>
            </w14:solidFill>
          </w14:textFill>
        </w:rPr>
      </w:pPr>
      <w:bookmarkStart w:id="98" w:name="_Toc351203486"/>
      <w:r>
        <w:rPr>
          <w:rFonts w:hint="eastAsia" w:ascii="宋体" w:hAnsi="宋体" w:eastAsia="宋体" w:cs="宋体"/>
          <w:color w:val="000000" w:themeColor="text1"/>
          <w:sz w:val="24"/>
          <w:szCs w:val="24"/>
          <w14:textFill>
            <w14:solidFill>
              <w14:schemeClr w14:val="tx1"/>
            </w14:solidFill>
          </w14:textFill>
        </w:rPr>
        <w:t>六、合同文件构成</w:t>
      </w:r>
      <w:bookmarkEnd w:id="98"/>
    </w:p>
    <w:p w14:paraId="0889C27E">
      <w:pPr>
        <w:pStyle w:val="237"/>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本协议书与下列文件一起构成合同文件：</w:t>
      </w:r>
    </w:p>
    <w:p w14:paraId="5477B2E8">
      <w:pPr>
        <w:pStyle w:val="237"/>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（1）中标通知书（如有）；</w:t>
      </w:r>
    </w:p>
    <w:p w14:paraId="2A8BC28E">
      <w:pPr>
        <w:pStyle w:val="237"/>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（2）投标函及其附录（如有）； </w:t>
      </w:r>
    </w:p>
    <w:p w14:paraId="25E3A49D">
      <w:pPr>
        <w:pStyle w:val="237"/>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（3）专用合同条款及其附件；</w:t>
      </w:r>
    </w:p>
    <w:p w14:paraId="33F4CAC5">
      <w:pPr>
        <w:pStyle w:val="237"/>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（4）通用合同条款；</w:t>
      </w:r>
    </w:p>
    <w:p w14:paraId="2DEA0857">
      <w:pPr>
        <w:pStyle w:val="237"/>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（5）其他合同文件：</w:t>
      </w:r>
    </w:p>
    <w:p w14:paraId="5D5C2A1E">
      <w:pPr>
        <w:pStyle w:val="237"/>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上述各项合同文件包括合同</w:t>
      </w:r>
      <w:r>
        <w:rPr>
          <w:rFonts w:hint="eastAsia" w:ascii="宋体" w:hAnsi="宋体" w:eastAsia="宋体" w:cs="宋体"/>
          <w:color w:val="000000" w:themeColor="text1"/>
          <w:sz w:val="24"/>
          <w:szCs w:val="24"/>
          <w:highlight w:val="none"/>
          <w14:textFill>
            <w14:solidFill>
              <w14:schemeClr w14:val="tx1"/>
            </w14:solidFill>
          </w14:textFill>
        </w:rPr>
        <w:t>当事人就该项合同文件所作出的补充和修改，属于同一类内容的文件，应以最新签署的为准（违反招标文件实质性内容的约定除外）。专用合同条款及其附件须经合同当事人签字或盖章。</w:t>
      </w:r>
    </w:p>
    <w:p w14:paraId="79418DE5">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99" w:name="_Toc351203487"/>
      <w:r>
        <w:rPr>
          <w:rFonts w:hint="eastAsia" w:ascii="宋体" w:hAnsi="宋体" w:eastAsia="宋体" w:cs="宋体"/>
          <w:color w:val="000000" w:themeColor="text1"/>
          <w:sz w:val="24"/>
          <w:szCs w:val="24"/>
          <w:highlight w:val="none"/>
          <w14:textFill>
            <w14:solidFill>
              <w14:schemeClr w14:val="tx1"/>
            </w14:solidFill>
          </w14:textFill>
        </w:rPr>
        <w:t>七、承诺</w:t>
      </w:r>
      <w:bookmarkEnd w:id="99"/>
    </w:p>
    <w:p w14:paraId="588B50A0">
      <w:pPr>
        <w:pStyle w:val="237"/>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 发包人承诺按照法律规定履行项目审批手续、筹集工程建设资金并按照合同约定的期限和方式支付合同价款。</w:t>
      </w:r>
    </w:p>
    <w:p w14:paraId="4F693002">
      <w:pPr>
        <w:pStyle w:val="237"/>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 承包人承诺按照法律规定及合同约定组织完成工程施工，确保工程质量和安全，不进行转包及违法分包，并在缺陷责任期及保修期内承担相应的工程维修责任。</w:t>
      </w:r>
    </w:p>
    <w:p w14:paraId="7FBD325B">
      <w:pPr>
        <w:pStyle w:val="237"/>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 发包人和承包人通过招投标形式签订合同的，双方理解并承诺不再就同一工程另行签订与合同实质性内容相背离的协议。</w:t>
      </w:r>
      <w:bookmarkStart w:id="100" w:name="_Toc351203488"/>
    </w:p>
    <w:p w14:paraId="0C48FC1A">
      <w:pPr>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八、词语含义</w:t>
      </w:r>
      <w:bookmarkEnd w:id="100"/>
    </w:p>
    <w:p w14:paraId="5194A3D8">
      <w:pPr>
        <w:pStyle w:val="237"/>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本协议书中词语含义与第二部分通用合同条款中赋予的含义相同。</w:t>
      </w:r>
    </w:p>
    <w:p w14:paraId="7363CC82">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101" w:name="_Toc351203489"/>
      <w:r>
        <w:rPr>
          <w:rFonts w:hint="eastAsia" w:ascii="宋体" w:hAnsi="宋体" w:eastAsia="宋体" w:cs="宋体"/>
          <w:color w:val="000000" w:themeColor="text1"/>
          <w:sz w:val="24"/>
          <w:szCs w:val="24"/>
          <w:highlight w:val="none"/>
          <w14:textFill>
            <w14:solidFill>
              <w14:schemeClr w14:val="tx1"/>
            </w14:solidFill>
          </w14:textFill>
        </w:rPr>
        <w:t>九、签订时间</w:t>
      </w:r>
      <w:bookmarkEnd w:id="101"/>
    </w:p>
    <w:p w14:paraId="4F3BC890">
      <w:pPr>
        <w:pStyle w:val="237"/>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本合同于</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日签订。</w:t>
      </w:r>
    </w:p>
    <w:p w14:paraId="1C0C3E8D">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102" w:name="_Toc351203490"/>
      <w:r>
        <w:rPr>
          <w:rFonts w:hint="eastAsia" w:ascii="宋体" w:hAnsi="宋体" w:eastAsia="宋体" w:cs="宋体"/>
          <w:color w:val="000000" w:themeColor="text1"/>
          <w:sz w:val="24"/>
          <w:szCs w:val="24"/>
          <w:highlight w:val="none"/>
          <w14:textFill>
            <w14:solidFill>
              <w14:schemeClr w14:val="tx1"/>
            </w14:solidFill>
          </w14:textFill>
        </w:rPr>
        <w:t>十、签订地点</w:t>
      </w:r>
      <w:bookmarkEnd w:id="102"/>
    </w:p>
    <w:p w14:paraId="2741DF1E">
      <w:pPr>
        <w:pStyle w:val="237"/>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本合同在</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签订。</w:t>
      </w:r>
    </w:p>
    <w:p w14:paraId="2F265030">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103" w:name="_Toc351203491"/>
      <w:r>
        <w:rPr>
          <w:rFonts w:hint="eastAsia" w:ascii="宋体" w:hAnsi="宋体" w:eastAsia="宋体" w:cs="宋体"/>
          <w:color w:val="000000" w:themeColor="text1"/>
          <w:sz w:val="24"/>
          <w:szCs w:val="24"/>
          <w:highlight w:val="none"/>
          <w14:textFill>
            <w14:solidFill>
              <w14:schemeClr w14:val="tx1"/>
            </w14:solidFill>
          </w14:textFill>
        </w:rPr>
        <w:t>十一、补充协议</w:t>
      </w:r>
      <w:bookmarkEnd w:id="103"/>
    </w:p>
    <w:p w14:paraId="6C54156D">
      <w:pPr>
        <w:pStyle w:val="237"/>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合同未尽事宜，合同当事人另行签订补充协议，补充协议是合同的组成部分。</w:t>
      </w:r>
    </w:p>
    <w:p w14:paraId="6549B873">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104" w:name="_Toc351203492"/>
      <w:r>
        <w:rPr>
          <w:rFonts w:hint="eastAsia" w:ascii="宋体" w:hAnsi="宋体" w:eastAsia="宋体" w:cs="宋体"/>
          <w:color w:val="000000" w:themeColor="text1"/>
          <w:sz w:val="24"/>
          <w:szCs w:val="24"/>
          <w:highlight w:val="none"/>
          <w14:textFill>
            <w14:solidFill>
              <w14:schemeClr w14:val="tx1"/>
            </w14:solidFill>
          </w14:textFill>
        </w:rPr>
        <w:t>十二、合同生效</w:t>
      </w:r>
      <w:bookmarkEnd w:id="104"/>
    </w:p>
    <w:p w14:paraId="33714DDE">
      <w:pPr>
        <w:pStyle w:val="237"/>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本合同自</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2"/>
          <w:szCs w:val="22"/>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双方法定代表人签字或盖章并加盖单位公章之日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生效。</w:t>
      </w:r>
    </w:p>
    <w:p w14:paraId="3ED6CECD">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105" w:name="_Toc351203493"/>
      <w:r>
        <w:rPr>
          <w:rFonts w:hint="eastAsia" w:ascii="宋体" w:hAnsi="宋体" w:eastAsia="宋体" w:cs="宋体"/>
          <w:color w:val="000000" w:themeColor="text1"/>
          <w:sz w:val="24"/>
          <w:szCs w:val="24"/>
          <w:highlight w:val="none"/>
          <w14:textFill>
            <w14:solidFill>
              <w14:schemeClr w14:val="tx1"/>
            </w14:solidFill>
          </w14:textFill>
        </w:rPr>
        <w:t>十三、合同份数</w:t>
      </w:r>
      <w:bookmarkEnd w:id="105"/>
    </w:p>
    <w:p w14:paraId="0FC592A3">
      <w:pPr>
        <w:pStyle w:val="237"/>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本合同一式</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捌  </w:t>
      </w:r>
      <w:r>
        <w:rPr>
          <w:rFonts w:hint="eastAsia" w:ascii="宋体" w:hAnsi="宋体" w:eastAsia="宋体" w:cs="宋体"/>
          <w:color w:val="000000" w:themeColor="text1"/>
          <w:sz w:val="24"/>
          <w:szCs w:val="24"/>
          <w:highlight w:val="none"/>
          <w14:textFill>
            <w14:solidFill>
              <w14:schemeClr w14:val="tx1"/>
            </w14:solidFill>
          </w14:textFill>
        </w:rPr>
        <w:t>份，均具有同等法律效力，发包人执</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肆  </w:t>
      </w:r>
      <w:r>
        <w:rPr>
          <w:rFonts w:hint="eastAsia" w:ascii="宋体" w:hAnsi="宋体" w:eastAsia="宋体" w:cs="宋体"/>
          <w:color w:val="000000" w:themeColor="text1"/>
          <w:sz w:val="24"/>
          <w:szCs w:val="24"/>
          <w:highlight w:val="none"/>
          <w14:textFill>
            <w14:solidFill>
              <w14:schemeClr w14:val="tx1"/>
            </w14:solidFill>
          </w14:textFill>
        </w:rPr>
        <w:t>份，承包人执</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肆  </w:t>
      </w:r>
      <w:r>
        <w:rPr>
          <w:rFonts w:hint="eastAsia" w:ascii="宋体" w:hAnsi="宋体" w:eastAsia="宋体" w:cs="宋体"/>
          <w:color w:val="000000" w:themeColor="text1"/>
          <w:sz w:val="24"/>
          <w:szCs w:val="24"/>
          <w:highlight w:val="none"/>
          <w14:textFill>
            <w14:solidFill>
              <w14:schemeClr w14:val="tx1"/>
            </w14:solidFill>
          </w14:textFill>
        </w:rPr>
        <w:t>份。</w:t>
      </w:r>
    </w:p>
    <w:p w14:paraId="63335465">
      <w:pPr>
        <w:pStyle w:val="237"/>
        <w:pageBreakBefore w:val="0"/>
        <w:wordWrap/>
        <w:overflowPunct/>
        <w:topLinePunct w:val="0"/>
        <w:bidi w:val="0"/>
        <w:spacing w:line="460" w:lineRule="exact"/>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w:t>
      </w:r>
    </w:p>
    <w:p w14:paraId="0816F993">
      <w:pPr>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发包人：  （公章）                  </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承包人：  （公章）</w:t>
      </w:r>
    </w:p>
    <w:p w14:paraId="0012A9FF">
      <w:pPr>
        <w:pageBreakBefore w:val="0"/>
        <w:wordWrap/>
        <w:overflowPunct/>
        <w:topLinePunct w:val="0"/>
        <w:bidi w:val="0"/>
        <w:spacing w:line="460" w:lineRule="exac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w:t>
      </w:r>
    </w:p>
    <w:p w14:paraId="6A00A6FD">
      <w:pPr>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法定代表人或其委托代理人：            法定代表人或其委托代理人：</w:t>
      </w:r>
    </w:p>
    <w:p w14:paraId="13C3A8D9">
      <w:pPr>
        <w:pageBreakBefore w:val="0"/>
        <w:wordWrap/>
        <w:overflowPunct/>
        <w:topLinePunct w:val="0"/>
        <w:bidi w:val="0"/>
        <w:spacing w:line="460" w:lineRule="exac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（签字）                                     （签字）</w:t>
      </w:r>
    </w:p>
    <w:p w14:paraId="384F93C0">
      <w:pPr>
        <w:pageBreakBefore w:val="0"/>
        <w:wordWrap/>
        <w:overflowPunct/>
        <w:topLinePunct w:val="0"/>
        <w:bidi w:val="0"/>
        <w:spacing w:line="460" w:lineRule="exac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社会信用代码</w:t>
      </w:r>
      <w:r>
        <w:rPr>
          <w:rFonts w:hint="eastAsia" w:ascii="宋体" w:hAnsi="宋体" w:eastAsia="宋体" w:cs="宋体"/>
          <w:color w:val="000000" w:themeColor="text1"/>
          <w:sz w:val="24"/>
          <w:szCs w:val="24"/>
          <w:highlight w:val="none"/>
          <w:u w:val="single"/>
          <w14:textFill>
            <w14:solidFill>
              <w14:schemeClr w14:val="tx1"/>
            </w14:solidFill>
          </w14:textFill>
        </w:rPr>
        <w:t xml:space="preserve">   </w:t>
      </w:r>
      <w:r>
        <w:rPr>
          <w:rFonts w:hint="eastAsia" w:ascii="宋体" w:hAnsi="宋体" w:eastAsia="宋体" w:cs="宋体"/>
          <w:color w:val="000000" w:themeColor="text1"/>
          <w:sz w:val="24"/>
          <w:szCs w:val="24"/>
          <w:highlight w:val="none"/>
          <w14:textFill>
            <w14:solidFill>
              <w14:schemeClr w14:val="tx1"/>
            </w14:solidFill>
          </w14:textFill>
        </w:rPr>
        <w:t xml:space="preserve">          社会信用代码：</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b/>
          <w:bCs/>
          <w:color w:val="000000" w:themeColor="text1"/>
          <w:sz w:val="24"/>
          <w:szCs w:val="24"/>
          <w:u w:val="single"/>
          <w:lang w:val="en-US" w:eastAsia="zh-CN"/>
          <w14:textFill>
            <w14:solidFill>
              <w14:schemeClr w14:val="tx1"/>
            </w14:solidFill>
          </w14:textFill>
        </w:rPr>
        <w:t xml:space="preserve">                      </w:t>
      </w:r>
    </w:p>
    <w:p w14:paraId="1DEBAEED">
      <w:pPr>
        <w:pageBreakBefore w:val="0"/>
        <w:wordWrap/>
        <w:overflowPunct/>
        <w:topLinePunct w:val="0"/>
        <w:bidi w:val="0"/>
        <w:spacing w:line="460" w:lineRule="exact"/>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地  址：</w:t>
      </w:r>
      <w:r>
        <w:rPr>
          <w:rFonts w:hint="eastAsia" w:ascii="宋体" w:hAnsi="宋体" w:eastAsia="宋体" w:cs="宋体"/>
          <w:color w:val="000000" w:themeColor="text1"/>
          <w:sz w:val="24"/>
          <w:szCs w:val="24"/>
          <w:highlight w:val="none"/>
          <w:u w:val="single"/>
          <w14:textFill>
            <w14:solidFill>
              <w14:schemeClr w14:val="tx1"/>
            </w14:solidFill>
          </w14:textFill>
        </w:rPr>
        <w:t xml:space="preserve">     </w:t>
      </w:r>
      <w:r>
        <w:rPr>
          <w:rFonts w:hint="eastAsia" w:ascii="宋体" w:hAnsi="宋体" w:eastAsia="宋体" w:cs="宋体"/>
          <w:color w:val="000000" w:themeColor="text1"/>
          <w:sz w:val="24"/>
          <w:szCs w:val="24"/>
          <w:highlight w:val="none"/>
          <w14:textFill>
            <w14:solidFill>
              <w14:schemeClr w14:val="tx1"/>
            </w14:solidFill>
          </w14:textFill>
        </w:rPr>
        <w:t xml:space="preserve">          地址：</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14:paraId="2B01AE4E">
      <w:pPr>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邮政编码：</w:t>
      </w:r>
      <w:r>
        <w:rPr>
          <w:rFonts w:hint="eastAsia" w:ascii="宋体" w:hAnsi="宋体" w:eastAsia="宋体" w:cs="宋体"/>
          <w:color w:val="000000" w:themeColor="text1"/>
          <w:sz w:val="24"/>
          <w:szCs w:val="24"/>
          <w:highlight w:val="none"/>
          <w:u w:val="single"/>
          <w14:textFill>
            <w14:solidFill>
              <w14:schemeClr w14:val="tx1"/>
            </w14:solidFill>
          </w14:textFill>
        </w:rPr>
        <w:t xml:space="preserve">      </w:t>
      </w:r>
      <w:r>
        <w:rPr>
          <w:rFonts w:hint="eastAsia" w:ascii="宋体" w:hAnsi="宋体" w:eastAsia="宋体" w:cs="宋体"/>
          <w:color w:val="000000" w:themeColor="text1"/>
          <w:sz w:val="24"/>
          <w:szCs w:val="24"/>
          <w:highlight w:val="none"/>
          <w14:textFill>
            <w14:solidFill>
              <w14:schemeClr w14:val="tx1"/>
            </w14:solidFill>
          </w14:textFill>
        </w:rPr>
        <w:t xml:space="preserve">         邮政编码：</w:t>
      </w:r>
      <w:r>
        <w:rPr>
          <w:rFonts w:hint="eastAsia" w:ascii="宋体" w:hAnsi="宋体" w:eastAsia="宋体" w:cs="宋体"/>
          <w:color w:val="000000" w:themeColor="text1"/>
          <w:sz w:val="24"/>
          <w:szCs w:val="24"/>
          <w:highlight w:val="none"/>
          <w:u w:val="single"/>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58762F1C">
      <w:pPr>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法定代表人：</w:t>
      </w:r>
      <w:r>
        <w:rPr>
          <w:rFonts w:hint="eastAsia" w:ascii="宋体" w:hAnsi="宋体" w:eastAsia="宋体" w:cs="宋体"/>
          <w:color w:val="000000" w:themeColor="text1"/>
          <w:sz w:val="24"/>
          <w:szCs w:val="24"/>
          <w:highlight w:val="none"/>
          <w:u w:val="single"/>
          <w14:textFill>
            <w14:solidFill>
              <w14:schemeClr w14:val="tx1"/>
            </w14:solidFill>
          </w14:textFill>
        </w:rPr>
        <w:t xml:space="preserve">           </w:t>
      </w:r>
      <w:r>
        <w:rPr>
          <w:rFonts w:hint="eastAsia" w:ascii="宋体" w:hAnsi="宋体" w:eastAsia="宋体" w:cs="宋体"/>
          <w:color w:val="000000" w:themeColor="text1"/>
          <w:sz w:val="24"/>
          <w:szCs w:val="24"/>
          <w:highlight w:val="none"/>
          <w14:textFill>
            <w14:solidFill>
              <w14:schemeClr w14:val="tx1"/>
            </w14:solidFill>
          </w14:textFill>
        </w:rPr>
        <w:t xml:space="preserve">          法定代表人：</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68590797">
      <w:pPr>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电  话：</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电  话：</w:t>
      </w:r>
      <w:r>
        <w:rPr>
          <w:rFonts w:hint="eastAsia" w:ascii="宋体" w:hAnsi="宋体" w:eastAsia="宋体" w:cs="宋体"/>
          <w:color w:val="000000" w:themeColor="text1"/>
          <w:sz w:val="24"/>
          <w:szCs w:val="24"/>
          <w:highlight w:val="none"/>
          <w:u w:val="single"/>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134627D6">
      <w:pPr>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传  真：</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传  真：</w:t>
      </w:r>
      <w:r>
        <w:rPr>
          <w:rFonts w:hint="eastAsia" w:ascii="宋体" w:hAnsi="宋体" w:eastAsia="宋体" w:cs="宋体"/>
          <w:color w:val="000000" w:themeColor="text1"/>
          <w:sz w:val="24"/>
          <w:szCs w:val="24"/>
          <w:highlight w:val="none"/>
          <w:u w:val="single"/>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   </w:t>
      </w:r>
    </w:p>
    <w:p w14:paraId="59C254EE">
      <w:pPr>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电子信箱：</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电子信箱：</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b/>
          <w:bCs/>
          <w:color w:val="000000" w:themeColor="text1"/>
          <w:sz w:val="24"/>
          <w:szCs w:val="24"/>
          <w:u w:val="single"/>
          <w:lang w:val="en-US" w:eastAsia="zh-CN"/>
          <w14:textFill>
            <w14:solidFill>
              <w14:schemeClr w14:val="tx1"/>
            </w14:solidFill>
          </w14:textFill>
        </w:rPr>
        <w:t xml:space="preserve">                   </w:t>
      </w:r>
    </w:p>
    <w:p w14:paraId="0318120D">
      <w:pPr>
        <w:pageBreakBefore w:val="0"/>
        <w:wordWrap/>
        <w:overflowPunct/>
        <w:topLinePunct w:val="0"/>
        <w:bidi w:val="0"/>
        <w:spacing w:line="460" w:lineRule="exact"/>
        <w:rPr>
          <w:rFonts w:hint="eastAsia" w:ascii="宋体" w:hAnsi="宋体" w:eastAsia="宋体" w:cs="宋体"/>
          <w:color w:val="000000" w:themeColor="text1"/>
          <w:sz w:val="24"/>
          <w:szCs w:val="24"/>
          <w:highlight w:val="none"/>
          <w:u w:val="singl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开户银行：</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b/>
          <w:bCs/>
          <w:color w:val="000000" w:themeColor="text1"/>
          <w:sz w:val="24"/>
          <w:szCs w:val="24"/>
          <w:u w:val="single"/>
          <w:lang w:val="en-US" w:eastAsia="zh-CN"/>
          <w14:textFill>
            <w14:solidFill>
              <w14:schemeClr w14:val="tx1"/>
            </w14:solidFill>
          </w14:textFill>
        </w:rPr>
        <w:t xml:space="preserve">                   </w:t>
      </w:r>
    </w:p>
    <w:p w14:paraId="6DC2B6B3">
      <w:pPr>
        <w:pageBreakBefore w:val="0"/>
        <w:wordWrap/>
        <w:overflowPunct/>
        <w:topLinePunct w:val="0"/>
        <w:bidi w:val="0"/>
        <w:spacing w:line="460" w:lineRule="exac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账  号：</w:t>
      </w:r>
      <w:r>
        <w:rPr>
          <w:rFonts w:hint="eastAsia" w:ascii="宋体" w:hAnsi="宋体" w:eastAsia="宋体" w:cs="宋体"/>
          <w:color w:val="000000" w:themeColor="text1"/>
          <w:sz w:val="24"/>
          <w:szCs w:val="24"/>
          <w:highlight w:val="none"/>
          <w:u w:val="single"/>
          <w14:textFill>
            <w14:solidFill>
              <w14:schemeClr w14:val="tx1"/>
            </w14:solidFill>
          </w14:textFill>
        </w:rPr>
        <w:t xml:space="preserve">       </w:t>
      </w:r>
      <w:r>
        <w:rPr>
          <w:rFonts w:hint="eastAsia" w:ascii="宋体" w:hAnsi="宋体" w:eastAsia="宋体" w:cs="宋体"/>
          <w:color w:val="000000" w:themeColor="text1"/>
          <w:sz w:val="24"/>
          <w:szCs w:val="24"/>
          <w:highlight w:val="none"/>
          <w14:textFill>
            <w14:solidFill>
              <w14:schemeClr w14:val="tx1"/>
            </w14:solidFill>
          </w14:textFill>
        </w:rPr>
        <w:t xml:space="preserve">           账  号：</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49AF16C8">
      <w:pPr>
        <w:pageBreakBefore w:val="0"/>
        <w:widowControl/>
        <w:wordWrap/>
        <w:overflowPunct/>
        <w:topLinePunct w:val="0"/>
        <w:bidi w:val="0"/>
        <w:spacing w:line="46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br w:type="page"/>
      </w:r>
      <w:bookmarkStart w:id="106" w:name="_Toc389065256"/>
      <w:bookmarkStart w:id="107" w:name="_Toc256000111"/>
      <w:bookmarkStart w:id="108" w:name="_Toc9850520"/>
      <w:bookmarkStart w:id="109" w:name="_Toc407135192"/>
      <w:bookmarkStart w:id="110" w:name="_Toc373227691"/>
      <w:bookmarkStart w:id="111" w:name="_Toc373478338"/>
      <w:bookmarkStart w:id="112" w:name="_Toc351203632"/>
    </w:p>
    <w:p w14:paraId="5D3F5EE5">
      <w:pPr>
        <w:pStyle w:val="3"/>
        <w:keepNext/>
        <w:keepLines/>
        <w:pageBreakBefore w:val="0"/>
        <w:widowControl w:val="0"/>
        <w:kinsoku/>
        <w:wordWrap/>
        <w:overflowPunct/>
        <w:topLinePunct w:val="0"/>
        <w:autoSpaceDE/>
        <w:autoSpaceDN/>
        <w:bidi w:val="0"/>
        <w:adjustRightInd/>
        <w:snapToGrid/>
        <w:spacing w:before="0" w:after="0" w:line="460" w:lineRule="exact"/>
        <w:jc w:val="center"/>
        <w:textAlignment w:val="auto"/>
        <w:rPr>
          <w:rFonts w:hint="eastAsia" w:eastAsia="宋体" w:cs="Times New Roman"/>
          <w:color w:val="000000" w:themeColor="text1"/>
          <w:highlight w:val="none"/>
          <w14:textFill>
            <w14:solidFill>
              <w14:schemeClr w14:val="tx1"/>
            </w14:solidFill>
          </w14:textFill>
        </w:rPr>
      </w:pPr>
      <w:r>
        <w:rPr>
          <w:rFonts w:hint="eastAsia" w:eastAsia="宋体" w:cs="Times New Roman"/>
          <w:color w:val="000000" w:themeColor="text1"/>
          <w:highlight w:val="none"/>
          <w14:textFill>
            <w14:solidFill>
              <w14:schemeClr w14:val="tx1"/>
            </w14:solidFill>
          </w14:textFill>
        </w:rPr>
        <w:t>第二部分 通用合同条款</w:t>
      </w:r>
      <w:bookmarkEnd w:id="106"/>
      <w:bookmarkEnd w:id="107"/>
      <w:bookmarkEnd w:id="108"/>
      <w:bookmarkEnd w:id="109"/>
    </w:p>
    <w:p w14:paraId="7D613911">
      <w:pPr>
        <w:pageBreakBefore w:val="0"/>
        <w:wordWrap/>
        <w:overflowPunct/>
        <w:topLinePunct w:val="0"/>
        <w:bidi w:val="0"/>
        <w:spacing w:line="460" w:lineRule="exact"/>
        <w:jc w:val="center"/>
        <w:rPr>
          <w:rFonts w:hint="eastAsia" w:ascii="宋体" w:hAnsi="宋体" w:eastAsia="宋体" w:cs="宋体"/>
          <w:b/>
          <w:bCs/>
          <w:color w:val="000000" w:themeColor="text1"/>
          <w:sz w:val="22"/>
          <w:szCs w:val="22"/>
          <w:highlight w:val="none"/>
          <w14:textFill>
            <w14:solidFill>
              <w14:schemeClr w14:val="tx1"/>
            </w14:solidFill>
          </w14:textFill>
        </w:rPr>
      </w:pPr>
    </w:p>
    <w:p w14:paraId="295F5670">
      <w:pPr>
        <w:pageBreakBefore w:val="0"/>
        <w:wordWrap/>
        <w:overflowPunct/>
        <w:topLinePunct w:val="0"/>
        <w:bidi w:val="0"/>
        <w:spacing w:line="460" w:lineRule="exact"/>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采用《建设工程施工合同（示范文本）》（GF—2017—0201）。</w:t>
      </w:r>
    </w:p>
    <w:p w14:paraId="58B8D188">
      <w:pPr>
        <w:pageBreakBefore w:val="0"/>
        <w:wordWrap/>
        <w:overflowPunct/>
        <w:topLinePunct w:val="0"/>
        <w:bidi w:val="0"/>
        <w:spacing w:line="460" w:lineRule="exact"/>
        <w:jc w:val="center"/>
        <w:rPr>
          <w:rFonts w:hint="eastAsia" w:ascii="宋体" w:hAnsi="宋体" w:eastAsia="宋体" w:cs="宋体"/>
          <w:b/>
          <w:bCs/>
          <w:color w:val="000000" w:themeColor="text1"/>
          <w:sz w:val="22"/>
          <w:szCs w:val="22"/>
          <w:highlight w:val="none"/>
          <w14:textFill>
            <w14:solidFill>
              <w14:schemeClr w14:val="tx1"/>
            </w14:solidFill>
          </w14:textFill>
        </w:rPr>
      </w:pPr>
      <w:bookmarkStart w:id="113" w:name="_Toc9850521"/>
      <w:bookmarkStart w:id="114" w:name="_Toc407135193"/>
      <w:bookmarkStart w:id="115" w:name="_Toc389065257"/>
      <w:bookmarkStart w:id="116" w:name="_Toc256000112"/>
    </w:p>
    <w:p w14:paraId="3B722157">
      <w:pPr>
        <w:pageBreakBefore w:val="0"/>
        <w:wordWrap/>
        <w:overflowPunct/>
        <w:topLinePunct w:val="0"/>
        <w:bidi w:val="0"/>
        <w:spacing w:line="460" w:lineRule="exact"/>
        <w:jc w:val="center"/>
        <w:rPr>
          <w:rFonts w:hint="eastAsia" w:ascii="宋体" w:hAnsi="宋体" w:eastAsia="宋体" w:cs="宋体"/>
          <w:b/>
          <w:bCs/>
          <w:color w:val="000000" w:themeColor="text1"/>
          <w:sz w:val="22"/>
          <w:szCs w:val="22"/>
          <w:highlight w:val="none"/>
          <w14:textFill>
            <w14:solidFill>
              <w14:schemeClr w14:val="tx1"/>
            </w14:solidFill>
          </w14:textFill>
        </w:rPr>
      </w:pPr>
    </w:p>
    <w:p w14:paraId="574381AA">
      <w:pPr>
        <w:pStyle w:val="3"/>
        <w:keepNext/>
        <w:keepLines/>
        <w:pageBreakBefore w:val="0"/>
        <w:widowControl w:val="0"/>
        <w:kinsoku/>
        <w:wordWrap/>
        <w:overflowPunct/>
        <w:topLinePunct w:val="0"/>
        <w:autoSpaceDE/>
        <w:autoSpaceDN/>
        <w:bidi w:val="0"/>
        <w:adjustRightInd/>
        <w:snapToGrid/>
        <w:spacing w:before="0" w:after="0" w:line="460" w:lineRule="exact"/>
        <w:jc w:val="center"/>
        <w:textAlignment w:val="auto"/>
        <w:rPr>
          <w:rFonts w:hint="eastAsia" w:eastAsia="宋体" w:cs="Times New Roman"/>
          <w:color w:val="000000" w:themeColor="text1"/>
          <w:highlight w:val="none"/>
          <w14:textFill>
            <w14:solidFill>
              <w14:schemeClr w14:val="tx1"/>
            </w14:solidFill>
          </w14:textFill>
        </w:rPr>
      </w:pPr>
      <w:r>
        <w:rPr>
          <w:rFonts w:hint="eastAsia" w:eastAsia="宋体" w:cs="Times New Roman"/>
          <w:color w:val="000000" w:themeColor="text1"/>
          <w:highlight w:val="none"/>
          <w14:textFill>
            <w14:solidFill>
              <w14:schemeClr w14:val="tx1"/>
            </w14:solidFill>
          </w14:textFill>
        </w:rPr>
        <w:t>第三部分 专用合同条款</w:t>
      </w:r>
      <w:bookmarkEnd w:id="110"/>
      <w:bookmarkEnd w:id="111"/>
      <w:bookmarkEnd w:id="112"/>
      <w:bookmarkEnd w:id="113"/>
      <w:bookmarkEnd w:id="114"/>
      <w:bookmarkEnd w:id="115"/>
      <w:bookmarkEnd w:id="116"/>
    </w:p>
    <w:p w14:paraId="4DDC4B1B">
      <w:pPr>
        <w:pageBreakBefore w:val="0"/>
        <w:wordWrap/>
        <w:overflowPunct/>
        <w:topLinePunct w:val="0"/>
        <w:bidi w:val="0"/>
        <w:spacing w:line="460" w:lineRule="exact"/>
        <w:rPr>
          <w:rFonts w:hint="eastAsia" w:ascii="宋体" w:hAnsi="宋体" w:eastAsia="宋体" w:cs="宋体"/>
          <w:color w:val="000000" w:themeColor="text1"/>
          <w:sz w:val="22"/>
          <w:szCs w:val="22"/>
          <w:highlight w:val="none"/>
          <w14:textFill>
            <w14:solidFill>
              <w14:schemeClr w14:val="tx1"/>
            </w14:solidFill>
          </w14:textFill>
        </w:rPr>
      </w:pPr>
    </w:p>
    <w:p w14:paraId="4D27173E">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117" w:name="_Toc389065258"/>
      <w:r>
        <w:rPr>
          <w:rFonts w:hint="eastAsia" w:ascii="宋体" w:hAnsi="宋体" w:eastAsia="宋体" w:cs="宋体"/>
          <w:color w:val="000000" w:themeColor="text1"/>
          <w:sz w:val="24"/>
          <w:szCs w:val="24"/>
          <w:highlight w:val="none"/>
          <w14:textFill>
            <w14:solidFill>
              <w14:schemeClr w14:val="tx1"/>
            </w14:solidFill>
          </w14:textFill>
        </w:rPr>
        <w:t>1</w:t>
      </w:r>
      <w:bookmarkEnd w:id="117"/>
      <w:bookmarkStart w:id="118" w:name="_Toc296347155"/>
      <w:bookmarkEnd w:id="118"/>
      <w:bookmarkStart w:id="119" w:name="_Toc296503156"/>
      <w:bookmarkEnd w:id="119"/>
      <w:bookmarkStart w:id="120" w:name="_Toc296944495"/>
      <w:bookmarkEnd w:id="120"/>
      <w:bookmarkStart w:id="121" w:name="_Toc292559866"/>
      <w:bookmarkEnd w:id="121"/>
      <w:bookmarkStart w:id="122" w:name="_Toc297048342"/>
      <w:bookmarkEnd w:id="122"/>
      <w:bookmarkStart w:id="123" w:name="_Toc297120456"/>
      <w:bookmarkEnd w:id="123"/>
      <w:bookmarkStart w:id="124" w:name="_Toc296890984"/>
      <w:bookmarkEnd w:id="124"/>
      <w:bookmarkStart w:id="125" w:name="_Toc296346657"/>
      <w:bookmarkEnd w:id="125"/>
      <w:bookmarkStart w:id="126" w:name="_Toc292559361"/>
      <w:bookmarkEnd w:id="126"/>
      <w:bookmarkStart w:id="127" w:name="_Toc296891196"/>
      <w:r>
        <w:rPr>
          <w:rFonts w:hint="eastAsia" w:ascii="宋体" w:hAnsi="宋体" w:eastAsia="宋体" w:cs="宋体"/>
          <w:color w:val="000000" w:themeColor="text1"/>
          <w:sz w:val="24"/>
          <w:szCs w:val="24"/>
          <w:highlight w:val="none"/>
          <w14:textFill>
            <w14:solidFill>
              <w14:schemeClr w14:val="tx1"/>
            </w14:solidFill>
          </w14:textFill>
        </w:rPr>
        <w:t xml:space="preserve">. </w:t>
      </w:r>
      <w:bookmarkEnd w:id="127"/>
      <w:r>
        <w:rPr>
          <w:rFonts w:hint="eastAsia" w:ascii="宋体" w:hAnsi="宋体" w:eastAsia="宋体" w:cs="宋体"/>
          <w:color w:val="000000" w:themeColor="text1"/>
          <w:sz w:val="24"/>
          <w:szCs w:val="24"/>
          <w:highlight w:val="none"/>
          <w14:textFill>
            <w14:solidFill>
              <w14:schemeClr w14:val="tx1"/>
            </w14:solidFill>
          </w14:textFill>
        </w:rPr>
        <w:t>一般约定</w:t>
      </w:r>
    </w:p>
    <w:p w14:paraId="3AFB55EF">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128" w:name="_Toc20141"/>
      <w:bookmarkEnd w:id="128"/>
      <w:bookmarkStart w:id="129" w:name="_Toc373478340"/>
      <w:bookmarkEnd w:id="129"/>
      <w:bookmarkStart w:id="130" w:name="_Toc373227693"/>
      <w:bookmarkEnd w:id="130"/>
      <w:bookmarkStart w:id="131" w:name="_Toc389065259"/>
      <w:bookmarkEnd w:id="131"/>
      <w:bookmarkStart w:id="132" w:name="_Toc407135195"/>
      <w:bookmarkEnd w:id="132"/>
      <w:r>
        <w:rPr>
          <w:rFonts w:hint="eastAsia" w:ascii="宋体" w:hAnsi="宋体" w:eastAsia="宋体" w:cs="宋体"/>
          <w:color w:val="000000" w:themeColor="text1"/>
          <w:sz w:val="24"/>
          <w:szCs w:val="24"/>
          <w:highlight w:val="none"/>
          <w14:textFill>
            <w14:solidFill>
              <w14:schemeClr w14:val="tx1"/>
            </w14:solidFill>
          </w14:textFill>
        </w:rPr>
        <w:t>1.1 词语定义</w:t>
      </w:r>
    </w:p>
    <w:p w14:paraId="1A77A948">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1.1.1 合同</w:t>
      </w:r>
    </w:p>
    <w:p w14:paraId="606172B5">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1.1.1.10 其他合同文件包括：</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履行合同过程中双方总经理以上管理者（或双方工地代表人）书面确认的对合同内容有实质性影响的会议纪要、签证、设计变更等资料 </w:t>
      </w:r>
      <w:r>
        <w:rPr>
          <w:rFonts w:hint="eastAsia" w:ascii="宋体" w:hAnsi="宋体" w:eastAsia="宋体" w:cs="宋体"/>
          <w:color w:val="000000" w:themeColor="text1"/>
          <w:sz w:val="24"/>
          <w:szCs w:val="24"/>
          <w:highlight w:val="none"/>
          <w14:textFill>
            <w14:solidFill>
              <w14:schemeClr w14:val="tx1"/>
            </w14:solidFill>
          </w14:textFill>
        </w:rPr>
        <w:t>。</w:t>
      </w:r>
    </w:p>
    <w:p w14:paraId="725F3E85">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1.1.2 合同当事人及其他相关方</w:t>
      </w:r>
    </w:p>
    <w:p w14:paraId="390FC0B5">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1.1.2.4 </w:t>
      </w:r>
      <w:r>
        <w:rPr>
          <w:rFonts w:hint="eastAsia" w:ascii="宋体" w:hAnsi="宋体" w:eastAsia="宋体" w:cs="宋体"/>
          <w:color w:val="000000" w:themeColor="text1"/>
          <w:kern w:val="0"/>
          <w:sz w:val="24"/>
          <w:szCs w:val="24"/>
          <w:highlight w:val="none"/>
          <w14:textFill>
            <w14:solidFill>
              <w14:schemeClr w14:val="tx1"/>
            </w14:solidFill>
          </w14:textFill>
        </w:rPr>
        <w:t>监理</w:t>
      </w:r>
      <w:r>
        <w:rPr>
          <w:rFonts w:hint="eastAsia" w:ascii="宋体" w:hAnsi="宋体" w:eastAsia="宋体" w:cs="宋体"/>
          <w:color w:val="000000" w:themeColor="text1"/>
          <w:sz w:val="24"/>
          <w:szCs w:val="24"/>
          <w:highlight w:val="none"/>
          <w14:textFill>
            <w14:solidFill>
              <w14:schemeClr w14:val="tx1"/>
            </w14:solidFill>
          </w14:textFill>
        </w:rPr>
        <w:t>人：</w:t>
      </w:r>
    </w:p>
    <w:p w14:paraId="69442D17">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名    称：</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111AEE1D">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资质类别和等级：</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125F81E4">
      <w:pPr>
        <w:pStyle w:val="245"/>
        <w:pageBreakBefore w:val="0"/>
        <w:wordWrap/>
        <w:overflowPunct/>
        <w:topLinePunct w:val="0"/>
        <w:bidi w:val="0"/>
        <w:spacing w:line="460" w:lineRule="exact"/>
        <w:ind w:firstLine="480" w:firstLineChars="200"/>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联系电话：</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2F23256F">
      <w:pPr>
        <w:pStyle w:val="245"/>
        <w:pageBreakBefore w:val="0"/>
        <w:wordWrap/>
        <w:overflowPunct/>
        <w:topLinePunct w:val="0"/>
        <w:bidi w:val="0"/>
        <w:spacing w:line="460" w:lineRule="exact"/>
        <w:ind w:firstLine="480" w:firstLineChars="200"/>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电子信箱：</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219FF68C">
      <w:pPr>
        <w:pStyle w:val="245"/>
        <w:pageBreakBefore w:val="0"/>
        <w:wordWrap/>
        <w:overflowPunct/>
        <w:topLinePunct w:val="0"/>
        <w:bidi w:val="0"/>
        <w:spacing w:line="460" w:lineRule="exact"/>
        <w:ind w:firstLine="480" w:firstLineChars="200"/>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通信地址：</w:t>
      </w:r>
      <w:r>
        <w:rPr>
          <w:rFonts w:hint="eastAsia" w:ascii="宋体" w:hAnsi="宋体" w:eastAsia="宋体" w:cs="宋体"/>
          <w:color w:val="000000" w:themeColor="text1"/>
          <w:sz w:val="28"/>
          <w:szCs w:val="28"/>
          <w:u w:val="single"/>
          <w14:textFill>
            <w14:solidFill>
              <w14:schemeClr w14:val="tx1"/>
            </w14:solidFill>
          </w14:textFill>
        </w:rPr>
        <w:t xml:space="preserve"> </w:t>
      </w:r>
      <w:r>
        <w:rPr>
          <w:rFonts w:hint="eastAsia" w:ascii="宋体" w:hAnsi="宋体" w:eastAsia="宋体" w:cs="宋体"/>
          <w:b/>
          <w:bCs/>
          <w:color w:val="000000" w:themeColor="text1"/>
          <w:sz w:val="28"/>
          <w:szCs w:val="28"/>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38F318D6">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1.1.2.5 设计人：</w:t>
      </w:r>
    </w:p>
    <w:p w14:paraId="45FBFCAF">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名    称：</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62724EBF">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资质类别和等级：</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0531EC08">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联系电话：</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34465F37">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电子信箱：</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554AEC14">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通信地址：</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791C3A06">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1.1.3 工程和设备</w:t>
      </w:r>
    </w:p>
    <w:p w14:paraId="70D20265">
      <w:pPr>
        <w:pageBreakBefore w:val="0"/>
        <w:wordWrap/>
        <w:overflowPunct/>
        <w:topLinePunct w:val="0"/>
        <w:bidi w:val="0"/>
        <w:spacing w:line="460" w:lineRule="exact"/>
        <w:ind w:firstLine="480" w:firstLineChars="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1.1.3.7 作为施工现场组成部分的其他场所包括：</w:t>
      </w:r>
      <w:r>
        <w:rPr>
          <w:rFonts w:hint="eastAsia" w:ascii="宋体" w:hAnsi="宋体" w:eastAsia="宋体" w:cs="宋体"/>
          <w:b/>
          <w:bCs/>
          <w:color w:val="000000" w:themeColor="text1"/>
          <w:sz w:val="24"/>
          <w:szCs w:val="24"/>
          <w:highlight w:val="none"/>
          <w:u w:val="single"/>
          <w14:textFill>
            <w14:solidFill>
              <w14:schemeClr w14:val="tx1"/>
            </w14:solidFill>
          </w14:textFill>
        </w:rPr>
        <w:t>临时工人宿舍、临时办公场地、实验室、材料堆放场、材料加工场及施工便道用地等。</w:t>
      </w:r>
    </w:p>
    <w:p w14:paraId="36D2E4C8">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1.1.3.9 永久占地包括：</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按照设计图纸确定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6D7CE56C">
      <w:pPr>
        <w:pStyle w:val="245"/>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1.1.3.10 临时占地包括：</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临时工人宿舍、临时办公场地、实验室、材料堆放场、材料加工场及施工便道用地等</w:t>
      </w:r>
      <w:r>
        <w:rPr>
          <w:rFonts w:hint="eastAsia" w:ascii="宋体" w:hAnsi="宋体" w:eastAsia="宋体" w:cs="宋体"/>
          <w:b/>
          <w:bCs/>
          <w:color w:val="000000" w:themeColor="text1"/>
          <w:kern w:val="0"/>
          <w:sz w:val="24"/>
          <w:szCs w:val="24"/>
          <w:highlight w:val="none"/>
          <w14:textFill>
            <w14:solidFill>
              <w14:schemeClr w14:val="tx1"/>
            </w14:solidFill>
          </w14:textFill>
        </w:rPr>
        <w:t>。</w:t>
      </w:r>
    </w:p>
    <w:p w14:paraId="1E92601A">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133" w:name="_Toc389065260"/>
      <w:bookmarkEnd w:id="133"/>
      <w:bookmarkStart w:id="134" w:name="_Toc28875"/>
      <w:bookmarkEnd w:id="134"/>
      <w:bookmarkStart w:id="135" w:name="_Toc373227694"/>
      <w:bookmarkEnd w:id="135"/>
      <w:bookmarkStart w:id="136" w:name="_Toc373478341"/>
      <w:bookmarkEnd w:id="136"/>
      <w:bookmarkStart w:id="137" w:name="_Toc407135196"/>
      <w:r>
        <w:rPr>
          <w:rFonts w:hint="eastAsia" w:ascii="宋体" w:hAnsi="宋体" w:eastAsia="宋体" w:cs="宋体"/>
          <w:color w:val="000000" w:themeColor="text1"/>
          <w:sz w:val="24"/>
          <w:szCs w:val="24"/>
          <w:highlight w:val="none"/>
          <w14:textFill>
            <w14:solidFill>
              <w14:schemeClr w14:val="tx1"/>
            </w14:solidFill>
          </w14:textFill>
        </w:rPr>
        <w:t xml:space="preserve">1.3 </w:t>
      </w:r>
      <w:bookmarkEnd w:id="137"/>
      <w:r>
        <w:rPr>
          <w:rFonts w:hint="eastAsia" w:ascii="宋体" w:hAnsi="宋体" w:eastAsia="宋体" w:cs="宋体"/>
          <w:color w:val="000000" w:themeColor="text1"/>
          <w:sz w:val="24"/>
          <w:szCs w:val="24"/>
          <w:highlight w:val="none"/>
          <w14:textFill>
            <w14:solidFill>
              <w14:schemeClr w14:val="tx1"/>
            </w14:solidFill>
          </w14:textFill>
        </w:rPr>
        <w:t>法律</w:t>
      </w:r>
    </w:p>
    <w:p w14:paraId="657952E6">
      <w:pPr>
        <w:pStyle w:val="245"/>
        <w:pageBreakBefore w:val="0"/>
        <w:wordWrap/>
        <w:overflowPunct/>
        <w:topLinePunct w:val="0"/>
        <w:bidi w:val="0"/>
        <w:spacing w:line="460" w:lineRule="exact"/>
        <w:ind w:firstLine="480" w:firstLineChars="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适用于合同的其他规范性文件：</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国家现行的《中华人民共和国建筑法》、《中华人民共和国民法典》、《中华人民共和国招标投标法》、《最高人民法院关于审理建设工程施工合同纠纷案件适用法律问题的解释》等与本工程有关国家现行的相关法律法规及工程所在地现行的地方性法规和地方政府规章等。</w:t>
      </w:r>
    </w:p>
    <w:p w14:paraId="21A3CB2D">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138" w:name="_Toc373227695"/>
      <w:bookmarkEnd w:id="138"/>
      <w:bookmarkStart w:id="139" w:name="_Toc10801"/>
      <w:bookmarkEnd w:id="139"/>
      <w:bookmarkStart w:id="140" w:name="_Toc389065261"/>
      <w:bookmarkEnd w:id="140"/>
      <w:bookmarkStart w:id="141" w:name="_Toc407135197"/>
      <w:bookmarkEnd w:id="141"/>
      <w:bookmarkStart w:id="142" w:name="_Toc373478342"/>
      <w:r>
        <w:rPr>
          <w:rFonts w:hint="eastAsia" w:ascii="宋体" w:hAnsi="宋体" w:eastAsia="宋体" w:cs="宋体"/>
          <w:color w:val="000000" w:themeColor="text1"/>
          <w:sz w:val="24"/>
          <w:szCs w:val="24"/>
          <w:highlight w:val="none"/>
          <w14:textFill>
            <w14:solidFill>
              <w14:schemeClr w14:val="tx1"/>
            </w14:solidFill>
          </w14:textFill>
        </w:rPr>
        <w:t xml:space="preserve">1.4 </w:t>
      </w:r>
      <w:bookmarkEnd w:id="142"/>
      <w:r>
        <w:rPr>
          <w:rFonts w:hint="eastAsia" w:ascii="宋体" w:hAnsi="宋体" w:eastAsia="宋体" w:cs="宋体"/>
          <w:color w:val="000000" w:themeColor="text1"/>
          <w:sz w:val="24"/>
          <w:szCs w:val="24"/>
          <w:highlight w:val="none"/>
          <w14:textFill>
            <w14:solidFill>
              <w14:schemeClr w14:val="tx1"/>
            </w14:solidFill>
          </w14:textFill>
        </w:rPr>
        <w:t>标准和规范</w:t>
      </w:r>
    </w:p>
    <w:p w14:paraId="64EAA341">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1.4.1 适用于工程的标准规范包括：</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适用于本工程国家现行有关的国家标准及规范、行业标准，工程所在地现行的地方性标准、规范、规程等，详见施工图  </w:t>
      </w:r>
      <w:r>
        <w:rPr>
          <w:rFonts w:hint="eastAsia" w:ascii="宋体" w:hAnsi="宋体" w:eastAsia="宋体" w:cs="宋体"/>
          <w:color w:val="000000" w:themeColor="text1"/>
          <w:sz w:val="24"/>
          <w:szCs w:val="24"/>
          <w:highlight w:val="none"/>
          <w14:textFill>
            <w14:solidFill>
              <w14:schemeClr w14:val="tx1"/>
            </w14:solidFill>
          </w14:textFill>
        </w:rPr>
        <w:t>。</w:t>
      </w:r>
    </w:p>
    <w:p w14:paraId="7F322773">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1.4.2 发包人提供国外标准、规范的名称：</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无</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56B14610">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发包人提供国外标准、规范的份数：</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 xml:space="preserve">无 </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1A84D8C3">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发包人提供国外标准、规范的名称：</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无</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6E65C02A">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1.4.3 发包人对工程的技术标准和功能要求的特殊要求：</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无</w:t>
      </w:r>
      <w:r>
        <w:rPr>
          <w:rFonts w:hint="eastAsia" w:ascii="宋体" w:hAnsi="宋体" w:eastAsia="宋体" w:cs="宋体"/>
          <w:b/>
          <w:bCs/>
          <w:color w:val="000000" w:themeColor="text1"/>
          <w:sz w:val="24"/>
          <w:szCs w:val="24"/>
          <w:highlight w:val="none"/>
          <w14:textFill>
            <w14:solidFill>
              <w14:schemeClr w14:val="tx1"/>
            </w14:solidFill>
          </w14:textFill>
        </w:rPr>
        <w:t>。</w:t>
      </w:r>
    </w:p>
    <w:p w14:paraId="0419126C">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143" w:name="_Toc389065262"/>
      <w:bookmarkEnd w:id="143"/>
      <w:bookmarkStart w:id="144" w:name="_Toc373478343"/>
      <w:bookmarkEnd w:id="144"/>
      <w:bookmarkStart w:id="145" w:name="_Toc407135198"/>
      <w:bookmarkEnd w:id="145"/>
      <w:bookmarkStart w:id="146" w:name="_Toc14574"/>
      <w:bookmarkEnd w:id="146"/>
      <w:bookmarkStart w:id="147" w:name="_Toc373227696"/>
      <w:r>
        <w:rPr>
          <w:rFonts w:hint="eastAsia" w:ascii="宋体" w:hAnsi="宋体" w:eastAsia="宋体" w:cs="宋体"/>
          <w:color w:val="000000" w:themeColor="text1"/>
          <w:sz w:val="24"/>
          <w:szCs w:val="24"/>
          <w:highlight w:val="none"/>
          <w14:textFill>
            <w14:solidFill>
              <w14:schemeClr w14:val="tx1"/>
            </w14:solidFill>
          </w14:textFill>
        </w:rPr>
        <w:t xml:space="preserve">1.5 </w:t>
      </w:r>
      <w:bookmarkEnd w:id="147"/>
      <w:r>
        <w:rPr>
          <w:rFonts w:hint="eastAsia" w:ascii="宋体" w:hAnsi="宋体" w:eastAsia="宋体" w:cs="宋体"/>
          <w:color w:val="000000" w:themeColor="text1"/>
          <w:sz w:val="24"/>
          <w:szCs w:val="24"/>
          <w:highlight w:val="none"/>
          <w14:textFill>
            <w14:solidFill>
              <w14:schemeClr w14:val="tx1"/>
            </w14:solidFill>
          </w14:textFill>
        </w:rPr>
        <w:t>合同文件的优先顺序</w:t>
      </w:r>
    </w:p>
    <w:p w14:paraId="48066C33">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合同文件组成及优先顺序为：</w:t>
      </w:r>
    </w:p>
    <w:p w14:paraId="3C1DF1EE">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（1）合同协议书；</w:t>
      </w:r>
    </w:p>
    <w:p w14:paraId="58A61A07">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（2）中标通知书（如有）；</w:t>
      </w:r>
    </w:p>
    <w:p w14:paraId="328C15A0">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（3）投标函及其附录（如有）；</w:t>
      </w:r>
    </w:p>
    <w:p w14:paraId="702F6419">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（4）专用合同条款及其附件；</w:t>
      </w:r>
    </w:p>
    <w:p w14:paraId="2C15E327">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（5）通用合同条款；</w:t>
      </w:r>
    </w:p>
    <w:p w14:paraId="7766708E">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（6） 技术标准和要求 ；</w:t>
      </w:r>
    </w:p>
    <w:p w14:paraId="01846601">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xml:space="preserve">（7） 图纸  </w:t>
      </w:r>
    </w:p>
    <w:p w14:paraId="360B6171">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（8）已标价工程量清单或预算书  ；</w:t>
      </w:r>
    </w:p>
    <w:p w14:paraId="2DB31D36">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（9） 其他合同文件。</w:t>
      </w:r>
    </w:p>
    <w:p w14:paraId="19CA3CE2">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说明：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4F68C98E">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148" w:name="_Toc389065263"/>
      <w:bookmarkEnd w:id="148"/>
      <w:bookmarkStart w:id="149" w:name="_Toc19804"/>
      <w:bookmarkEnd w:id="149"/>
      <w:bookmarkStart w:id="150" w:name="_Toc373227697"/>
      <w:bookmarkEnd w:id="150"/>
      <w:bookmarkStart w:id="151" w:name="_Toc373478344"/>
      <w:bookmarkEnd w:id="151"/>
      <w:bookmarkStart w:id="152" w:name="_Toc407135199"/>
      <w:r>
        <w:rPr>
          <w:rFonts w:hint="eastAsia" w:ascii="宋体" w:hAnsi="宋体" w:eastAsia="宋体" w:cs="宋体"/>
          <w:color w:val="000000" w:themeColor="text1"/>
          <w:sz w:val="24"/>
          <w:szCs w:val="24"/>
          <w:highlight w:val="none"/>
          <w14:textFill>
            <w14:solidFill>
              <w14:schemeClr w14:val="tx1"/>
            </w14:solidFill>
          </w14:textFill>
        </w:rPr>
        <w:t xml:space="preserve">1.6 </w:t>
      </w:r>
      <w:bookmarkEnd w:id="152"/>
      <w:r>
        <w:rPr>
          <w:rFonts w:hint="eastAsia" w:ascii="宋体" w:hAnsi="宋体" w:eastAsia="宋体" w:cs="宋体"/>
          <w:color w:val="000000" w:themeColor="text1"/>
          <w:sz w:val="24"/>
          <w:szCs w:val="24"/>
          <w:highlight w:val="none"/>
          <w14:textFill>
            <w14:solidFill>
              <w14:schemeClr w14:val="tx1"/>
            </w14:solidFill>
          </w14:textFill>
        </w:rPr>
        <w:t>图纸和承包人文件</w:t>
      </w:r>
      <w:r>
        <w:rPr>
          <w:rFonts w:hint="eastAsia" w:ascii="宋体" w:hAnsi="宋体" w:eastAsia="宋体" w:cs="宋体"/>
          <w:color w:val="000000" w:themeColor="text1"/>
          <w:sz w:val="24"/>
          <w:szCs w:val="24"/>
          <w:highlight w:val="none"/>
          <w14:textFill>
            <w14:solidFill>
              <w14:schemeClr w14:val="tx1"/>
            </w14:solidFill>
          </w14:textFill>
        </w:rPr>
        <w:tab/>
      </w:r>
    </w:p>
    <w:p w14:paraId="696D8FDB">
      <w:pPr>
        <w:pStyle w:val="246"/>
        <w:pageBreakBefore w:val="0"/>
        <w:wordWrap/>
        <w:overflowPunct/>
        <w:topLinePunct w:val="0"/>
        <w:bidi w:val="0"/>
        <w:spacing w:line="460" w:lineRule="exact"/>
        <w:ind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1.6.1 图纸的提供</w:t>
      </w:r>
    </w:p>
    <w:p w14:paraId="20BFC910">
      <w:pPr>
        <w:pStyle w:val="246"/>
        <w:pageBreakBefore w:val="0"/>
        <w:wordWrap/>
        <w:overflowPunct/>
        <w:topLinePunct w:val="0"/>
        <w:bidi w:val="0"/>
        <w:spacing w:line="460" w:lineRule="exact"/>
        <w:ind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发包人向承包人提供图纸的期限：</w:t>
      </w:r>
      <w:r>
        <w:rPr>
          <w:rFonts w:hint="eastAsia" w:ascii="宋体" w:hAnsi="宋体" w:eastAsia="宋体" w:cs="宋体"/>
          <w:b/>
          <w:bCs/>
          <w:color w:val="000000" w:themeColor="text1"/>
          <w:sz w:val="24"/>
          <w:szCs w:val="24"/>
          <w:highlight w:val="none"/>
          <w:u w:val="single"/>
          <w14:textFill>
            <w14:solidFill>
              <w14:schemeClr w14:val="tx1"/>
            </w14:solidFill>
          </w14:textFill>
        </w:rPr>
        <w:t>合同生效后15天内</w:t>
      </w:r>
      <w:r>
        <w:rPr>
          <w:rFonts w:hint="eastAsia" w:ascii="宋体" w:hAnsi="宋体" w:eastAsia="宋体" w:cs="宋体"/>
          <w:color w:val="000000" w:themeColor="text1"/>
          <w:sz w:val="24"/>
          <w:szCs w:val="24"/>
          <w:highlight w:val="none"/>
          <w14:textFill>
            <w14:solidFill>
              <w14:schemeClr w14:val="tx1"/>
            </w14:solidFill>
          </w14:textFill>
        </w:rPr>
        <w:t>；</w:t>
      </w:r>
    </w:p>
    <w:p w14:paraId="57A1E48A">
      <w:pPr>
        <w:pStyle w:val="246"/>
        <w:pageBreakBefore w:val="0"/>
        <w:wordWrap/>
        <w:overflowPunct/>
        <w:topLinePunct w:val="0"/>
        <w:bidi w:val="0"/>
        <w:spacing w:line="460" w:lineRule="exact"/>
        <w:ind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发包人向承包人提供图纸的数量：</w:t>
      </w:r>
      <w:r>
        <w:rPr>
          <w:rFonts w:hint="eastAsia" w:ascii="宋体" w:hAnsi="宋体" w:eastAsia="宋体" w:cs="宋体"/>
          <w:b/>
          <w:bCs/>
          <w:color w:val="000000" w:themeColor="text1"/>
          <w:sz w:val="24"/>
          <w:szCs w:val="24"/>
          <w:highlight w:val="none"/>
          <w:u w:val="single"/>
          <w14:textFill>
            <w14:solidFill>
              <w14:schemeClr w14:val="tx1"/>
            </w14:solidFill>
          </w14:textFill>
        </w:rPr>
        <w:t>一式陆份全套图纸，承包人需要增加图纸套数的，自行复制，复制费用由承包人承担</w:t>
      </w:r>
      <w:r>
        <w:rPr>
          <w:rFonts w:hint="eastAsia" w:ascii="宋体" w:hAnsi="宋体" w:eastAsia="宋体" w:cs="宋体"/>
          <w:color w:val="000000" w:themeColor="text1"/>
          <w:sz w:val="24"/>
          <w:szCs w:val="24"/>
          <w:highlight w:val="none"/>
          <w14:textFill>
            <w14:solidFill>
              <w14:schemeClr w14:val="tx1"/>
            </w14:solidFill>
          </w14:textFill>
        </w:rPr>
        <w:t>；</w:t>
      </w:r>
    </w:p>
    <w:p w14:paraId="5779CA34">
      <w:pPr>
        <w:pStyle w:val="246"/>
        <w:pageBreakBefore w:val="0"/>
        <w:wordWrap/>
        <w:overflowPunct/>
        <w:topLinePunct w:val="0"/>
        <w:bidi w:val="0"/>
        <w:spacing w:line="460" w:lineRule="exact"/>
        <w:ind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发包人向承包人提供图纸的内容：</w:t>
      </w:r>
      <w:r>
        <w:rPr>
          <w:rFonts w:hint="eastAsia" w:ascii="宋体" w:hAnsi="宋体" w:eastAsia="宋体" w:cs="宋体"/>
          <w:b/>
          <w:bCs/>
          <w:color w:val="000000" w:themeColor="text1"/>
          <w:sz w:val="24"/>
          <w:szCs w:val="24"/>
          <w:highlight w:val="none"/>
          <w:u w:val="single"/>
          <w14:textFill>
            <w14:solidFill>
              <w14:schemeClr w14:val="tx1"/>
            </w14:solidFill>
          </w14:textFill>
        </w:rPr>
        <w:t>完整的施工设计图纸文件</w:t>
      </w:r>
      <w:r>
        <w:rPr>
          <w:rFonts w:hint="eastAsia" w:ascii="宋体" w:hAnsi="宋体" w:eastAsia="宋体" w:cs="宋体"/>
          <w:color w:val="000000" w:themeColor="text1"/>
          <w:sz w:val="24"/>
          <w:szCs w:val="24"/>
          <w:highlight w:val="none"/>
          <w14:textFill>
            <w14:solidFill>
              <w14:schemeClr w14:val="tx1"/>
            </w14:solidFill>
          </w14:textFill>
        </w:rPr>
        <w:t>。</w:t>
      </w:r>
    </w:p>
    <w:p w14:paraId="08C6F0CF">
      <w:pPr>
        <w:pStyle w:val="246"/>
        <w:pageBreakBefore w:val="0"/>
        <w:wordWrap/>
        <w:overflowPunct/>
        <w:topLinePunct w:val="0"/>
        <w:bidi w:val="0"/>
        <w:spacing w:line="460" w:lineRule="exact"/>
        <w:ind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1.6.4 承包人文件</w:t>
      </w:r>
    </w:p>
    <w:p w14:paraId="2587630D">
      <w:pPr>
        <w:pStyle w:val="246"/>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需要由承包人提供的文件，包括：</w:t>
      </w:r>
      <w:r>
        <w:rPr>
          <w:rFonts w:hint="eastAsia" w:ascii="宋体" w:hAnsi="宋体" w:eastAsia="宋体" w:cs="宋体"/>
          <w:b/>
          <w:bCs/>
          <w:color w:val="000000" w:themeColor="text1"/>
          <w:sz w:val="24"/>
          <w:szCs w:val="24"/>
          <w:highlight w:val="none"/>
          <w:u w:val="single"/>
          <w14:textFill>
            <w14:solidFill>
              <w14:schemeClr w14:val="tx1"/>
            </w14:solidFill>
          </w14:textFill>
        </w:rPr>
        <w:t>施工组织设计、工程进度计划书、主要施工方法和措施</w:t>
      </w:r>
      <w:r>
        <w:rPr>
          <w:rFonts w:hint="eastAsia" w:ascii="宋体" w:hAnsi="宋体" w:eastAsia="宋体" w:cs="宋体"/>
          <w:color w:val="000000" w:themeColor="text1"/>
          <w:sz w:val="24"/>
          <w:szCs w:val="24"/>
          <w:highlight w:val="none"/>
          <w14:textFill>
            <w14:solidFill>
              <w14:schemeClr w14:val="tx1"/>
            </w14:solidFill>
          </w14:textFill>
        </w:rPr>
        <w:t>；</w:t>
      </w:r>
    </w:p>
    <w:p w14:paraId="3F43BBAC">
      <w:pPr>
        <w:pStyle w:val="246"/>
        <w:pageBreakBefore w:val="0"/>
        <w:wordWrap/>
        <w:overflowPunct/>
        <w:topLinePunct w:val="0"/>
        <w:bidi w:val="0"/>
        <w:spacing w:line="460" w:lineRule="exact"/>
        <w:ind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承包人提供的文件的期限为：</w:t>
      </w:r>
      <w:r>
        <w:rPr>
          <w:rFonts w:hint="eastAsia" w:ascii="宋体" w:hAnsi="宋体" w:eastAsia="宋体" w:cs="宋体"/>
          <w:b/>
          <w:bCs/>
          <w:color w:val="000000" w:themeColor="text1"/>
          <w:sz w:val="24"/>
          <w:szCs w:val="24"/>
          <w:highlight w:val="none"/>
          <w:u w:val="single"/>
          <w14:textFill>
            <w14:solidFill>
              <w14:schemeClr w14:val="tx1"/>
            </w14:solidFill>
          </w14:textFill>
        </w:rPr>
        <w:t>开工前7天内</w:t>
      </w:r>
      <w:r>
        <w:rPr>
          <w:rFonts w:hint="eastAsia" w:ascii="宋体" w:hAnsi="宋体" w:eastAsia="宋体" w:cs="宋体"/>
          <w:color w:val="000000" w:themeColor="text1"/>
          <w:sz w:val="24"/>
          <w:szCs w:val="24"/>
          <w:highlight w:val="none"/>
          <w14:textFill>
            <w14:solidFill>
              <w14:schemeClr w14:val="tx1"/>
            </w14:solidFill>
          </w14:textFill>
        </w:rPr>
        <w:t>；</w:t>
      </w:r>
    </w:p>
    <w:p w14:paraId="29A59814">
      <w:pPr>
        <w:pStyle w:val="246"/>
        <w:pageBreakBefore w:val="0"/>
        <w:wordWrap/>
        <w:overflowPunct/>
        <w:topLinePunct w:val="0"/>
        <w:bidi w:val="0"/>
        <w:spacing w:line="460" w:lineRule="exact"/>
        <w:ind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承包人提供的文件的数量为：</w:t>
      </w:r>
      <w:r>
        <w:rPr>
          <w:rFonts w:hint="eastAsia" w:ascii="宋体" w:hAnsi="宋体" w:eastAsia="宋体" w:cs="宋体"/>
          <w:b/>
          <w:bCs/>
          <w:color w:val="000000" w:themeColor="text1"/>
          <w:sz w:val="24"/>
          <w:szCs w:val="24"/>
          <w:highlight w:val="none"/>
          <w:u w:val="single"/>
          <w14:textFill>
            <w14:solidFill>
              <w14:schemeClr w14:val="tx1"/>
            </w14:solidFill>
          </w14:textFill>
        </w:rPr>
        <w:t>3份</w:t>
      </w:r>
      <w:r>
        <w:rPr>
          <w:rFonts w:hint="eastAsia" w:ascii="宋体" w:hAnsi="宋体" w:eastAsia="宋体" w:cs="宋体"/>
          <w:color w:val="000000" w:themeColor="text1"/>
          <w:sz w:val="24"/>
          <w:szCs w:val="24"/>
          <w:highlight w:val="none"/>
          <w14:textFill>
            <w14:solidFill>
              <w14:schemeClr w14:val="tx1"/>
            </w14:solidFill>
          </w14:textFill>
        </w:rPr>
        <w:t>；</w:t>
      </w:r>
    </w:p>
    <w:p w14:paraId="06DFF6EF">
      <w:pPr>
        <w:pStyle w:val="246"/>
        <w:pageBreakBefore w:val="0"/>
        <w:wordWrap/>
        <w:overflowPunct/>
        <w:topLinePunct w:val="0"/>
        <w:bidi w:val="0"/>
        <w:spacing w:line="460" w:lineRule="exact"/>
        <w:ind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承包人提供的文件的形式为：</w:t>
      </w:r>
      <w:r>
        <w:rPr>
          <w:rFonts w:hint="eastAsia" w:ascii="宋体" w:hAnsi="宋体" w:eastAsia="宋体" w:cs="宋体"/>
          <w:b/>
          <w:bCs/>
          <w:color w:val="000000" w:themeColor="text1"/>
          <w:sz w:val="24"/>
          <w:szCs w:val="24"/>
          <w:highlight w:val="none"/>
          <w:u w:val="single"/>
          <w14:textFill>
            <w14:solidFill>
              <w14:schemeClr w14:val="tx1"/>
            </w14:solidFill>
          </w14:textFill>
        </w:rPr>
        <w:t>书面形式</w:t>
      </w:r>
      <w:r>
        <w:rPr>
          <w:rFonts w:hint="eastAsia" w:ascii="宋体" w:hAnsi="宋体" w:eastAsia="宋体" w:cs="宋体"/>
          <w:color w:val="000000" w:themeColor="text1"/>
          <w:sz w:val="24"/>
          <w:szCs w:val="24"/>
          <w:highlight w:val="none"/>
          <w14:textFill>
            <w14:solidFill>
              <w14:schemeClr w14:val="tx1"/>
            </w14:solidFill>
          </w14:textFill>
        </w:rPr>
        <w:t>；</w:t>
      </w:r>
    </w:p>
    <w:p w14:paraId="0D5C6424">
      <w:pPr>
        <w:pStyle w:val="246"/>
        <w:pageBreakBefore w:val="0"/>
        <w:wordWrap/>
        <w:overflowPunct/>
        <w:topLinePunct w:val="0"/>
        <w:bidi w:val="0"/>
        <w:spacing w:line="460" w:lineRule="exact"/>
        <w:ind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发包人审批承包人文件的期限：</w:t>
      </w:r>
      <w:r>
        <w:rPr>
          <w:rFonts w:hint="eastAsia" w:ascii="宋体" w:hAnsi="宋体" w:eastAsia="宋体" w:cs="宋体"/>
          <w:b/>
          <w:bCs/>
          <w:color w:val="000000" w:themeColor="text1"/>
          <w:sz w:val="24"/>
          <w:szCs w:val="24"/>
          <w:highlight w:val="none"/>
          <w:u w:val="single"/>
          <w14:textFill>
            <w14:solidFill>
              <w14:schemeClr w14:val="tx1"/>
            </w14:solidFill>
          </w14:textFill>
        </w:rPr>
        <w:t>收到文件后7天内</w:t>
      </w:r>
      <w:r>
        <w:rPr>
          <w:rFonts w:hint="eastAsia" w:ascii="宋体" w:hAnsi="宋体" w:eastAsia="宋体" w:cs="宋体"/>
          <w:color w:val="000000" w:themeColor="text1"/>
          <w:sz w:val="24"/>
          <w:szCs w:val="24"/>
          <w:highlight w:val="none"/>
          <w14:textFill>
            <w14:solidFill>
              <w14:schemeClr w14:val="tx1"/>
            </w14:solidFill>
          </w14:textFill>
        </w:rPr>
        <w:t>。</w:t>
      </w:r>
    </w:p>
    <w:p w14:paraId="0EC74299">
      <w:pPr>
        <w:pStyle w:val="246"/>
        <w:pageBreakBefore w:val="0"/>
        <w:wordWrap/>
        <w:overflowPunct/>
        <w:topLinePunct w:val="0"/>
        <w:bidi w:val="0"/>
        <w:spacing w:line="460" w:lineRule="exact"/>
        <w:ind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1.6.5 现场图纸准备</w:t>
      </w:r>
    </w:p>
    <w:p w14:paraId="20941E3D">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关于现场图纸准备的约定：</w:t>
      </w:r>
      <w:r>
        <w:rPr>
          <w:rFonts w:hint="eastAsia" w:ascii="宋体" w:hAnsi="宋体" w:eastAsia="宋体" w:cs="宋体"/>
          <w:b/>
          <w:bCs/>
          <w:color w:val="000000" w:themeColor="text1"/>
          <w:sz w:val="24"/>
          <w:szCs w:val="24"/>
          <w:highlight w:val="none"/>
          <w:u w:val="single"/>
          <w14:textFill>
            <w14:solidFill>
              <w14:schemeClr w14:val="tx1"/>
            </w14:solidFill>
          </w14:textFill>
        </w:rPr>
        <w:t>承包人应在施工现场另外保存一套完整的图纸和承包人文件，供发包人、监理人及有关人员进行工程检查时使用</w:t>
      </w:r>
      <w:r>
        <w:rPr>
          <w:rFonts w:hint="eastAsia" w:ascii="宋体" w:hAnsi="宋体" w:eastAsia="宋体" w:cs="宋体"/>
          <w:color w:val="000000" w:themeColor="text1"/>
          <w:sz w:val="24"/>
          <w:szCs w:val="24"/>
          <w:highlight w:val="none"/>
          <w14:textFill>
            <w14:solidFill>
              <w14:schemeClr w14:val="tx1"/>
            </w14:solidFill>
          </w14:textFill>
        </w:rPr>
        <w:t>。</w:t>
      </w:r>
    </w:p>
    <w:p w14:paraId="1E3C2313">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153" w:name="_Toc14797"/>
      <w:bookmarkEnd w:id="153"/>
      <w:bookmarkStart w:id="154" w:name="_Toc407135200"/>
      <w:bookmarkEnd w:id="154"/>
      <w:bookmarkStart w:id="155" w:name="_Toc373478345"/>
      <w:bookmarkEnd w:id="155"/>
      <w:bookmarkStart w:id="156" w:name="_Toc389065264"/>
      <w:bookmarkEnd w:id="156"/>
      <w:bookmarkStart w:id="157" w:name="_Toc373227698"/>
      <w:r>
        <w:rPr>
          <w:rFonts w:hint="eastAsia" w:ascii="宋体" w:hAnsi="宋体" w:eastAsia="宋体" w:cs="宋体"/>
          <w:color w:val="000000" w:themeColor="text1"/>
          <w:sz w:val="24"/>
          <w:szCs w:val="24"/>
          <w:highlight w:val="none"/>
          <w14:textFill>
            <w14:solidFill>
              <w14:schemeClr w14:val="tx1"/>
            </w14:solidFill>
          </w14:textFill>
        </w:rPr>
        <w:t xml:space="preserve">1.7 </w:t>
      </w:r>
      <w:bookmarkEnd w:id="157"/>
      <w:r>
        <w:rPr>
          <w:rFonts w:hint="eastAsia" w:ascii="宋体" w:hAnsi="宋体" w:eastAsia="宋体" w:cs="宋体"/>
          <w:color w:val="000000" w:themeColor="text1"/>
          <w:sz w:val="24"/>
          <w:szCs w:val="24"/>
          <w:highlight w:val="none"/>
          <w14:textFill>
            <w14:solidFill>
              <w14:schemeClr w14:val="tx1"/>
            </w14:solidFill>
          </w14:textFill>
        </w:rPr>
        <w:t>联络</w:t>
      </w:r>
    </w:p>
    <w:p w14:paraId="0EDBBD51">
      <w:pPr>
        <w:pStyle w:val="246"/>
        <w:pageBreakBefore w:val="0"/>
        <w:wordWrap/>
        <w:overflowPunct/>
        <w:topLinePunct w:val="0"/>
        <w:bidi w:val="0"/>
        <w:spacing w:line="460" w:lineRule="exact"/>
        <w:ind w:firstLine="42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1.7.1发包人和承包人应当在</w:t>
      </w:r>
      <w:r>
        <w:rPr>
          <w:rFonts w:hint="eastAsia" w:ascii="宋体" w:hAnsi="宋体" w:eastAsia="宋体" w:cs="宋体"/>
          <w:b/>
          <w:bCs/>
          <w:color w:val="000000" w:themeColor="text1"/>
          <w:sz w:val="24"/>
          <w:szCs w:val="24"/>
          <w:highlight w:val="none"/>
          <w:u w:val="single"/>
          <w14:textFill>
            <w14:solidFill>
              <w14:schemeClr w14:val="tx1"/>
            </w14:solidFill>
          </w14:textFill>
        </w:rPr>
        <w:t>7</w:t>
      </w:r>
      <w:r>
        <w:rPr>
          <w:rFonts w:hint="eastAsia" w:ascii="宋体" w:hAnsi="宋体" w:eastAsia="宋体" w:cs="宋体"/>
          <w:color w:val="000000" w:themeColor="text1"/>
          <w:kern w:val="0"/>
          <w:sz w:val="24"/>
          <w:szCs w:val="24"/>
          <w:highlight w:val="none"/>
          <w14:textFill>
            <w14:solidFill>
              <w14:schemeClr w14:val="tx1"/>
            </w14:solidFill>
          </w14:textFill>
        </w:rPr>
        <w:t>天内将与合同有关的通知、批准、证明、证书、指示、指令、要求、请求、同意、意见、确定和决定等书面函件送达对方当事人。</w:t>
      </w:r>
    </w:p>
    <w:p w14:paraId="6F1A8B33">
      <w:pPr>
        <w:pStyle w:val="246"/>
        <w:pageBreakBefore w:val="0"/>
        <w:wordWrap/>
        <w:overflowPunct/>
        <w:topLinePunct w:val="0"/>
        <w:bidi w:val="0"/>
        <w:spacing w:line="460" w:lineRule="exact"/>
        <w:ind w:firstLine="42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1.7.2 发包人接收文件的地点：</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在签订合同时明确  </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5F22E33C">
      <w:pPr>
        <w:pStyle w:val="246"/>
        <w:pageBreakBefore w:val="0"/>
        <w:wordWrap/>
        <w:overflowPunct/>
        <w:topLinePunct w:val="0"/>
        <w:bidi w:val="0"/>
        <w:spacing w:line="460" w:lineRule="exact"/>
        <w:ind w:firstLine="42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发包人指定的接收人为：</w:t>
      </w:r>
      <w:r>
        <w:rPr>
          <w:rFonts w:hint="eastAsia" w:ascii="宋体" w:hAnsi="宋体" w:eastAsia="宋体" w:cs="宋体"/>
          <w:b/>
          <w:bCs/>
          <w:color w:val="000000" w:themeColor="text1"/>
          <w:sz w:val="24"/>
          <w:szCs w:val="24"/>
          <w:highlight w:val="none"/>
          <w:u w:val="single"/>
          <w14:textFill>
            <w14:solidFill>
              <w14:schemeClr w14:val="tx1"/>
            </w14:solidFill>
          </w14:textFill>
        </w:rPr>
        <w:t>发包人代表</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74044E7B">
      <w:pPr>
        <w:pStyle w:val="246"/>
        <w:pageBreakBefore w:val="0"/>
        <w:wordWrap/>
        <w:overflowPunct/>
        <w:topLinePunct w:val="0"/>
        <w:bidi w:val="0"/>
        <w:spacing w:line="460" w:lineRule="exact"/>
        <w:ind w:firstLine="42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承包人接收文件的地点：</w:t>
      </w:r>
      <w:r>
        <w:rPr>
          <w:rFonts w:hint="eastAsia" w:ascii="宋体" w:hAnsi="宋体" w:eastAsia="宋体" w:cs="宋体"/>
          <w:b/>
          <w:bCs/>
          <w:color w:val="000000" w:themeColor="text1"/>
          <w:sz w:val="24"/>
          <w:szCs w:val="24"/>
          <w:highlight w:val="none"/>
          <w:u w:val="single"/>
          <w14:textFill>
            <w14:solidFill>
              <w14:schemeClr w14:val="tx1"/>
            </w14:solidFill>
          </w14:textFill>
        </w:rPr>
        <w:t>施工现场项目部</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5974AC45">
      <w:pPr>
        <w:pStyle w:val="246"/>
        <w:pageBreakBefore w:val="0"/>
        <w:wordWrap/>
        <w:overflowPunct/>
        <w:topLinePunct w:val="0"/>
        <w:bidi w:val="0"/>
        <w:spacing w:line="460" w:lineRule="exact"/>
        <w:ind w:firstLine="42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承包人指定的接收人为：</w:t>
      </w:r>
      <w:r>
        <w:rPr>
          <w:rFonts w:hint="eastAsia" w:ascii="宋体" w:hAnsi="宋体" w:eastAsia="宋体" w:cs="宋体"/>
          <w:b/>
          <w:bCs/>
          <w:color w:val="000000" w:themeColor="text1"/>
          <w:sz w:val="24"/>
          <w:szCs w:val="24"/>
          <w:highlight w:val="none"/>
          <w:u w:val="single"/>
          <w14:textFill>
            <w14:solidFill>
              <w14:schemeClr w14:val="tx1"/>
            </w14:solidFill>
          </w14:textFill>
        </w:rPr>
        <w:t>项目经理、技术负责人</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4DBA4277">
      <w:pPr>
        <w:pStyle w:val="246"/>
        <w:pageBreakBefore w:val="0"/>
        <w:wordWrap/>
        <w:overflowPunct/>
        <w:topLinePunct w:val="0"/>
        <w:bidi w:val="0"/>
        <w:spacing w:line="460" w:lineRule="exact"/>
        <w:ind w:firstLine="42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监理人接收文件的地点：</w:t>
      </w:r>
      <w:r>
        <w:rPr>
          <w:rFonts w:hint="eastAsia" w:ascii="宋体" w:hAnsi="宋体" w:eastAsia="宋体" w:cs="宋体"/>
          <w:b/>
          <w:bCs/>
          <w:color w:val="000000" w:themeColor="text1"/>
          <w:sz w:val="24"/>
          <w:szCs w:val="24"/>
          <w:highlight w:val="none"/>
          <w:u w:val="single"/>
          <w14:textFill>
            <w14:solidFill>
              <w14:schemeClr w14:val="tx1"/>
            </w14:solidFill>
          </w14:textFill>
        </w:rPr>
        <w:t>施工现场项目部</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0F9286E1">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监理人指定的接收人为：</w:t>
      </w:r>
      <w:r>
        <w:rPr>
          <w:rFonts w:hint="eastAsia" w:ascii="宋体" w:hAnsi="宋体" w:eastAsia="宋体" w:cs="宋体"/>
          <w:b/>
          <w:bCs/>
          <w:color w:val="000000" w:themeColor="text1"/>
          <w:sz w:val="24"/>
          <w:szCs w:val="24"/>
          <w:highlight w:val="none"/>
          <w:u w:val="single"/>
          <w14:textFill>
            <w14:solidFill>
              <w14:schemeClr w14:val="tx1"/>
            </w14:solidFill>
          </w14:textFill>
        </w:rPr>
        <w:t>项目总监</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3A678009">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158" w:name="_Toc407135201"/>
      <w:bookmarkEnd w:id="158"/>
      <w:bookmarkStart w:id="159" w:name="_Toc373227699"/>
      <w:bookmarkEnd w:id="159"/>
      <w:bookmarkStart w:id="160" w:name="_Toc373478346"/>
      <w:bookmarkEnd w:id="160"/>
      <w:bookmarkStart w:id="161" w:name="_Toc29755"/>
      <w:bookmarkEnd w:id="161"/>
      <w:bookmarkStart w:id="162" w:name="_Toc389065265"/>
      <w:r>
        <w:rPr>
          <w:rFonts w:hint="eastAsia" w:ascii="宋体" w:hAnsi="宋体" w:eastAsia="宋体" w:cs="宋体"/>
          <w:color w:val="000000" w:themeColor="text1"/>
          <w:sz w:val="24"/>
          <w:szCs w:val="24"/>
          <w:highlight w:val="none"/>
          <w14:textFill>
            <w14:solidFill>
              <w14:schemeClr w14:val="tx1"/>
            </w14:solidFill>
          </w14:textFill>
        </w:rPr>
        <w:t xml:space="preserve">1.10 </w:t>
      </w:r>
      <w:bookmarkEnd w:id="162"/>
      <w:r>
        <w:rPr>
          <w:rFonts w:hint="eastAsia" w:ascii="宋体" w:hAnsi="宋体" w:eastAsia="宋体" w:cs="宋体"/>
          <w:color w:val="000000" w:themeColor="text1"/>
          <w:sz w:val="24"/>
          <w:szCs w:val="24"/>
          <w:highlight w:val="none"/>
          <w14:textFill>
            <w14:solidFill>
              <w14:schemeClr w14:val="tx1"/>
            </w14:solidFill>
          </w14:textFill>
        </w:rPr>
        <w:t>交通运输</w:t>
      </w:r>
    </w:p>
    <w:p w14:paraId="091EF8FE">
      <w:pPr>
        <w:pStyle w:val="247"/>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bookmarkStart w:id="163" w:name="_Toc318581157"/>
      <w:bookmarkEnd w:id="163"/>
      <w:r>
        <w:rPr>
          <w:rFonts w:hint="eastAsia" w:ascii="宋体" w:hAnsi="宋体" w:eastAsia="宋体" w:cs="宋体"/>
          <w:color w:val="000000" w:themeColor="text1"/>
          <w:sz w:val="24"/>
          <w:szCs w:val="24"/>
          <w:highlight w:val="none"/>
          <w14:textFill>
            <w14:solidFill>
              <w14:schemeClr w14:val="tx1"/>
            </w14:solidFill>
          </w14:textFill>
        </w:rPr>
        <w:t>1</w:t>
      </w:r>
      <w:bookmarkStart w:id="164" w:name="_Toc303539100"/>
      <w:bookmarkEnd w:id="164"/>
      <w:bookmarkStart w:id="165" w:name="_Toc312677986"/>
      <w:bookmarkEnd w:id="165"/>
      <w:bookmarkStart w:id="166" w:name="_Toc318581155"/>
      <w:bookmarkEnd w:id="166"/>
      <w:bookmarkStart w:id="167" w:name="_Toc300934943"/>
      <w:bookmarkEnd w:id="167"/>
      <w:bookmarkStart w:id="168" w:name="_Toc304295521"/>
      <w:r>
        <w:rPr>
          <w:rFonts w:hint="eastAsia" w:ascii="宋体" w:hAnsi="宋体" w:eastAsia="宋体" w:cs="宋体"/>
          <w:color w:val="000000" w:themeColor="text1"/>
          <w:sz w:val="24"/>
          <w:szCs w:val="24"/>
          <w:highlight w:val="none"/>
          <w14:textFill>
            <w14:solidFill>
              <w14:schemeClr w14:val="tx1"/>
            </w14:solidFill>
          </w14:textFill>
        </w:rPr>
        <w:t xml:space="preserve">.10.1 </w:t>
      </w:r>
      <w:bookmarkEnd w:id="168"/>
      <w:r>
        <w:rPr>
          <w:rFonts w:hint="eastAsia" w:ascii="宋体" w:hAnsi="宋体" w:eastAsia="宋体" w:cs="宋体"/>
          <w:color w:val="000000" w:themeColor="text1"/>
          <w:sz w:val="24"/>
          <w:szCs w:val="24"/>
          <w:highlight w:val="none"/>
          <w14:textFill>
            <w14:solidFill>
              <w14:schemeClr w14:val="tx1"/>
            </w14:solidFill>
          </w14:textFill>
        </w:rPr>
        <w:t>出入现场的权利</w:t>
      </w:r>
    </w:p>
    <w:p w14:paraId="4BE04461">
      <w:pPr>
        <w:pStyle w:val="247"/>
        <w:pageBreakBefore w:val="0"/>
        <w:wordWrap/>
        <w:overflowPunct/>
        <w:topLinePunct w:val="0"/>
        <w:bidi w:val="0"/>
        <w:spacing w:line="460" w:lineRule="exact"/>
        <w:ind w:firstLine="480" w:firstLineChars="200"/>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关于出入现场的权利的约定：</w:t>
      </w:r>
      <w:r>
        <w:rPr>
          <w:rFonts w:hint="eastAsia" w:ascii="宋体" w:hAnsi="宋体" w:eastAsia="宋体" w:cs="宋体"/>
          <w:b/>
          <w:bCs/>
          <w:color w:val="000000" w:themeColor="text1"/>
          <w:sz w:val="24"/>
          <w:szCs w:val="24"/>
          <w:highlight w:val="none"/>
          <w:u w:val="single"/>
          <w14:textFill>
            <w14:solidFill>
              <w14:schemeClr w14:val="tx1"/>
            </w14:solidFill>
          </w14:textFill>
        </w:rPr>
        <w:t>发包人协助承包人取得出入施工现场所需的批准手续和全部权利，以及取得因施工所需修建道路、桥梁以及其他基础设施的权利，承包人承担相关手续费用和修建道路、桥梁以及其他基础设施的建设费用，此等费用无论承包人是否在投标报价中单独列支，发包人均认为此项费用包含在投标报价中，由承包人承担此等费用</w:t>
      </w:r>
      <w:r>
        <w:rPr>
          <w:rFonts w:hint="eastAsia" w:ascii="宋体" w:hAnsi="宋体" w:eastAsia="宋体" w:cs="宋体"/>
          <w:b/>
          <w:bCs/>
          <w:color w:val="000000" w:themeColor="text1"/>
          <w:sz w:val="24"/>
          <w:szCs w:val="24"/>
          <w:highlight w:val="none"/>
          <w14:textFill>
            <w14:solidFill>
              <w14:schemeClr w14:val="tx1"/>
            </w14:solidFill>
          </w14:textFill>
        </w:rPr>
        <w:t>。</w:t>
      </w:r>
    </w:p>
    <w:p w14:paraId="042BD2A4">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bookmarkStart w:id="169" w:name="_Toc303539101"/>
      <w:bookmarkEnd w:id="169"/>
      <w:bookmarkStart w:id="170" w:name="_Toc304295522"/>
      <w:bookmarkEnd w:id="170"/>
      <w:bookmarkStart w:id="171" w:name="_Toc300934944"/>
      <w:bookmarkEnd w:id="171"/>
      <w:bookmarkStart w:id="172" w:name="_Toc318581156"/>
      <w:bookmarkEnd w:id="172"/>
      <w:bookmarkStart w:id="173" w:name="_Toc312677987"/>
      <w:r>
        <w:rPr>
          <w:rFonts w:hint="eastAsia" w:ascii="宋体" w:hAnsi="宋体" w:eastAsia="宋体" w:cs="宋体"/>
          <w:color w:val="000000" w:themeColor="text1"/>
          <w:sz w:val="24"/>
          <w:szCs w:val="24"/>
          <w:highlight w:val="none"/>
          <w14:textFill>
            <w14:solidFill>
              <w14:schemeClr w14:val="tx1"/>
            </w14:solidFill>
          </w14:textFill>
        </w:rPr>
        <w:t xml:space="preserve">.10.3 </w:t>
      </w:r>
      <w:bookmarkEnd w:id="173"/>
      <w:r>
        <w:rPr>
          <w:rFonts w:hint="eastAsia" w:ascii="宋体" w:hAnsi="宋体" w:eastAsia="宋体" w:cs="宋体"/>
          <w:color w:val="000000" w:themeColor="text1"/>
          <w:sz w:val="24"/>
          <w:szCs w:val="24"/>
          <w:highlight w:val="none"/>
          <w14:textFill>
            <w14:solidFill>
              <w14:schemeClr w14:val="tx1"/>
            </w14:solidFill>
          </w14:textFill>
        </w:rPr>
        <w:t>场内交通</w:t>
      </w:r>
    </w:p>
    <w:p w14:paraId="170BFABA">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关于场外交通和场内交通的边界的约定：</w:t>
      </w:r>
      <w:r>
        <w:rPr>
          <w:rFonts w:hint="eastAsia" w:ascii="宋体" w:hAnsi="宋体" w:eastAsia="宋体" w:cs="宋体"/>
          <w:b/>
          <w:bCs/>
          <w:color w:val="000000" w:themeColor="text1"/>
          <w:sz w:val="24"/>
          <w:szCs w:val="24"/>
          <w:highlight w:val="none"/>
          <w:u w:val="single"/>
          <w14:textFill>
            <w14:solidFill>
              <w14:schemeClr w14:val="tx1"/>
            </w14:solidFill>
          </w14:textFill>
        </w:rPr>
        <w:t>以现场实际施工条件为准</w:t>
      </w:r>
      <w:r>
        <w:rPr>
          <w:rFonts w:hint="eastAsia" w:ascii="宋体" w:hAnsi="宋体" w:eastAsia="宋体" w:cs="宋体"/>
          <w:color w:val="000000" w:themeColor="text1"/>
          <w:sz w:val="24"/>
          <w:szCs w:val="24"/>
          <w:highlight w:val="none"/>
          <w14:textFill>
            <w14:solidFill>
              <w14:schemeClr w14:val="tx1"/>
            </w14:solidFill>
          </w14:textFill>
        </w:rPr>
        <w:t>。</w:t>
      </w:r>
    </w:p>
    <w:p w14:paraId="5456EABA">
      <w:pPr>
        <w:pStyle w:val="246"/>
        <w:pageBreakBefore w:val="0"/>
        <w:wordWrap/>
        <w:overflowPunct/>
        <w:topLinePunct w:val="0"/>
        <w:bidi w:val="0"/>
        <w:spacing w:line="460" w:lineRule="exact"/>
        <w:ind w:firstLine="42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关于发包人向承包人免费提供满足工程施工需要的场内道路和交通设施的约定：</w:t>
      </w:r>
      <w:r>
        <w:rPr>
          <w:rFonts w:hint="eastAsia" w:ascii="宋体" w:hAnsi="宋体" w:eastAsia="宋体" w:cs="宋体"/>
          <w:b/>
          <w:bCs/>
          <w:color w:val="000000" w:themeColor="text1"/>
          <w:sz w:val="24"/>
          <w:szCs w:val="24"/>
          <w:highlight w:val="none"/>
          <w:u w:val="single"/>
          <w14:textFill>
            <w14:solidFill>
              <w14:schemeClr w14:val="tx1"/>
            </w14:solidFill>
          </w14:textFill>
        </w:rPr>
        <w:t>以现场实际施工条件为准，由承包人负责并承担相应费用</w:t>
      </w:r>
      <w:r>
        <w:rPr>
          <w:rFonts w:hint="eastAsia" w:ascii="宋体" w:hAnsi="宋体" w:eastAsia="宋体" w:cs="宋体"/>
          <w:b/>
          <w:bCs/>
          <w:color w:val="000000" w:themeColor="text1"/>
          <w:sz w:val="24"/>
          <w:szCs w:val="24"/>
          <w:highlight w:val="none"/>
          <w14:textFill>
            <w14:solidFill>
              <w14:schemeClr w14:val="tx1"/>
            </w14:solidFill>
          </w14:textFill>
        </w:rPr>
        <w:t>。</w:t>
      </w:r>
    </w:p>
    <w:p w14:paraId="30866FD9">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1.10.4 超大件和超重件的运输</w:t>
      </w:r>
    </w:p>
    <w:p w14:paraId="3439948A">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运输超大件或超重件所需的道路和桥梁临时加固改造费用和其他有关费用由</w:t>
      </w:r>
      <w:r>
        <w:rPr>
          <w:rFonts w:hint="eastAsia" w:ascii="宋体" w:hAnsi="宋体" w:eastAsia="宋体" w:cs="宋体"/>
          <w:b/>
          <w:bCs/>
          <w:color w:val="000000" w:themeColor="text1"/>
          <w:sz w:val="24"/>
          <w:szCs w:val="24"/>
          <w:highlight w:val="none"/>
          <w:u w:val="single"/>
          <w14:textFill>
            <w14:solidFill>
              <w14:schemeClr w14:val="tx1"/>
            </w14:solidFill>
          </w14:textFill>
        </w:rPr>
        <w:t>承包人</w:t>
      </w:r>
      <w:r>
        <w:rPr>
          <w:rFonts w:hint="eastAsia" w:ascii="宋体" w:hAnsi="宋体" w:eastAsia="宋体" w:cs="宋体"/>
          <w:color w:val="000000" w:themeColor="text1"/>
          <w:sz w:val="24"/>
          <w:szCs w:val="24"/>
          <w:highlight w:val="none"/>
          <w14:textFill>
            <w14:solidFill>
              <w14:schemeClr w14:val="tx1"/>
            </w14:solidFill>
          </w14:textFill>
        </w:rPr>
        <w:t>承担。</w:t>
      </w:r>
    </w:p>
    <w:p w14:paraId="5FB0270E">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1.10.5 场外交通</w:t>
      </w:r>
    </w:p>
    <w:p w14:paraId="0178A879">
      <w:pPr>
        <w:pStyle w:val="245"/>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关于场外交通的约定：</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w:t>
      </w:r>
    </w:p>
    <w:p w14:paraId="2FB09D2D">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174" w:name="_Toc407135202"/>
      <w:bookmarkEnd w:id="174"/>
      <w:bookmarkStart w:id="175" w:name="_Toc3808"/>
      <w:bookmarkEnd w:id="175"/>
      <w:bookmarkStart w:id="176" w:name="_Toc389065266"/>
      <w:bookmarkEnd w:id="176"/>
      <w:bookmarkStart w:id="177" w:name="_Toc373478347"/>
      <w:bookmarkEnd w:id="177"/>
      <w:bookmarkStart w:id="178" w:name="_Toc373227700"/>
      <w:r>
        <w:rPr>
          <w:rFonts w:hint="eastAsia" w:ascii="宋体" w:hAnsi="宋体" w:eastAsia="宋体" w:cs="宋体"/>
          <w:color w:val="000000" w:themeColor="text1"/>
          <w:sz w:val="24"/>
          <w:szCs w:val="24"/>
          <w:highlight w:val="none"/>
          <w14:textFill>
            <w14:solidFill>
              <w14:schemeClr w14:val="tx1"/>
            </w14:solidFill>
          </w14:textFill>
        </w:rPr>
        <w:t xml:space="preserve">1.11 </w:t>
      </w:r>
      <w:bookmarkEnd w:id="178"/>
      <w:r>
        <w:rPr>
          <w:rFonts w:hint="eastAsia" w:ascii="宋体" w:hAnsi="宋体" w:eastAsia="宋体" w:cs="宋体"/>
          <w:color w:val="000000" w:themeColor="text1"/>
          <w:sz w:val="24"/>
          <w:szCs w:val="24"/>
          <w:highlight w:val="none"/>
          <w14:textFill>
            <w14:solidFill>
              <w14:schemeClr w14:val="tx1"/>
            </w14:solidFill>
          </w14:textFill>
        </w:rPr>
        <w:t>知识产权</w:t>
      </w:r>
    </w:p>
    <w:p w14:paraId="678B727D">
      <w:pPr>
        <w:pStyle w:val="246"/>
        <w:pageBreakBefore w:val="0"/>
        <w:wordWrap/>
        <w:overflowPunct/>
        <w:topLinePunct w:val="0"/>
        <w:bidi w:val="0"/>
        <w:spacing w:line="460" w:lineRule="exact"/>
        <w:ind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b/>
          <w:bCs/>
          <w:color w:val="000000" w:themeColor="text1"/>
          <w:sz w:val="24"/>
          <w:szCs w:val="24"/>
          <w:highlight w:val="none"/>
          <w:u w:val="single"/>
          <w14:textFill>
            <w14:solidFill>
              <w14:schemeClr w14:val="tx1"/>
            </w14:solidFill>
          </w14:textFill>
        </w:rPr>
        <w:t>按《通用合同条款》1.11.1条执行</w:t>
      </w:r>
      <w:r>
        <w:rPr>
          <w:rFonts w:hint="eastAsia" w:ascii="宋体" w:hAnsi="宋体" w:eastAsia="宋体" w:cs="宋体"/>
          <w:color w:val="000000" w:themeColor="text1"/>
          <w:sz w:val="24"/>
          <w:szCs w:val="24"/>
          <w:highlight w:val="none"/>
          <w14:textFill>
            <w14:solidFill>
              <w14:schemeClr w14:val="tx1"/>
            </w14:solidFill>
          </w14:textFill>
        </w:rPr>
        <w:t>。</w:t>
      </w:r>
    </w:p>
    <w:p w14:paraId="56FB76BC">
      <w:pPr>
        <w:pStyle w:val="246"/>
        <w:pageBreakBefore w:val="0"/>
        <w:wordWrap/>
        <w:overflowPunct/>
        <w:topLinePunct w:val="0"/>
        <w:bidi w:val="0"/>
        <w:spacing w:line="460" w:lineRule="exact"/>
        <w:ind w:left="5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关于发包人提供的上述文件的使用限制的要求：</w:t>
      </w:r>
      <w:r>
        <w:rPr>
          <w:rFonts w:hint="eastAsia" w:ascii="宋体" w:hAnsi="宋体" w:eastAsia="宋体" w:cs="宋体"/>
          <w:b/>
          <w:bCs/>
          <w:color w:val="000000" w:themeColor="text1"/>
          <w:sz w:val="24"/>
          <w:szCs w:val="24"/>
          <w:highlight w:val="none"/>
          <w:u w:val="single"/>
          <w14:textFill>
            <w14:solidFill>
              <w14:schemeClr w14:val="tx1"/>
            </w14:solidFill>
          </w14:textFill>
        </w:rPr>
        <w:t>按本合同《通用条款》1.11.1执行</w:t>
      </w:r>
      <w:r>
        <w:rPr>
          <w:rFonts w:hint="eastAsia" w:ascii="宋体" w:hAnsi="宋体" w:eastAsia="宋体" w:cs="宋体"/>
          <w:color w:val="000000" w:themeColor="text1"/>
          <w:sz w:val="24"/>
          <w:szCs w:val="24"/>
          <w:highlight w:val="none"/>
          <w14:textFill>
            <w14:solidFill>
              <w14:schemeClr w14:val="tx1"/>
            </w14:solidFill>
          </w14:textFill>
        </w:rPr>
        <w:t>。</w:t>
      </w:r>
    </w:p>
    <w:p w14:paraId="11EC4202">
      <w:pPr>
        <w:pStyle w:val="246"/>
        <w:pageBreakBefore w:val="0"/>
        <w:wordWrap/>
        <w:overflowPunct/>
        <w:topLinePunct w:val="0"/>
        <w:bidi w:val="0"/>
        <w:spacing w:line="460" w:lineRule="exact"/>
        <w:ind w:firstLine="21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1.11.2 关于承包人为实施工程所编制文件的著作权的归属：</w:t>
      </w:r>
      <w:r>
        <w:rPr>
          <w:rFonts w:hint="eastAsia" w:ascii="宋体" w:hAnsi="宋体" w:eastAsia="宋体" w:cs="宋体"/>
          <w:b/>
          <w:bCs/>
          <w:color w:val="000000" w:themeColor="text1"/>
          <w:sz w:val="24"/>
          <w:szCs w:val="24"/>
          <w:highlight w:val="none"/>
          <w:u w:val="single"/>
          <w14:textFill>
            <w14:solidFill>
              <w14:schemeClr w14:val="tx1"/>
            </w14:solidFill>
          </w14:textFill>
        </w:rPr>
        <w:t>按本合同《通用条款》1.11.2执行</w:t>
      </w:r>
      <w:r>
        <w:rPr>
          <w:rFonts w:hint="eastAsia" w:ascii="宋体" w:hAnsi="宋体" w:eastAsia="宋体" w:cs="宋体"/>
          <w:color w:val="000000" w:themeColor="text1"/>
          <w:sz w:val="24"/>
          <w:szCs w:val="24"/>
          <w:highlight w:val="none"/>
          <w14:textFill>
            <w14:solidFill>
              <w14:schemeClr w14:val="tx1"/>
            </w14:solidFill>
          </w14:textFill>
        </w:rPr>
        <w:t>。</w:t>
      </w:r>
    </w:p>
    <w:p w14:paraId="352376C4">
      <w:pPr>
        <w:pStyle w:val="246"/>
        <w:pageBreakBefore w:val="0"/>
        <w:wordWrap/>
        <w:overflowPunct/>
        <w:topLinePunct w:val="0"/>
        <w:bidi w:val="0"/>
        <w:spacing w:line="460" w:lineRule="exact"/>
        <w:ind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关于承包人提供的上述文件的使用限制的要求：</w:t>
      </w:r>
      <w:r>
        <w:rPr>
          <w:rFonts w:hint="eastAsia" w:ascii="宋体" w:hAnsi="宋体" w:eastAsia="宋体" w:cs="宋体"/>
          <w:b/>
          <w:bCs/>
          <w:color w:val="000000" w:themeColor="text1"/>
          <w:sz w:val="24"/>
          <w:szCs w:val="24"/>
          <w:highlight w:val="none"/>
          <w:u w:val="single"/>
          <w14:textFill>
            <w14:solidFill>
              <w14:schemeClr w14:val="tx1"/>
            </w14:solidFill>
          </w14:textFill>
        </w:rPr>
        <w:t>按本合同《通用条款》1.11.2执行</w:t>
      </w:r>
      <w:r>
        <w:rPr>
          <w:rFonts w:hint="eastAsia" w:ascii="宋体" w:hAnsi="宋体" w:eastAsia="宋体" w:cs="宋体"/>
          <w:color w:val="000000" w:themeColor="text1"/>
          <w:sz w:val="24"/>
          <w:szCs w:val="24"/>
          <w:highlight w:val="none"/>
          <w14:textFill>
            <w14:solidFill>
              <w14:schemeClr w14:val="tx1"/>
            </w14:solidFill>
          </w14:textFill>
        </w:rPr>
        <w:t>。</w:t>
      </w:r>
    </w:p>
    <w:p w14:paraId="5DAC59B8">
      <w:pPr>
        <w:pStyle w:val="245"/>
        <w:pageBreakBefore w:val="0"/>
        <w:wordWrap/>
        <w:overflowPunct/>
        <w:topLinePunct w:val="0"/>
        <w:bidi w:val="0"/>
        <w:spacing w:line="460" w:lineRule="exact"/>
        <w:ind w:firstLine="480" w:firstLineChars="200"/>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1.11.4 承包人在施工过程中所采用的专利、专有技术、技术秘密的使用费的承担方式：</w:t>
      </w:r>
      <w:r>
        <w:rPr>
          <w:rFonts w:hint="eastAsia" w:ascii="宋体" w:hAnsi="宋体" w:eastAsia="宋体" w:cs="宋体"/>
          <w:b/>
          <w:bCs/>
          <w:color w:val="000000" w:themeColor="text1"/>
          <w:sz w:val="24"/>
          <w:szCs w:val="24"/>
          <w:highlight w:val="none"/>
          <w:u w:val="single"/>
          <w14:textFill>
            <w14:solidFill>
              <w14:schemeClr w14:val="tx1"/>
            </w14:solidFill>
          </w14:textFill>
        </w:rPr>
        <w:t>承包人在合同签订前和签订时已确定采用的专利、专有技术、技术秘密的使用费已包含在签约合同价中</w:t>
      </w:r>
      <w:r>
        <w:rPr>
          <w:rFonts w:hint="eastAsia" w:ascii="宋体" w:hAnsi="宋体" w:eastAsia="宋体" w:cs="宋体"/>
          <w:b/>
          <w:bCs/>
          <w:color w:val="000000" w:themeColor="text1"/>
          <w:kern w:val="0"/>
          <w:sz w:val="24"/>
          <w:szCs w:val="24"/>
          <w:highlight w:val="none"/>
          <w14:textFill>
            <w14:solidFill>
              <w14:schemeClr w14:val="tx1"/>
            </w14:solidFill>
          </w14:textFill>
        </w:rPr>
        <w:t>。</w:t>
      </w:r>
    </w:p>
    <w:p w14:paraId="25DCEF5A">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179" w:name="_Toc373478348"/>
      <w:bookmarkEnd w:id="179"/>
      <w:bookmarkStart w:id="180" w:name="_Toc389065267"/>
      <w:bookmarkEnd w:id="180"/>
      <w:bookmarkStart w:id="181" w:name="_Toc17812"/>
      <w:bookmarkEnd w:id="181"/>
      <w:bookmarkStart w:id="182" w:name="_Toc373227701"/>
      <w:bookmarkEnd w:id="182"/>
      <w:bookmarkStart w:id="183" w:name="_Toc407135203"/>
      <w:r>
        <w:rPr>
          <w:rFonts w:hint="eastAsia" w:ascii="宋体" w:hAnsi="宋体" w:eastAsia="宋体" w:cs="宋体"/>
          <w:color w:val="000000" w:themeColor="text1"/>
          <w:sz w:val="24"/>
          <w:szCs w:val="24"/>
          <w:highlight w:val="none"/>
          <w14:textFill>
            <w14:solidFill>
              <w14:schemeClr w14:val="tx1"/>
            </w14:solidFill>
          </w14:textFill>
        </w:rPr>
        <w:t>1.13</w:t>
      </w:r>
      <w:bookmarkEnd w:id="183"/>
      <w:r>
        <w:rPr>
          <w:rFonts w:hint="eastAsia" w:ascii="宋体" w:hAnsi="宋体" w:eastAsia="宋体" w:cs="宋体"/>
          <w:color w:val="000000" w:themeColor="text1"/>
          <w:sz w:val="24"/>
          <w:szCs w:val="24"/>
          <w:highlight w:val="none"/>
          <w14:textFill>
            <w14:solidFill>
              <w14:schemeClr w14:val="tx1"/>
            </w14:solidFill>
          </w14:textFill>
        </w:rPr>
        <w:t>工程量清单错误的修正</w:t>
      </w:r>
    </w:p>
    <w:p w14:paraId="56CC39DD">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出现工程量清单工程量偏差时，是否调整合同价格：</w:t>
      </w:r>
      <w:r>
        <w:rPr>
          <w:rFonts w:hint="eastAsia" w:ascii="宋体" w:hAnsi="宋体" w:eastAsia="宋体" w:cs="宋体"/>
          <w:b/>
          <w:bCs/>
          <w:color w:val="000000" w:themeColor="text1"/>
          <w:sz w:val="24"/>
          <w:szCs w:val="24"/>
          <w:highlight w:val="none"/>
          <w:u w:val="single"/>
          <w:lang w:eastAsia="zh-CN"/>
          <w14:textFill>
            <w14:solidFill>
              <w14:schemeClr w14:val="tx1"/>
            </w14:solidFill>
          </w14:textFill>
        </w:rPr>
        <w:t>☑</w:t>
      </w:r>
      <w:r>
        <w:rPr>
          <w:rFonts w:hint="eastAsia" w:ascii="宋体" w:hAnsi="宋体" w:eastAsia="宋体" w:cs="宋体"/>
          <w:b/>
          <w:bCs/>
          <w:color w:val="000000" w:themeColor="text1"/>
          <w:sz w:val="24"/>
          <w:szCs w:val="24"/>
          <w:highlight w:val="none"/>
          <w:u w:val="single"/>
          <w14:textFill>
            <w14:solidFill>
              <w14:schemeClr w14:val="tx1"/>
            </w14:solidFill>
          </w14:textFill>
        </w:rPr>
        <w:t>是</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u w:val="single"/>
          <w:lang w:eastAsia="zh-CN"/>
          <w14:textFill>
            <w14:solidFill>
              <w14:schemeClr w14:val="tx1"/>
            </w14:solidFill>
          </w14:textFill>
        </w:rPr>
        <w:t>□</w:t>
      </w:r>
      <w:r>
        <w:rPr>
          <w:rFonts w:hint="eastAsia" w:ascii="宋体" w:hAnsi="宋体" w:eastAsia="宋体" w:cs="宋体"/>
          <w:b w:val="0"/>
          <w:bCs w:val="0"/>
          <w:color w:val="000000" w:themeColor="text1"/>
          <w:sz w:val="24"/>
          <w:szCs w:val="24"/>
          <w:highlight w:val="none"/>
          <w:u w:val="single"/>
          <w14:textFill>
            <w14:solidFill>
              <w14:schemeClr w14:val="tx1"/>
            </w14:solidFill>
          </w14:textFill>
        </w:rPr>
        <w:t>否</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2B588529">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允许调整合同价格的工程量偏差范围及其调整办法：</w:t>
      </w:r>
    </w:p>
    <w:p w14:paraId="6978E7A4">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除严重不平衡报价外，无论分部分项工程量清单项目中的工程量变化多少均不调整  </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3B25F5AA">
      <w:pPr>
        <w:pStyle w:val="245"/>
        <w:pageBreakBefore w:val="0"/>
        <w:wordWrap/>
        <w:overflowPunct/>
        <w:topLinePunct w:val="0"/>
        <w:autoSpaceDE w:val="0"/>
        <w:autoSpaceDN w:val="0"/>
        <w:bidi w:val="0"/>
        <w:adjustRightInd w:val="0"/>
        <w:spacing w:line="460" w:lineRule="exact"/>
        <w:ind w:firstLine="482" w:firstLineChars="200"/>
        <w:jc w:val="left"/>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承包人实际完成的某单项清单项目工程量与招标工程量清单工程量偏差超过/且该单项清单造价超过合同总价/以上的，超过后增加部分工程量或减少后剩余部分工程量的综合单价按以下方法调整： </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出现工程量清单存在缺项、漏项的，工程量清单偏差超出专用合同条款约定的工程量偏差范围的，未按照国家现行计量规范强制性规定计量的，</w:t>
      </w:r>
      <w:r>
        <w:rPr>
          <w:rFonts w:hint="eastAsia" w:ascii="宋体" w:hAnsi="宋体" w:eastAsia="宋体" w:cs="宋体"/>
          <w:b/>
          <w:bCs/>
          <w:color w:val="000000" w:themeColor="text1"/>
          <w:sz w:val="24"/>
          <w:szCs w:val="24"/>
          <w:highlight w:val="none"/>
          <w:u w:val="single"/>
          <w14:textFill>
            <w14:solidFill>
              <w14:schemeClr w14:val="tx1"/>
            </w14:solidFill>
          </w14:textFill>
        </w:rPr>
        <w:t>据实调整。</w:t>
      </w:r>
    </w:p>
    <w:p w14:paraId="6159FD08">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184" w:name="_Toc389065268"/>
      <w:bookmarkEnd w:id="184"/>
      <w:bookmarkStart w:id="185" w:name="_Toc373227702"/>
      <w:bookmarkEnd w:id="185"/>
      <w:bookmarkStart w:id="186" w:name="_Toc407135204"/>
      <w:bookmarkEnd w:id="186"/>
      <w:bookmarkStart w:id="187" w:name="_Toc351203634"/>
      <w:bookmarkEnd w:id="187"/>
      <w:bookmarkStart w:id="188" w:name="_Toc373478349"/>
      <w:bookmarkEnd w:id="188"/>
      <w:bookmarkStart w:id="189" w:name="_Toc8250"/>
      <w:r>
        <w:rPr>
          <w:rFonts w:hint="eastAsia" w:ascii="宋体" w:hAnsi="宋体" w:eastAsia="宋体" w:cs="宋体"/>
          <w:color w:val="000000" w:themeColor="text1"/>
          <w:sz w:val="24"/>
          <w:szCs w:val="24"/>
          <w:highlight w:val="none"/>
          <w14:textFill>
            <w14:solidFill>
              <w14:schemeClr w14:val="tx1"/>
            </w14:solidFill>
          </w14:textFill>
        </w:rPr>
        <w:t>2</w:t>
      </w:r>
      <w:bookmarkEnd w:id="189"/>
      <w:bookmarkStart w:id="190" w:name="_Toc292559362"/>
      <w:bookmarkEnd w:id="190"/>
      <w:bookmarkStart w:id="191" w:name="_Toc296944496"/>
      <w:bookmarkEnd w:id="191"/>
      <w:bookmarkStart w:id="192" w:name="_Toc297120457"/>
      <w:bookmarkEnd w:id="192"/>
      <w:bookmarkStart w:id="193" w:name="_Toc296891197"/>
      <w:bookmarkEnd w:id="193"/>
      <w:bookmarkStart w:id="194" w:name="_Toc296347156"/>
      <w:bookmarkEnd w:id="194"/>
      <w:bookmarkStart w:id="195" w:name="_Toc297048343"/>
      <w:bookmarkEnd w:id="195"/>
      <w:bookmarkStart w:id="196" w:name="_Toc296346658"/>
      <w:bookmarkEnd w:id="196"/>
      <w:bookmarkStart w:id="197" w:name="_Toc292559867"/>
      <w:bookmarkEnd w:id="197"/>
      <w:bookmarkStart w:id="198" w:name="_Toc296890985"/>
      <w:bookmarkEnd w:id="198"/>
      <w:bookmarkStart w:id="199" w:name="_Toc296503157"/>
      <w:r>
        <w:rPr>
          <w:rFonts w:hint="eastAsia" w:ascii="宋体" w:hAnsi="宋体" w:eastAsia="宋体" w:cs="宋体"/>
          <w:color w:val="000000" w:themeColor="text1"/>
          <w:sz w:val="24"/>
          <w:szCs w:val="24"/>
          <w:highlight w:val="none"/>
          <w14:textFill>
            <w14:solidFill>
              <w14:schemeClr w14:val="tx1"/>
            </w14:solidFill>
          </w14:textFill>
        </w:rPr>
        <w:t xml:space="preserve">. </w:t>
      </w:r>
      <w:bookmarkEnd w:id="199"/>
      <w:r>
        <w:rPr>
          <w:rFonts w:hint="eastAsia" w:ascii="宋体" w:hAnsi="宋体" w:eastAsia="宋体" w:cs="宋体"/>
          <w:color w:val="000000" w:themeColor="text1"/>
          <w:sz w:val="24"/>
          <w:szCs w:val="24"/>
          <w:highlight w:val="none"/>
          <w14:textFill>
            <w14:solidFill>
              <w14:schemeClr w14:val="tx1"/>
            </w14:solidFill>
          </w14:textFill>
        </w:rPr>
        <w:t>发包人</w:t>
      </w:r>
    </w:p>
    <w:p w14:paraId="10BCA5FE">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200" w:name="_Toc389065269"/>
      <w:bookmarkEnd w:id="200"/>
      <w:bookmarkStart w:id="201" w:name="_Toc407135205"/>
      <w:bookmarkEnd w:id="201"/>
      <w:bookmarkStart w:id="202" w:name="_Toc373227703"/>
      <w:bookmarkEnd w:id="202"/>
      <w:bookmarkStart w:id="203" w:name="_Toc7158"/>
      <w:bookmarkEnd w:id="203"/>
      <w:bookmarkStart w:id="204" w:name="_Toc373478350"/>
      <w:bookmarkEnd w:id="204"/>
      <w:r>
        <w:rPr>
          <w:rFonts w:hint="eastAsia" w:ascii="宋体" w:hAnsi="宋体" w:eastAsia="宋体" w:cs="宋体"/>
          <w:color w:val="000000" w:themeColor="text1"/>
          <w:sz w:val="24"/>
          <w:szCs w:val="24"/>
          <w:highlight w:val="none"/>
          <w14:textFill>
            <w14:solidFill>
              <w14:schemeClr w14:val="tx1"/>
            </w14:solidFill>
          </w14:textFill>
        </w:rPr>
        <w:t>2.2 发包人代表</w:t>
      </w:r>
    </w:p>
    <w:p w14:paraId="1B3B165D">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发包人代表：</w:t>
      </w:r>
    </w:p>
    <w:p w14:paraId="5D9DC2A3">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姓    名：</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5C9C24FF">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身份证号：</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791BDD72">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职    务</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69F4B24A">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联系电话：</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66A24E85">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电子信箱：</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471896EE">
      <w:pPr>
        <w:pStyle w:val="245"/>
        <w:pageBreakBefore w:val="0"/>
        <w:wordWrap/>
        <w:overflowPunct/>
        <w:topLinePunct w:val="0"/>
        <w:bidi w:val="0"/>
        <w:spacing w:line="460" w:lineRule="exact"/>
        <w:ind w:firstLine="480" w:firstLineChars="200"/>
        <w:rPr>
          <w:rFonts w:hint="eastAsia" w:ascii="宋体" w:hAnsi="宋体" w:eastAsia="宋体" w:cs="宋体"/>
          <w:b/>
          <w:bCs/>
          <w:color w:val="000000" w:themeColor="text1"/>
          <w:kern w:val="0"/>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通信地址：</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6CB65FCF">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发包人对发包人代表的授权范围如下：</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代表发包人按发包人认可的施工设计图纸、施工组织设计、工程进度计划和本工程相关合同及国家现行有关的国家标准及规范、行业标准，工程所在地现行的地方性标准、规范、规程等法律法规进行全部现场施工管理</w:t>
      </w:r>
      <w:r>
        <w:rPr>
          <w:rFonts w:hint="eastAsia" w:ascii="宋体" w:hAnsi="宋体" w:eastAsia="宋体" w:cs="宋体"/>
          <w:b/>
          <w:bCs/>
          <w:color w:val="000000" w:themeColor="text1"/>
          <w:sz w:val="24"/>
          <w:szCs w:val="24"/>
          <w:highlight w:val="none"/>
          <w14:textFill>
            <w14:solidFill>
              <w14:schemeClr w14:val="tx1"/>
            </w14:solidFill>
          </w14:textFill>
        </w:rPr>
        <w:t>。</w:t>
      </w:r>
    </w:p>
    <w:p w14:paraId="1EA29751">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205" w:name="_Toc373478351"/>
      <w:bookmarkEnd w:id="205"/>
      <w:bookmarkStart w:id="206" w:name="_Toc407135206"/>
      <w:bookmarkEnd w:id="206"/>
      <w:bookmarkStart w:id="207" w:name="_Toc389065270"/>
      <w:bookmarkEnd w:id="207"/>
      <w:bookmarkStart w:id="208" w:name="_Toc11758"/>
      <w:bookmarkEnd w:id="208"/>
      <w:bookmarkStart w:id="209" w:name="_Toc373227704"/>
      <w:r>
        <w:rPr>
          <w:rFonts w:hint="eastAsia" w:ascii="宋体" w:hAnsi="宋体" w:eastAsia="宋体" w:cs="宋体"/>
          <w:color w:val="000000" w:themeColor="text1"/>
          <w:sz w:val="24"/>
          <w:szCs w:val="24"/>
          <w:highlight w:val="none"/>
          <w14:textFill>
            <w14:solidFill>
              <w14:schemeClr w14:val="tx1"/>
            </w14:solidFill>
          </w14:textFill>
        </w:rPr>
        <w:t xml:space="preserve">2.4 </w:t>
      </w:r>
      <w:bookmarkEnd w:id="209"/>
      <w:r>
        <w:rPr>
          <w:rFonts w:hint="eastAsia" w:ascii="宋体" w:hAnsi="宋体" w:eastAsia="宋体" w:cs="宋体"/>
          <w:color w:val="000000" w:themeColor="text1"/>
          <w:sz w:val="24"/>
          <w:szCs w:val="24"/>
          <w:highlight w:val="none"/>
          <w14:textFill>
            <w14:solidFill>
              <w14:schemeClr w14:val="tx1"/>
            </w14:solidFill>
          </w14:textFill>
        </w:rPr>
        <w:t>施工现场、施工条件和基础资料的提供</w:t>
      </w:r>
    </w:p>
    <w:p w14:paraId="55B2AB9A">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2.4.1 提供施工现场</w:t>
      </w:r>
    </w:p>
    <w:p w14:paraId="6E97FFE9">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关于发包人移交施工现场的期限要求：</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开工日期7天前移交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23260C5A">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2.4.2 提供施工条件</w:t>
      </w:r>
    </w:p>
    <w:p w14:paraId="502A2E6D">
      <w:pPr>
        <w:pStyle w:val="245"/>
        <w:pageBreakBefore w:val="0"/>
        <w:wordWrap/>
        <w:overflowPunct/>
        <w:topLinePunct w:val="0"/>
        <w:bidi w:val="0"/>
        <w:spacing w:line="460" w:lineRule="exact"/>
        <w:ind w:firstLine="480" w:firstLineChars="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（1）关于发包人应负责提供施工所需要的条件，包括：</w:t>
      </w:r>
      <w:r>
        <w:rPr>
          <w:rFonts w:hint="eastAsia" w:ascii="宋体" w:hAnsi="宋体" w:eastAsia="宋体" w:cs="宋体"/>
          <w:b/>
          <w:bCs/>
          <w:color w:val="000000" w:themeColor="text1"/>
          <w:sz w:val="24"/>
          <w:szCs w:val="24"/>
          <w:highlight w:val="none"/>
          <w:u w:val="single"/>
          <w14:textFill>
            <w14:solidFill>
              <w14:schemeClr w14:val="tx1"/>
            </w14:solidFill>
          </w14:textFill>
        </w:rPr>
        <w:t>发包人须完成满足施工需要的土地征用、拆迁补偿；地下管线见现场地桩标志；水准点与坐标控制点现场交验；图纸会审和设计现场交底；现场处理邻近建筑物、构筑物、文物保护建筑、古树名木的保护工作；协调群众堵工事件</w:t>
      </w:r>
      <w:r>
        <w:rPr>
          <w:rFonts w:hint="eastAsia" w:ascii="宋体" w:hAnsi="宋体" w:eastAsia="宋体" w:cs="宋体"/>
          <w:b/>
          <w:bCs/>
          <w:color w:val="000000" w:themeColor="text1"/>
          <w:sz w:val="24"/>
          <w:szCs w:val="24"/>
          <w:highlight w:val="none"/>
          <w14:textFill>
            <w14:solidFill>
              <w14:schemeClr w14:val="tx1"/>
            </w14:solidFill>
          </w14:textFill>
        </w:rPr>
        <w:t>。</w:t>
      </w:r>
    </w:p>
    <w:p w14:paraId="05C8BD43">
      <w:pPr>
        <w:pStyle w:val="245"/>
        <w:pageBreakBefore w:val="0"/>
        <w:wordWrap/>
        <w:overflowPunct/>
        <w:topLinePunct w:val="0"/>
        <w:bidi w:val="0"/>
        <w:spacing w:line="460" w:lineRule="exact"/>
        <w:ind w:firstLine="480" w:firstLineChars="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（2）将施工所需的水、电接至施工场地的时间、地点和供应要求：</w:t>
      </w:r>
      <w:r>
        <w:rPr>
          <w:rFonts w:hint="eastAsia" w:ascii="宋体" w:hAnsi="宋体" w:eastAsia="宋体" w:cs="宋体"/>
          <w:b/>
          <w:bCs/>
          <w:color w:val="000000" w:themeColor="text1"/>
          <w:sz w:val="24"/>
          <w:szCs w:val="24"/>
          <w:highlight w:val="none"/>
          <w:u w:val="single"/>
          <w14:textFill>
            <w14:solidFill>
              <w14:schemeClr w14:val="tx1"/>
            </w14:solidFill>
          </w14:textFill>
        </w:rPr>
        <w:t>施工现场所需水电及涉及的费用由施工单位承担，发包人可协助办理。</w:t>
      </w:r>
    </w:p>
    <w:p w14:paraId="3E4F52D5">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210" w:name="_Toc389065271"/>
      <w:bookmarkEnd w:id="210"/>
      <w:bookmarkStart w:id="211" w:name="_Toc373227705"/>
      <w:bookmarkEnd w:id="211"/>
      <w:bookmarkStart w:id="212" w:name="_Toc407135207"/>
      <w:bookmarkEnd w:id="212"/>
      <w:bookmarkStart w:id="213" w:name="_Toc12276"/>
      <w:bookmarkEnd w:id="213"/>
      <w:bookmarkStart w:id="214" w:name="_Toc373478352"/>
      <w:r>
        <w:rPr>
          <w:rFonts w:hint="eastAsia" w:ascii="宋体" w:hAnsi="宋体" w:eastAsia="宋体" w:cs="宋体"/>
          <w:color w:val="000000" w:themeColor="text1"/>
          <w:sz w:val="24"/>
          <w:szCs w:val="24"/>
          <w:highlight w:val="none"/>
          <w14:textFill>
            <w14:solidFill>
              <w14:schemeClr w14:val="tx1"/>
            </w14:solidFill>
          </w14:textFill>
        </w:rPr>
        <w:t xml:space="preserve">2.5 </w:t>
      </w:r>
      <w:bookmarkEnd w:id="214"/>
      <w:r>
        <w:rPr>
          <w:rFonts w:hint="eastAsia" w:ascii="宋体" w:hAnsi="宋体" w:eastAsia="宋体" w:cs="宋体"/>
          <w:color w:val="000000" w:themeColor="text1"/>
          <w:sz w:val="24"/>
          <w:szCs w:val="24"/>
          <w:highlight w:val="none"/>
          <w14:textFill>
            <w14:solidFill>
              <w14:schemeClr w14:val="tx1"/>
            </w14:solidFill>
          </w14:textFill>
        </w:rPr>
        <w:t>资金来源证明及支付担保</w:t>
      </w:r>
    </w:p>
    <w:p w14:paraId="4325C8DB">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发包人提供资金来源证明的期限要求：</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0FA5A92D">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发包人是否提供支付担保：</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否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669B5075">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发包人提供支付担保的形式：</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1662375A">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215" w:name="_Toc373478353"/>
      <w:bookmarkEnd w:id="215"/>
      <w:bookmarkStart w:id="216" w:name="_Toc407135208"/>
      <w:bookmarkEnd w:id="216"/>
      <w:bookmarkStart w:id="217" w:name="_Toc389065272"/>
      <w:bookmarkEnd w:id="217"/>
      <w:bookmarkStart w:id="218" w:name="_Toc351203635"/>
      <w:bookmarkEnd w:id="218"/>
      <w:bookmarkStart w:id="219" w:name="_Toc27588"/>
      <w:bookmarkEnd w:id="219"/>
      <w:bookmarkStart w:id="220" w:name="_Toc373227706"/>
      <w:r>
        <w:rPr>
          <w:rFonts w:hint="eastAsia" w:ascii="宋体" w:hAnsi="宋体" w:eastAsia="宋体" w:cs="宋体"/>
          <w:color w:val="000000" w:themeColor="text1"/>
          <w:sz w:val="24"/>
          <w:szCs w:val="24"/>
          <w:highlight w:val="none"/>
          <w14:textFill>
            <w14:solidFill>
              <w14:schemeClr w14:val="tx1"/>
            </w14:solidFill>
          </w14:textFill>
        </w:rPr>
        <w:t>3</w:t>
      </w:r>
      <w:bookmarkEnd w:id="220"/>
      <w:bookmarkStart w:id="221" w:name="_Toc297120458"/>
      <w:bookmarkEnd w:id="221"/>
      <w:bookmarkStart w:id="222" w:name="_Toc296347157"/>
      <w:bookmarkEnd w:id="222"/>
      <w:bookmarkStart w:id="223" w:name="_Toc292559363"/>
      <w:bookmarkEnd w:id="223"/>
      <w:bookmarkStart w:id="224" w:name="_Toc296890986"/>
      <w:bookmarkEnd w:id="224"/>
      <w:bookmarkStart w:id="225" w:name="_Toc297048344"/>
      <w:bookmarkEnd w:id="225"/>
      <w:bookmarkStart w:id="226" w:name="_Toc296891198"/>
      <w:bookmarkEnd w:id="226"/>
      <w:bookmarkStart w:id="227" w:name="_Toc296944497"/>
      <w:bookmarkEnd w:id="227"/>
      <w:bookmarkStart w:id="228" w:name="_Toc292559868"/>
      <w:bookmarkEnd w:id="228"/>
      <w:bookmarkStart w:id="229" w:name="_Toc296503158"/>
      <w:bookmarkEnd w:id="229"/>
      <w:bookmarkStart w:id="230" w:name="_Toc296346659"/>
      <w:r>
        <w:rPr>
          <w:rFonts w:hint="eastAsia" w:ascii="宋体" w:hAnsi="宋体" w:eastAsia="宋体" w:cs="宋体"/>
          <w:color w:val="000000" w:themeColor="text1"/>
          <w:sz w:val="24"/>
          <w:szCs w:val="24"/>
          <w:highlight w:val="none"/>
          <w14:textFill>
            <w14:solidFill>
              <w14:schemeClr w14:val="tx1"/>
            </w14:solidFill>
          </w14:textFill>
        </w:rPr>
        <w:t xml:space="preserve">. </w:t>
      </w:r>
      <w:bookmarkEnd w:id="230"/>
      <w:r>
        <w:rPr>
          <w:rFonts w:hint="eastAsia" w:ascii="宋体" w:hAnsi="宋体" w:eastAsia="宋体" w:cs="宋体"/>
          <w:color w:val="000000" w:themeColor="text1"/>
          <w:sz w:val="24"/>
          <w:szCs w:val="24"/>
          <w:highlight w:val="none"/>
          <w14:textFill>
            <w14:solidFill>
              <w14:schemeClr w14:val="tx1"/>
            </w14:solidFill>
          </w14:textFill>
        </w:rPr>
        <w:t>承包人</w:t>
      </w:r>
    </w:p>
    <w:p w14:paraId="6D2B1967">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231" w:name="_Toc373227707"/>
      <w:bookmarkEnd w:id="231"/>
      <w:bookmarkStart w:id="232" w:name="_Toc389065273"/>
      <w:bookmarkEnd w:id="232"/>
      <w:bookmarkStart w:id="233" w:name="_Toc407135209"/>
      <w:bookmarkEnd w:id="233"/>
      <w:bookmarkStart w:id="234" w:name="_Toc30105"/>
      <w:bookmarkEnd w:id="234"/>
      <w:bookmarkStart w:id="235" w:name="_Toc373478354"/>
      <w:bookmarkEnd w:id="235"/>
      <w:r>
        <w:rPr>
          <w:rFonts w:hint="eastAsia" w:ascii="宋体" w:hAnsi="宋体" w:eastAsia="宋体" w:cs="宋体"/>
          <w:color w:val="000000" w:themeColor="text1"/>
          <w:sz w:val="24"/>
          <w:szCs w:val="24"/>
          <w:highlight w:val="none"/>
          <w14:textFill>
            <w14:solidFill>
              <w14:schemeClr w14:val="tx1"/>
            </w14:solidFill>
          </w14:textFill>
        </w:rPr>
        <w:t>3.1 承包人的一般义务</w:t>
      </w:r>
    </w:p>
    <w:p w14:paraId="60DCCB47">
      <w:pPr>
        <w:pStyle w:val="246"/>
        <w:pageBreakBefore w:val="0"/>
        <w:wordWrap/>
        <w:overflowPunct/>
        <w:topLinePunct w:val="0"/>
        <w:bidi w:val="0"/>
        <w:spacing w:line="460" w:lineRule="exact"/>
        <w:ind w:firstLine="42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承包人提交的竣工资料的内容：</w:t>
      </w:r>
      <w:r>
        <w:rPr>
          <w:rFonts w:hint="eastAsia" w:ascii="宋体" w:hAnsi="宋体" w:eastAsia="宋体" w:cs="宋体"/>
          <w:b/>
          <w:bCs/>
          <w:color w:val="000000" w:themeColor="text1"/>
          <w:sz w:val="24"/>
          <w:szCs w:val="24"/>
          <w:highlight w:val="none"/>
          <w:u w:val="single"/>
          <w14:textFill>
            <w14:solidFill>
              <w14:schemeClr w14:val="tx1"/>
            </w14:solidFill>
          </w14:textFill>
        </w:rPr>
        <w:t>提供符合法律规定和合同约定及工程所在地行政质检监督部门要求的竣工图及竣工资料</w:t>
      </w:r>
      <w:r>
        <w:rPr>
          <w:rFonts w:hint="eastAsia" w:ascii="宋体" w:hAnsi="宋体" w:eastAsia="宋体" w:cs="宋体"/>
          <w:b/>
          <w:bCs/>
          <w:color w:val="000000" w:themeColor="text1"/>
          <w:sz w:val="24"/>
          <w:szCs w:val="24"/>
          <w:highlight w:val="none"/>
          <w14:textFill>
            <w14:solidFill>
              <w14:schemeClr w14:val="tx1"/>
            </w14:solidFill>
          </w14:textFill>
        </w:rPr>
        <w:t>。</w:t>
      </w:r>
    </w:p>
    <w:p w14:paraId="014EA82A">
      <w:pPr>
        <w:pStyle w:val="246"/>
        <w:pageBreakBefore w:val="0"/>
        <w:wordWrap/>
        <w:overflowPunct/>
        <w:topLinePunct w:val="0"/>
        <w:bidi w:val="0"/>
        <w:spacing w:line="460" w:lineRule="exact"/>
        <w:ind w:firstLine="42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承包人需要提交的竣工资料套数：</w:t>
      </w:r>
      <w:r>
        <w:rPr>
          <w:rFonts w:hint="eastAsia" w:ascii="宋体" w:hAnsi="宋体" w:eastAsia="宋体" w:cs="宋体"/>
          <w:b/>
          <w:bCs/>
          <w:color w:val="000000" w:themeColor="text1"/>
          <w:sz w:val="24"/>
          <w:szCs w:val="24"/>
          <w:highlight w:val="none"/>
          <w:u w:val="single"/>
          <w14:textFill>
            <w14:solidFill>
              <w14:schemeClr w14:val="tx1"/>
            </w14:solidFill>
          </w14:textFill>
        </w:rPr>
        <w:t>陆套竣工图、陆套竣工资料和电子版竣工图及资料光盘一张</w:t>
      </w:r>
      <w:r>
        <w:rPr>
          <w:rFonts w:hint="eastAsia" w:ascii="宋体" w:hAnsi="宋体" w:eastAsia="宋体" w:cs="宋体"/>
          <w:color w:val="000000" w:themeColor="text1"/>
          <w:sz w:val="24"/>
          <w:szCs w:val="24"/>
          <w:highlight w:val="none"/>
          <w14:textFill>
            <w14:solidFill>
              <w14:schemeClr w14:val="tx1"/>
            </w14:solidFill>
          </w14:textFill>
        </w:rPr>
        <w:t>。</w:t>
      </w:r>
    </w:p>
    <w:p w14:paraId="431D187F">
      <w:pPr>
        <w:pStyle w:val="246"/>
        <w:pageBreakBefore w:val="0"/>
        <w:wordWrap/>
        <w:overflowPunct/>
        <w:topLinePunct w:val="0"/>
        <w:bidi w:val="0"/>
        <w:spacing w:line="460" w:lineRule="exact"/>
        <w:ind w:left="638"/>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承包人提交的竣工资料的费用承担：</w:t>
      </w:r>
      <w:r>
        <w:rPr>
          <w:rFonts w:hint="eastAsia" w:ascii="宋体" w:hAnsi="宋体" w:eastAsia="宋体" w:cs="宋体"/>
          <w:b/>
          <w:bCs/>
          <w:color w:val="000000" w:themeColor="text1"/>
          <w:sz w:val="24"/>
          <w:szCs w:val="24"/>
          <w:highlight w:val="none"/>
          <w:u w:val="single"/>
          <w14:textFill>
            <w14:solidFill>
              <w14:schemeClr w14:val="tx1"/>
            </w14:solidFill>
          </w14:textFill>
        </w:rPr>
        <w:t>承包人承担</w:t>
      </w:r>
      <w:r>
        <w:rPr>
          <w:rFonts w:hint="eastAsia" w:ascii="宋体" w:hAnsi="宋体" w:eastAsia="宋体" w:cs="宋体"/>
          <w:color w:val="000000" w:themeColor="text1"/>
          <w:sz w:val="24"/>
          <w:szCs w:val="24"/>
          <w:highlight w:val="none"/>
          <w14:textFill>
            <w14:solidFill>
              <w14:schemeClr w14:val="tx1"/>
            </w14:solidFill>
          </w14:textFill>
        </w:rPr>
        <w:t>。</w:t>
      </w:r>
    </w:p>
    <w:p w14:paraId="13D7AC44">
      <w:pPr>
        <w:pStyle w:val="246"/>
        <w:pageBreakBefore w:val="0"/>
        <w:wordWrap/>
        <w:overflowPunct/>
        <w:topLinePunct w:val="0"/>
        <w:bidi w:val="0"/>
        <w:spacing w:line="460" w:lineRule="exact"/>
        <w:ind w:left="638"/>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承包人提交的竣工资料移交时间：</w:t>
      </w:r>
      <w:r>
        <w:rPr>
          <w:rFonts w:hint="eastAsia" w:ascii="宋体" w:hAnsi="宋体" w:eastAsia="宋体" w:cs="宋体"/>
          <w:b/>
          <w:bCs/>
          <w:color w:val="000000" w:themeColor="text1"/>
          <w:sz w:val="24"/>
          <w:szCs w:val="24"/>
          <w:highlight w:val="none"/>
          <w:u w:val="single"/>
          <w14:textFill>
            <w14:solidFill>
              <w14:schemeClr w14:val="tx1"/>
            </w14:solidFill>
          </w14:textFill>
        </w:rPr>
        <w:t>竣工验收合格后28天内</w:t>
      </w:r>
      <w:r>
        <w:rPr>
          <w:rFonts w:hint="eastAsia" w:ascii="宋体" w:hAnsi="宋体" w:eastAsia="宋体" w:cs="宋体"/>
          <w:color w:val="000000" w:themeColor="text1"/>
          <w:sz w:val="24"/>
          <w:szCs w:val="24"/>
          <w:highlight w:val="none"/>
          <w14:textFill>
            <w14:solidFill>
              <w14:schemeClr w14:val="tx1"/>
            </w14:solidFill>
          </w14:textFill>
        </w:rPr>
        <w:t>。</w:t>
      </w:r>
    </w:p>
    <w:p w14:paraId="2BD11A12">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承包人提交的竣工资料形式要求：</w:t>
      </w:r>
      <w:r>
        <w:rPr>
          <w:rFonts w:hint="eastAsia" w:ascii="宋体" w:hAnsi="宋体" w:eastAsia="宋体" w:cs="宋体"/>
          <w:b/>
          <w:bCs/>
          <w:color w:val="000000" w:themeColor="text1"/>
          <w:sz w:val="24"/>
          <w:szCs w:val="24"/>
          <w:highlight w:val="none"/>
          <w:u w:val="single"/>
          <w14:textFill>
            <w14:solidFill>
              <w14:schemeClr w14:val="tx1"/>
            </w14:solidFill>
          </w14:textFill>
        </w:rPr>
        <w:t>书面形式及电子文档</w:t>
      </w:r>
      <w:r>
        <w:rPr>
          <w:rFonts w:hint="eastAsia" w:ascii="宋体" w:hAnsi="宋体" w:eastAsia="宋体" w:cs="宋体"/>
          <w:color w:val="000000" w:themeColor="text1"/>
          <w:sz w:val="24"/>
          <w:szCs w:val="24"/>
          <w:highlight w:val="none"/>
          <w14:textFill>
            <w14:solidFill>
              <w14:schemeClr w14:val="tx1"/>
            </w14:solidFill>
          </w14:textFill>
        </w:rPr>
        <w:t>。</w:t>
      </w:r>
    </w:p>
    <w:p w14:paraId="2518374B">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u w:val="single"/>
          <w14:textFill>
            <w14:solidFill>
              <w14:schemeClr w14:val="tx1"/>
            </w14:solidFill>
          </w14:textFill>
        </w:rPr>
      </w:pPr>
      <w:bookmarkStart w:id="236" w:name="_Toc373478355"/>
      <w:bookmarkEnd w:id="236"/>
      <w:bookmarkStart w:id="237" w:name="_Toc407135210"/>
      <w:bookmarkEnd w:id="237"/>
      <w:bookmarkStart w:id="238" w:name="_Toc389065274"/>
      <w:bookmarkEnd w:id="238"/>
      <w:bookmarkStart w:id="239" w:name="_Toc373227708"/>
      <w:r>
        <w:rPr>
          <w:rFonts w:hint="eastAsia" w:ascii="宋体" w:hAnsi="宋体" w:eastAsia="宋体" w:cs="宋体"/>
          <w:color w:val="000000" w:themeColor="text1"/>
          <w:sz w:val="24"/>
          <w:szCs w:val="24"/>
          <w:highlight w:val="none"/>
          <w14:textFill>
            <w14:solidFill>
              <w14:schemeClr w14:val="tx1"/>
            </w14:solidFill>
          </w14:textFill>
        </w:rPr>
        <w:t>（10）承包人应履行的其他义务：</w:t>
      </w:r>
      <w:r>
        <w:rPr>
          <w:rFonts w:hint="eastAsia" w:ascii="宋体" w:hAnsi="宋体" w:eastAsia="宋体" w:cs="宋体"/>
          <w:color w:val="000000" w:themeColor="text1"/>
          <w:sz w:val="24"/>
          <w:szCs w:val="24"/>
          <w:highlight w:val="none"/>
          <w:u w:val="single"/>
          <w14:textFill>
            <w14:solidFill>
              <w14:schemeClr w14:val="tx1"/>
            </w14:solidFill>
          </w14:textFill>
        </w:rPr>
        <w:t>①、承包人应按发包人的要求配合施工管理工作，按发包人要求的时间提供周、月、季度计划、工程报告、工程报表等工程管理资料。</w:t>
      </w:r>
      <w:bookmarkEnd w:id="239"/>
    </w:p>
    <w:p w14:paraId="208DAEE4">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u w:val="single"/>
          <w14:textFill>
            <w14:solidFill>
              <w14:schemeClr w14:val="tx1"/>
            </w14:solidFill>
          </w14:textFill>
        </w:rPr>
        <w:t>②、承包人应积极主动核对图纸中的技术数据，充分理解设计意图。若由于明显的设计图纸问题（例如尺寸标注不闭合、文字标识相互矛盾等）和发包人（包括监理）不正确的指令，承包人发现后有口头或书面告知义务，否则造成工程质量、安全、进度损失，也不能免除承包人的责任。</w:t>
      </w:r>
    </w:p>
    <w:p w14:paraId="085F2E8D">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u w:val="single"/>
          <w14:textFill>
            <w14:solidFill>
              <w14:schemeClr w14:val="tx1"/>
            </w14:solidFill>
          </w14:textFill>
        </w:rPr>
        <w:t>③、承包人应按照工程所在地政府相关规定，建立健全的雇员工资发放和劳动保障制度。如因雇员的工资发放和劳动保障制度不健全而引发群体性事件发生，导致民工围堵发包人及当地政府及行政主管部门等的，发包人有权解除合同，并要求承包人退场并赔偿发包人的经济损失。</w:t>
      </w:r>
    </w:p>
    <w:p w14:paraId="7F4B63EF">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u w:val="single"/>
          <w14:textFill>
            <w14:solidFill>
              <w14:schemeClr w14:val="tx1"/>
            </w14:solidFill>
          </w14:textFill>
        </w:rPr>
        <w:t>④、承包人使用的临时用水、临时用电等设施在合同执行期间，如发包人要求为其他承包人提供分表接口的，承包人应予无条件同意。</w:t>
      </w:r>
    </w:p>
    <w:p w14:paraId="10A8B59A">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u w:val="single"/>
          <w14:textFill>
            <w14:solidFill>
              <w14:schemeClr w14:val="tx1"/>
            </w14:solidFill>
          </w14:textFill>
        </w:rPr>
        <w:t>⑤、承包人不得因工程施工影响了重要公共设施的安全。承包人进入居民住宅区施工，需做好现场安全文明施工及已有成品保护工作。现场运输材料、堆放材料等造成的路面的污染，承包人应该有专人负责跟踪打扫；居民住宅区的绿化、市政等公用设施做好施工期间的保护工作；现场施工及生活产生的垃圾应该每天有人清除；不允许在园区道路上搅拌砼及砂浆。</w:t>
      </w:r>
    </w:p>
    <w:p w14:paraId="309125AF">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u w:val="single"/>
          <w14:textFill>
            <w14:solidFill>
              <w14:schemeClr w14:val="tx1"/>
            </w14:solidFill>
          </w14:textFill>
        </w:rPr>
        <w:t>⑥、必须遵守居民社区的相关制度,服从工程所在地行业行政主管部门对施工现场生活区、作业区、办公区的市政管理、施工现场管理、卫生管理等规定。</w:t>
      </w:r>
    </w:p>
    <w:p w14:paraId="53F50C92">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u w:val="single"/>
          <w14:textFill>
            <w14:solidFill>
              <w14:schemeClr w14:val="tx1"/>
            </w14:solidFill>
          </w14:textFill>
        </w:rPr>
        <w:t>⑦、承包人应积极配合发包人办理有关报监及办理施工许可证手续，在合同签订后15个工作日内提交发包人要求的相关材料，如逾期不交且在发包人催促之后5天内仍未能提交导致发包人无法及时办理开工手续的，视为承包人违约，发包人有权向承包人处违约金10000元，在逾期之日起每逾期一天叠加1000元违约金。</w:t>
      </w:r>
    </w:p>
    <w:p w14:paraId="25C99ABF">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240" w:name="_Toc22397"/>
      <w:bookmarkEnd w:id="240"/>
      <w:r>
        <w:rPr>
          <w:rFonts w:hint="eastAsia" w:ascii="宋体" w:hAnsi="宋体" w:eastAsia="宋体" w:cs="宋体"/>
          <w:color w:val="000000" w:themeColor="text1"/>
          <w:sz w:val="24"/>
          <w:szCs w:val="24"/>
          <w:highlight w:val="none"/>
          <w14:textFill>
            <w14:solidFill>
              <w14:schemeClr w14:val="tx1"/>
            </w14:solidFill>
          </w14:textFill>
        </w:rPr>
        <w:t>3.2 项目经理</w:t>
      </w:r>
    </w:p>
    <w:p w14:paraId="025E22FA">
      <w:pPr>
        <w:pStyle w:val="246"/>
        <w:pageBreakBefore w:val="0"/>
        <w:wordWrap/>
        <w:overflowPunct/>
        <w:topLinePunct w:val="0"/>
        <w:bidi w:val="0"/>
        <w:spacing w:line="460" w:lineRule="exact"/>
        <w:ind w:firstLine="420"/>
        <w:rPr>
          <w:rFonts w:hint="eastAsia" w:ascii="宋体" w:hAnsi="宋体" w:eastAsia="宋体" w:cs="宋体"/>
          <w:color w:val="000000" w:themeColor="text1"/>
          <w:sz w:val="24"/>
          <w:szCs w:val="24"/>
          <w:highlight w:val="none"/>
          <w14:textFill>
            <w14:solidFill>
              <w14:schemeClr w14:val="tx1"/>
            </w14:solidFill>
          </w14:textFill>
        </w:rPr>
      </w:pPr>
      <w:bookmarkStart w:id="241" w:name="_Toc373227709"/>
      <w:bookmarkEnd w:id="241"/>
      <w:bookmarkStart w:id="242" w:name="_Toc389065275"/>
      <w:bookmarkEnd w:id="242"/>
      <w:bookmarkStart w:id="243" w:name="_Toc373478356"/>
      <w:bookmarkEnd w:id="243"/>
      <w:bookmarkStart w:id="244" w:name="_Toc407135211"/>
      <w:r>
        <w:rPr>
          <w:rFonts w:hint="eastAsia" w:ascii="宋体" w:hAnsi="宋体" w:eastAsia="宋体" w:cs="宋体"/>
          <w:color w:val="000000" w:themeColor="text1"/>
          <w:kern w:val="0"/>
          <w:sz w:val="24"/>
          <w:szCs w:val="24"/>
          <w:highlight w:val="none"/>
          <w14:textFill>
            <w14:solidFill>
              <w14:schemeClr w14:val="tx1"/>
            </w14:solidFill>
          </w14:textFill>
        </w:rPr>
        <w:t xml:space="preserve">3.2.1 </w:t>
      </w:r>
      <w:bookmarkEnd w:id="244"/>
      <w:r>
        <w:rPr>
          <w:rFonts w:hint="eastAsia" w:ascii="宋体" w:hAnsi="宋体" w:eastAsia="宋体" w:cs="宋体"/>
          <w:color w:val="000000" w:themeColor="text1"/>
          <w:sz w:val="24"/>
          <w:szCs w:val="24"/>
          <w:highlight w:val="none"/>
          <w14:textFill>
            <w14:solidFill>
              <w14:schemeClr w14:val="tx1"/>
            </w14:solidFill>
          </w14:textFill>
        </w:rPr>
        <w:t>项目经理：</w:t>
      </w:r>
    </w:p>
    <w:p w14:paraId="47F9D937">
      <w:pPr>
        <w:pStyle w:val="246"/>
        <w:pageBreakBefore w:val="0"/>
        <w:wordWrap/>
        <w:overflowPunct/>
        <w:topLinePunct w:val="0"/>
        <w:bidi w:val="0"/>
        <w:spacing w:line="460" w:lineRule="exact"/>
        <w:ind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姓    名：</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fal" w:hAnsi="宋体fal" w:cs="宋体fal"/>
          <w:color w:val="000000" w:themeColor="text1"/>
          <w:sz w:val="24"/>
          <w:szCs w:val="24"/>
          <w:u w:val="single"/>
          <w14:textFill>
            <w14:solidFill>
              <w14:schemeClr w14:val="tx1"/>
            </w14:solidFill>
          </w14:textFill>
        </w:rPr>
        <w:t xml:space="preserve"> </w:t>
      </w:r>
      <w:r>
        <w:rPr>
          <w:rFonts w:hint="eastAsia" w:ascii="宋体fal" w:hAnsi="宋体fal" w:cs="宋体fal"/>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7F73C05D">
      <w:pPr>
        <w:pStyle w:val="246"/>
        <w:pageBreakBefore w:val="0"/>
        <w:wordWrap/>
        <w:overflowPunct/>
        <w:topLinePunct w:val="0"/>
        <w:bidi w:val="0"/>
        <w:spacing w:line="460" w:lineRule="exact"/>
        <w:ind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身份证号：</w:t>
      </w:r>
      <w:r>
        <w:rPr>
          <w:rFonts w:hint="eastAsia" w:ascii="宋体fal" w:hAnsi="宋体fal" w:cs="宋体fal"/>
          <w:color w:val="000000" w:themeColor="text1"/>
          <w:sz w:val="24"/>
          <w:szCs w:val="24"/>
          <w:u w:val="single"/>
          <w14:textFill>
            <w14:solidFill>
              <w14:schemeClr w14:val="tx1"/>
            </w14:solidFill>
          </w14:textFill>
        </w:rPr>
        <w:t xml:space="preserve"> </w:t>
      </w:r>
      <w:r>
        <w:rPr>
          <w:rFonts w:hint="eastAsia" w:ascii="宋体fal" w:hAnsi="宋体fal" w:cs="宋体fal"/>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w:t>
      </w:r>
    </w:p>
    <w:p w14:paraId="2D3BDD32">
      <w:pPr>
        <w:pStyle w:val="246"/>
        <w:pageBreakBefore w:val="0"/>
        <w:wordWrap/>
        <w:overflowPunct/>
        <w:topLinePunct w:val="0"/>
        <w:bidi w:val="0"/>
        <w:spacing w:line="460" w:lineRule="exact"/>
        <w:ind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建造师执业资格等级：</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w:t>
      </w:r>
    </w:p>
    <w:p w14:paraId="05BBF01C">
      <w:pPr>
        <w:pStyle w:val="246"/>
        <w:pageBreakBefore w:val="0"/>
        <w:wordWrap/>
        <w:overflowPunct/>
        <w:topLinePunct w:val="0"/>
        <w:bidi w:val="0"/>
        <w:spacing w:line="460" w:lineRule="exact"/>
        <w:ind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建造师注册证书号：</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r>
        <w:rPr>
          <w:rFonts w:hint="eastAsia" w:ascii="宋体fal" w:hAnsi="宋体fal" w:cs="宋体fal"/>
          <w:color w:val="000000" w:themeColor="text1"/>
          <w:sz w:val="24"/>
          <w:szCs w:val="24"/>
          <w:u w:val="single"/>
          <w14:textFill>
            <w14:solidFill>
              <w14:schemeClr w14:val="tx1"/>
            </w14:solidFill>
          </w14:textFill>
        </w:rPr>
        <w:t xml:space="preserve"> </w:t>
      </w:r>
      <w:r>
        <w:rPr>
          <w:rFonts w:hint="eastAsia" w:ascii="宋体fal" w:hAnsi="宋体fal" w:cs="宋体fal"/>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p>
    <w:p w14:paraId="319163BF">
      <w:pPr>
        <w:pStyle w:val="246"/>
        <w:pageBreakBefore w:val="0"/>
        <w:wordWrap/>
        <w:overflowPunct/>
        <w:topLinePunct w:val="0"/>
        <w:bidi w:val="0"/>
        <w:spacing w:line="460" w:lineRule="exact"/>
        <w:ind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建造师执业印章号：</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r>
        <w:rPr>
          <w:rFonts w:hint="eastAsia" w:ascii="宋体fal" w:hAnsi="宋体fal" w:cs="宋体fal"/>
          <w:color w:val="000000" w:themeColor="text1"/>
          <w:sz w:val="24"/>
          <w:szCs w:val="24"/>
          <w:u w:val="single"/>
          <w14:textFill>
            <w14:solidFill>
              <w14:schemeClr w14:val="tx1"/>
            </w14:solidFill>
          </w14:textFill>
        </w:rPr>
        <w:t xml:space="preserve"> </w:t>
      </w:r>
      <w:r>
        <w:rPr>
          <w:rFonts w:hint="eastAsia" w:ascii="宋体fal" w:hAnsi="宋体fal" w:cs="宋体fal"/>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115D49DF">
      <w:pPr>
        <w:pStyle w:val="246"/>
        <w:pageBreakBefore w:val="0"/>
        <w:wordWrap/>
        <w:overflowPunct/>
        <w:topLinePunct w:val="0"/>
        <w:bidi w:val="0"/>
        <w:spacing w:line="460" w:lineRule="exact"/>
        <w:ind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安全生产考核合格证书号：</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r>
        <w:rPr>
          <w:rFonts w:hint="eastAsia" w:ascii="宋体fal" w:hAnsi="宋体fal" w:cs="宋体fal"/>
          <w:color w:val="000000" w:themeColor="text1"/>
          <w:sz w:val="24"/>
          <w:szCs w:val="24"/>
          <w:u w:val="single"/>
          <w14:textFill>
            <w14:solidFill>
              <w14:schemeClr w14:val="tx1"/>
            </w14:solidFill>
          </w14:textFill>
        </w:rPr>
        <w:t xml:space="preserve"> </w:t>
      </w:r>
      <w:r>
        <w:rPr>
          <w:rFonts w:hint="eastAsia" w:ascii="宋体fal" w:hAnsi="宋体fal" w:cs="宋体fal"/>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044EB126">
      <w:pPr>
        <w:pStyle w:val="246"/>
        <w:pageBreakBefore w:val="0"/>
        <w:wordWrap/>
        <w:overflowPunct/>
        <w:topLinePunct w:val="0"/>
        <w:bidi w:val="0"/>
        <w:spacing w:line="460" w:lineRule="exact"/>
        <w:ind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联系电话：</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fal" w:hAnsi="宋体fal" w:cs="宋体fal"/>
          <w:color w:val="000000" w:themeColor="text1"/>
          <w:sz w:val="24"/>
          <w:szCs w:val="24"/>
          <w:u w:val="single"/>
          <w14:textFill>
            <w14:solidFill>
              <w14:schemeClr w14:val="tx1"/>
            </w14:solidFill>
          </w14:textFill>
        </w:rPr>
        <w:t xml:space="preserve"> </w:t>
      </w:r>
      <w:r>
        <w:rPr>
          <w:rFonts w:hint="eastAsia" w:ascii="宋体fal" w:hAnsi="宋体fal" w:cs="宋体fal"/>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p>
    <w:p w14:paraId="5CAB098F">
      <w:pPr>
        <w:pStyle w:val="246"/>
        <w:pageBreakBefore w:val="0"/>
        <w:wordWrap/>
        <w:overflowPunct/>
        <w:topLinePunct w:val="0"/>
        <w:bidi w:val="0"/>
        <w:spacing w:line="460" w:lineRule="exact"/>
        <w:ind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电子信箱：</w:t>
      </w:r>
      <w:r>
        <w:rPr>
          <w:rFonts w:hint="eastAsia" w:ascii="宋体fal" w:hAnsi="宋体fal" w:cs="宋体fal"/>
          <w:color w:val="000000" w:themeColor="text1"/>
          <w:sz w:val="24"/>
          <w:szCs w:val="24"/>
          <w:u w:val="single"/>
          <w14:textFill>
            <w14:solidFill>
              <w14:schemeClr w14:val="tx1"/>
            </w14:solidFill>
          </w14:textFill>
        </w:rPr>
        <w:t xml:space="preserve"> </w:t>
      </w:r>
      <w:r>
        <w:rPr>
          <w:rFonts w:hint="eastAsia" w:ascii="宋体fal" w:hAnsi="宋体fal" w:cs="宋体fal"/>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00355A57">
      <w:pPr>
        <w:pStyle w:val="246"/>
        <w:pageBreakBefore w:val="0"/>
        <w:wordWrap/>
        <w:overflowPunct/>
        <w:topLinePunct w:val="0"/>
        <w:bidi w:val="0"/>
        <w:spacing w:line="460" w:lineRule="exact"/>
        <w:ind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通信地址：</w:t>
      </w:r>
      <w:r>
        <w:rPr>
          <w:rFonts w:hint="eastAsia" w:ascii="宋体fal" w:hAnsi="宋体fal" w:cs="宋体fal"/>
          <w:color w:val="000000" w:themeColor="text1"/>
          <w:sz w:val="24"/>
          <w:szCs w:val="24"/>
          <w:u w:val="single"/>
          <w14:textFill>
            <w14:solidFill>
              <w14:schemeClr w14:val="tx1"/>
            </w14:solidFill>
          </w14:textFill>
        </w:rPr>
        <w:t xml:space="preserve"> </w:t>
      </w:r>
      <w:r>
        <w:rPr>
          <w:rFonts w:hint="eastAsia" w:ascii="宋体fal" w:hAnsi="宋体fal" w:cs="宋体fal"/>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6C53C65F">
      <w:pPr>
        <w:pStyle w:val="246"/>
        <w:pageBreakBefore w:val="0"/>
        <w:wordWrap/>
        <w:overflowPunct/>
        <w:topLinePunct w:val="0"/>
        <w:bidi w:val="0"/>
        <w:spacing w:line="460" w:lineRule="exact"/>
        <w:ind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承包人对项目经理的授权范围如下：</w:t>
      </w:r>
      <w:r>
        <w:rPr>
          <w:rFonts w:hint="eastAsia" w:ascii="宋体" w:hAnsi="宋体" w:eastAsia="宋体" w:cs="宋体"/>
          <w:b/>
          <w:bCs/>
          <w:color w:val="000000" w:themeColor="text1"/>
          <w:sz w:val="24"/>
          <w:szCs w:val="24"/>
          <w:highlight w:val="none"/>
          <w:u w:val="single"/>
          <w14:textFill>
            <w14:solidFill>
              <w14:schemeClr w14:val="tx1"/>
            </w14:solidFill>
          </w14:textFill>
        </w:rPr>
        <w:t>项目经理为承包人法定代表人在该项目上的代表人 ，负责本工程现场施工管理的一切事务，项目经理仅限于本工程的现场施工管理，未经承包人签字盖章同意不得以承包人名义代收工程款、变更合同约定、向外采购材料设备、租用建筑周围材料、雇佣劳动力、签订分包合同等一切为承包人设立义务或责任的行为</w:t>
      </w:r>
      <w:r>
        <w:rPr>
          <w:rFonts w:hint="eastAsia" w:ascii="宋体" w:hAnsi="宋体" w:eastAsia="宋体" w:cs="宋体"/>
          <w:color w:val="000000" w:themeColor="text1"/>
          <w:sz w:val="24"/>
          <w:szCs w:val="24"/>
          <w:highlight w:val="none"/>
          <w14:textFill>
            <w14:solidFill>
              <w14:schemeClr w14:val="tx1"/>
            </w14:solidFill>
          </w14:textFill>
        </w:rPr>
        <w:t>。</w:t>
      </w:r>
    </w:p>
    <w:p w14:paraId="6B61E426">
      <w:pPr>
        <w:pStyle w:val="246"/>
        <w:pageBreakBefore w:val="0"/>
        <w:wordWrap/>
        <w:overflowPunct/>
        <w:topLinePunct w:val="0"/>
        <w:bidi w:val="0"/>
        <w:spacing w:line="460" w:lineRule="exact"/>
        <w:ind w:firstLine="420"/>
        <w:jc w:val="left"/>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关于项目经理每月在施工现场的时间要求：</w:t>
      </w:r>
      <w:r>
        <w:rPr>
          <w:rFonts w:hint="eastAsia" w:ascii="宋体" w:hAnsi="宋体" w:eastAsia="宋体" w:cs="宋体"/>
          <w:b/>
          <w:bCs/>
          <w:color w:val="000000" w:themeColor="text1"/>
          <w:sz w:val="24"/>
          <w:szCs w:val="24"/>
          <w:highlight w:val="none"/>
          <w:u w:val="single"/>
          <w14:textFill>
            <w14:solidFill>
              <w14:schemeClr w14:val="tx1"/>
            </w14:solidFill>
          </w14:textFill>
        </w:rPr>
        <w:t>项目经理、项目技术负责人每人不少于24日历天/月，未达到的每少一天罚</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1000</w:t>
      </w:r>
      <w:r>
        <w:rPr>
          <w:rFonts w:hint="eastAsia" w:ascii="宋体" w:hAnsi="宋体" w:eastAsia="宋体" w:cs="宋体"/>
          <w:b/>
          <w:bCs/>
          <w:color w:val="000000" w:themeColor="text1"/>
          <w:sz w:val="24"/>
          <w:szCs w:val="24"/>
          <w:highlight w:val="none"/>
          <w:u w:val="single"/>
          <w14:textFill>
            <w14:solidFill>
              <w14:schemeClr w14:val="tx1"/>
            </w14:solidFill>
          </w14:textFill>
        </w:rPr>
        <w:t>元，按月考核，发包人可从应向承包人支付的款项中中扣除此项违约金或其他方式回收此款；项目经理当月不到位累计达5天的，发包人及监理人给予警告，当月累计达10天及以上的，发包人有权终止合同，发包人有权向承包人索赔，由此引起的损失由承包人承担。</w:t>
      </w:r>
    </w:p>
    <w:p w14:paraId="2E289A85">
      <w:pPr>
        <w:pStyle w:val="246"/>
        <w:pageBreakBefore w:val="0"/>
        <w:wordWrap/>
        <w:overflowPunct/>
        <w:topLinePunct w:val="0"/>
        <w:bidi w:val="0"/>
        <w:spacing w:line="460" w:lineRule="exact"/>
        <w:ind w:firstLine="420"/>
        <w:jc w:val="left"/>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承包人未提交劳动合同，以及没有为项目经理缴纳社会保险证明的违约责任：</w:t>
      </w:r>
      <w:r>
        <w:rPr>
          <w:rFonts w:hint="eastAsia" w:ascii="宋体" w:hAnsi="宋体" w:eastAsia="宋体" w:cs="宋体"/>
          <w:b/>
          <w:bCs/>
          <w:color w:val="000000" w:themeColor="text1"/>
          <w:sz w:val="24"/>
          <w:szCs w:val="24"/>
          <w:highlight w:val="none"/>
          <w:u w:val="single"/>
          <w14:textFill>
            <w14:solidFill>
              <w14:schemeClr w14:val="tx1"/>
            </w14:solidFill>
          </w14:textFill>
        </w:rPr>
        <w:t>承包人承担</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b/>
          <w:bCs/>
          <w:color w:val="000000" w:themeColor="text1"/>
          <w:sz w:val="24"/>
          <w:szCs w:val="24"/>
          <w:highlight w:val="none"/>
          <w:u w:val="single"/>
          <w14:textFill>
            <w14:solidFill>
              <w14:schemeClr w14:val="tx1"/>
            </w14:solidFill>
          </w14:textFill>
        </w:rPr>
        <w:t>000元违约金，责令限期提交劳动合同及补缴社会保险。</w:t>
      </w:r>
    </w:p>
    <w:p w14:paraId="645F079B">
      <w:pPr>
        <w:pStyle w:val="246"/>
        <w:pageBreakBefore w:val="0"/>
        <w:wordWrap/>
        <w:overflowPunct/>
        <w:topLinePunct w:val="0"/>
        <w:bidi w:val="0"/>
        <w:spacing w:line="460" w:lineRule="exact"/>
        <w:ind w:firstLine="420"/>
        <w:jc w:val="left"/>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项目经理未经批准，擅自离开施工现场的违约责任：</w:t>
      </w:r>
      <w:r>
        <w:rPr>
          <w:rFonts w:hint="eastAsia" w:ascii="宋体" w:hAnsi="宋体" w:eastAsia="宋体" w:cs="宋体"/>
          <w:b/>
          <w:bCs/>
          <w:color w:val="000000" w:themeColor="text1"/>
          <w:sz w:val="24"/>
          <w:szCs w:val="24"/>
          <w:highlight w:val="none"/>
          <w:u w:val="single"/>
          <w14:textFill>
            <w14:solidFill>
              <w14:schemeClr w14:val="tx1"/>
            </w14:solidFill>
          </w14:textFill>
        </w:rPr>
        <w:t>项目经理每月在岗带班时间不得少于当月施工时间的80%。未经发包人同意或正当理由，项目经理每月在岗带班时间少于当月施工时间80%的，少在岗带班一天，发包人有权处违约金</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b/>
          <w:bCs/>
          <w:color w:val="000000" w:themeColor="text1"/>
          <w:sz w:val="24"/>
          <w:szCs w:val="24"/>
          <w:highlight w:val="none"/>
          <w:u w:val="single"/>
          <w14:textFill>
            <w14:solidFill>
              <w14:schemeClr w14:val="tx1"/>
            </w14:solidFill>
          </w14:textFill>
        </w:rPr>
        <w:t>00元/日（人民币）。</w:t>
      </w:r>
    </w:p>
    <w:p w14:paraId="798FD313">
      <w:pPr>
        <w:pStyle w:val="246"/>
        <w:pageBreakBefore w:val="0"/>
        <w:wordWrap/>
        <w:overflowPunct/>
        <w:topLinePunct w:val="0"/>
        <w:bidi w:val="0"/>
        <w:spacing w:line="460" w:lineRule="exact"/>
        <w:ind w:firstLine="42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3.2.3 承包人擅自更换项目经理的违约责任：</w:t>
      </w:r>
      <w:r>
        <w:rPr>
          <w:rFonts w:hint="eastAsia" w:ascii="宋体" w:hAnsi="宋体" w:eastAsia="宋体" w:cs="宋体"/>
          <w:b/>
          <w:bCs/>
          <w:color w:val="000000" w:themeColor="text1"/>
          <w:sz w:val="24"/>
          <w:szCs w:val="24"/>
          <w:highlight w:val="none"/>
          <w:u w:val="single"/>
          <w14:textFill>
            <w14:solidFill>
              <w14:schemeClr w14:val="tx1"/>
            </w14:solidFill>
          </w14:textFill>
        </w:rPr>
        <w:t>承包人项目经理必须与承包人投标时所承诺的人员一致，并在本工程开工前到任。在监理人向承包人颁发竣工验收意见书前，项目经理不得同时兼任其他任何项目的项目经理（符合桂建管﹝2013﹞17号和桂建管﹝2014﹞25号文除外）。未经发包人书面同意，承包人擅自更换项目经理的视为违约，违约金处</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10</w:t>
      </w:r>
      <w:r>
        <w:rPr>
          <w:rFonts w:hint="eastAsia" w:ascii="宋体" w:hAnsi="宋体" w:eastAsia="宋体" w:cs="宋体"/>
          <w:b/>
          <w:bCs/>
          <w:color w:val="000000" w:themeColor="text1"/>
          <w:sz w:val="24"/>
          <w:szCs w:val="24"/>
          <w:highlight w:val="none"/>
          <w:u w:val="single"/>
          <w14:textFill>
            <w14:solidFill>
              <w14:schemeClr w14:val="tx1"/>
            </w14:solidFill>
          </w14:textFill>
        </w:rPr>
        <w:t>00元/人•次（人民币）</w:t>
      </w:r>
      <w:r>
        <w:rPr>
          <w:rFonts w:hint="eastAsia" w:ascii="宋体" w:hAnsi="宋体" w:eastAsia="宋体" w:cs="宋体"/>
          <w:b/>
          <w:bCs/>
          <w:color w:val="000000" w:themeColor="text1"/>
          <w:sz w:val="24"/>
          <w:szCs w:val="24"/>
          <w:highlight w:val="none"/>
          <w14:textFill>
            <w14:solidFill>
              <w14:schemeClr w14:val="tx1"/>
            </w14:solidFill>
          </w14:textFill>
        </w:rPr>
        <w:t>。</w:t>
      </w:r>
      <w:bookmarkStart w:id="245" w:name="_Toc37863668"/>
      <w:bookmarkEnd w:id="245"/>
    </w:p>
    <w:p w14:paraId="69FB6ACE">
      <w:pPr>
        <w:pStyle w:val="246"/>
        <w:pageBreakBefore w:val="0"/>
        <w:wordWrap/>
        <w:overflowPunct/>
        <w:topLinePunct w:val="0"/>
        <w:bidi w:val="0"/>
        <w:spacing w:line="460" w:lineRule="exact"/>
        <w:ind w:firstLine="42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3.2.4 承包人无正当理由拒绝更换项目经理的违约责任：</w:t>
      </w:r>
      <w:r>
        <w:rPr>
          <w:rFonts w:hint="eastAsia" w:ascii="宋体" w:hAnsi="宋体" w:eastAsia="宋体" w:cs="宋体"/>
          <w:b/>
          <w:bCs/>
          <w:color w:val="000000" w:themeColor="text1"/>
          <w:sz w:val="24"/>
          <w:szCs w:val="24"/>
          <w:highlight w:val="none"/>
          <w:u w:val="single"/>
          <w14:textFill>
            <w14:solidFill>
              <w14:schemeClr w14:val="tx1"/>
            </w14:solidFill>
          </w14:textFill>
        </w:rPr>
        <w:t>承包人无正当理由拒绝更换项目经理的违约责任：因承包人项目经理不称职，发包人要求调换而未及时调换的，视为承包人违约，必须向发包人交纳处罚金</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b/>
          <w:bCs/>
          <w:color w:val="000000" w:themeColor="text1"/>
          <w:sz w:val="24"/>
          <w:szCs w:val="24"/>
          <w:highlight w:val="none"/>
          <w:u w:val="single"/>
          <w14:textFill>
            <w14:solidFill>
              <w14:schemeClr w14:val="tx1"/>
            </w14:solidFill>
          </w14:textFill>
        </w:rPr>
        <w:t>000元/人•次（人民币）</w:t>
      </w:r>
      <w:r>
        <w:rPr>
          <w:rFonts w:hint="eastAsia" w:ascii="宋体" w:hAnsi="宋体" w:eastAsia="宋体" w:cs="宋体"/>
          <w:b/>
          <w:bCs/>
          <w:color w:val="000000" w:themeColor="text1"/>
          <w:sz w:val="24"/>
          <w:szCs w:val="24"/>
          <w:highlight w:val="none"/>
          <w14:textFill>
            <w14:solidFill>
              <w14:schemeClr w14:val="tx1"/>
            </w14:solidFill>
          </w14:textFill>
        </w:rPr>
        <w:t>。</w:t>
      </w:r>
    </w:p>
    <w:p w14:paraId="652CD18A">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246" w:name="_Toc19991"/>
      <w:bookmarkEnd w:id="246"/>
      <w:r>
        <w:rPr>
          <w:rFonts w:hint="eastAsia" w:ascii="宋体" w:hAnsi="宋体" w:eastAsia="宋体" w:cs="宋体"/>
          <w:color w:val="000000" w:themeColor="text1"/>
          <w:sz w:val="24"/>
          <w:szCs w:val="24"/>
          <w:highlight w:val="none"/>
          <w14:textFill>
            <w14:solidFill>
              <w14:schemeClr w14:val="tx1"/>
            </w14:solidFill>
          </w14:textFill>
        </w:rPr>
        <w:t>3.3 承包人人员</w:t>
      </w:r>
    </w:p>
    <w:p w14:paraId="624AB3DE">
      <w:pPr>
        <w:pStyle w:val="247"/>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bookmarkStart w:id="247" w:name="_Toc389065276"/>
      <w:bookmarkEnd w:id="247"/>
      <w:bookmarkStart w:id="248" w:name="_Toc373227710"/>
      <w:bookmarkEnd w:id="248"/>
      <w:bookmarkStart w:id="249" w:name="_Toc373478357"/>
      <w:bookmarkEnd w:id="249"/>
      <w:bookmarkStart w:id="250" w:name="_Toc407135212"/>
      <w:r>
        <w:rPr>
          <w:rFonts w:hint="eastAsia" w:ascii="宋体" w:hAnsi="宋体" w:eastAsia="宋体" w:cs="宋体"/>
          <w:color w:val="000000" w:themeColor="text1"/>
          <w:sz w:val="24"/>
          <w:szCs w:val="24"/>
          <w:highlight w:val="none"/>
          <w14:textFill>
            <w14:solidFill>
              <w14:schemeClr w14:val="tx1"/>
            </w14:solidFill>
          </w14:textFill>
        </w:rPr>
        <w:t xml:space="preserve">3.3.1 </w:t>
      </w:r>
      <w:bookmarkEnd w:id="250"/>
      <w:r>
        <w:rPr>
          <w:rFonts w:hint="eastAsia" w:ascii="宋体" w:hAnsi="宋体" w:eastAsia="宋体" w:cs="宋体"/>
          <w:color w:val="000000" w:themeColor="text1"/>
          <w:sz w:val="24"/>
          <w:szCs w:val="24"/>
          <w:highlight w:val="none"/>
          <w14:textFill>
            <w14:solidFill>
              <w14:schemeClr w14:val="tx1"/>
            </w14:solidFill>
          </w14:textFill>
        </w:rPr>
        <w:t>承包人提交项目管理机构及施工现场管理人员安排报告的期限：</w:t>
      </w:r>
      <w:r>
        <w:rPr>
          <w:rFonts w:hint="eastAsia" w:ascii="宋体" w:hAnsi="宋体" w:eastAsia="宋体" w:cs="宋体"/>
          <w:b/>
          <w:bCs/>
          <w:color w:val="000000" w:themeColor="text1"/>
          <w:sz w:val="24"/>
          <w:szCs w:val="24"/>
          <w:highlight w:val="none"/>
          <w:u w:val="single"/>
          <w14:textFill>
            <w14:solidFill>
              <w14:schemeClr w14:val="tx1"/>
            </w14:solidFill>
          </w14:textFill>
        </w:rPr>
        <w:t>开工前7天</w:t>
      </w:r>
      <w:r>
        <w:rPr>
          <w:rFonts w:hint="eastAsia" w:ascii="宋体" w:hAnsi="宋体" w:eastAsia="宋体" w:cs="宋体"/>
          <w:b/>
          <w:bCs/>
          <w:color w:val="000000" w:themeColor="text1"/>
          <w:sz w:val="24"/>
          <w:szCs w:val="24"/>
          <w:highlight w:val="none"/>
          <w14:textFill>
            <w14:solidFill>
              <w14:schemeClr w14:val="tx1"/>
            </w14:solidFill>
          </w14:textFill>
        </w:rPr>
        <w:t>。</w:t>
      </w:r>
    </w:p>
    <w:p w14:paraId="629C6F1F">
      <w:pPr>
        <w:pStyle w:val="247"/>
        <w:pageBreakBefore w:val="0"/>
        <w:wordWrap/>
        <w:overflowPunct/>
        <w:topLinePunct w:val="0"/>
        <w:bidi w:val="0"/>
        <w:spacing w:line="460" w:lineRule="exact"/>
        <w:ind w:firstLine="480" w:firstLineChars="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3.3.3 承包人无正当理由拒绝撤换主要施工管理人员的违约责任：</w:t>
      </w:r>
      <w:r>
        <w:rPr>
          <w:rFonts w:hint="eastAsia" w:ascii="宋体" w:hAnsi="宋体" w:eastAsia="宋体" w:cs="宋体"/>
          <w:b/>
          <w:bCs/>
          <w:color w:val="000000" w:themeColor="text1"/>
          <w:sz w:val="24"/>
          <w:szCs w:val="24"/>
          <w:highlight w:val="none"/>
          <w:u w:val="single"/>
          <w14:textFill>
            <w14:solidFill>
              <w14:schemeClr w14:val="tx1"/>
            </w14:solidFill>
          </w14:textFill>
        </w:rPr>
        <w:t>因承包人主要施工管理人员不称职，发包人要求调换而无正当理由拒绝撤换或未及时调换的，视为承包人违约，必须向发包人交纳处罚金，处罚标准：技术负责人</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b/>
          <w:bCs/>
          <w:color w:val="000000" w:themeColor="text1"/>
          <w:sz w:val="24"/>
          <w:szCs w:val="24"/>
          <w:highlight w:val="none"/>
          <w:u w:val="single"/>
          <w14:textFill>
            <w14:solidFill>
              <w14:schemeClr w14:val="tx1"/>
            </w14:solidFill>
          </w14:textFill>
        </w:rPr>
        <w:t>00元/人•次（人民币）；专业工程师1000元/人•次（人民币）</w:t>
      </w:r>
      <w:r>
        <w:rPr>
          <w:rFonts w:hint="eastAsia" w:ascii="宋体" w:hAnsi="宋体" w:eastAsia="宋体" w:cs="宋体"/>
          <w:b/>
          <w:bCs/>
          <w:color w:val="000000" w:themeColor="text1"/>
          <w:sz w:val="24"/>
          <w:szCs w:val="24"/>
          <w:highlight w:val="none"/>
          <w14:textFill>
            <w14:solidFill>
              <w14:schemeClr w14:val="tx1"/>
            </w14:solidFill>
          </w14:textFill>
        </w:rPr>
        <w:t>。</w:t>
      </w:r>
    </w:p>
    <w:p w14:paraId="56694A51">
      <w:pPr>
        <w:pStyle w:val="247"/>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3.3.4 承包人主要施工管理人员离开施工现场的批准要求：</w:t>
      </w:r>
      <w:r>
        <w:rPr>
          <w:rFonts w:hint="eastAsia" w:ascii="宋体" w:hAnsi="宋体" w:eastAsia="宋体" w:cs="宋体"/>
          <w:b/>
          <w:bCs/>
          <w:color w:val="000000" w:themeColor="text1"/>
          <w:sz w:val="24"/>
          <w:szCs w:val="24"/>
          <w:highlight w:val="none"/>
          <w:u w:val="single"/>
          <w14:textFill>
            <w14:solidFill>
              <w14:schemeClr w14:val="tx1"/>
            </w14:solidFill>
          </w14:textFill>
        </w:rPr>
        <w:t>由总监理工程师批准，发包人代表认可方可离开，承包人的主要施工管理人员（五大员）每人每月到位率不少于24日历天，未经发包人同意或正当理由，少在岗一天，发包人有权处违约金</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b/>
          <w:bCs/>
          <w:color w:val="000000" w:themeColor="text1"/>
          <w:sz w:val="24"/>
          <w:szCs w:val="24"/>
          <w:highlight w:val="none"/>
          <w:u w:val="single"/>
          <w14:textFill>
            <w14:solidFill>
              <w14:schemeClr w14:val="tx1"/>
            </w14:solidFill>
          </w14:textFill>
        </w:rPr>
        <w:t>00元/日（人民币）</w:t>
      </w:r>
      <w:r>
        <w:rPr>
          <w:rFonts w:hint="eastAsia" w:ascii="宋体" w:hAnsi="宋体" w:eastAsia="宋体" w:cs="宋体"/>
          <w:b/>
          <w:bCs/>
          <w:color w:val="000000" w:themeColor="text1"/>
          <w:sz w:val="24"/>
          <w:szCs w:val="24"/>
          <w:highlight w:val="none"/>
          <w14:textFill>
            <w14:solidFill>
              <w14:schemeClr w14:val="tx1"/>
            </w14:solidFill>
          </w14:textFill>
        </w:rPr>
        <w:t>。</w:t>
      </w:r>
    </w:p>
    <w:p w14:paraId="1E81532B">
      <w:pPr>
        <w:pStyle w:val="247"/>
        <w:pageBreakBefore w:val="0"/>
        <w:wordWrap/>
        <w:overflowPunct/>
        <w:topLinePunct w:val="0"/>
        <w:bidi w:val="0"/>
        <w:spacing w:line="460" w:lineRule="exact"/>
        <w:ind w:firstLine="480" w:firstLineChars="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3.3.5 承包人擅自更换主要施工管理人员的违约责任：</w:t>
      </w:r>
      <w:r>
        <w:rPr>
          <w:rFonts w:hint="eastAsia" w:ascii="宋体" w:hAnsi="宋体" w:eastAsia="宋体" w:cs="宋体"/>
          <w:b/>
          <w:bCs/>
          <w:color w:val="000000" w:themeColor="text1"/>
          <w:sz w:val="24"/>
          <w:szCs w:val="24"/>
          <w:highlight w:val="none"/>
          <w:u w:val="single"/>
          <w14:textFill>
            <w14:solidFill>
              <w14:schemeClr w14:val="tx1"/>
            </w14:solidFill>
          </w14:textFill>
        </w:rPr>
        <w:t>项目技术负责人、专职安全生产管理人员及其承诺的其它在场管理人员未经发包人书面同意不准擅自更换，擅自更换项目技术负责人处</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b/>
          <w:bCs/>
          <w:color w:val="000000" w:themeColor="text1"/>
          <w:sz w:val="24"/>
          <w:szCs w:val="24"/>
          <w:highlight w:val="none"/>
          <w:u w:val="single"/>
          <w14:textFill>
            <w14:solidFill>
              <w14:schemeClr w14:val="tx1"/>
            </w14:solidFill>
          </w14:textFill>
        </w:rPr>
        <w:t>000元/人•次（人民币）违约金；擅自更换专职安全生产管理人员处</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b/>
          <w:bCs/>
          <w:color w:val="000000" w:themeColor="text1"/>
          <w:sz w:val="24"/>
          <w:szCs w:val="24"/>
          <w:highlight w:val="none"/>
          <w:u w:val="single"/>
          <w14:textFill>
            <w14:solidFill>
              <w14:schemeClr w14:val="tx1"/>
            </w14:solidFill>
          </w14:textFill>
        </w:rPr>
        <w:t>000元/人•次（人民币）违约金；擅自更换其它在场管理人员处</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b/>
          <w:bCs/>
          <w:color w:val="000000" w:themeColor="text1"/>
          <w:sz w:val="24"/>
          <w:szCs w:val="24"/>
          <w:highlight w:val="none"/>
          <w:u w:val="single"/>
          <w14:textFill>
            <w14:solidFill>
              <w14:schemeClr w14:val="tx1"/>
            </w14:solidFill>
          </w14:textFill>
        </w:rPr>
        <w:t>000元/人•次（人民币）违约金</w:t>
      </w:r>
      <w:r>
        <w:rPr>
          <w:rFonts w:hint="eastAsia" w:ascii="宋体" w:hAnsi="宋体" w:eastAsia="宋体" w:cs="宋体"/>
          <w:b/>
          <w:bCs/>
          <w:color w:val="000000" w:themeColor="text1"/>
          <w:sz w:val="24"/>
          <w:szCs w:val="24"/>
          <w:highlight w:val="none"/>
          <w14:textFill>
            <w14:solidFill>
              <w14:schemeClr w14:val="tx1"/>
            </w14:solidFill>
          </w14:textFill>
        </w:rPr>
        <w:t>。</w:t>
      </w:r>
    </w:p>
    <w:p w14:paraId="31D0621A">
      <w:pPr>
        <w:pStyle w:val="247"/>
        <w:pageBreakBefore w:val="0"/>
        <w:wordWrap/>
        <w:overflowPunct/>
        <w:topLinePunct w:val="0"/>
        <w:bidi w:val="0"/>
        <w:spacing w:line="460" w:lineRule="exact"/>
        <w:ind w:firstLine="480" w:firstLineChars="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承包人主要施工管理人员擅自离开施工现场的违约责任：</w:t>
      </w:r>
      <w:r>
        <w:rPr>
          <w:rFonts w:hint="eastAsia" w:ascii="宋体" w:hAnsi="宋体" w:eastAsia="宋体" w:cs="宋体"/>
          <w:b/>
          <w:bCs/>
          <w:color w:val="000000" w:themeColor="text1"/>
          <w:sz w:val="24"/>
          <w:szCs w:val="24"/>
          <w:highlight w:val="none"/>
          <w:u w:val="single"/>
          <w14:textFill>
            <w14:solidFill>
              <w14:schemeClr w14:val="tx1"/>
            </w14:solidFill>
          </w14:textFill>
        </w:rPr>
        <w:t>未经发包人同意，项目技术负责人擅自离岗的，视为承包人违约，发包人有权处违约金1000元/人•次（人民币）；未经发包人同意，专职安全生产管理人员擅自离岗的，视为承包人违约，发包人有权处违约金</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b/>
          <w:bCs/>
          <w:color w:val="000000" w:themeColor="text1"/>
          <w:sz w:val="24"/>
          <w:szCs w:val="24"/>
          <w:highlight w:val="none"/>
          <w:u w:val="single"/>
          <w14:textFill>
            <w14:solidFill>
              <w14:schemeClr w14:val="tx1"/>
            </w14:solidFill>
          </w14:textFill>
        </w:rPr>
        <w:t>00元/人•次（人民币）；其它在场管理人员擅自离岗的，视为承包人违约，发包人有权处违约金</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b/>
          <w:bCs/>
          <w:color w:val="000000" w:themeColor="text1"/>
          <w:sz w:val="24"/>
          <w:szCs w:val="24"/>
          <w:highlight w:val="none"/>
          <w:u w:val="single"/>
          <w14:textFill>
            <w14:solidFill>
              <w14:schemeClr w14:val="tx1"/>
            </w14:solidFill>
          </w14:textFill>
        </w:rPr>
        <w:t>00元/人•次（人民币）</w:t>
      </w:r>
      <w:r>
        <w:rPr>
          <w:rFonts w:hint="eastAsia" w:ascii="宋体" w:hAnsi="宋体" w:eastAsia="宋体" w:cs="宋体"/>
          <w:b/>
          <w:bCs/>
          <w:color w:val="000000" w:themeColor="text1"/>
          <w:sz w:val="24"/>
          <w:szCs w:val="24"/>
          <w:highlight w:val="none"/>
          <w14:textFill>
            <w14:solidFill>
              <w14:schemeClr w14:val="tx1"/>
            </w14:solidFill>
          </w14:textFill>
        </w:rPr>
        <w:t>。</w:t>
      </w:r>
    </w:p>
    <w:p w14:paraId="2754D7A3">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251" w:name="_Toc1580"/>
      <w:bookmarkEnd w:id="251"/>
      <w:r>
        <w:rPr>
          <w:rFonts w:hint="eastAsia" w:ascii="宋体" w:hAnsi="宋体" w:eastAsia="宋体" w:cs="宋体"/>
          <w:color w:val="000000" w:themeColor="text1"/>
          <w:sz w:val="24"/>
          <w:szCs w:val="24"/>
          <w:highlight w:val="none"/>
          <w14:textFill>
            <w14:solidFill>
              <w14:schemeClr w14:val="tx1"/>
            </w14:solidFill>
          </w14:textFill>
        </w:rPr>
        <w:t>3</w:t>
      </w:r>
      <w:bookmarkStart w:id="252" w:name="_Toc312677988"/>
      <w:bookmarkEnd w:id="252"/>
      <w:bookmarkStart w:id="253" w:name="_Toc304295523"/>
      <w:bookmarkEnd w:id="253"/>
      <w:bookmarkStart w:id="254" w:name="_Toc292559869"/>
      <w:bookmarkEnd w:id="254"/>
      <w:bookmarkStart w:id="255" w:name="_Toc296347158"/>
      <w:bookmarkEnd w:id="255"/>
      <w:bookmarkStart w:id="256" w:name="_Toc297120459"/>
      <w:bookmarkEnd w:id="256"/>
      <w:bookmarkStart w:id="257" w:name="_Toc296503159"/>
      <w:bookmarkEnd w:id="257"/>
      <w:bookmarkStart w:id="258" w:name="_Toc296944498"/>
      <w:bookmarkEnd w:id="258"/>
      <w:bookmarkStart w:id="259" w:name="_Toc297216151"/>
      <w:bookmarkEnd w:id="259"/>
      <w:bookmarkStart w:id="260" w:name="_Toc296891199"/>
      <w:bookmarkEnd w:id="260"/>
      <w:bookmarkStart w:id="261" w:name="_Toc297048345"/>
      <w:bookmarkEnd w:id="261"/>
      <w:bookmarkStart w:id="262" w:name="_Toc297123492"/>
      <w:bookmarkEnd w:id="262"/>
      <w:bookmarkStart w:id="263" w:name="_Toc300934945"/>
      <w:bookmarkEnd w:id="263"/>
      <w:bookmarkStart w:id="264" w:name="_Toc292559364"/>
      <w:bookmarkEnd w:id="264"/>
      <w:bookmarkStart w:id="265" w:name="_Toc303539102"/>
      <w:bookmarkEnd w:id="265"/>
      <w:bookmarkStart w:id="266" w:name="_Toc296890987"/>
      <w:bookmarkEnd w:id="266"/>
      <w:bookmarkStart w:id="267" w:name="_Toc296346660"/>
      <w:r>
        <w:rPr>
          <w:rFonts w:hint="eastAsia" w:ascii="宋体" w:hAnsi="宋体" w:eastAsia="宋体" w:cs="宋体"/>
          <w:color w:val="000000" w:themeColor="text1"/>
          <w:sz w:val="24"/>
          <w:szCs w:val="24"/>
          <w:highlight w:val="none"/>
          <w14:textFill>
            <w14:solidFill>
              <w14:schemeClr w14:val="tx1"/>
            </w14:solidFill>
          </w14:textFill>
        </w:rPr>
        <w:t xml:space="preserve">.5 </w:t>
      </w:r>
      <w:bookmarkEnd w:id="267"/>
      <w:r>
        <w:rPr>
          <w:rFonts w:hint="eastAsia" w:ascii="宋体" w:hAnsi="宋体" w:eastAsia="宋体" w:cs="宋体"/>
          <w:color w:val="000000" w:themeColor="text1"/>
          <w:sz w:val="24"/>
          <w:szCs w:val="24"/>
          <w:highlight w:val="none"/>
          <w14:textFill>
            <w14:solidFill>
              <w14:schemeClr w14:val="tx1"/>
            </w14:solidFill>
          </w14:textFill>
        </w:rPr>
        <w:t>分包</w:t>
      </w:r>
    </w:p>
    <w:p w14:paraId="5CC2437F">
      <w:pPr>
        <w:pStyle w:val="247"/>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bookmarkStart w:id="268" w:name="_Toc373478358"/>
      <w:bookmarkEnd w:id="268"/>
      <w:bookmarkStart w:id="269" w:name="_Toc389065277"/>
      <w:bookmarkEnd w:id="269"/>
      <w:bookmarkStart w:id="270" w:name="_Toc373227711"/>
      <w:bookmarkEnd w:id="270"/>
      <w:bookmarkStart w:id="271" w:name="_Toc407135213"/>
      <w:bookmarkEnd w:id="271"/>
      <w:r>
        <w:rPr>
          <w:rFonts w:hint="eastAsia" w:ascii="宋体" w:hAnsi="宋体" w:eastAsia="宋体" w:cs="宋体"/>
          <w:color w:val="000000" w:themeColor="text1"/>
          <w:sz w:val="24"/>
          <w:szCs w:val="24"/>
          <w:highlight w:val="none"/>
          <w14:textFill>
            <w14:solidFill>
              <w14:schemeClr w14:val="tx1"/>
            </w14:solidFill>
          </w14:textFill>
        </w:rPr>
        <w:t>本项目不允许分包。</w:t>
      </w:r>
    </w:p>
    <w:p w14:paraId="3E670476">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272" w:name="_Toc30771"/>
      <w:bookmarkEnd w:id="272"/>
      <w:r>
        <w:rPr>
          <w:rFonts w:hint="eastAsia" w:ascii="宋体" w:hAnsi="宋体" w:eastAsia="宋体" w:cs="宋体"/>
          <w:color w:val="000000" w:themeColor="text1"/>
          <w:sz w:val="24"/>
          <w:szCs w:val="24"/>
          <w:highlight w:val="none"/>
          <w14:textFill>
            <w14:solidFill>
              <w14:schemeClr w14:val="tx1"/>
            </w14:solidFill>
          </w14:textFill>
        </w:rPr>
        <w:t>3.6 工程照管与成品、半成品保护</w:t>
      </w:r>
    </w:p>
    <w:p w14:paraId="427542E2">
      <w:pPr>
        <w:pStyle w:val="245"/>
        <w:pageBreakBefore w:val="0"/>
        <w:wordWrap/>
        <w:overflowPunct/>
        <w:topLinePunct w:val="0"/>
        <w:bidi w:val="0"/>
        <w:spacing w:line="460" w:lineRule="exact"/>
        <w:ind w:firstLine="480" w:firstLineChars="200"/>
        <w:rPr>
          <w:rFonts w:hint="eastAsia" w:ascii="宋体" w:hAnsi="宋体" w:eastAsia="宋体" w:cs="宋体"/>
          <w:b/>
          <w:bCs/>
          <w:color w:val="000000" w:themeColor="text1"/>
          <w:kern w:val="0"/>
          <w:sz w:val="24"/>
          <w:szCs w:val="24"/>
          <w:highlight w:val="none"/>
          <w:u w:val="singl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承包人负责照管工程及工程相关的材料、工程设备的起始时间</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自发包人向承包人移交施工现场之日起，承包人应负责照管工程及工程相关的材料、工程设备，直到颁发工程接收证书之日止</w:t>
      </w:r>
      <w:r>
        <w:rPr>
          <w:rFonts w:hint="eastAsia" w:ascii="宋体" w:hAnsi="宋体" w:eastAsia="宋体" w:cs="宋体"/>
          <w:b/>
          <w:bCs/>
          <w:color w:val="000000" w:themeColor="text1"/>
          <w:kern w:val="0"/>
          <w:sz w:val="24"/>
          <w:szCs w:val="24"/>
          <w:highlight w:val="none"/>
          <w14:textFill>
            <w14:solidFill>
              <w14:schemeClr w14:val="tx1"/>
            </w14:solidFill>
          </w14:textFill>
        </w:rPr>
        <w:t>。</w:t>
      </w:r>
    </w:p>
    <w:p w14:paraId="4379492C">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273" w:name="_Toc18806"/>
      <w:bookmarkEnd w:id="273"/>
      <w:bookmarkStart w:id="274" w:name="_Toc407135214"/>
      <w:bookmarkEnd w:id="274"/>
      <w:bookmarkStart w:id="275" w:name="_Toc389065278"/>
      <w:bookmarkEnd w:id="275"/>
      <w:bookmarkStart w:id="276" w:name="_Toc373227712"/>
      <w:bookmarkEnd w:id="276"/>
      <w:bookmarkStart w:id="277" w:name="_Toc373478359"/>
      <w:r>
        <w:rPr>
          <w:rFonts w:hint="eastAsia" w:ascii="宋体" w:hAnsi="宋体" w:eastAsia="宋体" w:cs="宋体"/>
          <w:color w:val="000000" w:themeColor="text1"/>
          <w:sz w:val="24"/>
          <w:szCs w:val="24"/>
          <w:highlight w:val="none"/>
          <w14:textFill>
            <w14:solidFill>
              <w14:schemeClr w14:val="tx1"/>
            </w14:solidFill>
          </w14:textFill>
        </w:rPr>
        <w:t xml:space="preserve">3.7 </w:t>
      </w:r>
      <w:bookmarkEnd w:id="277"/>
      <w:r>
        <w:rPr>
          <w:rFonts w:hint="eastAsia" w:ascii="宋体" w:hAnsi="宋体" w:eastAsia="宋体" w:cs="宋体"/>
          <w:color w:val="000000" w:themeColor="text1"/>
          <w:sz w:val="24"/>
          <w:szCs w:val="24"/>
          <w:highlight w:val="none"/>
          <w14:textFill>
            <w14:solidFill>
              <w14:schemeClr w14:val="tx1"/>
            </w14:solidFill>
          </w14:textFill>
        </w:rPr>
        <w:t>履约保证金</w:t>
      </w:r>
    </w:p>
    <w:p w14:paraId="1270B6C5">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bookmarkStart w:id="278" w:name="_Toc373478360"/>
      <w:bookmarkEnd w:id="278"/>
      <w:bookmarkStart w:id="279" w:name="_Toc373227713"/>
      <w:bookmarkEnd w:id="279"/>
      <w:bookmarkStart w:id="280" w:name="_Toc351203636"/>
      <w:bookmarkEnd w:id="280"/>
      <w:bookmarkStart w:id="281" w:name="_Toc407135215"/>
      <w:bookmarkEnd w:id="281"/>
      <w:bookmarkStart w:id="282" w:name="_Toc389065279"/>
      <w:r>
        <w:rPr>
          <w:rFonts w:hint="eastAsia" w:ascii="宋体" w:hAnsi="宋体" w:eastAsia="宋体" w:cs="宋体"/>
          <w:color w:val="000000" w:themeColor="text1"/>
          <w:sz w:val="24"/>
          <w:szCs w:val="24"/>
          <w:highlight w:val="none"/>
          <w14:textFill>
            <w14:solidFill>
              <w14:schemeClr w14:val="tx1"/>
            </w14:solidFill>
          </w14:textFill>
        </w:rPr>
        <w:t>承包人提供履约担保的形式、金额及期限的：</w:t>
      </w:r>
      <w:bookmarkEnd w:id="282"/>
      <w:r>
        <w:rPr>
          <w:rFonts w:hint="eastAsia" w:ascii="宋体" w:hAnsi="宋体" w:eastAsia="宋体" w:cs="宋体"/>
          <w:b/>
          <w:bCs/>
          <w:color w:val="000000" w:themeColor="text1"/>
          <w:sz w:val="24"/>
          <w:szCs w:val="24"/>
          <w:highlight w:val="none"/>
          <w:u w:val="single"/>
          <w14:textFill>
            <w14:solidFill>
              <w14:schemeClr w14:val="tx1"/>
            </w14:solidFill>
          </w14:textFill>
        </w:rPr>
        <w:t>无。</w:t>
      </w:r>
    </w:p>
    <w:p w14:paraId="65541CBB">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283" w:name="_Toc15637"/>
      <w:bookmarkEnd w:id="283"/>
      <w:r>
        <w:rPr>
          <w:rFonts w:hint="eastAsia" w:ascii="宋体" w:hAnsi="宋体" w:eastAsia="宋体" w:cs="宋体"/>
          <w:color w:val="000000" w:themeColor="text1"/>
          <w:sz w:val="24"/>
          <w:szCs w:val="24"/>
          <w:highlight w:val="none"/>
          <w14:textFill>
            <w14:solidFill>
              <w14:schemeClr w14:val="tx1"/>
            </w14:solidFill>
          </w14:textFill>
        </w:rPr>
        <w:t>4</w:t>
      </w:r>
      <w:bookmarkStart w:id="284" w:name="_Toc267251413"/>
      <w:bookmarkEnd w:id="284"/>
      <w:bookmarkStart w:id="285" w:name="_Toc296944501"/>
      <w:bookmarkEnd w:id="285"/>
      <w:bookmarkStart w:id="286" w:name="_Toc292559366"/>
      <w:bookmarkEnd w:id="286"/>
      <w:bookmarkStart w:id="287" w:name="_Toc296347161"/>
      <w:bookmarkEnd w:id="287"/>
      <w:bookmarkStart w:id="288" w:name="_Toc296346663"/>
      <w:bookmarkEnd w:id="288"/>
      <w:bookmarkStart w:id="289" w:name="_Toc296503162"/>
      <w:bookmarkEnd w:id="289"/>
      <w:bookmarkStart w:id="290" w:name="_Toc297120462"/>
      <w:bookmarkEnd w:id="290"/>
      <w:bookmarkStart w:id="291" w:name="_Toc292559871"/>
      <w:bookmarkEnd w:id="291"/>
      <w:bookmarkStart w:id="292" w:name="_Toc296891202"/>
      <w:bookmarkEnd w:id="292"/>
      <w:bookmarkStart w:id="293" w:name="_Toc296890990"/>
      <w:bookmarkEnd w:id="293"/>
      <w:bookmarkStart w:id="294" w:name="_Toc297048348"/>
      <w:r>
        <w:rPr>
          <w:rFonts w:hint="eastAsia" w:ascii="宋体" w:hAnsi="宋体" w:eastAsia="宋体" w:cs="宋体"/>
          <w:color w:val="000000" w:themeColor="text1"/>
          <w:sz w:val="24"/>
          <w:szCs w:val="24"/>
          <w:highlight w:val="none"/>
          <w14:textFill>
            <w14:solidFill>
              <w14:schemeClr w14:val="tx1"/>
            </w14:solidFill>
          </w14:textFill>
        </w:rPr>
        <w:t xml:space="preserve">. </w:t>
      </w:r>
      <w:bookmarkEnd w:id="294"/>
      <w:r>
        <w:rPr>
          <w:rFonts w:hint="eastAsia" w:ascii="宋体" w:hAnsi="宋体" w:eastAsia="宋体" w:cs="宋体"/>
          <w:color w:val="000000" w:themeColor="text1"/>
          <w:sz w:val="24"/>
          <w:szCs w:val="24"/>
          <w:highlight w:val="none"/>
          <w14:textFill>
            <w14:solidFill>
              <w14:schemeClr w14:val="tx1"/>
            </w14:solidFill>
          </w14:textFill>
        </w:rPr>
        <w:t>监理人</w:t>
      </w:r>
    </w:p>
    <w:p w14:paraId="263799EF">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295" w:name="_Toc407135216"/>
      <w:bookmarkEnd w:id="295"/>
      <w:bookmarkStart w:id="296" w:name="_Toc373227714"/>
      <w:bookmarkEnd w:id="296"/>
      <w:bookmarkStart w:id="297" w:name="_Toc389065280"/>
      <w:bookmarkEnd w:id="297"/>
      <w:bookmarkStart w:id="298" w:name="_Toc21430"/>
      <w:bookmarkEnd w:id="298"/>
      <w:bookmarkStart w:id="299" w:name="_Toc373478361"/>
      <w:r>
        <w:rPr>
          <w:rFonts w:hint="eastAsia" w:ascii="宋体" w:hAnsi="宋体" w:eastAsia="宋体" w:cs="宋体"/>
          <w:color w:val="000000" w:themeColor="text1"/>
          <w:sz w:val="24"/>
          <w:szCs w:val="24"/>
          <w:highlight w:val="none"/>
          <w14:textFill>
            <w14:solidFill>
              <w14:schemeClr w14:val="tx1"/>
            </w14:solidFill>
          </w14:textFill>
        </w:rPr>
        <w:t xml:space="preserve">4.1 </w:t>
      </w:r>
      <w:bookmarkEnd w:id="299"/>
      <w:r>
        <w:rPr>
          <w:rFonts w:hint="eastAsia" w:ascii="宋体" w:hAnsi="宋体" w:eastAsia="宋体" w:cs="宋体"/>
          <w:color w:val="000000" w:themeColor="text1"/>
          <w:sz w:val="24"/>
          <w:szCs w:val="24"/>
          <w:highlight w:val="none"/>
          <w14:textFill>
            <w14:solidFill>
              <w14:schemeClr w14:val="tx1"/>
            </w14:solidFill>
          </w14:textFill>
        </w:rPr>
        <w:t>监理人的一般规定</w:t>
      </w:r>
    </w:p>
    <w:p w14:paraId="50D988AC">
      <w:pPr>
        <w:pStyle w:val="246"/>
        <w:pageBreakBefore w:val="0"/>
        <w:wordWrap/>
        <w:overflowPunct/>
        <w:topLinePunct w:val="0"/>
        <w:bidi w:val="0"/>
        <w:spacing w:line="460" w:lineRule="exact"/>
        <w:ind w:firstLine="42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关于监理人的监理内容：</w:t>
      </w:r>
      <w:r>
        <w:rPr>
          <w:rFonts w:hint="eastAsia" w:ascii="宋体" w:hAnsi="宋体" w:eastAsia="宋体" w:cs="宋体"/>
          <w:b/>
          <w:bCs/>
          <w:color w:val="000000" w:themeColor="text1"/>
          <w:sz w:val="24"/>
          <w:szCs w:val="24"/>
          <w:highlight w:val="none"/>
          <w:u w:val="single"/>
          <w14:textFill>
            <w14:solidFill>
              <w14:schemeClr w14:val="tx1"/>
            </w14:solidFill>
          </w14:textFill>
        </w:rPr>
        <w:t>根据发包人与监理人签订的《监理合同》及工程实际需要确定</w:t>
      </w:r>
      <w:r>
        <w:rPr>
          <w:rFonts w:hint="eastAsia" w:ascii="宋体" w:hAnsi="宋体" w:eastAsia="宋体" w:cs="宋体"/>
          <w:b/>
          <w:bCs/>
          <w:color w:val="000000" w:themeColor="text1"/>
          <w:sz w:val="24"/>
          <w:szCs w:val="24"/>
          <w:highlight w:val="none"/>
          <w14:textFill>
            <w14:solidFill>
              <w14:schemeClr w14:val="tx1"/>
            </w14:solidFill>
          </w14:textFill>
        </w:rPr>
        <w:t>。</w:t>
      </w:r>
    </w:p>
    <w:p w14:paraId="1375A043">
      <w:pPr>
        <w:pStyle w:val="246"/>
        <w:pageBreakBefore w:val="0"/>
        <w:wordWrap/>
        <w:overflowPunct/>
        <w:topLinePunct w:val="0"/>
        <w:bidi w:val="0"/>
        <w:spacing w:line="460" w:lineRule="exact"/>
        <w:ind w:firstLine="42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关于监理人的监理权限：</w:t>
      </w:r>
      <w:r>
        <w:rPr>
          <w:rFonts w:hint="eastAsia" w:ascii="宋体" w:hAnsi="宋体" w:eastAsia="宋体" w:cs="宋体"/>
          <w:b/>
          <w:bCs/>
          <w:color w:val="000000" w:themeColor="text1"/>
          <w:sz w:val="24"/>
          <w:szCs w:val="24"/>
          <w:highlight w:val="none"/>
          <w:u w:val="single"/>
          <w14:textFill>
            <w14:solidFill>
              <w14:schemeClr w14:val="tx1"/>
            </w14:solidFill>
          </w14:textFill>
        </w:rPr>
        <w:t>根据监理合同、施工承包合同和法律法规规定的事项代表发包人进行工程前期协调、施工现场协调、工程施工监理</w:t>
      </w:r>
      <w:r>
        <w:rPr>
          <w:rFonts w:hint="eastAsia" w:ascii="宋体" w:hAnsi="宋体" w:eastAsia="宋体" w:cs="宋体"/>
          <w:b/>
          <w:bCs/>
          <w:color w:val="000000" w:themeColor="text1"/>
          <w:sz w:val="24"/>
          <w:szCs w:val="24"/>
          <w:highlight w:val="none"/>
          <w14:textFill>
            <w14:solidFill>
              <w14:schemeClr w14:val="tx1"/>
            </w14:solidFill>
          </w14:textFill>
        </w:rPr>
        <w:t>。</w:t>
      </w:r>
    </w:p>
    <w:p w14:paraId="06F541E7">
      <w:pPr>
        <w:pStyle w:val="246"/>
        <w:pageBreakBefore w:val="0"/>
        <w:wordWrap/>
        <w:overflowPunct/>
        <w:topLinePunct w:val="0"/>
        <w:bidi w:val="0"/>
        <w:spacing w:line="460" w:lineRule="exact"/>
        <w:ind w:firstLine="42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关于监理人在施工现场的办公场所、生活场所的提供和费用承担的约定：</w:t>
      </w:r>
      <w:r>
        <w:rPr>
          <w:rFonts w:hint="eastAsia" w:ascii="宋体" w:hAnsi="宋体" w:eastAsia="宋体" w:cs="宋体"/>
          <w:b/>
          <w:bCs/>
          <w:color w:val="000000" w:themeColor="text1"/>
          <w:sz w:val="24"/>
          <w:szCs w:val="24"/>
          <w:highlight w:val="none"/>
          <w:u w:val="single"/>
          <w14:textFill>
            <w14:solidFill>
              <w14:schemeClr w14:val="tx1"/>
            </w14:solidFill>
          </w14:textFill>
        </w:rPr>
        <w:t>监理人在施工现场的办公场所、生活场所由承包人提供，所发生的费用由承包人承担</w:t>
      </w:r>
      <w:r>
        <w:rPr>
          <w:rFonts w:hint="eastAsia" w:ascii="宋体" w:hAnsi="宋体" w:eastAsia="宋体" w:cs="宋体"/>
          <w:color w:val="000000" w:themeColor="text1"/>
          <w:sz w:val="24"/>
          <w:szCs w:val="24"/>
          <w:highlight w:val="none"/>
          <w14:textFill>
            <w14:solidFill>
              <w14:schemeClr w14:val="tx1"/>
            </w14:solidFill>
          </w14:textFill>
        </w:rPr>
        <w:t>。</w:t>
      </w:r>
    </w:p>
    <w:p w14:paraId="04486DE5">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300" w:name="_Toc373227715"/>
      <w:bookmarkEnd w:id="300"/>
      <w:bookmarkStart w:id="301" w:name="_Toc373478362"/>
      <w:bookmarkEnd w:id="301"/>
      <w:bookmarkStart w:id="302" w:name="_Toc1099"/>
      <w:bookmarkEnd w:id="302"/>
      <w:bookmarkStart w:id="303" w:name="_Toc407135217"/>
      <w:bookmarkEnd w:id="303"/>
      <w:bookmarkStart w:id="304" w:name="_Toc389065281"/>
      <w:r>
        <w:rPr>
          <w:rFonts w:hint="eastAsia" w:ascii="宋体" w:hAnsi="宋体" w:eastAsia="宋体" w:cs="宋体"/>
          <w:color w:val="000000" w:themeColor="text1"/>
          <w:sz w:val="24"/>
          <w:szCs w:val="24"/>
          <w:highlight w:val="none"/>
          <w14:textFill>
            <w14:solidFill>
              <w14:schemeClr w14:val="tx1"/>
            </w14:solidFill>
          </w14:textFill>
        </w:rPr>
        <w:t xml:space="preserve">4.2 </w:t>
      </w:r>
      <w:bookmarkEnd w:id="304"/>
      <w:r>
        <w:rPr>
          <w:rFonts w:hint="eastAsia" w:ascii="宋体" w:hAnsi="宋体" w:eastAsia="宋体" w:cs="宋体"/>
          <w:color w:val="000000" w:themeColor="text1"/>
          <w:sz w:val="24"/>
          <w:szCs w:val="24"/>
          <w:highlight w:val="none"/>
          <w14:textFill>
            <w14:solidFill>
              <w14:schemeClr w14:val="tx1"/>
            </w14:solidFill>
          </w14:textFill>
        </w:rPr>
        <w:t>监理人员</w:t>
      </w:r>
    </w:p>
    <w:p w14:paraId="4BCBE56A">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总监理工程师：</w:t>
      </w:r>
    </w:p>
    <w:p w14:paraId="340DC2C4">
      <w:pPr>
        <w:pStyle w:val="245"/>
        <w:pageBreakBefore w:val="0"/>
        <w:wordWrap/>
        <w:overflowPunct/>
        <w:topLinePunct w:val="0"/>
        <w:bidi w:val="0"/>
        <w:spacing w:line="460" w:lineRule="exact"/>
        <w:ind w:firstLine="480" w:firstLineChars="200"/>
        <w:rPr>
          <w:rFonts w:hint="eastAsia" w:ascii="宋体" w:hAnsi="宋体" w:eastAsia="宋体" w:cs="宋体"/>
          <w:b/>
          <w:bCs/>
          <w:color w:val="000000" w:themeColor="text1"/>
          <w:kern w:val="2"/>
          <w:sz w:val="24"/>
          <w:szCs w:val="24"/>
          <w:highlight w:val="none"/>
          <w:u w:val="singl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姓    名：</w:t>
      </w:r>
      <w:r>
        <w:rPr>
          <w:rFonts w:hint="eastAsia" w:ascii="宋体fal" w:hAnsi="宋体fal" w:cs="宋体fal"/>
          <w:color w:val="000000" w:themeColor="text1"/>
          <w:sz w:val="24"/>
          <w:szCs w:val="24"/>
          <w:u w:val="single"/>
          <w14:textFill>
            <w14:solidFill>
              <w14:schemeClr w14:val="tx1"/>
            </w14:solidFill>
          </w14:textFill>
        </w:rPr>
        <w:t xml:space="preserve"> </w:t>
      </w:r>
      <w:r>
        <w:rPr>
          <w:rFonts w:hint="eastAsia" w:ascii="宋体fal" w:hAnsi="宋体fal" w:cs="宋体fal"/>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bCs/>
          <w:color w:val="000000" w:themeColor="text1"/>
          <w:kern w:val="2"/>
          <w:sz w:val="24"/>
          <w:szCs w:val="24"/>
          <w:highlight w:val="none"/>
          <w:u w:val="single"/>
          <w:lang w:val="en-US" w:eastAsia="zh-CN" w:bidi="ar-SA"/>
          <w14:textFill>
            <w14:solidFill>
              <w14:schemeClr w14:val="tx1"/>
            </w14:solidFill>
          </w14:textFill>
        </w:rPr>
        <w:t xml:space="preserve">  ；</w:t>
      </w:r>
    </w:p>
    <w:p w14:paraId="144183BF">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职    务：</w:t>
      </w:r>
      <w:r>
        <w:rPr>
          <w:rFonts w:hint="eastAsia" w:ascii="宋体" w:hAnsi="宋体" w:eastAsia="宋体" w:cs="宋体"/>
          <w:b/>
          <w:bCs/>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宋体fal" w:hAnsi="宋体fal" w:cs="宋体fal"/>
          <w:color w:val="000000" w:themeColor="text1"/>
          <w:sz w:val="24"/>
          <w:szCs w:val="24"/>
          <w:u w:val="single"/>
          <w14:textFill>
            <w14:solidFill>
              <w14:schemeClr w14:val="tx1"/>
            </w14:solidFill>
          </w14:textFill>
        </w:rPr>
        <w:t xml:space="preserve"> </w:t>
      </w:r>
      <w:r>
        <w:rPr>
          <w:rFonts w:hint="eastAsia" w:ascii="宋体fal" w:hAnsi="宋体fal" w:cs="宋体fal"/>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bCs/>
          <w:color w:val="000000" w:themeColor="text1"/>
          <w:kern w:val="2"/>
          <w:sz w:val="24"/>
          <w:szCs w:val="24"/>
          <w:highlight w:val="none"/>
          <w:u w:val="single"/>
          <w:lang w:val="en-US" w:eastAsia="zh-CN" w:bidi="ar-SA"/>
          <w14:textFill>
            <w14:solidFill>
              <w14:schemeClr w14:val="tx1"/>
            </w14:solidFill>
          </w14:textFill>
        </w:rPr>
        <w:t xml:space="preserve"> ；</w:t>
      </w:r>
    </w:p>
    <w:p w14:paraId="7E31F066">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监理工程师注册证书号：</w:t>
      </w:r>
      <w:r>
        <w:rPr>
          <w:rFonts w:hint="eastAsia" w:ascii="宋体fal" w:hAnsi="宋体fal" w:cs="宋体fal"/>
          <w:color w:val="000000" w:themeColor="text1"/>
          <w:sz w:val="24"/>
          <w:szCs w:val="24"/>
          <w:u w:val="single"/>
          <w14:textFill>
            <w14:solidFill>
              <w14:schemeClr w14:val="tx1"/>
            </w14:solidFill>
          </w14:textFill>
        </w:rPr>
        <w:t xml:space="preserve"> </w:t>
      </w:r>
      <w:r>
        <w:rPr>
          <w:rFonts w:hint="eastAsia" w:ascii="宋体fal" w:hAnsi="宋体fal" w:cs="宋体fal"/>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bCs/>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529153D5">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联系电话：</w:t>
      </w:r>
      <w:r>
        <w:rPr>
          <w:rFonts w:hint="eastAsia" w:ascii="宋体" w:hAnsi="宋体" w:eastAsia="宋体" w:cs="宋体"/>
          <w:b/>
          <w:bCs/>
          <w:color w:val="000000" w:themeColor="text1"/>
          <w:kern w:val="2"/>
          <w:sz w:val="24"/>
          <w:szCs w:val="24"/>
          <w:highlight w:val="none"/>
          <w:u w:val="single"/>
          <w:lang w:val="en-US" w:eastAsia="zh-CN" w:bidi="ar-SA"/>
          <w14:textFill>
            <w14:solidFill>
              <w14:schemeClr w14:val="tx1"/>
            </w14:solidFill>
          </w14:textFill>
        </w:rPr>
        <w:t xml:space="preserve">          ；</w:t>
      </w:r>
    </w:p>
    <w:p w14:paraId="6EA24D3F">
      <w:pPr>
        <w:pStyle w:val="245"/>
        <w:pageBreakBefore w:val="0"/>
        <w:wordWrap/>
        <w:overflowPunct/>
        <w:topLinePunct w:val="0"/>
        <w:bidi w:val="0"/>
        <w:spacing w:line="460" w:lineRule="exact"/>
        <w:ind w:firstLine="480" w:firstLineChars="200"/>
        <w:rPr>
          <w:rFonts w:hint="eastAsia" w:ascii="宋体" w:hAnsi="宋体" w:eastAsia="宋体" w:cs="宋体"/>
          <w:b/>
          <w:bCs/>
          <w:color w:val="000000" w:themeColor="text1"/>
          <w:kern w:val="2"/>
          <w:sz w:val="24"/>
          <w:szCs w:val="24"/>
          <w:highlight w:val="none"/>
          <w:u w:val="singl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电子信箱：</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313886A8">
      <w:pPr>
        <w:pStyle w:val="245"/>
        <w:pageBreakBefore w:val="0"/>
        <w:wordWrap/>
        <w:overflowPunct/>
        <w:topLinePunct w:val="0"/>
        <w:bidi w:val="0"/>
        <w:spacing w:line="460" w:lineRule="exact"/>
        <w:ind w:firstLine="480" w:firstLineChars="200"/>
        <w:rPr>
          <w:rFonts w:hint="eastAsia" w:ascii="宋体" w:hAnsi="宋体" w:eastAsia="宋体" w:cs="宋体"/>
          <w:b/>
          <w:bCs/>
          <w:color w:val="000000" w:themeColor="text1"/>
          <w:kern w:val="2"/>
          <w:sz w:val="24"/>
          <w:szCs w:val="24"/>
          <w:highlight w:val="none"/>
          <w:u w:val="singl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通信地址：</w:t>
      </w:r>
      <w:r>
        <w:rPr>
          <w:rFonts w:hint="eastAsia" w:ascii="宋体fal" w:hAnsi="宋体fal" w:cs="宋体fal"/>
          <w:color w:val="000000" w:themeColor="text1"/>
          <w:sz w:val="24"/>
          <w:szCs w:val="24"/>
          <w:u w:val="single"/>
          <w14:textFill>
            <w14:solidFill>
              <w14:schemeClr w14:val="tx1"/>
            </w14:solidFill>
          </w14:textFill>
        </w:rPr>
        <w:t xml:space="preserve"> </w:t>
      </w:r>
      <w:r>
        <w:rPr>
          <w:rFonts w:hint="eastAsia" w:ascii="宋体fal" w:hAnsi="宋体fal" w:cs="宋体fal"/>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bCs/>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3DF7937F">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关于监理人的其他约定：</w:t>
      </w:r>
      <w:r>
        <w:rPr>
          <w:rFonts w:hint="eastAsia" w:ascii="宋体" w:hAnsi="宋体" w:eastAsia="宋体" w:cs="宋体"/>
          <w:b/>
          <w:bCs/>
          <w:color w:val="000000" w:themeColor="text1"/>
          <w:sz w:val="24"/>
          <w:szCs w:val="24"/>
          <w:highlight w:val="none"/>
          <w:u w:val="single"/>
          <w14:textFill>
            <w14:solidFill>
              <w14:schemeClr w14:val="tx1"/>
            </w14:solidFill>
          </w14:textFill>
        </w:rPr>
        <w:t>发包人应将授权的总监理工程师和监理工程师的姓名及授权范围以书面形式提前通知承包人</w:t>
      </w:r>
      <w:r>
        <w:rPr>
          <w:rFonts w:hint="eastAsia" w:ascii="宋体" w:hAnsi="宋体" w:eastAsia="宋体" w:cs="宋体"/>
          <w:b/>
          <w:bCs/>
          <w:color w:val="000000" w:themeColor="text1"/>
          <w:sz w:val="24"/>
          <w:szCs w:val="24"/>
          <w:highlight w:val="none"/>
          <w14:textFill>
            <w14:solidFill>
              <w14:schemeClr w14:val="tx1"/>
            </w14:solidFill>
          </w14:textFill>
        </w:rPr>
        <w:t>。</w:t>
      </w:r>
    </w:p>
    <w:p w14:paraId="64E51386">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305" w:name="_Toc373478363"/>
      <w:bookmarkEnd w:id="305"/>
      <w:bookmarkStart w:id="306" w:name="_Toc389065282"/>
      <w:bookmarkEnd w:id="306"/>
      <w:bookmarkStart w:id="307" w:name="_Toc407135218"/>
      <w:bookmarkEnd w:id="307"/>
      <w:bookmarkStart w:id="308" w:name="_Toc31316"/>
      <w:bookmarkEnd w:id="308"/>
      <w:bookmarkStart w:id="309" w:name="_Toc373227716"/>
      <w:r>
        <w:rPr>
          <w:rFonts w:hint="eastAsia" w:ascii="宋体" w:hAnsi="宋体" w:eastAsia="宋体" w:cs="宋体"/>
          <w:color w:val="000000" w:themeColor="text1"/>
          <w:sz w:val="24"/>
          <w:szCs w:val="24"/>
          <w:highlight w:val="none"/>
          <w14:textFill>
            <w14:solidFill>
              <w14:schemeClr w14:val="tx1"/>
            </w14:solidFill>
          </w14:textFill>
        </w:rPr>
        <w:t xml:space="preserve">4.4 </w:t>
      </w:r>
      <w:bookmarkEnd w:id="309"/>
      <w:r>
        <w:rPr>
          <w:rFonts w:hint="eastAsia" w:ascii="宋体" w:hAnsi="宋体" w:eastAsia="宋体" w:cs="宋体"/>
          <w:color w:val="000000" w:themeColor="text1"/>
          <w:sz w:val="24"/>
          <w:szCs w:val="24"/>
          <w:highlight w:val="none"/>
          <w14:textFill>
            <w14:solidFill>
              <w14:schemeClr w14:val="tx1"/>
            </w14:solidFill>
          </w14:textFill>
        </w:rPr>
        <w:t>商定或确定</w:t>
      </w:r>
    </w:p>
    <w:p w14:paraId="0E2685CD">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bookmarkStart w:id="310" w:name="_Toc267251418"/>
      <w:bookmarkEnd w:id="310"/>
      <w:r>
        <w:rPr>
          <w:rFonts w:hint="eastAsia" w:ascii="宋体" w:hAnsi="宋体" w:eastAsia="宋体" w:cs="宋体"/>
          <w:color w:val="000000" w:themeColor="text1"/>
          <w:sz w:val="24"/>
          <w:szCs w:val="24"/>
          <w:highlight w:val="none"/>
          <w14:textFill>
            <w14:solidFill>
              <w14:schemeClr w14:val="tx1"/>
            </w14:solidFill>
          </w14:textFill>
        </w:rPr>
        <w:t>在发包人和承包人不能通过协商达成一致意见时，发包人授权监理人对以下事项进行确定：</w:t>
      </w:r>
    </w:p>
    <w:p w14:paraId="38663EB2">
      <w:pPr>
        <w:pStyle w:val="245"/>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u w:val="single"/>
          <w14:textFill>
            <w14:solidFill>
              <w14:schemeClr w14:val="tx1"/>
            </w14:solidFill>
          </w14:textFill>
        </w:rPr>
        <w:t xml:space="preserve">         /            </w:t>
      </w:r>
      <w:r>
        <w:rPr>
          <w:rFonts w:hint="eastAsia" w:ascii="宋体" w:hAnsi="宋体" w:eastAsia="宋体" w:cs="宋体"/>
          <w:color w:val="000000" w:themeColor="text1"/>
          <w:sz w:val="24"/>
          <w:szCs w:val="24"/>
          <w:highlight w:val="none"/>
          <w14:textFill>
            <w14:solidFill>
              <w14:schemeClr w14:val="tx1"/>
            </w14:solidFill>
          </w14:textFill>
        </w:rPr>
        <w:t>；</w:t>
      </w:r>
    </w:p>
    <w:p w14:paraId="1083D21D">
      <w:pPr>
        <w:pStyle w:val="245"/>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w:t>
      </w:r>
      <w:r>
        <w:rPr>
          <w:rFonts w:hint="eastAsia" w:ascii="宋体" w:hAnsi="宋体" w:eastAsia="宋体" w:cs="宋体"/>
          <w:color w:val="000000" w:themeColor="text1"/>
          <w:sz w:val="24"/>
          <w:szCs w:val="24"/>
          <w:highlight w:val="none"/>
          <w:u w:val="single"/>
          <w14:textFill>
            <w14:solidFill>
              <w14:schemeClr w14:val="tx1"/>
            </w14:solidFill>
          </w14:textFill>
        </w:rPr>
        <w:t xml:space="preserve">       /                            </w:t>
      </w:r>
      <w:r>
        <w:rPr>
          <w:rFonts w:hint="eastAsia" w:ascii="宋体" w:hAnsi="宋体" w:eastAsia="宋体" w:cs="宋体"/>
          <w:color w:val="000000" w:themeColor="text1"/>
          <w:sz w:val="24"/>
          <w:szCs w:val="24"/>
          <w:highlight w:val="none"/>
          <w14:textFill>
            <w14:solidFill>
              <w14:schemeClr w14:val="tx1"/>
            </w14:solidFill>
          </w14:textFill>
        </w:rPr>
        <w:t>；</w:t>
      </w:r>
    </w:p>
    <w:p w14:paraId="36AC4437">
      <w:pPr>
        <w:pStyle w:val="245"/>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w:t>
      </w:r>
      <w:r>
        <w:rPr>
          <w:rFonts w:hint="eastAsia" w:ascii="宋体" w:hAnsi="宋体" w:eastAsia="宋体" w:cs="宋体"/>
          <w:color w:val="000000" w:themeColor="text1"/>
          <w:sz w:val="24"/>
          <w:szCs w:val="24"/>
          <w:highlight w:val="none"/>
          <w:u w:val="single"/>
          <w14:textFill>
            <w14:solidFill>
              <w14:schemeClr w14:val="tx1"/>
            </w14:solidFill>
          </w14:textFill>
        </w:rPr>
        <w:t xml:space="preserve">         /                          </w:t>
      </w:r>
      <w:r>
        <w:rPr>
          <w:rFonts w:hint="eastAsia" w:ascii="宋体" w:hAnsi="宋体" w:eastAsia="宋体" w:cs="宋体"/>
          <w:color w:val="000000" w:themeColor="text1"/>
          <w:sz w:val="24"/>
          <w:szCs w:val="24"/>
          <w:highlight w:val="none"/>
          <w14:textFill>
            <w14:solidFill>
              <w14:schemeClr w14:val="tx1"/>
            </w14:solidFill>
          </w14:textFill>
        </w:rPr>
        <w:t>。</w:t>
      </w:r>
    </w:p>
    <w:p w14:paraId="016043DC">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311" w:name="_Toc407135219"/>
      <w:bookmarkEnd w:id="311"/>
      <w:bookmarkStart w:id="312" w:name="_Toc351203637"/>
      <w:bookmarkEnd w:id="312"/>
      <w:bookmarkStart w:id="313" w:name="_Toc373478364"/>
      <w:bookmarkEnd w:id="313"/>
      <w:bookmarkStart w:id="314" w:name="_Toc373227717"/>
      <w:bookmarkEnd w:id="314"/>
      <w:bookmarkStart w:id="315" w:name="_Toc389065283"/>
      <w:bookmarkEnd w:id="315"/>
      <w:bookmarkStart w:id="316" w:name="_Toc4428"/>
      <w:r>
        <w:rPr>
          <w:rFonts w:hint="eastAsia" w:ascii="宋体" w:hAnsi="宋体" w:eastAsia="宋体" w:cs="宋体"/>
          <w:color w:val="000000" w:themeColor="text1"/>
          <w:sz w:val="24"/>
          <w:szCs w:val="24"/>
          <w:highlight w:val="none"/>
          <w14:textFill>
            <w14:solidFill>
              <w14:schemeClr w14:val="tx1"/>
            </w14:solidFill>
          </w14:textFill>
        </w:rPr>
        <w:t>5</w:t>
      </w:r>
      <w:bookmarkEnd w:id="316"/>
      <w:bookmarkStart w:id="317" w:name="_Toc296890991"/>
      <w:bookmarkEnd w:id="317"/>
      <w:bookmarkStart w:id="318" w:name="_Toc296346664"/>
      <w:bookmarkEnd w:id="318"/>
      <w:bookmarkStart w:id="319" w:name="_Toc297048349"/>
      <w:bookmarkEnd w:id="319"/>
      <w:bookmarkStart w:id="320" w:name="_Toc296891203"/>
      <w:bookmarkEnd w:id="320"/>
      <w:bookmarkStart w:id="321" w:name="_Toc296944502"/>
      <w:bookmarkEnd w:id="321"/>
      <w:bookmarkStart w:id="322" w:name="_Toc296347162"/>
      <w:bookmarkEnd w:id="322"/>
      <w:bookmarkStart w:id="323" w:name="_Toc296503163"/>
      <w:bookmarkEnd w:id="323"/>
      <w:bookmarkStart w:id="324" w:name="_Toc292559367"/>
      <w:bookmarkEnd w:id="324"/>
      <w:bookmarkStart w:id="325" w:name="_Toc297120463"/>
      <w:bookmarkEnd w:id="325"/>
      <w:bookmarkStart w:id="326" w:name="_Toc292559872"/>
      <w:r>
        <w:rPr>
          <w:rFonts w:hint="eastAsia" w:ascii="宋体" w:hAnsi="宋体" w:eastAsia="宋体" w:cs="宋体"/>
          <w:color w:val="000000" w:themeColor="text1"/>
          <w:sz w:val="24"/>
          <w:szCs w:val="24"/>
          <w:highlight w:val="none"/>
          <w14:textFill>
            <w14:solidFill>
              <w14:schemeClr w14:val="tx1"/>
            </w14:solidFill>
          </w14:textFill>
        </w:rPr>
        <w:t xml:space="preserve">. </w:t>
      </w:r>
      <w:bookmarkEnd w:id="326"/>
      <w:r>
        <w:rPr>
          <w:rFonts w:hint="eastAsia" w:ascii="宋体" w:hAnsi="宋体" w:eastAsia="宋体" w:cs="宋体"/>
          <w:color w:val="000000" w:themeColor="text1"/>
          <w:sz w:val="24"/>
          <w:szCs w:val="24"/>
          <w:highlight w:val="none"/>
          <w14:textFill>
            <w14:solidFill>
              <w14:schemeClr w14:val="tx1"/>
            </w14:solidFill>
          </w14:textFill>
        </w:rPr>
        <w:t>工程质量</w:t>
      </w:r>
    </w:p>
    <w:p w14:paraId="02A5FEBE">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327" w:name="_Toc407135220"/>
      <w:bookmarkEnd w:id="327"/>
      <w:bookmarkStart w:id="328" w:name="_Toc373227718"/>
      <w:bookmarkEnd w:id="328"/>
      <w:bookmarkStart w:id="329" w:name="_Toc389065284"/>
      <w:bookmarkEnd w:id="329"/>
      <w:bookmarkStart w:id="330" w:name="_Toc373478365"/>
      <w:bookmarkEnd w:id="330"/>
      <w:bookmarkStart w:id="331" w:name="_Toc28634"/>
      <w:r>
        <w:rPr>
          <w:rFonts w:hint="eastAsia" w:ascii="宋体" w:hAnsi="宋体" w:eastAsia="宋体" w:cs="宋体"/>
          <w:color w:val="000000" w:themeColor="text1"/>
          <w:sz w:val="24"/>
          <w:szCs w:val="24"/>
          <w:highlight w:val="none"/>
          <w14:textFill>
            <w14:solidFill>
              <w14:schemeClr w14:val="tx1"/>
            </w14:solidFill>
          </w14:textFill>
        </w:rPr>
        <w:t xml:space="preserve">5.1 </w:t>
      </w:r>
      <w:bookmarkEnd w:id="331"/>
      <w:r>
        <w:rPr>
          <w:rFonts w:hint="eastAsia" w:ascii="宋体" w:hAnsi="宋体" w:eastAsia="宋体" w:cs="宋体"/>
          <w:color w:val="000000" w:themeColor="text1"/>
          <w:sz w:val="24"/>
          <w:szCs w:val="24"/>
          <w:highlight w:val="none"/>
          <w14:textFill>
            <w14:solidFill>
              <w14:schemeClr w14:val="tx1"/>
            </w14:solidFill>
          </w14:textFill>
        </w:rPr>
        <w:t>质量要求</w:t>
      </w:r>
    </w:p>
    <w:p w14:paraId="7EB867F5">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u w:val="single"/>
          <w14:textFill>
            <w14:solidFill>
              <w14:schemeClr w14:val="tx1"/>
            </w14:solidFill>
          </w14:textFill>
        </w:rPr>
      </w:pPr>
      <w:bookmarkStart w:id="332" w:name="_Toc351203638"/>
      <w:bookmarkEnd w:id="332"/>
      <w:bookmarkStart w:id="333" w:name="_Toc303539106"/>
      <w:bookmarkEnd w:id="333"/>
      <w:bookmarkStart w:id="334" w:name="_Toc300934949"/>
      <w:bookmarkEnd w:id="334"/>
      <w:bookmarkStart w:id="335" w:name="_Toc373227719"/>
      <w:bookmarkEnd w:id="335"/>
      <w:bookmarkStart w:id="336" w:name="_Toc297123496"/>
      <w:bookmarkEnd w:id="336"/>
      <w:bookmarkStart w:id="337" w:name="_Toc373478366"/>
      <w:bookmarkEnd w:id="337"/>
      <w:bookmarkStart w:id="338" w:name="_Toc389065285"/>
      <w:bookmarkEnd w:id="338"/>
      <w:bookmarkStart w:id="339" w:name="_Toc318581164"/>
      <w:bookmarkEnd w:id="339"/>
      <w:bookmarkStart w:id="340" w:name="_Toc297216155"/>
      <w:bookmarkEnd w:id="340"/>
      <w:bookmarkStart w:id="341" w:name="_Toc407135221"/>
      <w:bookmarkEnd w:id="341"/>
      <w:bookmarkStart w:id="342" w:name="_Toc304295527"/>
      <w:bookmarkEnd w:id="342"/>
      <w:bookmarkStart w:id="343" w:name="_Toc312677997"/>
      <w:r>
        <w:rPr>
          <w:rFonts w:hint="eastAsia" w:ascii="宋体" w:hAnsi="宋体" w:eastAsia="宋体" w:cs="宋体"/>
          <w:color w:val="000000" w:themeColor="text1"/>
          <w:sz w:val="24"/>
          <w:szCs w:val="24"/>
          <w:highlight w:val="none"/>
          <w14:textFill>
            <w14:solidFill>
              <w14:schemeClr w14:val="tx1"/>
            </w14:solidFill>
          </w14:textFill>
        </w:rPr>
        <w:t xml:space="preserve">5.1.1 </w:t>
      </w:r>
      <w:bookmarkEnd w:id="343"/>
      <w:r>
        <w:rPr>
          <w:rFonts w:hint="eastAsia" w:ascii="宋体" w:hAnsi="宋体" w:eastAsia="宋体" w:cs="宋体"/>
          <w:color w:val="000000" w:themeColor="text1"/>
          <w:sz w:val="24"/>
          <w:szCs w:val="24"/>
          <w:highlight w:val="none"/>
          <w14:textFill>
            <w14:solidFill>
              <w14:schemeClr w14:val="tx1"/>
            </w14:solidFill>
          </w14:textFill>
        </w:rPr>
        <w:t>特殊质量标准和要求：</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按照施工图纸要求</w:t>
      </w:r>
      <w:r>
        <w:rPr>
          <w:rFonts w:hint="eastAsia" w:ascii="宋体" w:hAnsi="宋体" w:eastAsia="宋体" w:cs="宋体"/>
          <w:b/>
          <w:bCs/>
          <w:color w:val="000000" w:themeColor="text1"/>
          <w:sz w:val="24"/>
          <w:szCs w:val="24"/>
          <w:highlight w:val="none"/>
          <w14:textFill>
            <w14:solidFill>
              <w14:schemeClr w14:val="tx1"/>
            </w14:solidFill>
          </w14:textFill>
        </w:rPr>
        <w:t>。</w:t>
      </w:r>
    </w:p>
    <w:p w14:paraId="2F63F42E">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关于工程奖项的约定：如果工程获得</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无</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，给予承包人合同价</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  </w:t>
      </w:r>
      <w:r>
        <w:rPr>
          <w:rFonts w:hint="eastAsia" w:ascii="宋体" w:hAnsi="宋体" w:eastAsia="宋体" w:cs="宋体"/>
          <w:color w:val="000000" w:themeColor="text1"/>
          <w:sz w:val="24"/>
          <w:szCs w:val="24"/>
          <w:highlight w:val="none"/>
          <w14:textFill>
            <w14:solidFill>
              <w14:schemeClr w14:val="tx1"/>
            </w14:solidFill>
          </w14:textFill>
        </w:rPr>
        <w:t>%的奖励。</w:t>
      </w:r>
    </w:p>
    <w:p w14:paraId="1CD5A28F">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5.3 隐蔽工程检查</w:t>
      </w:r>
    </w:p>
    <w:p w14:paraId="5DD2973F">
      <w:pPr>
        <w:pStyle w:val="247"/>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5.3.2承包人提前通知监理人隐蔽工程检查的期限的约定：</w:t>
      </w:r>
      <w:r>
        <w:rPr>
          <w:rFonts w:hint="eastAsia" w:ascii="宋体" w:hAnsi="宋体" w:eastAsia="宋体" w:cs="宋体"/>
          <w:b/>
          <w:bCs/>
          <w:color w:val="000000" w:themeColor="text1"/>
          <w:sz w:val="24"/>
          <w:szCs w:val="24"/>
          <w:highlight w:val="none"/>
          <w:u w:val="single"/>
          <w14:textFill>
            <w14:solidFill>
              <w14:schemeClr w14:val="tx1"/>
            </w14:solidFill>
          </w14:textFill>
        </w:rPr>
        <w:t>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3B73F6EB">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监理人不能按时进行检查时，应提前</w:t>
      </w:r>
      <w:r>
        <w:rPr>
          <w:rFonts w:hint="eastAsia" w:ascii="宋体" w:hAnsi="宋体" w:eastAsia="宋体" w:cs="宋体"/>
          <w:b/>
          <w:bCs/>
          <w:color w:val="000000" w:themeColor="text1"/>
          <w:sz w:val="24"/>
          <w:szCs w:val="24"/>
          <w:highlight w:val="none"/>
          <w:u w:val="single"/>
          <w14:textFill>
            <w14:solidFill>
              <w14:schemeClr w14:val="tx1"/>
            </w14:solidFill>
          </w14:textFill>
        </w:rPr>
        <w:t>12小时</w:t>
      </w:r>
      <w:r>
        <w:rPr>
          <w:rFonts w:hint="eastAsia" w:ascii="宋体" w:hAnsi="宋体" w:eastAsia="宋体" w:cs="宋体"/>
          <w:color w:val="000000" w:themeColor="text1"/>
          <w:sz w:val="24"/>
          <w:szCs w:val="24"/>
          <w:highlight w:val="none"/>
          <w14:textFill>
            <w14:solidFill>
              <w14:schemeClr w14:val="tx1"/>
            </w14:solidFill>
          </w14:textFill>
        </w:rPr>
        <w:t>提交书面延期要求。</w:t>
      </w:r>
    </w:p>
    <w:p w14:paraId="60BFE3C7">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关于延期最长不得超过：</w:t>
      </w:r>
      <w:r>
        <w:rPr>
          <w:rFonts w:hint="eastAsia" w:ascii="宋体" w:hAnsi="宋体" w:eastAsia="宋体" w:cs="宋体"/>
          <w:b/>
          <w:bCs/>
          <w:color w:val="000000" w:themeColor="text1"/>
          <w:sz w:val="24"/>
          <w:szCs w:val="24"/>
          <w:highlight w:val="none"/>
          <w:u w:val="single"/>
          <w14:textFill>
            <w14:solidFill>
              <w14:schemeClr w14:val="tx1"/>
            </w14:solidFill>
          </w14:textFill>
        </w:rPr>
        <w:t>24小时。</w:t>
      </w:r>
    </w:p>
    <w:p w14:paraId="61A09BF2">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344" w:name="_Toc32195"/>
      <w:bookmarkEnd w:id="344"/>
      <w:r>
        <w:rPr>
          <w:rFonts w:hint="eastAsia" w:ascii="宋体" w:hAnsi="宋体" w:eastAsia="宋体" w:cs="宋体"/>
          <w:color w:val="000000" w:themeColor="text1"/>
          <w:sz w:val="24"/>
          <w:szCs w:val="24"/>
          <w:highlight w:val="none"/>
          <w14:textFill>
            <w14:solidFill>
              <w14:schemeClr w14:val="tx1"/>
            </w14:solidFill>
          </w14:textFill>
        </w:rPr>
        <w:t>6. 安全文明施工与环境保护</w:t>
      </w:r>
    </w:p>
    <w:p w14:paraId="254BFF6A">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345" w:name="_Toc389065286"/>
      <w:bookmarkEnd w:id="345"/>
      <w:bookmarkStart w:id="346" w:name="_Toc373227720"/>
      <w:bookmarkEnd w:id="346"/>
      <w:bookmarkStart w:id="347" w:name="_Toc407135222"/>
      <w:bookmarkEnd w:id="347"/>
      <w:bookmarkStart w:id="348" w:name="_Toc373478367"/>
      <w:bookmarkEnd w:id="348"/>
      <w:bookmarkStart w:id="349" w:name="_Toc23420"/>
      <w:r>
        <w:rPr>
          <w:rFonts w:hint="eastAsia" w:ascii="宋体" w:hAnsi="宋体" w:eastAsia="宋体" w:cs="宋体"/>
          <w:color w:val="000000" w:themeColor="text1"/>
          <w:sz w:val="24"/>
          <w:szCs w:val="24"/>
          <w:highlight w:val="none"/>
          <w14:textFill>
            <w14:solidFill>
              <w14:schemeClr w14:val="tx1"/>
            </w14:solidFill>
          </w14:textFill>
        </w:rPr>
        <w:t xml:space="preserve">6.1 </w:t>
      </w:r>
      <w:bookmarkEnd w:id="349"/>
      <w:r>
        <w:rPr>
          <w:rFonts w:hint="eastAsia" w:ascii="宋体" w:hAnsi="宋体" w:eastAsia="宋体" w:cs="宋体"/>
          <w:color w:val="000000" w:themeColor="text1"/>
          <w:sz w:val="24"/>
          <w:szCs w:val="24"/>
          <w:highlight w:val="none"/>
          <w14:textFill>
            <w14:solidFill>
              <w14:schemeClr w14:val="tx1"/>
            </w14:solidFill>
          </w14:textFill>
        </w:rPr>
        <w:t>安全文明施工</w:t>
      </w:r>
    </w:p>
    <w:p w14:paraId="5AE5D7FA">
      <w:pPr>
        <w:pStyle w:val="246"/>
        <w:pageBreakBefore w:val="0"/>
        <w:wordWrap/>
        <w:overflowPunct/>
        <w:topLinePunct w:val="0"/>
        <w:bidi w:val="0"/>
        <w:spacing w:line="460" w:lineRule="exact"/>
        <w:ind w:firstLine="42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6.1.1 项目安全生产的达标目标及相应事项的约定：</w:t>
      </w:r>
      <w:r>
        <w:rPr>
          <w:rFonts w:hint="eastAsia" w:ascii="宋体" w:hAnsi="宋体" w:eastAsia="宋体" w:cs="宋体"/>
          <w:b/>
          <w:bCs/>
          <w:color w:val="000000" w:themeColor="text1"/>
          <w:sz w:val="24"/>
          <w:szCs w:val="24"/>
          <w:highlight w:val="none"/>
          <w:u w:val="single"/>
          <w14:textFill>
            <w14:solidFill>
              <w14:schemeClr w14:val="tx1"/>
            </w14:solidFill>
          </w14:textFill>
        </w:rPr>
        <w:t>承包人应遵守安全生产法律、法规的规定及国家和工程所在地工程建设安全生产有关管理规定，严格按现行安全标准组织施工，并随时接受行业安全检查人员依法实施的监督检查，采取必要的安全防护措施，消除事故隐患。其安全施工防护费用已经含在合同价款内。本工程在整个施工期间杜绝一切人身伤亡和重大质量安全事故，如发生上述事故，则发包人视为承包人违约。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如经政府相关部门调查发现因承包人过失造成事故的发生，发包人有权解除合同，由此造成的一切经济损失和法律责任由承包人承担</w:t>
      </w:r>
      <w:r>
        <w:rPr>
          <w:rFonts w:hint="eastAsia" w:ascii="宋体" w:hAnsi="宋体" w:eastAsia="宋体" w:cs="宋体"/>
          <w:color w:val="000000" w:themeColor="text1"/>
          <w:sz w:val="24"/>
          <w:szCs w:val="24"/>
          <w:highlight w:val="none"/>
          <w14:textFill>
            <w14:solidFill>
              <w14:schemeClr w14:val="tx1"/>
            </w14:solidFill>
          </w14:textFill>
        </w:rPr>
        <w:t>。</w:t>
      </w:r>
    </w:p>
    <w:p w14:paraId="119108B4">
      <w:pPr>
        <w:pStyle w:val="246"/>
        <w:pageBreakBefore w:val="0"/>
        <w:wordWrap/>
        <w:overflowPunct/>
        <w:topLinePunct w:val="0"/>
        <w:bidi w:val="0"/>
        <w:spacing w:line="460" w:lineRule="exact"/>
        <w:ind w:firstLine="42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关于安全文明施工奖项的约定：</w:t>
      </w:r>
      <w:r>
        <w:rPr>
          <w:rFonts w:hint="eastAsia" w:ascii="宋体" w:hAnsi="宋体" w:eastAsia="宋体" w:cs="宋体"/>
          <w:b/>
          <w:bCs/>
          <w:color w:val="000000" w:themeColor="text1"/>
          <w:sz w:val="24"/>
          <w:szCs w:val="24"/>
          <w:highlight w:val="none"/>
          <w:u w:val="single"/>
          <w14:textFill>
            <w14:solidFill>
              <w14:schemeClr w14:val="tx1"/>
            </w14:solidFill>
          </w14:textFill>
        </w:rPr>
        <w:t>承包人应在工程开工后7天内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r>
        <w:rPr>
          <w:rFonts w:hint="eastAsia" w:ascii="宋体" w:hAnsi="宋体" w:eastAsia="宋体" w:cs="宋体"/>
          <w:color w:val="000000" w:themeColor="text1"/>
          <w:sz w:val="24"/>
          <w:szCs w:val="24"/>
          <w:highlight w:val="none"/>
          <w14:textFill>
            <w14:solidFill>
              <w14:schemeClr w14:val="tx1"/>
            </w14:solidFill>
          </w14:textFill>
        </w:rPr>
        <w:t>。</w:t>
      </w:r>
    </w:p>
    <w:p w14:paraId="7B86BA83">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6.1.4 关于治安保卫的特别约定：</w:t>
      </w:r>
      <w:r>
        <w:rPr>
          <w:rFonts w:hint="eastAsia" w:ascii="宋体" w:hAnsi="宋体" w:eastAsia="宋体" w:cs="宋体"/>
          <w:b/>
          <w:bCs/>
          <w:color w:val="000000" w:themeColor="text1"/>
          <w:sz w:val="24"/>
          <w:szCs w:val="24"/>
          <w:highlight w:val="none"/>
          <w:u w:val="single"/>
          <w14:textFill>
            <w14:solidFill>
              <w14:schemeClr w14:val="tx1"/>
            </w14:solidFill>
          </w14:textFill>
        </w:rPr>
        <w:t>承包人应承担施工安全保卫工作及非夜间施工照明的责任，承包人应采取一切合理的预防措施，防止人员伤亡、财产损失事故，费用由承包人承担。承包人生活设施及施工场应自费配备消防设备，防止火灾发生</w:t>
      </w:r>
      <w:r>
        <w:rPr>
          <w:rFonts w:hint="eastAsia" w:ascii="宋体" w:hAnsi="宋体" w:eastAsia="宋体" w:cs="宋体"/>
          <w:color w:val="000000" w:themeColor="text1"/>
          <w:sz w:val="24"/>
          <w:szCs w:val="24"/>
          <w:highlight w:val="none"/>
          <w:u w:val="single"/>
          <w14:textFill>
            <w14:solidFill>
              <w14:schemeClr w14:val="tx1"/>
            </w14:solidFill>
          </w14:textFill>
        </w:rPr>
        <w:t>。</w:t>
      </w:r>
    </w:p>
    <w:p w14:paraId="1B1F392B">
      <w:pPr>
        <w:pStyle w:val="246"/>
        <w:pageBreakBefore w:val="0"/>
        <w:wordWrap/>
        <w:overflowPunct/>
        <w:topLinePunct w:val="0"/>
        <w:bidi w:val="0"/>
        <w:spacing w:line="460" w:lineRule="exact"/>
        <w:ind w:firstLine="42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关于编制施工场地治安管理计划的约定：</w:t>
      </w:r>
      <w:r>
        <w:rPr>
          <w:rFonts w:hint="eastAsia" w:ascii="宋体" w:hAnsi="宋体" w:eastAsia="宋体" w:cs="宋体"/>
          <w:b/>
          <w:bCs/>
          <w:color w:val="000000" w:themeColor="text1"/>
          <w:sz w:val="24"/>
          <w:szCs w:val="24"/>
          <w:highlight w:val="none"/>
          <w:u w:val="single"/>
          <w14:textFill>
            <w14:solidFill>
              <w14:schemeClr w14:val="tx1"/>
            </w14:solidFill>
          </w14:textFill>
        </w:rPr>
        <w:t>承包人应在工程开工后7天内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r>
        <w:rPr>
          <w:rFonts w:hint="eastAsia" w:ascii="宋体" w:hAnsi="宋体" w:eastAsia="宋体" w:cs="宋体"/>
          <w:color w:val="000000" w:themeColor="text1"/>
          <w:sz w:val="24"/>
          <w:szCs w:val="24"/>
          <w:highlight w:val="none"/>
          <w14:textFill>
            <w14:solidFill>
              <w14:schemeClr w14:val="tx1"/>
            </w14:solidFill>
          </w14:textFill>
        </w:rPr>
        <w:t>。</w:t>
      </w:r>
    </w:p>
    <w:p w14:paraId="72983C14">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6.1.5 文明施工</w:t>
      </w:r>
    </w:p>
    <w:p w14:paraId="3627A0C9">
      <w:pPr>
        <w:pStyle w:val="247"/>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合同当事人对文明施工的要求：</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符合法律规定和工程所在地建设行政主管部门的要求  </w:t>
      </w:r>
      <w:r>
        <w:rPr>
          <w:rFonts w:hint="eastAsia" w:ascii="宋体" w:hAnsi="宋体" w:eastAsia="宋体" w:cs="宋体"/>
          <w:b/>
          <w:bCs/>
          <w:color w:val="000000" w:themeColor="text1"/>
          <w:sz w:val="24"/>
          <w:szCs w:val="24"/>
          <w:highlight w:val="none"/>
          <w14:textFill>
            <w14:solidFill>
              <w14:schemeClr w14:val="tx1"/>
            </w14:solidFill>
          </w14:textFill>
        </w:rPr>
        <w:t>。</w:t>
      </w:r>
    </w:p>
    <w:p w14:paraId="4742C56C">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6.1.6</w:t>
      </w:r>
      <w:r>
        <w:rPr>
          <w:rFonts w:hint="eastAsia" w:ascii="宋体" w:hAnsi="宋体" w:eastAsia="宋体" w:cs="宋体"/>
          <w:color w:val="000000" w:themeColor="text1"/>
          <w:kern w:val="0"/>
          <w:sz w:val="24"/>
          <w:szCs w:val="24"/>
          <w:highlight w:val="none"/>
          <w14:textFill>
            <w14:solidFill>
              <w14:schemeClr w14:val="tx1"/>
            </w14:solidFill>
          </w14:textFill>
        </w:rPr>
        <w:t>关于安全生产费总额、支付比例、支付期限、转入和结余收回的约定：</w:t>
      </w:r>
    </w:p>
    <w:p w14:paraId="0DD9B705">
      <w:pPr>
        <w:keepNext w:val="0"/>
        <w:keepLines w:val="0"/>
        <w:pageBreakBefore w:val="0"/>
        <w:widowControl/>
        <w:suppressLineNumbers w:val="0"/>
        <w:wordWrap/>
        <w:overflowPunct/>
        <w:topLinePunct w:val="0"/>
        <w:bidi w:val="0"/>
        <w:spacing w:line="460" w:lineRule="exact"/>
        <w:ind w:firstLine="480" w:firstLineChars="200"/>
        <w:jc w:val="left"/>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（1）本合同价款已包含安全文明施工费：</w:t>
      </w:r>
      <w:r>
        <w:rPr>
          <w:rFonts w:hint="eastAsia" w:ascii="宋体fal" w:hAnsi="宋体fal" w:cs="宋体fal"/>
          <w:color w:val="000000" w:themeColor="text1"/>
          <w:sz w:val="24"/>
          <w:szCs w:val="24"/>
          <w:u w:val="single"/>
          <w14:textFill>
            <w14:solidFill>
              <w14:schemeClr w14:val="tx1"/>
            </w14:solidFill>
          </w14:textFill>
        </w:rPr>
        <w:t xml:space="preserve"> </w:t>
      </w:r>
      <w:r>
        <w:rPr>
          <w:rFonts w:hint="eastAsia" w:ascii="宋体fal" w:hAnsi="宋体fal" w:cs="宋体fal"/>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元。</w:t>
      </w:r>
    </w:p>
    <w:p w14:paraId="448B99CE">
      <w:pPr>
        <w:pStyle w:val="247"/>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（2）使用要求：专款专用。具体按</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《广西壮族自治区建设工程安全文明施工费使用管理细则》（桂建质〔2015〕16号）</w:t>
      </w:r>
      <w:r>
        <w:rPr>
          <w:rFonts w:hint="eastAsia" w:ascii="宋体" w:hAnsi="宋体" w:eastAsia="宋体" w:cs="宋体"/>
          <w:color w:val="000000" w:themeColor="text1"/>
          <w:kern w:val="0"/>
          <w:sz w:val="24"/>
          <w:szCs w:val="24"/>
          <w:highlight w:val="none"/>
          <w14:textFill>
            <w14:solidFill>
              <w14:schemeClr w14:val="tx1"/>
            </w14:solidFill>
          </w14:textFill>
        </w:rPr>
        <w:t>和</w:t>
      </w:r>
      <w:r>
        <w:rPr>
          <w:rFonts w:hint="eastAsia" w:ascii="宋体" w:hAnsi="宋体" w:eastAsia="宋体" w:cs="宋体"/>
          <w:b/>
          <w:bCs/>
          <w:color w:val="000000" w:themeColor="text1"/>
          <w:kern w:val="0"/>
          <w:sz w:val="24"/>
          <w:szCs w:val="24"/>
          <w:highlight w:val="none"/>
          <w:u w:val="single"/>
          <w:lang w:eastAsia="zh-CN"/>
          <w14:textFill>
            <w14:solidFill>
              <w14:schemeClr w14:val="tx1"/>
            </w14:solidFill>
          </w14:textFill>
        </w:rPr>
        <w:t>贵港</w:t>
      </w:r>
      <w:r>
        <w:rPr>
          <w:rFonts w:hint="eastAsia" w:ascii="宋体" w:hAnsi="宋体" w:eastAsia="宋体" w:cs="宋体"/>
          <w:color w:val="000000" w:themeColor="text1"/>
          <w:kern w:val="0"/>
          <w:sz w:val="24"/>
          <w:szCs w:val="24"/>
          <w:highlight w:val="none"/>
          <w14:textFill>
            <w14:solidFill>
              <w14:schemeClr w14:val="tx1"/>
            </w14:solidFill>
          </w14:textFill>
        </w:rPr>
        <w:t>市相关规定执行。</w:t>
      </w:r>
    </w:p>
    <w:p w14:paraId="4620BD56">
      <w:pPr>
        <w:pStyle w:val="247"/>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kern w:val="0"/>
          <w:sz w:val="24"/>
          <w:szCs w:val="24"/>
          <w:highlight w:val="cyan"/>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（3）支付约定：在本合同签订后</w:t>
      </w:r>
      <w:r>
        <w:rPr>
          <w:rFonts w:hint="eastAsia" w:ascii="宋体" w:hAnsi="宋体" w:eastAsia="宋体" w:cs="宋体"/>
          <w:b/>
          <w:bCs/>
          <w:color w:val="000000" w:themeColor="text1"/>
          <w:kern w:val="0"/>
          <w:sz w:val="24"/>
          <w:szCs w:val="24"/>
          <w:highlight w:val="none"/>
          <w14:textFill>
            <w14:solidFill>
              <w14:schemeClr w14:val="tx1"/>
            </w14:solidFill>
          </w14:textFill>
        </w:rPr>
        <w:t>28</w:t>
      </w:r>
      <w:r>
        <w:rPr>
          <w:rFonts w:hint="eastAsia" w:ascii="宋体" w:hAnsi="宋体" w:eastAsia="宋体" w:cs="宋体"/>
          <w:color w:val="000000" w:themeColor="text1"/>
          <w:kern w:val="0"/>
          <w:sz w:val="24"/>
          <w:szCs w:val="24"/>
          <w:highlight w:val="none"/>
          <w14:textFill>
            <w14:solidFill>
              <w14:schemeClr w14:val="tx1"/>
            </w14:solidFill>
          </w14:textFill>
        </w:rPr>
        <w:t>个工作日内，预付安全文明施工费总额的</w:t>
      </w: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kern w:val="0"/>
          <w:sz w:val="24"/>
          <w:szCs w:val="24"/>
          <w:highlight w:val="none"/>
          <w14:textFill>
            <w14:solidFill>
              <w14:schemeClr w14:val="tx1"/>
            </w14:solidFill>
          </w14:textFill>
        </w:rPr>
        <w:t>0%</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其余按进度款同期支付</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p>
    <w:p w14:paraId="40F38A87">
      <w:pPr>
        <w:pStyle w:val="247"/>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（4）建设单位按规定将安全生产费用转入施工单位设立的安全生产费用专户。</w:t>
      </w:r>
    </w:p>
    <w:p w14:paraId="669855AC">
      <w:pPr>
        <w:pStyle w:val="247"/>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（5）工程施工完成后安全生产费用尚有结余的，结余部分由建设单位收回。</w:t>
      </w:r>
    </w:p>
    <w:p w14:paraId="319F7B47">
      <w:pPr>
        <w:pStyle w:val="247"/>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（6）施工单位将安全生产费用使用情况定期报告建设单位和监理单位，并提供相应的材料接受建设行政主管部门对此事项监管。</w:t>
      </w:r>
    </w:p>
    <w:p w14:paraId="50A992F2">
      <w:pPr>
        <w:pStyle w:val="247"/>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（7）安全生产费用专户：</w:t>
      </w:r>
      <w:r>
        <w:rPr>
          <w:rFonts w:hint="eastAsia" w:ascii="宋体fal" w:hAnsi="宋体fal" w:cs="宋体fal"/>
          <w:color w:val="000000" w:themeColor="text1"/>
          <w:sz w:val="24"/>
          <w:szCs w:val="24"/>
          <w:u w:val="single"/>
          <w14:textFill>
            <w14:solidFill>
              <w14:schemeClr w14:val="tx1"/>
            </w14:solidFill>
          </w14:textFill>
        </w:rPr>
        <w:t xml:space="preserve"> </w:t>
      </w:r>
      <w:r>
        <w:rPr>
          <w:rFonts w:hint="eastAsia" w:ascii="宋体fal" w:hAnsi="宋体fal" w:cs="宋体fal"/>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3238C1BF">
      <w:pPr>
        <w:pStyle w:val="247"/>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开户银行：</w:t>
      </w:r>
      <w:r>
        <w:rPr>
          <w:rFonts w:hint="eastAsia" w:ascii="宋体fal" w:hAnsi="宋体fal" w:cs="宋体fal"/>
          <w:color w:val="000000" w:themeColor="text1"/>
          <w:sz w:val="24"/>
          <w:szCs w:val="24"/>
          <w:u w:val="single"/>
          <w14:textFill>
            <w14:solidFill>
              <w14:schemeClr w14:val="tx1"/>
            </w14:solidFill>
          </w14:textFill>
        </w:rPr>
        <w:t xml:space="preserve"> </w:t>
      </w:r>
      <w:r>
        <w:rPr>
          <w:rFonts w:hint="eastAsia" w:ascii="宋体fal" w:hAnsi="宋体fal" w:cs="宋体fal"/>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w:t>
      </w:r>
    </w:p>
    <w:p w14:paraId="6E4532DC">
      <w:pPr>
        <w:pStyle w:val="247"/>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xml:space="preserve">账号： </w:t>
      </w:r>
      <w:r>
        <w:rPr>
          <w:rFonts w:hint="eastAsia" w:ascii="宋体fal" w:hAnsi="宋体fal" w:cs="宋体fal"/>
          <w:color w:val="000000" w:themeColor="text1"/>
          <w:sz w:val="24"/>
          <w:szCs w:val="24"/>
          <w:u w:val="single"/>
          <w14:textFill>
            <w14:solidFill>
              <w14:schemeClr w14:val="tx1"/>
            </w14:solidFill>
          </w14:textFill>
        </w:rPr>
        <w:t xml:space="preserve"> </w:t>
      </w:r>
      <w:r>
        <w:rPr>
          <w:rFonts w:hint="eastAsia" w:ascii="宋体fal" w:hAnsi="宋体fal" w:cs="宋体fal"/>
          <w:b/>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6A50F8AE">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350" w:name="_Toc407135223"/>
      <w:bookmarkEnd w:id="350"/>
      <w:bookmarkStart w:id="351" w:name="_Toc389065287"/>
      <w:bookmarkEnd w:id="351"/>
      <w:bookmarkStart w:id="352" w:name="_Toc373227721"/>
      <w:bookmarkEnd w:id="352"/>
      <w:bookmarkStart w:id="353" w:name="_Toc24416"/>
      <w:bookmarkEnd w:id="353"/>
      <w:bookmarkStart w:id="354" w:name="_Toc373478368"/>
      <w:r>
        <w:rPr>
          <w:rFonts w:hint="eastAsia" w:ascii="宋体" w:hAnsi="宋体" w:eastAsia="宋体" w:cs="宋体"/>
          <w:color w:val="000000" w:themeColor="text1"/>
          <w:sz w:val="24"/>
          <w:szCs w:val="24"/>
          <w:highlight w:val="none"/>
          <w14:textFill>
            <w14:solidFill>
              <w14:schemeClr w14:val="tx1"/>
            </w14:solidFill>
          </w14:textFill>
        </w:rPr>
        <w:t xml:space="preserve">6.3 </w:t>
      </w:r>
      <w:bookmarkEnd w:id="354"/>
      <w:r>
        <w:rPr>
          <w:rFonts w:hint="eastAsia" w:ascii="宋体" w:hAnsi="宋体" w:eastAsia="宋体" w:cs="宋体"/>
          <w:color w:val="000000" w:themeColor="text1"/>
          <w:sz w:val="24"/>
          <w:szCs w:val="24"/>
          <w:highlight w:val="none"/>
          <w14:textFill>
            <w14:solidFill>
              <w14:schemeClr w14:val="tx1"/>
            </w14:solidFill>
          </w14:textFill>
        </w:rPr>
        <w:t>环境保护</w:t>
      </w:r>
    </w:p>
    <w:p w14:paraId="0D92F623">
      <w:pPr>
        <w:pStyle w:val="245"/>
        <w:pageBreakBefore w:val="0"/>
        <w:wordWrap/>
        <w:overflowPunct/>
        <w:topLinePunct w:val="0"/>
        <w:bidi w:val="0"/>
        <w:spacing w:line="460" w:lineRule="exact"/>
        <w:ind w:firstLine="482" w:firstLineChars="200"/>
        <w:jc w:val="left"/>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b/>
          <w:bCs/>
          <w:color w:val="000000" w:themeColor="text1"/>
          <w:sz w:val="24"/>
          <w:szCs w:val="24"/>
          <w:highlight w:val="none"/>
          <w:u w:val="single"/>
          <w14:textFill>
            <w14:solidFill>
              <w14:schemeClr w14:val="tx1"/>
            </w14:solidFill>
          </w14:textFill>
        </w:rPr>
        <w:t>因施工需要，经发包人批准，由承包人办理有关施工场地交通、环卫和施工噪音管理等手续，费用由承包人负责。</w:t>
      </w:r>
    </w:p>
    <w:p w14:paraId="54FD4133">
      <w:pPr>
        <w:pStyle w:val="245"/>
        <w:pageBreakBefore w:val="0"/>
        <w:wordWrap/>
        <w:overflowPunct/>
        <w:topLinePunct w:val="0"/>
        <w:bidi w:val="0"/>
        <w:spacing w:line="460" w:lineRule="exact"/>
        <w:ind w:firstLine="482" w:firstLineChars="200"/>
        <w:jc w:val="left"/>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b/>
          <w:bCs/>
          <w:color w:val="000000" w:themeColor="text1"/>
          <w:sz w:val="24"/>
          <w:szCs w:val="24"/>
          <w:highlight w:val="none"/>
          <w:u w:val="single"/>
          <w14:textFill>
            <w14:solidFill>
              <w14:schemeClr w14:val="tx1"/>
            </w14:solidFill>
          </w14:textFill>
        </w:rPr>
        <w:t>经过城市道路的施工车辆，必须按交警、城管、运输等部门相关规定执行。由于施工车辆造成的道路、环境等污染，其责任和费用均由承包人承担。</w:t>
      </w:r>
    </w:p>
    <w:p w14:paraId="059DE2A2">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355" w:name="_Toc407135224"/>
      <w:bookmarkEnd w:id="355"/>
      <w:bookmarkStart w:id="356" w:name="_Toc351203639"/>
      <w:bookmarkEnd w:id="356"/>
      <w:bookmarkStart w:id="357" w:name="_Toc8764"/>
      <w:bookmarkEnd w:id="357"/>
      <w:bookmarkStart w:id="358" w:name="_Toc373227722"/>
      <w:bookmarkEnd w:id="358"/>
      <w:bookmarkStart w:id="359" w:name="_Toc373478369"/>
      <w:bookmarkEnd w:id="359"/>
      <w:bookmarkStart w:id="360" w:name="_Toc389065288"/>
      <w:bookmarkEnd w:id="360"/>
      <w:r>
        <w:rPr>
          <w:rFonts w:hint="eastAsia" w:ascii="宋体" w:hAnsi="宋体" w:eastAsia="宋体" w:cs="宋体"/>
          <w:color w:val="000000" w:themeColor="text1"/>
          <w:sz w:val="24"/>
          <w:szCs w:val="24"/>
          <w:highlight w:val="none"/>
          <w14:textFill>
            <w14:solidFill>
              <w14:schemeClr w14:val="tx1"/>
            </w14:solidFill>
          </w14:textFill>
        </w:rPr>
        <w:t>7. 工期和进度</w:t>
      </w:r>
    </w:p>
    <w:p w14:paraId="53859009">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361" w:name="_Toc15619"/>
      <w:bookmarkEnd w:id="361"/>
      <w:bookmarkStart w:id="362" w:name="_Toc373478370"/>
      <w:bookmarkEnd w:id="362"/>
      <w:bookmarkStart w:id="363" w:name="_Toc373227723"/>
      <w:bookmarkEnd w:id="363"/>
      <w:bookmarkStart w:id="364" w:name="_Toc407135225"/>
      <w:bookmarkEnd w:id="364"/>
      <w:bookmarkStart w:id="365" w:name="_Toc389065289"/>
      <w:r>
        <w:rPr>
          <w:rFonts w:hint="eastAsia" w:ascii="宋体" w:hAnsi="宋体" w:eastAsia="宋体" w:cs="宋体"/>
          <w:color w:val="000000" w:themeColor="text1"/>
          <w:sz w:val="24"/>
          <w:szCs w:val="24"/>
          <w:highlight w:val="none"/>
          <w14:textFill>
            <w14:solidFill>
              <w14:schemeClr w14:val="tx1"/>
            </w14:solidFill>
          </w14:textFill>
        </w:rPr>
        <w:t xml:space="preserve">7.1 </w:t>
      </w:r>
      <w:bookmarkEnd w:id="365"/>
      <w:r>
        <w:rPr>
          <w:rFonts w:hint="eastAsia" w:ascii="宋体" w:hAnsi="宋体" w:eastAsia="宋体" w:cs="宋体"/>
          <w:color w:val="000000" w:themeColor="text1"/>
          <w:sz w:val="24"/>
          <w:szCs w:val="24"/>
          <w:highlight w:val="none"/>
          <w14:textFill>
            <w14:solidFill>
              <w14:schemeClr w14:val="tx1"/>
            </w14:solidFill>
          </w14:textFill>
        </w:rPr>
        <w:t>施工组织设计</w:t>
      </w:r>
    </w:p>
    <w:p w14:paraId="3330BC94">
      <w:pPr>
        <w:pStyle w:val="245"/>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7.1.1 合</w:t>
      </w:r>
      <w:r>
        <w:rPr>
          <w:rFonts w:hint="eastAsia" w:ascii="宋体" w:hAnsi="宋体" w:eastAsia="宋体" w:cs="宋体"/>
          <w:color w:val="000000" w:themeColor="text1"/>
          <w:kern w:val="0"/>
          <w:sz w:val="24"/>
          <w:szCs w:val="24"/>
          <w:highlight w:val="none"/>
          <w14:textFill>
            <w14:solidFill>
              <w14:schemeClr w14:val="tx1"/>
            </w14:solidFill>
          </w14:textFill>
        </w:rPr>
        <w:t>同当事人约定的施工组织设计应包括的其他内容：</w:t>
      </w:r>
      <w:r>
        <w:rPr>
          <w:rFonts w:hint="eastAsia" w:ascii="宋体" w:hAnsi="宋体" w:eastAsia="宋体" w:cs="宋体"/>
          <w:b/>
          <w:bCs/>
          <w:color w:val="000000" w:themeColor="text1"/>
          <w:sz w:val="24"/>
          <w:szCs w:val="24"/>
          <w:highlight w:val="none"/>
          <w:u w:val="single"/>
          <w14:textFill>
            <w14:solidFill>
              <w14:schemeClr w14:val="tx1"/>
            </w14:solidFill>
          </w14:textFill>
        </w:rPr>
        <w:t>按《通用合同条款》7.1.1条执行</w:t>
      </w:r>
      <w:r>
        <w:rPr>
          <w:rFonts w:hint="eastAsia" w:ascii="宋体" w:hAnsi="宋体" w:eastAsia="宋体" w:cs="宋体"/>
          <w:b/>
          <w:bCs/>
          <w:color w:val="000000" w:themeColor="text1"/>
          <w:sz w:val="24"/>
          <w:szCs w:val="24"/>
          <w:highlight w:val="none"/>
          <w14:textFill>
            <w14:solidFill>
              <w14:schemeClr w14:val="tx1"/>
            </w14:solidFill>
          </w14:textFill>
        </w:rPr>
        <w:t>。</w:t>
      </w:r>
    </w:p>
    <w:p w14:paraId="6CBFD0DD">
      <w:pPr>
        <w:pStyle w:val="245"/>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7.1.2 </w:t>
      </w:r>
      <w:r>
        <w:rPr>
          <w:rFonts w:hint="eastAsia" w:ascii="宋体" w:hAnsi="宋体" w:eastAsia="宋体" w:cs="宋体"/>
          <w:color w:val="000000" w:themeColor="text1"/>
          <w:kern w:val="0"/>
          <w:sz w:val="24"/>
          <w:szCs w:val="24"/>
          <w:highlight w:val="none"/>
          <w14:textFill>
            <w14:solidFill>
              <w14:schemeClr w14:val="tx1"/>
            </w14:solidFill>
          </w14:textFill>
        </w:rPr>
        <w:t>施工组织设计的提交和修改</w:t>
      </w:r>
    </w:p>
    <w:p w14:paraId="247F1FCA">
      <w:pPr>
        <w:pStyle w:val="245"/>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承包人提交详细施工组织设计的期限的约定：</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承包人应在合同签订后7天内</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5C4AEE2A">
      <w:pPr>
        <w:pStyle w:val="245"/>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发包人和监理人在收到详细的施工组织设计后确认或提出修改意见的期限：</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收到施工组织设计后7天内确认或提出修改意见</w:t>
      </w:r>
      <w:r>
        <w:rPr>
          <w:rFonts w:hint="eastAsia" w:ascii="宋体" w:hAnsi="宋体" w:eastAsia="宋体" w:cs="宋体"/>
          <w:b/>
          <w:bCs/>
          <w:color w:val="000000" w:themeColor="text1"/>
          <w:sz w:val="24"/>
          <w:szCs w:val="24"/>
          <w:highlight w:val="none"/>
          <w14:textFill>
            <w14:solidFill>
              <w14:schemeClr w14:val="tx1"/>
            </w14:solidFill>
          </w14:textFill>
        </w:rPr>
        <w:t>。</w:t>
      </w:r>
    </w:p>
    <w:p w14:paraId="0DCB1414">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366" w:name="_Toc5581"/>
      <w:bookmarkEnd w:id="366"/>
      <w:bookmarkStart w:id="367" w:name="_Toc407135226"/>
      <w:bookmarkEnd w:id="367"/>
      <w:bookmarkStart w:id="368" w:name="_Toc373227724"/>
      <w:bookmarkEnd w:id="368"/>
      <w:bookmarkStart w:id="369" w:name="_Toc373478371"/>
      <w:bookmarkEnd w:id="369"/>
      <w:bookmarkStart w:id="370" w:name="_Toc389065290"/>
      <w:r>
        <w:rPr>
          <w:rFonts w:hint="eastAsia" w:ascii="宋体" w:hAnsi="宋体" w:eastAsia="宋体" w:cs="宋体"/>
          <w:color w:val="000000" w:themeColor="text1"/>
          <w:sz w:val="24"/>
          <w:szCs w:val="24"/>
          <w:highlight w:val="none"/>
          <w14:textFill>
            <w14:solidFill>
              <w14:schemeClr w14:val="tx1"/>
            </w14:solidFill>
          </w14:textFill>
        </w:rPr>
        <w:t>7</w:t>
      </w:r>
      <w:bookmarkEnd w:id="370"/>
      <w:bookmarkStart w:id="371" w:name="_Toc312677479"/>
      <w:bookmarkEnd w:id="371"/>
      <w:bookmarkStart w:id="372" w:name="_Toc304295541"/>
      <w:bookmarkEnd w:id="372"/>
      <w:bookmarkStart w:id="373" w:name="_Toc297216173"/>
      <w:bookmarkEnd w:id="373"/>
      <w:bookmarkStart w:id="374" w:name="_Toc300934966"/>
      <w:bookmarkEnd w:id="374"/>
      <w:bookmarkStart w:id="375" w:name="_Toc297123514"/>
      <w:bookmarkEnd w:id="375"/>
      <w:bookmarkStart w:id="376" w:name="_Toc303539123"/>
      <w:bookmarkEnd w:id="376"/>
      <w:bookmarkStart w:id="377" w:name="_Toc312678005"/>
      <w:r>
        <w:rPr>
          <w:rFonts w:hint="eastAsia" w:ascii="宋体" w:hAnsi="宋体" w:eastAsia="宋体" w:cs="宋体"/>
          <w:color w:val="000000" w:themeColor="text1"/>
          <w:sz w:val="24"/>
          <w:szCs w:val="24"/>
          <w:highlight w:val="none"/>
          <w14:textFill>
            <w14:solidFill>
              <w14:schemeClr w14:val="tx1"/>
            </w14:solidFill>
          </w14:textFill>
        </w:rPr>
        <w:t xml:space="preserve">.2 </w:t>
      </w:r>
      <w:bookmarkEnd w:id="377"/>
      <w:r>
        <w:rPr>
          <w:rFonts w:hint="eastAsia" w:ascii="宋体" w:hAnsi="宋体" w:eastAsia="宋体" w:cs="宋体"/>
          <w:color w:val="000000" w:themeColor="text1"/>
          <w:sz w:val="24"/>
          <w:szCs w:val="24"/>
          <w:highlight w:val="none"/>
          <w14:textFill>
            <w14:solidFill>
              <w14:schemeClr w14:val="tx1"/>
            </w14:solidFill>
          </w14:textFill>
        </w:rPr>
        <w:t>施工进度计划</w:t>
      </w:r>
    </w:p>
    <w:p w14:paraId="5641F5FD">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7.2.2 施工进度计划的修订</w:t>
      </w:r>
    </w:p>
    <w:p w14:paraId="629475C0">
      <w:pPr>
        <w:pStyle w:val="245"/>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发包人和监理人在收到修订的施工进度计划后确认或提出修改意见的期限：</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收到修订的施工进度计划后7天内确认或提出修改意见   </w:t>
      </w:r>
      <w:r>
        <w:rPr>
          <w:rFonts w:hint="eastAsia" w:ascii="宋体" w:hAnsi="宋体" w:eastAsia="宋体" w:cs="宋体"/>
          <w:b/>
          <w:bCs/>
          <w:color w:val="000000" w:themeColor="text1"/>
          <w:sz w:val="24"/>
          <w:szCs w:val="24"/>
          <w:highlight w:val="none"/>
          <w14:textFill>
            <w14:solidFill>
              <w14:schemeClr w14:val="tx1"/>
            </w14:solidFill>
          </w14:textFill>
        </w:rPr>
        <w:t>。</w:t>
      </w:r>
    </w:p>
    <w:p w14:paraId="18404725">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378" w:name="_Toc389065291"/>
      <w:bookmarkEnd w:id="378"/>
      <w:bookmarkStart w:id="379" w:name="_Toc373227725"/>
      <w:bookmarkEnd w:id="379"/>
      <w:bookmarkStart w:id="380" w:name="_Toc22144"/>
      <w:bookmarkEnd w:id="380"/>
      <w:bookmarkStart w:id="381" w:name="_Toc373478372"/>
      <w:bookmarkEnd w:id="381"/>
      <w:bookmarkStart w:id="382" w:name="_Toc407135227"/>
      <w:r>
        <w:rPr>
          <w:rFonts w:hint="eastAsia" w:ascii="宋体" w:hAnsi="宋体" w:eastAsia="宋体" w:cs="宋体"/>
          <w:color w:val="000000" w:themeColor="text1"/>
          <w:sz w:val="24"/>
          <w:szCs w:val="24"/>
          <w:highlight w:val="none"/>
          <w14:textFill>
            <w14:solidFill>
              <w14:schemeClr w14:val="tx1"/>
            </w14:solidFill>
          </w14:textFill>
        </w:rPr>
        <w:t xml:space="preserve">7.3 </w:t>
      </w:r>
      <w:bookmarkEnd w:id="382"/>
      <w:r>
        <w:rPr>
          <w:rFonts w:hint="eastAsia" w:ascii="宋体" w:hAnsi="宋体" w:eastAsia="宋体" w:cs="宋体"/>
          <w:color w:val="000000" w:themeColor="text1"/>
          <w:sz w:val="24"/>
          <w:szCs w:val="24"/>
          <w:highlight w:val="none"/>
          <w14:textFill>
            <w14:solidFill>
              <w14:schemeClr w14:val="tx1"/>
            </w14:solidFill>
          </w14:textFill>
        </w:rPr>
        <w:t>开工</w:t>
      </w:r>
    </w:p>
    <w:p w14:paraId="3B956DDE">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7.3.1 开工准备</w:t>
      </w:r>
    </w:p>
    <w:p w14:paraId="497829D9">
      <w:pPr>
        <w:pStyle w:val="245"/>
        <w:pageBreakBefore w:val="0"/>
        <w:wordWrap/>
        <w:overflowPunct/>
        <w:topLinePunct w:val="0"/>
        <w:bidi w:val="0"/>
        <w:spacing w:line="460" w:lineRule="exact"/>
        <w:ind w:firstLine="426"/>
        <w:jc w:val="left"/>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关于承包人提交</w:t>
      </w:r>
      <w:r>
        <w:rPr>
          <w:rFonts w:hint="eastAsia" w:ascii="宋体" w:hAnsi="宋体" w:eastAsia="宋体" w:cs="宋体"/>
          <w:color w:val="000000" w:themeColor="text1"/>
          <w:kern w:val="0"/>
          <w:sz w:val="24"/>
          <w:szCs w:val="24"/>
          <w:highlight w:val="none"/>
          <w14:textFill>
            <w14:solidFill>
              <w14:schemeClr w14:val="tx1"/>
            </w14:solidFill>
          </w14:textFill>
        </w:rPr>
        <w:t>工程开工报审表的期限：</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开工日期前7天  </w:t>
      </w:r>
      <w:r>
        <w:rPr>
          <w:rFonts w:hint="eastAsia" w:ascii="宋体" w:hAnsi="宋体" w:eastAsia="宋体" w:cs="宋体"/>
          <w:b/>
          <w:bCs/>
          <w:color w:val="000000" w:themeColor="text1"/>
          <w:sz w:val="24"/>
          <w:szCs w:val="24"/>
          <w:highlight w:val="none"/>
          <w14:textFill>
            <w14:solidFill>
              <w14:schemeClr w14:val="tx1"/>
            </w14:solidFill>
          </w14:textFill>
        </w:rPr>
        <w:t>。</w:t>
      </w:r>
    </w:p>
    <w:p w14:paraId="520B1FF3">
      <w:pPr>
        <w:pStyle w:val="245"/>
        <w:pageBreakBefore w:val="0"/>
        <w:wordWrap/>
        <w:overflowPunct/>
        <w:topLinePunct w:val="0"/>
        <w:bidi w:val="0"/>
        <w:spacing w:line="460" w:lineRule="exact"/>
        <w:ind w:firstLine="426"/>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关于发包人应完成的其他开工准备工作及期限：</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无  </w:t>
      </w:r>
      <w:r>
        <w:rPr>
          <w:rFonts w:hint="eastAsia" w:ascii="宋体" w:hAnsi="宋体" w:eastAsia="宋体" w:cs="宋体"/>
          <w:color w:val="000000" w:themeColor="text1"/>
          <w:sz w:val="24"/>
          <w:szCs w:val="24"/>
          <w:highlight w:val="none"/>
          <w14:textFill>
            <w14:solidFill>
              <w14:schemeClr w14:val="tx1"/>
            </w14:solidFill>
          </w14:textFill>
        </w:rPr>
        <w:t>。</w:t>
      </w:r>
    </w:p>
    <w:p w14:paraId="6A429776">
      <w:pPr>
        <w:pStyle w:val="245"/>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关于承包人应完成的其他开工准备工作及期限：</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开工日期前7天  </w:t>
      </w:r>
      <w:r>
        <w:rPr>
          <w:rFonts w:hint="eastAsia" w:ascii="宋体" w:hAnsi="宋体" w:eastAsia="宋体" w:cs="宋体"/>
          <w:b/>
          <w:bCs/>
          <w:color w:val="000000" w:themeColor="text1"/>
          <w:sz w:val="24"/>
          <w:szCs w:val="24"/>
          <w:highlight w:val="none"/>
          <w14:textFill>
            <w14:solidFill>
              <w14:schemeClr w14:val="tx1"/>
            </w14:solidFill>
          </w14:textFill>
        </w:rPr>
        <w:t>。</w:t>
      </w:r>
    </w:p>
    <w:p w14:paraId="1F1B3B93">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7.3.2 开工通知</w:t>
      </w:r>
    </w:p>
    <w:p w14:paraId="4406C22D">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因发包人原因造成监理人未能在计划开工日期之日起</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90</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天内发出开工通知的，承包人有权提出价格调整要求，或者解除合同。</w:t>
      </w:r>
    </w:p>
    <w:p w14:paraId="2169016F">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383" w:name="_Toc407135228"/>
      <w:bookmarkEnd w:id="383"/>
      <w:bookmarkStart w:id="384" w:name="_Toc373227726"/>
      <w:bookmarkEnd w:id="384"/>
      <w:bookmarkStart w:id="385" w:name="_Toc389065292"/>
      <w:bookmarkEnd w:id="385"/>
      <w:bookmarkStart w:id="386" w:name="_Toc373478373"/>
      <w:bookmarkEnd w:id="386"/>
      <w:bookmarkStart w:id="387" w:name="_Toc8158"/>
      <w:bookmarkEnd w:id="387"/>
      <w:r>
        <w:rPr>
          <w:rFonts w:hint="eastAsia" w:ascii="宋体" w:hAnsi="宋体" w:eastAsia="宋体" w:cs="宋体"/>
          <w:color w:val="000000" w:themeColor="text1"/>
          <w:sz w:val="24"/>
          <w:szCs w:val="24"/>
          <w:highlight w:val="none"/>
          <w14:textFill>
            <w14:solidFill>
              <w14:schemeClr w14:val="tx1"/>
            </w14:solidFill>
          </w14:textFill>
        </w:rPr>
        <w:t>7.4 测量放线</w:t>
      </w:r>
    </w:p>
    <w:p w14:paraId="1735567B">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7.4.1发包人通过监理人向承包人提供测量基准点、基准线和水准点及其书面资料的期限：</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开工日期前7天 </w:t>
      </w:r>
      <w:r>
        <w:rPr>
          <w:rFonts w:hint="eastAsia" w:ascii="宋体" w:hAnsi="宋体" w:eastAsia="宋体" w:cs="宋体"/>
          <w:color w:val="000000" w:themeColor="text1"/>
          <w:sz w:val="24"/>
          <w:szCs w:val="24"/>
          <w:highlight w:val="none"/>
          <w14:textFill>
            <w14:solidFill>
              <w14:schemeClr w14:val="tx1"/>
            </w14:solidFill>
          </w14:textFill>
        </w:rPr>
        <w:t>。</w:t>
      </w:r>
    </w:p>
    <w:p w14:paraId="707B2F99">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388" w:name="_Toc373478374"/>
      <w:bookmarkEnd w:id="388"/>
      <w:bookmarkStart w:id="389" w:name="_Toc407135229"/>
      <w:bookmarkEnd w:id="389"/>
      <w:bookmarkStart w:id="390" w:name="_Toc373227727"/>
      <w:bookmarkEnd w:id="390"/>
      <w:bookmarkStart w:id="391" w:name="_Toc6995"/>
      <w:bookmarkEnd w:id="391"/>
      <w:bookmarkStart w:id="392" w:name="_Toc389065293"/>
      <w:r>
        <w:rPr>
          <w:rFonts w:hint="eastAsia" w:ascii="宋体" w:hAnsi="宋体" w:eastAsia="宋体" w:cs="宋体"/>
          <w:color w:val="000000" w:themeColor="text1"/>
          <w:sz w:val="24"/>
          <w:szCs w:val="24"/>
          <w:highlight w:val="none"/>
          <w14:textFill>
            <w14:solidFill>
              <w14:schemeClr w14:val="tx1"/>
            </w14:solidFill>
          </w14:textFill>
        </w:rPr>
        <w:t>7</w:t>
      </w:r>
      <w:bookmarkEnd w:id="392"/>
      <w:bookmarkStart w:id="393" w:name="_Toc300934968"/>
      <w:bookmarkEnd w:id="393"/>
      <w:bookmarkStart w:id="394" w:name="_Toc303539125"/>
      <w:bookmarkEnd w:id="394"/>
      <w:bookmarkStart w:id="395" w:name="_Toc304295546"/>
      <w:bookmarkEnd w:id="395"/>
      <w:bookmarkStart w:id="396" w:name="_Toc297123516"/>
      <w:bookmarkEnd w:id="396"/>
      <w:bookmarkStart w:id="397" w:name="_Toc312678010"/>
      <w:bookmarkEnd w:id="397"/>
      <w:bookmarkStart w:id="398" w:name="_Toc297216175"/>
      <w:bookmarkEnd w:id="398"/>
      <w:bookmarkStart w:id="399" w:name="_Toc312677484"/>
      <w:r>
        <w:rPr>
          <w:rFonts w:hint="eastAsia" w:ascii="宋体" w:hAnsi="宋体" w:eastAsia="宋体" w:cs="宋体"/>
          <w:color w:val="000000" w:themeColor="text1"/>
          <w:sz w:val="24"/>
          <w:szCs w:val="24"/>
          <w:highlight w:val="none"/>
          <w14:textFill>
            <w14:solidFill>
              <w14:schemeClr w14:val="tx1"/>
            </w14:solidFill>
          </w14:textFill>
        </w:rPr>
        <w:t xml:space="preserve">.5 </w:t>
      </w:r>
      <w:bookmarkEnd w:id="399"/>
      <w:r>
        <w:rPr>
          <w:rFonts w:hint="eastAsia" w:ascii="宋体" w:hAnsi="宋体" w:eastAsia="宋体" w:cs="宋体"/>
          <w:color w:val="000000" w:themeColor="text1"/>
          <w:sz w:val="24"/>
          <w:szCs w:val="24"/>
          <w:highlight w:val="none"/>
          <w14:textFill>
            <w14:solidFill>
              <w14:schemeClr w14:val="tx1"/>
            </w14:solidFill>
          </w14:textFill>
        </w:rPr>
        <w:t>工期延误</w:t>
      </w:r>
    </w:p>
    <w:p w14:paraId="0975F508">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7.5.1 因发包人原因导致工期延误</w:t>
      </w:r>
    </w:p>
    <w:p w14:paraId="7EBBC56C">
      <w:pPr>
        <w:pStyle w:val="245"/>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（7）因发包人原因导致工期延误的其他情形：</w:t>
      </w:r>
      <w:r>
        <w:rPr>
          <w:rFonts w:hint="eastAsia" w:ascii="宋体" w:hAnsi="宋体" w:eastAsia="宋体" w:cs="宋体"/>
          <w:b/>
          <w:bCs/>
          <w:color w:val="000000" w:themeColor="text1"/>
          <w:sz w:val="24"/>
          <w:szCs w:val="24"/>
          <w:highlight w:val="none"/>
          <w:u w:val="single"/>
          <w14:textFill>
            <w14:solidFill>
              <w14:schemeClr w14:val="tx1"/>
            </w14:solidFill>
          </w14:textFill>
        </w:rPr>
        <w:t>①重大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ascii="宋体" w:hAnsi="宋体" w:eastAsia="宋体" w:cs="宋体"/>
          <w:b/>
          <w:bCs/>
          <w:color w:val="000000" w:themeColor="text1"/>
          <w:sz w:val="24"/>
          <w:szCs w:val="24"/>
          <w:highlight w:val="none"/>
          <w14:textFill>
            <w14:solidFill>
              <w14:schemeClr w14:val="tx1"/>
            </w14:solidFill>
          </w14:textFill>
        </w:rPr>
        <w:t xml:space="preserve"> 。</w:t>
      </w:r>
    </w:p>
    <w:p w14:paraId="705AA053">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w:t>
      </w:r>
      <w:bookmarkStart w:id="400" w:name="_Toc304295548"/>
      <w:bookmarkEnd w:id="400"/>
      <w:bookmarkStart w:id="401" w:name="_Toc297216177"/>
      <w:bookmarkEnd w:id="401"/>
      <w:bookmarkStart w:id="402" w:name="_Toc312677486"/>
      <w:bookmarkEnd w:id="402"/>
      <w:bookmarkStart w:id="403" w:name="_Toc303539127"/>
      <w:bookmarkEnd w:id="403"/>
      <w:bookmarkStart w:id="404" w:name="_Toc312678012"/>
      <w:bookmarkEnd w:id="404"/>
      <w:bookmarkStart w:id="405" w:name="_Toc318581169"/>
      <w:bookmarkEnd w:id="405"/>
      <w:bookmarkStart w:id="406" w:name="_Toc297123518"/>
      <w:bookmarkEnd w:id="406"/>
      <w:bookmarkStart w:id="407" w:name="_Toc300934970"/>
      <w:r>
        <w:rPr>
          <w:rFonts w:hint="eastAsia" w:ascii="宋体" w:hAnsi="宋体" w:eastAsia="宋体" w:cs="宋体"/>
          <w:color w:val="000000" w:themeColor="text1"/>
          <w:sz w:val="24"/>
          <w:szCs w:val="24"/>
          <w:highlight w:val="none"/>
          <w14:textFill>
            <w14:solidFill>
              <w14:schemeClr w14:val="tx1"/>
            </w14:solidFill>
          </w14:textFill>
        </w:rPr>
        <w:t xml:space="preserve">.5.2 </w:t>
      </w:r>
      <w:bookmarkEnd w:id="407"/>
      <w:r>
        <w:rPr>
          <w:rFonts w:hint="eastAsia" w:ascii="宋体" w:hAnsi="宋体" w:eastAsia="宋体" w:cs="宋体"/>
          <w:color w:val="000000" w:themeColor="text1"/>
          <w:sz w:val="24"/>
          <w:szCs w:val="24"/>
          <w:highlight w:val="none"/>
          <w14:textFill>
            <w14:solidFill>
              <w14:schemeClr w14:val="tx1"/>
            </w14:solidFill>
          </w14:textFill>
        </w:rPr>
        <w:t>因承包人原因导致工期延误</w:t>
      </w:r>
    </w:p>
    <w:p w14:paraId="5AD96082">
      <w:pPr>
        <w:pStyle w:val="245"/>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双方约定经监理工程师确认，工期相应顺延的况： </w:t>
      </w:r>
      <w:r>
        <w:rPr>
          <w:rFonts w:hint="eastAsia" w:ascii="宋体" w:hAnsi="宋体" w:eastAsia="宋体" w:cs="宋体"/>
          <w:b/>
          <w:bCs/>
          <w:color w:val="000000" w:themeColor="text1"/>
          <w:sz w:val="24"/>
          <w:szCs w:val="24"/>
          <w:highlight w:val="none"/>
          <w:u w:val="single"/>
          <w14:textFill>
            <w14:solidFill>
              <w14:schemeClr w14:val="tx1"/>
            </w14:solidFill>
          </w14:textFill>
        </w:rPr>
        <w:t>额外或附加的增加工程量超过合同造价的 10%以上；不能按时提供图纸、工程进度款等延误影响工程正常施工 24 小时以上的；由于土地征用等原因使承包方不能施工而延误工期的。</w:t>
      </w:r>
    </w:p>
    <w:p w14:paraId="569C7D82">
      <w:pPr>
        <w:pStyle w:val="245"/>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因</w:t>
      </w:r>
      <w:bookmarkStart w:id="408" w:name="_Toc312678013"/>
      <w:bookmarkEnd w:id="408"/>
      <w:bookmarkStart w:id="409" w:name="_Toc312677487"/>
      <w:bookmarkEnd w:id="409"/>
      <w:bookmarkStart w:id="410" w:name="_Toc318581170"/>
      <w:r>
        <w:rPr>
          <w:rFonts w:hint="eastAsia" w:ascii="宋体" w:hAnsi="宋体" w:eastAsia="宋体" w:cs="宋体"/>
          <w:color w:val="000000" w:themeColor="text1"/>
          <w:sz w:val="24"/>
          <w:szCs w:val="24"/>
          <w:highlight w:val="none"/>
          <w14:textFill>
            <w14:solidFill>
              <w14:schemeClr w14:val="tx1"/>
            </w14:solidFill>
          </w14:textFill>
        </w:rPr>
        <w:t>承包人原因造成工期延误，逾期竣工违约金的计算方法为：</w:t>
      </w:r>
      <w:bookmarkEnd w:id="410"/>
      <w:r>
        <w:rPr>
          <w:rFonts w:hint="eastAsia" w:ascii="宋体" w:hAnsi="宋体" w:eastAsia="宋体" w:cs="宋体"/>
          <w:b/>
          <w:bCs/>
          <w:color w:val="000000" w:themeColor="text1"/>
          <w:sz w:val="24"/>
          <w:szCs w:val="24"/>
          <w:highlight w:val="none"/>
          <w:u w:val="single"/>
          <w14:textFill>
            <w14:solidFill>
              <w14:schemeClr w14:val="tx1"/>
            </w14:solidFill>
          </w14:textFill>
        </w:rPr>
        <w:t>按逾期竣工的单项工程罚款，每延误一天,按单项工程应支付给承包人的结算造价的万分之一 处罚,罚款直接从结算款中扣除。误期时间从规定竣工日期起直到实际竣工日期的天数（扣除发包人批准顺延的工期）。</w:t>
      </w:r>
    </w:p>
    <w:p w14:paraId="138855AF">
      <w:pPr>
        <w:pStyle w:val="245"/>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u w:val="none"/>
          <w14:textFill>
            <w14:solidFill>
              <w14:schemeClr w14:val="tx1"/>
            </w14:solidFill>
          </w14:textFill>
        </w:rPr>
        <w:t>因承包人原因造成工期延误，逾</w:t>
      </w:r>
      <w:bookmarkStart w:id="411" w:name="_Toc318581171"/>
      <w:bookmarkEnd w:id="411"/>
      <w:bookmarkStart w:id="412" w:name="_Toc312678014"/>
      <w:r>
        <w:rPr>
          <w:rFonts w:hint="eastAsia" w:ascii="宋体" w:hAnsi="宋体" w:eastAsia="宋体" w:cs="宋体"/>
          <w:b w:val="0"/>
          <w:bCs w:val="0"/>
          <w:color w:val="000000" w:themeColor="text1"/>
          <w:sz w:val="24"/>
          <w:szCs w:val="24"/>
          <w:highlight w:val="none"/>
          <w:u w:val="none"/>
          <w14:textFill>
            <w14:solidFill>
              <w14:schemeClr w14:val="tx1"/>
            </w14:solidFill>
          </w14:textFill>
        </w:rPr>
        <w:t>期竣工违约金的上限：</w:t>
      </w:r>
      <w:bookmarkEnd w:id="412"/>
      <w:r>
        <w:rPr>
          <w:rFonts w:hint="eastAsia" w:ascii="宋体" w:hAnsi="宋体" w:eastAsia="宋体" w:cs="宋体"/>
          <w:b/>
          <w:bCs/>
          <w:color w:val="000000" w:themeColor="text1"/>
          <w:sz w:val="24"/>
          <w:szCs w:val="24"/>
          <w:highlight w:val="none"/>
          <w:u w:val="single"/>
          <w14:textFill>
            <w14:solidFill>
              <w14:schemeClr w14:val="tx1"/>
            </w14:solidFill>
          </w14:textFill>
        </w:rPr>
        <w:t>逾期竣工的单项工程结算造价的1 %</w:t>
      </w:r>
      <w:r>
        <w:rPr>
          <w:rFonts w:hint="eastAsia" w:ascii="宋体" w:hAnsi="宋体" w:eastAsia="宋体" w:cs="宋体"/>
          <w:b/>
          <w:bCs/>
          <w:color w:val="000000" w:themeColor="text1"/>
          <w:sz w:val="24"/>
          <w:szCs w:val="24"/>
          <w:highlight w:val="none"/>
          <w14:textFill>
            <w14:solidFill>
              <w14:schemeClr w14:val="tx1"/>
            </w14:solidFill>
          </w14:textFill>
        </w:rPr>
        <w:t>。</w:t>
      </w:r>
    </w:p>
    <w:p w14:paraId="637A2916">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413" w:name="_Toc373227728"/>
      <w:bookmarkEnd w:id="413"/>
      <w:bookmarkStart w:id="414" w:name="_Toc29817"/>
      <w:bookmarkEnd w:id="414"/>
      <w:bookmarkStart w:id="415" w:name="_Toc373478375"/>
      <w:bookmarkEnd w:id="415"/>
      <w:bookmarkStart w:id="416" w:name="_Toc389065294"/>
      <w:bookmarkEnd w:id="416"/>
      <w:bookmarkStart w:id="417" w:name="_Toc407135230"/>
      <w:r>
        <w:rPr>
          <w:rFonts w:hint="eastAsia" w:ascii="宋体" w:hAnsi="宋体" w:eastAsia="宋体" w:cs="宋体"/>
          <w:color w:val="000000" w:themeColor="text1"/>
          <w:sz w:val="24"/>
          <w:szCs w:val="24"/>
          <w:highlight w:val="none"/>
          <w14:textFill>
            <w14:solidFill>
              <w14:schemeClr w14:val="tx1"/>
            </w14:solidFill>
          </w14:textFill>
        </w:rPr>
        <w:t>7</w:t>
      </w:r>
      <w:bookmarkEnd w:id="417"/>
      <w:bookmarkStart w:id="418" w:name="_Toc297123519"/>
      <w:bookmarkEnd w:id="418"/>
      <w:bookmarkStart w:id="419" w:name="_Toc303539128"/>
      <w:bookmarkEnd w:id="419"/>
      <w:bookmarkStart w:id="420" w:name="_Toc300934971"/>
      <w:bookmarkEnd w:id="420"/>
      <w:bookmarkStart w:id="421" w:name="_Toc297216178"/>
      <w:bookmarkEnd w:id="421"/>
      <w:bookmarkStart w:id="422" w:name="_Toc304295549"/>
      <w:bookmarkEnd w:id="422"/>
      <w:bookmarkStart w:id="423" w:name="_Toc312678015"/>
      <w:r>
        <w:rPr>
          <w:rFonts w:hint="eastAsia" w:ascii="宋体" w:hAnsi="宋体" w:eastAsia="宋体" w:cs="宋体"/>
          <w:color w:val="000000" w:themeColor="text1"/>
          <w:sz w:val="24"/>
          <w:szCs w:val="24"/>
          <w:highlight w:val="none"/>
          <w14:textFill>
            <w14:solidFill>
              <w14:schemeClr w14:val="tx1"/>
            </w14:solidFill>
          </w14:textFill>
        </w:rPr>
        <w:t xml:space="preserve">.6 </w:t>
      </w:r>
      <w:bookmarkEnd w:id="423"/>
      <w:r>
        <w:rPr>
          <w:rFonts w:hint="eastAsia" w:ascii="宋体" w:hAnsi="宋体" w:eastAsia="宋体" w:cs="宋体"/>
          <w:color w:val="000000" w:themeColor="text1"/>
          <w:sz w:val="24"/>
          <w:szCs w:val="24"/>
          <w:highlight w:val="none"/>
          <w14:textFill>
            <w14:solidFill>
              <w14:schemeClr w14:val="tx1"/>
            </w14:solidFill>
          </w14:textFill>
        </w:rPr>
        <w:t>不利物质条件</w:t>
      </w:r>
    </w:p>
    <w:p w14:paraId="72D31EBE">
      <w:pPr>
        <w:pStyle w:val="245"/>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sz w:val="24"/>
          <w:szCs w:val="24"/>
          <w:highlight w:val="none"/>
          <w:u w:val="single"/>
          <w14:textFill>
            <w14:solidFill>
              <w14:schemeClr w14:val="tx1"/>
            </w14:solidFill>
          </w14:textFill>
        </w:rPr>
      </w:pPr>
      <w:bookmarkStart w:id="424" w:name="_Toc312678016"/>
      <w:bookmarkEnd w:id="424"/>
      <w:bookmarkStart w:id="425" w:name="_Toc297123520"/>
      <w:bookmarkEnd w:id="425"/>
      <w:bookmarkStart w:id="426" w:name="_Toc304295550"/>
      <w:bookmarkEnd w:id="426"/>
      <w:bookmarkStart w:id="427" w:name="_Toc297216179"/>
      <w:bookmarkEnd w:id="427"/>
      <w:bookmarkStart w:id="428" w:name="_Toc300934972"/>
      <w:bookmarkEnd w:id="428"/>
      <w:bookmarkStart w:id="429" w:name="_Toc303539129"/>
      <w:bookmarkEnd w:id="429"/>
      <w:bookmarkStart w:id="430" w:name="_Toc318581172"/>
      <w:r>
        <w:rPr>
          <w:rFonts w:hint="eastAsia" w:ascii="宋体" w:hAnsi="宋体" w:eastAsia="宋体" w:cs="宋体"/>
          <w:color w:val="000000" w:themeColor="text1"/>
          <w:sz w:val="24"/>
          <w:szCs w:val="24"/>
          <w:highlight w:val="none"/>
          <w14:textFill>
            <w14:solidFill>
              <w14:schemeClr w14:val="tx1"/>
            </w14:solidFill>
          </w14:textFill>
        </w:rPr>
        <w:t>不利物质条件的其他情形和有关约定：</w:t>
      </w:r>
      <w:bookmarkEnd w:id="430"/>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按《通用合同条款》7.6条执行  </w:t>
      </w:r>
      <w:r>
        <w:rPr>
          <w:rFonts w:hint="eastAsia" w:ascii="宋体" w:hAnsi="宋体" w:eastAsia="宋体" w:cs="宋体"/>
          <w:b/>
          <w:bCs/>
          <w:color w:val="000000" w:themeColor="text1"/>
          <w:sz w:val="24"/>
          <w:szCs w:val="24"/>
          <w:highlight w:val="none"/>
          <w14:textFill>
            <w14:solidFill>
              <w14:schemeClr w14:val="tx1"/>
            </w14:solidFill>
          </w14:textFill>
        </w:rPr>
        <w:t>。</w:t>
      </w:r>
    </w:p>
    <w:p w14:paraId="053D4EE0">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431" w:name="_Toc373478376"/>
      <w:bookmarkEnd w:id="431"/>
      <w:bookmarkStart w:id="432" w:name="_Toc373227729"/>
      <w:bookmarkEnd w:id="432"/>
      <w:bookmarkStart w:id="433" w:name="_Toc389065295"/>
      <w:bookmarkEnd w:id="433"/>
      <w:bookmarkStart w:id="434" w:name="_Toc407135231"/>
      <w:bookmarkEnd w:id="434"/>
      <w:bookmarkStart w:id="435" w:name="_Toc20459"/>
      <w:bookmarkEnd w:id="435"/>
      <w:r>
        <w:rPr>
          <w:rFonts w:hint="eastAsia" w:ascii="宋体" w:hAnsi="宋体" w:eastAsia="宋体" w:cs="宋体"/>
          <w:color w:val="000000" w:themeColor="text1"/>
          <w:sz w:val="24"/>
          <w:szCs w:val="24"/>
          <w:highlight w:val="none"/>
          <w14:textFill>
            <w14:solidFill>
              <w14:schemeClr w14:val="tx1"/>
            </w14:solidFill>
          </w14:textFill>
        </w:rPr>
        <w:t>7</w:t>
      </w:r>
      <w:bookmarkStart w:id="436" w:name="_Toc297216180"/>
      <w:bookmarkEnd w:id="436"/>
      <w:bookmarkStart w:id="437" w:name="_Toc304295551"/>
      <w:bookmarkEnd w:id="437"/>
      <w:bookmarkStart w:id="438" w:name="_Toc312678017"/>
      <w:bookmarkEnd w:id="438"/>
      <w:bookmarkStart w:id="439" w:name="_Toc297123521"/>
      <w:bookmarkEnd w:id="439"/>
      <w:bookmarkStart w:id="440" w:name="_Toc303539130"/>
      <w:bookmarkEnd w:id="440"/>
      <w:bookmarkStart w:id="441" w:name="_Toc300934973"/>
      <w:r>
        <w:rPr>
          <w:rFonts w:hint="eastAsia" w:ascii="宋体" w:hAnsi="宋体" w:eastAsia="宋体" w:cs="宋体"/>
          <w:color w:val="000000" w:themeColor="text1"/>
          <w:sz w:val="24"/>
          <w:szCs w:val="24"/>
          <w:highlight w:val="none"/>
          <w14:textFill>
            <w14:solidFill>
              <w14:schemeClr w14:val="tx1"/>
            </w14:solidFill>
          </w14:textFill>
        </w:rPr>
        <w:t xml:space="preserve">.7 </w:t>
      </w:r>
      <w:bookmarkEnd w:id="441"/>
      <w:r>
        <w:rPr>
          <w:rFonts w:hint="eastAsia" w:ascii="宋体" w:hAnsi="宋体" w:eastAsia="宋体" w:cs="宋体"/>
          <w:color w:val="000000" w:themeColor="text1"/>
          <w:sz w:val="24"/>
          <w:szCs w:val="24"/>
          <w:highlight w:val="none"/>
          <w14:textFill>
            <w14:solidFill>
              <w14:schemeClr w14:val="tx1"/>
            </w14:solidFill>
          </w14:textFill>
        </w:rPr>
        <w:t>异常恶劣的气候条件</w:t>
      </w:r>
    </w:p>
    <w:p w14:paraId="5C46559C">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发包人和承包人同意以下情形视为异常恶劣的气候条件：</w:t>
      </w:r>
    </w:p>
    <w:p w14:paraId="35B14541">
      <w:pPr>
        <w:pStyle w:val="246"/>
        <w:pageBreakBefore w:val="0"/>
        <w:wordWrap/>
        <w:overflowPunct/>
        <w:topLinePunct w:val="0"/>
        <w:bidi w:val="0"/>
        <w:spacing w:line="460" w:lineRule="exact"/>
        <w:ind w:firstLine="42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w:t>
      </w:r>
      <w:r>
        <w:rPr>
          <w:rFonts w:hint="eastAsia" w:ascii="宋体" w:hAnsi="宋体" w:eastAsia="宋体" w:cs="宋体"/>
          <w:b/>
          <w:bCs/>
          <w:color w:val="000000" w:themeColor="text1"/>
          <w:sz w:val="24"/>
          <w:szCs w:val="24"/>
          <w:highlight w:val="none"/>
          <w:u w:val="single"/>
          <w14:textFill>
            <w14:solidFill>
              <w14:schemeClr w14:val="tx1"/>
            </w14:solidFill>
          </w14:textFill>
        </w:rPr>
        <w:t>日降雨大于100mm的雨日超过1天</w:t>
      </w:r>
      <w:r>
        <w:rPr>
          <w:rFonts w:hint="eastAsia" w:ascii="宋体" w:hAnsi="宋体" w:eastAsia="宋体" w:cs="宋体"/>
          <w:b/>
          <w:bCs/>
          <w:color w:val="000000" w:themeColor="text1"/>
          <w:sz w:val="24"/>
          <w:szCs w:val="24"/>
          <w:highlight w:val="none"/>
          <w14:textFill>
            <w14:solidFill>
              <w14:schemeClr w14:val="tx1"/>
            </w14:solidFill>
          </w14:textFill>
        </w:rPr>
        <w:t>；</w:t>
      </w:r>
    </w:p>
    <w:p w14:paraId="2D31015E">
      <w:pPr>
        <w:pStyle w:val="246"/>
        <w:pageBreakBefore w:val="0"/>
        <w:wordWrap/>
        <w:overflowPunct/>
        <w:topLinePunct w:val="0"/>
        <w:bidi w:val="0"/>
        <w:spacing w:line="460" w:lineRule="exact"/>
        <w:ind w:firstLine="42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（2）</w:t>
      </w:r>
      <w:r>
        <w:rPr>
          <w:rFonts w:hint="eastAsia" w:ascii="宋体" w:hAnsi="宋体" w:eastAsia="宋体" w:cs="宋体"/>
          <w:b/>
          <w:bCs/>
          <w:color w:val="000000" w:themeColor="text1"/>
          <w:sz w:val="24"/>
          <w:szCs w:val="24"/>
          <w:highlight w:val="none"/>
          <w:u w:val="single"/>
          <w14:textFill>
            <w14:solidFill>
              <w14:schemeClr w14:val="tx1"/>
            </w14:solidFill>
          </w14:textFill>
        </w:rPr>
        <w:t>日气温超过38℃的高温大于3天</w:t>
      </w:r>
      <w:r>
        <w:rPr>
          <w:rFonts w:hint="eastAsia" w:ascii="宋体" w:hAnsi="宋体" w:eastAsia="宋体" w:cs="宋体"/>
          <w:b/>
          <w:bCs/>
          <w:color w:val="000000" w:themeColor="text1"/>
          <w:sz w:val="24"/>
          <w:szCs w:val="24"/>
          <w:highlight w:val="none"/>
          <w14:textFill>
            <w14:solidFill>
              <w14:schemeClr w14:val="tx1"/>
            </w14:solidFill>
          </w14:textFill>
        </w:rPr>
        <w:t>；</w:t>
      </w:r>
    </w:p>
    <w:p w14:paraId="1CB17CCF">
      <w:pPr>
        <w:pStyle w:val="246"/>
        <w:pageBreakBefore w:val="0"/>
        <w:wordWrap/>
        <w:overflowPunct/>
        <w:topLinePunct w:val="0"/>
        <w:bidi w:val="0"/>
        <w:spacing w:line="460" w:lineRule="exact"/>
        <w:ind w:firstLine="420"/>
        <w:jc w:val="left"/>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（3）</w:t>
      </w:r>
      <w:r>
        <w:rPr>
          <w:rFonts w:hint="eastAsia" w:ascii="宋体" w:hAnsi="宋体" w:eastAsia="宋体" w:cs="宋体"/>
          <w:b/>
          <w:bCs/>
          <w:color w:val="000000" w:themeColor="text1"/>
          <w:sz w:val="24"/>
          <w:szCs w:val="24"/>
          <w:highlight w:val="none"/>
          <w:u w:val="single"/>
          <w14:textFill>
            <w14:solidFill>
              <w14:schemeClr w14:val="tx1"/>
            </w14:solidFill>
          </w14:textFill>
        </w:rPr>
        <w:t>日气温低于-20℃的严寒大于3天；</w:t>
      </w:r>
    </w:p>
    <w:p w14:paraId="240F146D">
      <w:pPr>
        <w:pStyle w:val="246"/>
        <w:pageBreakBefore w:val="0"/>
        <w:wordWrap/>
        <w:overflowPunct/>
        <w:topLinePunct w:val="0"/>
        <w:bidi w:val="0"/>
        <w:spacing w:line="460" w:lineRule="exact"/>
        <w:ind w:firstLine="42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（4）</w:t>
      </w:r>
      <w:r>
        <w:rPr>
          <w:rFonts w:hint="eastAsia" w:ascii="宋体" w:hAnsi="宋体" w:eastAsia="宋体" w:cs="宋体"/>
          <w:b/>
          <w:bCs/>
          <w:color w:val="000000" w:themeColor="text1"/>
          <w:sz w:val="24"/>
          <w:szCs w:val="24"/>
          <w:highlight w:val="none"/>
          <w:u w:val="single"/>
          <w14:textFill>
            <w14:solidFill>
              <w14:schemeClr w14:val="tx1"/>
            </w14:solidFill>
          </w14:textFill>
        </w:rPr>
        <w:t>10级以上的大风超过1天</w:t>
      </w:r>
      <w:r>
        <w:rPr>
          <w:rFonts w:hint="eastAsia" w:ascii="宋体" w:hAnsi="宋体" w:eastAsia="宋体" w:cs="宋体"/>
          <w:b/>
          <w:bCs/>
          <w:color w:val="000000" w:themeColor="text1"/>
          <w:sz w:val="24"/>
          <w:szCs w:val="24"/>
          <w:highlight w:val="none"/>
          <w14:textFill>
            <w14:solidFill>
              <w14:schemeClr w14:val="tx1"/>
            </w14:solidFill>
          </w14:textFill>
        </w:rPr>
        <w:t>。</w:t>
      </w:r>
    </w:p>
    <w:p w14:paraId="2679ADA6">
      <w:pPr>
        <w:pStyle w:val="245"/>
        <w:pageBreakBefore w:val="0"/>
        <w:wordWrap/>
        <w:overflowPunct/>
        <w:topLinePunct w:val="0"/>
        <w:bidi w:val="0"/>
        <w:spacing w:line="460" w:lineRule="exact"/>
        <w:ind w:firstLine="482"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u w:val="single"/>
          <w14:textFill>
            <w14:solidFill>
              <w14:schemeClr w14:val="tx1"/>
            </w14:solidFill>
          </w14:textFill>
        </w:rPr>
        <w:t>以上异常恶劣的气候的认定以当地气象部门出具的材料为准</w:t>
      </w:r>
      <w:r>
        <w:rPr>
          <w:rFonts w:hint="eastAsia" w:ascii="宋体" w:hAnsi="宋体" w:eastAsia="宋体" w:cs="宋体"/>
          <w:b/>
          <w:bCs/>
          <w:color w:val="000000" w:themeColor="text1"/>
          <w:sz w:val="24"/>
          <w:szCs w:val="24"/>
          <w:highlight w:val="none"/>
          <w14:textFill>
            <w14:solidFill>
              <w14:schemeClr w14:val="tx1"/>
            </w14:solidFill>
          </w14:textFill>
        </w:rPr>
        <w:t>。</w:t>
      </w:r>
    </w:p>
    <w:p w14:paraId="7EE345CE">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442" w:name="_Toc407135232"/>
      <w:bookmarkEnd w:id="442"/>
      <w:bookmarkStart w:id="443" w:name="_Toc373227730"/>
      <w:bookmarkEnd w:id="443"/>
      <w:bookmarkStart w:id="444" w:name="_Toc27796"/>
      <w:bookmarkEnd w:id="444"/>
      <w:bookmarkStart w:id="445" w:name="_Toc373478377"/>
      <w:bookmarkEnd w:id="445"/>
      <w:bookmarkStart w:id="446" w:name="_Toc389065296"/>
      <w:r>
        <w:rPr>
          <w:rFonts w:hint="eastAsia" w:ascii="宋体" w:hAnsi="宋体" w:eastAsia="宋体" w:cs="宋体"/>
          <w:color w:val="000000" w:themeColor="text1"/>
          <w:sz w:val="24"/>
          <w:szCs w:val="24"/>
          <w:highlight w:val="none"/>
          <w14:textFill>
            <w14:solidFill>
              <w14:schemeClr w14:val="tx1"/>
            </w14:solidFill>
          </w14:textFill>
        </w:rPr>
        <w:t xml:space="preserve">7.9 </w:t>
      </w:r>
      <w:bookmarkEnd w:id="446"/>
      <w:r>
        <w:rPr>
          <w:rFonts w:hint="eastAsia" w:ascii="宋体" w:hAnsi="宋体" w:eastAsia="宋体" w:cs="宋体"/>
          <w:color w:val="000000" w:themeColor="text1"/>
          <w:sz w:val="24"/>
          <w:szCs w:val="24"/>
          <w:highlight w:val="none"/>
          <w14:textFill>
            <w14:solidFill>
              <w14:schemeClr w14:val="tx1"/>
            </w14:solidFill>
          </w14:textFill>
        </w:rPr>
        <w:t>提前竣工</w:t>
      </w:r>
    </w:p>
    <w:p w14:paraId="507AF612">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7.9.2提前竣工（赶工）增加费的计算方法：</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双方另议</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72F19AD6">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447" w:name="_Toc389065297"/>
      <w:bookmarkEnd w:id="447"/>
      <w:bookmarkStart w:id="448" w:name="_Toc407135233"/>
      <w:bookmarkEnd w:id="448"/>
      <w:bookmarkStart w:id="449" w:name="_Toc7815"/>
      <w:bookmarkEnd w:id="449"/>
      <w:bookmarkStart w:id="450" w:name="_Toc351203640"/>
      <w:bookmarkEnd w:id="450"/>
      <w:bookmarkStart w:id="451" w:name="_Toc373478378"/>
      <w:bookmarkEnd w:id="451"/>
      <w:bookmarkStart w:id="452" w:name="_Toc373227731"/>
      <w:r>
        <w:rPr>
          <w:rFonts w:hint="eastAsia" w:ascii="宋体" w:hAnsi="宋体" w:eastAsia="宋体" w:cs="宋体"/>
          <w:color w:val="000000" w:themeColor="text1"/>
          <w:sz w:val="24"/>
          <w:szCs w:val="24"/>
          <w:highlight w:val="none"/>
          <w14:textFill>
            <w14:solidFill>
              <w14:schemeClr w14:val="tx1"/>
            </w14:solidFill>
          </w14:textFill>
        </w:rPr>
        <w:t xml:space="preserve">8. </w:t>
      </w:r>
      <w:bookmarkEnd w:id="452"/>
      <w:r>
        <w:rPr>
          <w:rFonts w:hint="eastAsia" w:ascii="宋体" w:hAnsi="宋体" w:eastAsia="宋体" w:cs="宋体"/>
          <w:color w:val="000000" w:themeColor="text1"/>
          <w:sz w:val="24"/>
          <w:szCs w:val="24"/>
          <w:highlight w:val="none"/>
          <w14:textFill>
            <w14:solidFill>
              <w14:schemeClr w14:val="tx1"/>
            </w14:solidFill>
          </w14:textFill>
        </w:rPr>
        <w:t>材料与设备</w:t>
      </w:r>
    </w:p>
    <w:p w14:paraId="27C75D2D">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453" w:name="_Toc373227732"/>
      <w:bookmarkEnd w:id="453"/>
      <w:bookmarkStart w:id="454" w:name="_Toc407135234"/>
      <w:bookmarkEnd w:id="454"/>
      <w:bookmarkStart w:id="455" w:name="_Toc389065298"/>
      <w:bookmarkEnd w:id="455"/>
      <w:bookmarkStart w:id="456" w:name="_Toc373478379"/>
      <w:bookmarkEnd w:id="456"/>
      <w:bookmarkStart w:id="457" w:name="_Toc29203"/>
      <w:bookmarkEnd w:id="457"/>
      <w:r>
        <w:rPr>
          <w:rFonts w:hint="eastAsia" w:ascii="宋体" w:hAnsi="宋体" w:eastAsia="宋体" w:cs="宋体"/>
          <w:color w:val="000000" w:themeColor="text1"/>
          <w:sz w:val="24"/>
          <w:szCs w:val="24"/>
          <w:highlight w:val="none"/>
          <w14:textFill>
            <w14:solidFill>
              <w14:schemeClr w14:val="tx1"/>
            </w14:solidFill>
          </w14:textFill>
        </w:rPr>
        <w:t>8.2 承包人采购材料与工程设备</w:t>
      </w:r>
    </w:p>
    <w:p w14:paraId="19E9B4C1">
      <w:pPr>
        <w:pStyle w:val="245"/>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除已标价工程量清单《发包人提供主要材料和工程设备一览表》（表-21）中明确的材料、工程设备外，由承包人负责材料和工程设备的采购、运输和保管。《</w:t>
      </w:r>
      <w:r>
        <w:rPr>
          <w:rFonts w:hint="eastAsia" w:ascii="宋体" w:hAnsi="宋体" w:eastAsia="宋体" w:cs="宋体"/>
          <w:color w:val="000000" w:themeColor="text1"/>
          <w:sz w:val="24"/>
          <w:szCs w:val="24"/>
          <w:highlight w:val="none"/>
          <w14:textFill>
            <w14:solidFill>
              <w14:schemeClr w14:val="tx1"/>
            </w14:solidFill>
          </w14:textFill>
        </w:rPr>
        <w:t>承包人提供主要材料和工程设备一览表》</w:t>
      </w:r>
      <w:r>
        <w:rPr>
          <w:rFonts w:hint="eastAsia" w:ascii="宋体" w:hAnsi="宋体" w:eastAsia="宋体" w:cs="宋体"/>
          <w:color w:val="000000" w:themeColor="text1"/>
          <w:kern w:val="0"/>
          <w:sz w:val="24"/>
          <w:szCs w:val="24"/>
          <w:highlight w:val="none"/>
          <w14:textFill>
            <w14:solidFill>
              <w14:schemeClr w14:val="tx1"/>
            </w14:solidFill>
          </w14:textFill>
        </w:rPr>
        <w:t>（表-22）见已标价工程量清单。</w:t>
      </w:r>
    </w:p>
    <w:p w14:paraId="0248AB39">
      <w:pPr>
        <w:pStyle w:val="245"/>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bookmarkStart w:id="458" w:name="_Toc373478380"/>
      <w:bookmarkEnd w:id="458"/>
      <w:bookmarkStart w:id="459" w:name="_Toc373227733"/>
      <w:bookmarkEnd w:id="459"/>
      <w:bookmarkStart w:id="460" w:name="_Toc389065299"/>
      <w:r>
        <w:rPr>
          <w:rFonts w:hint="eastAsia" w:ascii="宋体" w:hAnsi="宋体" w:eastAsia="宋体" w:cs="宋体"/>
          <w:color w:val="000000" w:themeColor="text1"/>
          <w:sz w:val="24"/>
          <w:szCs w:val="24"/>
          <w:highlight w:val="none"/>
          <w14:textFill>
            <w14:solidFill>
              <w14:schemeClr w14:val="tx1"/>
            </w14:solidFill>
          </w14:textFill>
        </w:rPr>
        <w:t>对发包人在招标时有“参照或相当于</w:t>
      </w:r>
      <w:bookmarkEnd w:id="460"/>
      <w:r>
        <w:rPr>
          <w:rFonts w:hint="eastAsia" w:ascii="宋体" w:hAnsi="宋体" w:eastAsia="宋体" w:cs="宋体"/>
          <w:color w:val="000000" w:themeColor="text1"/>
          <w:sz w:val="24"/>
          <w:szCs w:val="24"/>
          <w:highlight w:val="none"/>
          <w14:textFill>
            <w14:solidFill>
              <w14:schemeClr w14:val="tx1"/>
            </w14:solidFill>
          </w14:textFill>
        </w:rPr>
        <w:t>**品牌、级别”约定的材料或设备，承包人采购时必须按类似于或优于所约定品牌、等级进行采购，施工期间该部分材料或设备如未超过招标约定的风险幅度的，结算时按投标单价支付，不得调整。</w:t>
      </w:r>
    </w:p>
    <w:p w14:paraId="1F955EB3">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461" w:name="_Toc30643"/>
      <w:bookmarkEnd w:id="461"/>
      <w:bookmarkStart w:id="462" w:name="_Toc407135235"/>
      <w:r>
        <w:rPr>
          <w:rFonts w:hint="eastAsia" w:ascii="宋体" w:hAnsi="宋体" w:eastAsia="宋体" w:cs="宋体"/>
          <w:color w:val="000000" w:themeColor="text1"/>
          <w:sz w:val="24"/>
          <w:szCs w:val="24"/>
          <w:highlight w:val="none"/>
          <w14:textFill>
            <w14:solidFill>
              <w14:schemeClr w14:val="tx1"/>
            </w14:solidFill>
          </w14:textFill>
        </w:rPr>
        <w:t>8</w:t>
      </w:r>
      <w:bookmarkEnd w:id="462"/>
      <w:bookmarkStart w:id="463" w:name="_Toc296944506"/>
      <w:bookmarkEnd w:id="463"/>
      <w:bookmarkStart w:id="464" w:name="_Toc292559877"/>
      <w:bookmarkEnd w:id="464"/>
      <w:bookmarkStart w:id="465" w:name="_Toc297120467"/>
      <w:bookmarkEnd w:id="465"/>
      <w:bookmarkStart w:id="466" w:name="_Toc312677493"/>
      <w:bookmarkEnd w:id="466"/>
      <w:bookmarkStart w:id="467" w:name="_Toc296891207"/>
      <w:bookmarkEnd w:id="467"/>
      <w:bookmarkStart w:id="468" w:name="_Toc296347166"/>
      <w:bookmarkEnd w:id="468"/>
      <w:bookmarkStart w:id="469" w:name="_Toc297048353"/>
      <w:bookmarkEnd w:id="469"/>
      <w:bookmarkStart w:id="470" w:name="_Toc300934979"/>
      <w:bookmarkEnd w:id="470"/>
      <w:bookmarkStart w:id="471" w:name="_Toc296890995"/>
      <w:bookmarkEnd w:id="471"/>
      <w:bookmarkStart w:id="472" w:name="_Toc280868654"/>
      <w:bookmarkEnd w:id="472"/>
      <w:bookmarkStart w:id="473" w:name="_Toc304295556"/>
      <w:bookmarkEnd w:id="473"/>
      <w:bookmarkStart w:id="474" w:name="_Toc296346668"/>
      <w:bookmarkEnd w:id="474"/>
      <w:bookmarkStart w:id="475" w:name="_Toc280868655"/>
      <w:bookmarkEnd w:id="475"/>
      <w:bookmarkStart w:id="476" w:name="_Toc297123527"/>
      <w:bookmarkEnd w:id="476"/>
      <w:bookmarkStart w:id="477" w:name="_Toc296503167"/>
      <w:bookmarkEnd w:id="477"/>
      <w:bookmarkStart w:id="478" w:name="_Toc267251424"/>
      <w:bookmarkEnd w:id="478"/>
      <w:bookmarkStart w:id="479" w:name="_Toc312678019"/>
      <w:bookmarkEnd w:id="479"/>
      <w:bookmarkStart w:id="480" w:name="_Toc297216186"/>
      <w:bookmarkEnd w:id="480"/>
      <w:bookmarkStart w:id="481" w:name="_Toc292559372"/>
      <w:bookmarkEnd w:id="481"/>
      <w:bookmarkStart w:id="482" w:name="_Toc303539136"/>
      <w:bookmarkEnd w:id="482"/>
      <w:bookmarkStart w:id="483" w:name="_Toc280868656"/>
      <w:r>
        <w:rPr>
          <w:rFonts w:hint="eastAsia" w:ascii="宋体" w:hAnsi="宋体" w:eastAsia="宋体" w:cs="宋体"/>
          <w:color w:val="000000" w:themeColor="text1"/>
          <w:sz w:val="24"/>
          <w:szCs w:val="24"/>
          <w:highlight w:val="none"/>
          <w14:textFill>
            <w14:solidFill>
              <w14:schemeClr w14:val="tx1"/>
            </w14:solidFill>
          </w14:textFill>
        </w:rPr>
        <w:t xml:space="preserve">.4 </w:t>
      </w:r>
      <w:bookmarkEnd w:id="483"/>
      <w:r>
        <w:rPr>
          <w:rFonts w:hint="eastAsia" w:ascii="宋体" w:hAnsi="宋体" w:eastAsia="宋体" w:cs="宋体"/>
          <w:color w:val="000000" w:themeColor="text1"/>
          <w:sz w:val="24"/>
          <w:szCs w:val="24"/>
          <w:highlight w:val="none"/>
          <w14:textFill>
            <w14:solidFill>
              <w14:schemeClr w14:val="tx1"/>
            </w14:solidFill>
          </w14:textFill>
        </w:rPr>
        <w:t>材料与工程设备的保管与使用</w:t>
      </w:r>
    </w:p>
    <w:p w14:paraId="6CCAC7C4">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w:t>
      </w:r>
      <w:bookmarkStart w:id="484" w:name="_Toc296891208"/>
      <w:bookmarkEnd w:id="484"/>
      <w:bookmarkStart w:id="485" w:name="_Toc296347167"/>
      <w:bookmarkEnd w:id="485"/>
      <w:bookmarkStart w:id="486" w:name="_Toc304295557"/>
      <w:bookmarkEnd w:id="486"/>
      <w:bookmarkStart w:id="487" w:name="_Toc297123528"/>
      <w:bookmarkEnd w:id="487"/>
      <w:bookmarkStart w:id="488" w:name="_Toc296503168"/>
      <w:bookmarkEnd w:id="488"/>
      <w:bookmarkStart w:id="489" w:name="_Toc303539137"/>
      <w:bookmarkEnd w:id="489"/>
      <w:bookmarkStart w:id="490" w:name="_Toc312678020"/>
      <w:bookmarkEnd w:id="490"/>
      <w:bookmarkStart w:id="491" w:name="_Toc312677494"/>
      <w:bookmarkEnd w:id="491"/>
      <w:bookmarkStart w:id="492" w:name="_Toc296346669"/>
      <w:bookmarkEnd w:id="492"/>
      <w:bookmarkStart w:id="493" w:name="_Toc297216187"/>
      <w:bookmarkEnd w:id="493"/>
      <w:bookmarkStart w:id="494" w:name="_Toc292559878"/>
      <w:bookmarkEnd w:id="494"/>
      <w:bookmarkStart w:id="495" w:name="_Toc297120468"/>
      <w:bookmarkEnd w:id="495"/>
      <w:bookmarkStart w:id="496" w:name="_Toc296944507"/>
      <w:bookmarkEnd w:id="496"/>
      <w:bookmarkStart w:id="497" w:name="_Toc296890996"/>
      <w:bookmarkEnd w:id="497"/>
      <w:bookmarkStart w:id="498" w:name="_Toc318581173"/>
      <w:bookmarkEnd w:id="498"/>
      <w:bookmarkStart w:id="499" w:name="_Toc300934980"/>
      <w:bookmarkEnd w:id="499"/>
      <w:bookmarkStart w:id="500" w:name="_Toc297048354"/>
      <w:bookmarkEnd w:id="500"/>
      <w:bookmarkStart w:id="501" w:name="_Toc292559373"/>
      <w:r>
        <w:rPr>
          <w:rFonts w:hint="eastAsia" w:ascii="宋体" w:hAnsi="宋体" w:eastAsia="宋体" w:cs="宋体"/>
          <w:color w:val="000000" w:themeColor="text1"/>
          <w:sz w:val="24"/>
          <w:szCs w:val="24"/>
          <w:highlight w:val="none"/>
          <w14:textFill>
            <w14:solidFill>
              <w14:schemeClr w14:val="tx1"/>
            </w14:solidFill>
          </w14:textFill>
        </w:rPr>
        <w:t>.4.1</w:t>
      </w:r>
      <w:bookmarkEnd w:id="501"/>
      <w:r>
        <w:rPr>
          <w:rFonts w:hint="eastAsia" w:ascii="宋体" w:hAnsi="宋体" w:eastAsia="宋体" w:cs="宋体"/>
          <w:color w:val="000000" w:themeColor="text1"/>
          <w:sz w:val="24"/>
          <w:szCs w:val="24"/>
          <w:highlight w:val="none"/>
          <w14:textFill>
            <w14:solidFill>
              <w14:schemeClr w14:val="tx1"/>
            </w14:solidFill>
          </w14:textFill>
        </w:rPr>
        <w:t>发包人供应的材料设备的保管费用的承担：</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由发包人承担所有费用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739C000C">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502" w:name="_Toc28857"/>
      <w:bookmarkEnd w:id="502"/>
      <w:bookmarkStart w:id="503" w:name="_Toc373227734"/>
      <w:bookmarkEnd w:id="503"/>
      <w:bookmarkStart w:id="504" w:name="_Toc389065300"/>
      <w:bookmarkEnd w:id="504"/>
      <w:bookmarkStart w:id="505" w:name="_Toc407135236"/>
      <w:bookmarkEnd w:id="505"/>
      <w:bookmarkStart w:id="506" w:name="_Toc373478381"/>
      <w:r>
        <w:rPr>
          <w:rFonts w:hint="eastAsia" w:ascii="宋体" w:hAnsi="宋体" w:eastAsia="宋体" w:cs="宋体"/>
          <w:color w:val="000000" w:themeColor="text1"/>
          <w:sz w:val="24"/>
          <w:szCs w:val="24"/>
          <w:highlight w:val="none"/>
          <w14:textFill>
            <w14:solidFill>
              <w14:schemeClr w14:val="tx1"/>
            </w14:solidFill>
          </w14:textFill>
        </w:rPr>
        <w:t xml:space="preserve">8.6 </w:t>
      </w:r>
      <w:bookmarkEnd w:id="506"/>
      <w:r>
        <w:rPr>
          <w:rFonts w:hint="eastAsia" w:ascii="宋体" w:hAnsi="宋体" w:eastAsia="宋体" w:cs="宋体"/>
          <w:color w:val="000000" w:themeColor="text1"/>
          <w:sz w:val="24"/>
          <w:szCs w:val="24"/>
          <w:highlight w:val="none"/>
          <w14:textFill>
            <w14:solidFill>
              <w14:schemeClr w14:val="tx1"/>
            </w14:solidFill>
          </w14:textFill>
        </w:rPr>
        <w:t>样品</w:t>
      </w:r>
    </w:p>
    <w:p w14:paraId="76984CCF">
      <w:pPr>
        <w:pStyle w:val="245"/>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8.6.1 样品的报送与封存</w:t>
      </w:r>
    </w:p>
    <w:p w14:paraId="67328E46">
      <w:pPr>
        <w:pStyle w:val="245"/>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需要承包人报送样品的材料或工程设备，样品的种类、名称、规格、数量要求：</w:t>
      </w:r>
      <w:r>
        <w:rPr>
          <w:rFonts w:hint="eastAsia" w:ascii="宋体" w:hAnsi="宋体" w:eastAsia="宋体" w:cs="宋体"/>
          <w:b/>
          <w:bCs/>
          <w:color w:val="000000" w:themeColor="text1"/>
          <w:sz w:val="24"/>
          <w:szCs w:val="24"/>
          <w:highlight w:val="none"/>
          <w:u w:val="single"/>
          <w14:textFill>
            <w14:solidFill>
              <w14:schemeClr w14:val="tx1"/>
            </w14:solidFill>
          </w14:textFill>
        </w:rPr>
        <w:t>主要材料涉及品种、款式、颜色等方面内容的，承包人应提交准备合格的材料样品送发包人选定。</w:t>
      </w:r>
    </w:p>
    <w:p w14:paraId="364B05EB">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507" w:name="_Toc2018"/>
      <w:bookmarkEnd w:id="507"/>
      <w:bookmarkStart w:id="508" w:name="_Toc407135237"/>
      <w:bookmarkEnd w:id="508"/>
      <w:bookmarkStart w:id="509" w:name="_Toc389065301"/>
      <w:bookmarkEnd w:id="509"/>
      <w:bookmarkStart w:id="510" w:name="_Toc373227735"/>
      <w:bookmarkEnd w:id="510"/>
      <w:bookmarkStart w:id="511" w:name="_Toc373478382"/>
      <w:r>
        <w:rPr>
          <w:rFonts w:hint="eastAsia" w:ascii="宋体" w:hAnsi="宋体" w:eastAsia="宋体" w:cs="宋体"/>
          <w:color w:val="000000" w:themeColor="text1"/>
          <w:sz w:val="24"/>
          <w:szCs w:val="24"/>
          <w:highlight w:val="none"/>
          <w14:textFill>
            <w14:solidFill>
              <w14:schemeClr w14:val="tx1"/>
            </w14:solidFill>
          </w14:textFill>
        </w:rPr>
        <w:t xml:space="preserve">8.8 </w:t>
      </w:r>
      <w:bookmarkEnd w:id="511"/>
      <w:r>
        <w:rPr>
          <w:rFonts w:hint="eastAsia" w:ascii="宋体" w:hAnsi="宋体" w:eastAsia="宋体" w:cs="宋体"/>
          <w:color w:val="000000" w:themeColor="text1"/>
          <w:sz w:val="24"/>
          <w:szCs w:val="24"/>
          <w:highlight w:val="none"/>
          <w14:textFill>
            <w14:solidFill>
              <w14:schemeClr w14:val="tx1"/>
            </w14:solidFill>
          </w14:textFill>
        </w:rPr>
        <w:t>施工设备和临时设施</w:t>
      </w:r>
    </w:p>
    <w:p w14:paraId="10865BDD">
      <w:pPr>
        <w:pStyle w:val="246"/>
        <w:pageBreakBefore w:val="0"/>
        <w:wordWrap/>
        <w:overflowPunct/>
        <w:topLinePunct w:val="0"/>
        <w:bidi w:val="0"/>
        <w:spacing w:line="460" w:lineRule="exact"/>
        <w:ind w:firstLine="420"/>
        <w:jc w:val="left"/>
        <w:rPr>
          <w:rFonts w:hint="eastAsia" w:ascii="宋体" w:hAnsi="宋体" w:eastAsia="宋体" w:cs="宋体"/>
          <w:color w:val="000000" w:themeColor="text1"/>
          <w:sz w:val="24"/>
          <w:szCs w:val="24"/>
          <w:highlight w:val="none"/>
          <w14:textFill>
            <w14:solidFill>
              <w14:schemeClr w14:val="tx1"/>
            </w14:solidFill>
          </w14:textFill>
        </w:rPr>
      </w:pPr>
      <w:bookmarkStart w:id="512" w:name="_Toc373478383"/>
      <w:bookmarkEnd w:id="512"/>
      <w:bookmarkStart w:id="513" w:name="_Toc351203641"/>
      <w:bookmarkEnd w:id="513"/>
      <w:bookmarkStart w:id="514" w:name="_Toc407135238"/>
      <w:bookmarkEnd w:id="514"/>
      <w:bookmarkStart w:id="515" w:name="_Toc389065302"/>
      <w:bookmarkEnd w:id="515"/>
      <w:bookmarkStart w:id="516" w:name="_Toc373227736"/>
      <w:bookmarkEnd w:id="516"/>
      <w:r>
        <w:rPr>
          <w:rFonts w:hint="eastAsia" w:ascii="宋体" w:hAnsi="宋体" w:eastAsia="宋体" w:cs="宋体"/>
          <w:color w:val="000000" w:themeColor="text1"/>
          <w:sz w:val="24"/>
          <w:szCs w:val="24"/>
          <w:highlight w:val="none"/>
          <w14:textFill>
            <w14:solidFill>
              <w14:schemeClr w14:val="tx1"/>
            </w14:solidFill>
          </w14:textFill>
        </w:rPr>
        <w:t>8.8.1 承包人提供的施工设备和临时设施</w:t>
      </w:r>
    </w:p>
    <w:p w14:paraId="6DAC8A59">
      <w:pPr>
        <w:pStyle w:val="246"/>
        <w:pageBreakBefore w:val="0"/>
        <w:wordWrap/>
        <w:overflowPunct/>
        <w:topLinePunct w:val="0"/>
        <w:bidi w:val="0"/>
        <w:spacing w:line="460" w:lineRule="exact"/>
        <w:ind w:firstLine="420"/>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关于修建临时设施费用承担的约定：</w:t>
      </w:r>
      <w:r>
        <w:rPr>
          <w:rFonts w:hint="eastAsia" w:ascii="宋体" w:hAnsi="宋体" w:eastAsia="宋体" w:cs="宋体"/>
          <w:b/>
          <w:bCs/>
          <w:color w:val="000000" w:themeColor="text1"/>
          <w:sz w:val="24"/>
          <w:szCs w:val="24"/>
          <w:highlight w:val="none"/>
          <w:u w:val="single"/>
          <w14:textFill>
            <w14:solidFill>
              <w14:schemeClr w14:val="tx1"/>
            </w14:solidFill>
          </w14:textFill>
        </w:rPr>
        <w:t>①承包人的临时用地（含项目部驻地等）租用费（含拆迁补偿）、临时用地的环保、恢复、临时用地的青苗补偿及地面附着物拆除等费用均由承包人负责，以上费用在投标报价中综合考虑。</w:t>
      </w:r>
    </w:p>
    <w:p w14:paraId="356C815B">
      <w:pPr>
        <w:pStyle w:val="246"/>
        <w:pageBreakBefore w:val="0"/>
        <w:wordWrap/>
        <w:overflowPunct/>
        <w:topLinePunct w:val="0"/>
        <w:bidi w:val="0"/>
        <w:spacing w:line="460" w:lineRule="exact"/>
        <w:ind w:firstLine="420"/>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b/>
          <w:bCs/>
          <w:color w:val="000000" w:themeColor="text1"/>
          <w:sz w:val="24"/>
          <w:szCs w:val="24"/>
          <w:highlight w:val="none"/>
          <w:u w:val="single"/>
          <w14:textFill>
            <w14:solidFill>
              <w14:schemeClr w14:val="tx1"/>
            </w14:solidFill>
          </w14:textFill>
        </w:rPr>
        <w:t>②承包人负责合同实施期间其合同段内临时交通道路（含场内外连接公共交通道路）和交通设施的修建、维修、养护和交通管理工作，并承担一切费用。</w:t>
      </w:r>
    </w:p>
    <w:p w14:paraId="0F47BAC5">
      <w:pPr>
        <w:pStyle w:val="246"/>
        <w:pageBreakBefore w:val="0"/>
        <w:wordWrap/>
        <w:overflowPunct/>
        <w:topLinePunct w:val="0"/>
        <w:bidi w:val="0"/>
        <w:spacing w:line="460" w:lineRule="exact"/>
        <w:ind w:firstLine="420"/>
        <w:jc w:val="left"/>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b/>
          <w:bCs/>
          <w:color w:val="000000" w:themeColor="text1"/>
          <w:sz w:val="24"/>
          <w:szCs w:val="24"/>
          <w:highlight w:val="none"/>
          <w:u w:val="single"/>
          <w14:textFill>
            <w14:solidFill>
              <w14:schemeClr w14:val="tx1"/>
            </w14:solidFill>
          </w14:textFill>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r>
        <w:rPr>
          <w:rFonts w:hint="eastAsia" w:ascii="宋体" w:hAnsi="宋体" w:eastAsia="宋体" w:cs="宋体"/>
          <w:b/>
          <w:bCs/>
          <w:color w:val="000000" w:themeColor="text1"/>
          <w:sz w:val="24"/>
          <w:szCs w:val="24"/>
          <w:highlight w:val="none"/>
          <w14:textFill>
            <w14:solidFill>
              <w14:schemeClr w14:val="tx1"/>
            </w14:solidFill>
          </w14:textFill>
        </w:rPr>
        <w:t>。</w:t>
      </w:r>
    </w:p>
    <w:p w14:paraId="7855AC8C">
      <w:pPr>
        <w:pStyle w:val="247"/>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8.8.2 发包人提供的施工设备和临时设施</w:t>
      </w:r>
    </w:p>
    <w:p w14:paraId="0559432B">
      <w:pPr>
        <w:pStyle w:val="247"/>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发包人提供的施工设备和临时设施：</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        </w:t>
      </w:r>
      <w:r>
        <w:rPr>
          <w:rFonts w:hint="eastAsia" w:ascii="宋体" w:hAnsi="宋体" w:eastAsia="宋体" w:cs="宋体"/>
          <w:color w:val="000000" w:themeColor="text1"/>
          <w:sz w:val="24"/>
          <w:szCs w:val="24"/>
          <w:highlight w:val="none"/>
          <w14:textFill>
            <w14:solidFill>
              <w14:schemeClr w14:val="tx1"/>
            </w14:solidFill>
          </w14:textFill>
        </w:rPr>
        <w:t>。</w:t>
      </w:r>
    </w:p>
    <w:p w14:paraId="6E9CA44B">
      <w:pPr>
        <w:pStyle w:val="247"/>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发包人提供的施工设备和临时设施的运行、维护、拆除、清运费用的承担人：</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    </w:t>
      </w:r>
      <w:r>
        <w:rPr>
          <w:rFonts w:hint="eastAsia" w:ascii="宋体" w:hAnsi="宋体" w:eastAsia="宋体" w:cs="宋体"/>
          <w:b/>
          <w:bCs/>
          <w:color w:val="000000" w:themeColor="text1"/>
          <w:sz w:val="24"/>
          <w:szCs w:val="24"/>
          <w:highlight w:val="none"/>
          <w14:textFill>
            <w14:solidFill>
              <w14:schemeClr w14:val="tx1"/>
            </w14:solidFill>
          </w14:textFill>
        </w:rPr>
        <w:t>。</w:t>
      </w:r>
    </w:p>
    <w:p w14:paraId="4BFDA08D">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517" w:name="_Toc7145"/>
      <w:bookmarkEnd w:id="517"/>
      <w:r>
        <w:rPr>
          <w:rFonts w:hint="eastAsia" w:ascii="宋体" w:hAnsi="宋体" w:eastAsia="宋体" w:cs="宋体"/>
          <w:color w:val="000000" w:themeColor="text1"/>
          <w:sz w:val="24"/>
          <w:szCs w:val="24"/>
          <w:highlight w:val="none"/>
          <w14:textFill>
            <w14:solidFill>
              <w14:schemeClr w14:val="tx1"/>
            </w14:solidFill>
          </w14:textFill>
        </w:rPr>
        <w:t>9</w:t>
      </w:r>
      <w:bookmarkStart w:id="518" w:name="_Toc297123533"/>
      <w:bookmarkEnd w:id="518"/>
      <w:bookmarkStart w:id="519" w:name="_Toc300934982"/>
      <w:bookmarkEnd w:id="519"/>
      <w:bookmarkStart w:id="520" w:name="_Toc297048359"/>
      <w:bookmarkEnd w:id="520"/>
      <w:bookmarkStart w:id="521" w:name="_Toc297120473"/>
      <w:bookmarkEnd w:id="521"/>
      <w:bookmarkStart w:id="522" w:name="_Toc304295559"/>
      <w:bookmarkEnd w:id="522"/>
      <w:bookmarkStart w:id="523" w:name="_Toc292559378"/>
      <w:bookmarkEnd w:id="523"/>
      <w:bookmarkStart w:id="524" w:name="_Toc296503173"/>
      <w:bookmarkEnd w:id="524"/>
      <w:bookmarkStart w:id="525" w:name="_Toc296944512"/>
      <w:bookmarkEnd w:id="525"/>
      <w:bookmarkStart w:id="526" w:name="_Toc267251428"/>
      <w:bookmarkEnd w:id="526"/>
      <w:bookmarkStart w:id="527" w:name="_Toc312678021"/>
      <w:bookmarkEnd w:id="527"/>
      <w:bookmarkStart w:id="528" w:name="_Toc267251427"/>
      <w:bookmarkEnd w:id="528"/>
      <w:bookmarkStart w:id="529" w:name="_Toc312677495"/>
      <w:bookmarkEnd w:id="529"/>
      <w:bookmarkStart w:id="530" w:name="_Toc297216192"/>
      <w:bookmarkEnd w:id="530"/>
      <w:bookmarkStart w:id="531" w:name="_Toc303539139"/>
      <w:bookmarkEnd w:id="531"/>
      <w:bookmarkStart w:id="532" w:name="_Toc296347172"/>
      <w:bookmarkEnd w:id="532"/>
      <w:bookmarkStart w:id="533" w:name="_Toc292559883"/>
      <w:bookmarkEnd w:id="533"/>
      <w:bookmarkStart w:id="534" w:name="_Toc296891001"/>
      <w:bookmarkEnd w:id="534"/>
      <w:bookmarkStart w:id="535" w:name="_Toc296346674"/>
      <w:bookmarkEnd w:id="535"/>
      <w:bookmarkStart w:id="536" w:name="_Toc296891213"/>
      <w:r>
        <w:rPr>
          <w:rFonts w:hint="eastAsia" w:ascii="宋体" w:hAnsi="宋体" w:eastAsia="宋体" w:cs="宋体"/>
          <w:color w:val="000000" w:themeColor="text1"/>
          <w:sz w:val="24"/>
          <w:szCs w:val="24"/>
          <w:highlight w:val="none"/>
          <w14:textFill>
            <w14:solidFill>
              <w14:schemeClr w14:val="tx1"/>
            </w14:solidFill>
          </w14:textFill>
        </w:rPr>
        <w:t xml:space="preserve">. </w:t>
      </w:r>
      <w:bookmarkEnd w:id="536"/>
      <w:r>
        <w:rPr>
          <w:rFonts w:hint="eastAsia" w:ascii="宋体" w:hAnsi="宋体" w:eastAsia="宋体" w:cs="宋体"/>
          <w:color w:val="000000" w:themeColor="text1"/>
          <w:sz w:val="24"/>
          <w:szCs w:val="24"/>
          <w:highlight w:val="none"/>
          <w14:textFill>
            <w14:solidFill>
              <w14:schemeClr w14:val="tx1"/>
            </w14:solidFill>
          </w14:textFill>
        </w:rPr>
        <w:t>试验与检验</w:t>
      </w:r>
    </w:p>
    <w:p w14:paraId="259F30C2">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537" w:name="_Toc389065303"/>
      <w:bookmarkEnd w:id="537"/>
      <w:bookmarkStart w:id="538" w:name="_Toc373478384"/>
      <w:bookmarkEnd w:id="538"/>
      <w:bookmarkStart w:id="539" w:name="_Toc29377"/>
      <w:bookmarkEnd w:id="539"/>
      <w:bookmarkStart w:id="540" w:name="_Toc373227737"/>
      <w:bookmarkEnd w:id="540"/>
      <w:bookmarkStart w:id="541" w:name="_Toc407135239"/>
      <w:bookmarkEnd w:id="541"/>
      <w:r>
        <w:rPr>
          <w:rFonts w:hint="eastAsia" w:ascii="宋体" w:hAnsi="宋体" w:eastAsia="宋体" w:cs="宋体"/>
          <w:color w:val="000000" w:themeColor="text1"/>
          <w:sz w:val="24"/>
          <w:szCs w:val="24"/>
          <w:highlight w:val="none"/>
          <w14:textFill>
            <w14:solidFill>
              <w14:schemeClr w14:val="tx1"/>
            </w14:solidFill>
          </w14:textFill>
        </w:rPr>
        <w:t>9</w:t>
      </w:r>
      <w:bookmarkStart w:id="542" w:name="_Toc312678022"/>
      <w:bookmarkEnd w:id="542"/>
      <w:bookmarkStart w:id="543" w:name="_Toc300934983"/>
      <w:bookmarkEnd w:id="543"/>
      <w:bookmarkStart w:id="544" w:name="_Toc303539140"/>
      <w:bookmarkEnd w:id="544"/>
      <w:bookmarkStart w:id="545" w:name="_Toc312677496"/>
      <w:bookmarkEnd w:id="545"/>
      <w:bookmarkStart w:id="546" w:name="_Toc304295560"/>
      <w:bookmarkEnd w:id="546"/>
      <w:bookmarkStart w:id="547" w:name="_Toc297123534"/>
      <w:bookmarkEnd w:id="547"/>
      <w:bookmarkStart w:id="548" w:name="_Toc297216193"/>
      <w:r>
        <w:rPr>
          <w:rFonts w:hint="eastAsia" w:ascii="宋体" w:hAnsi="宋体" w:eastAsia="宋体" w:cs="宋体"/>
          <w:color w:val="000000" w:themeColor="text1"/>
          <w:sz w:val="24"/>
          <w:szCs w:val="24"/>
          <w:highlight w:val="none"/>
          <w14:textFill>
            <w14:solidFill>
              <w14:schemeClr w14:val="tx1"/>
            </w14:solidFill>
          </w14:textFill>
        </w:rPr>
        <w:t xml:space="preserve">.1 </w:t>
      </w:r>
      <w:bookmarkEnd w:id="548"/>
      <w:r>
        <w:rPr>
          <w:rFonts w:hint="eastAsia" w:ascii="宋体" w:hAnsi="宋体" w:eastAsia="宋体" w:cs="宋体"/>
          <w:color w:val="000000" w:themeColor="text1"/>
          <w:sz w:val="24"/>
          <w:szCs w:val="24"/>
          <w:highlight w:val="none"/>
          <w14:textFill>
            <w14:solidFill>
              <w14:schemeClr w14:val="tx1"/>
            </w14:solidFill>
          </w14:textFill>
        </w:rPr>
        <w:t>试验设备与试验人员</w:t>
      </w:r>
    </w:p>
    <w:p w14:paraId="56220D36">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w:t>
      </w:r>
      <w:bookmarkStart w:id="549" w:name="_Toc297216194"/>
      <w:bookmarkEnd w:id="549"/>
      <w:bookmarkStart w:id="550" w:name="_Toc312677497"/>
      <w:bookmarkEnd w:id="550"/>
      <w:bookmarkStart w:id="551" w:name="_Toc300934984"/>
      <w:bookmarkEnd w:id="551"/>
      <w:bookmarkStart w:id="552" w:name="_Toc304295561"/>
      <w:bookmarkEnd w:id="552"/>
      <w:bookmarkStart w:id="553" w:name="_Toc312678023"/>
      <w:bookmarkEnd w:id="553"/>
      <w:bookmarkStart w:id="554" w:name="_Toc303539141"/>
      <w:bookmarkEnd w:id="554"/>
      <w:bookmarkStart w:id="555" w:name="_Toc297123535"/>
      <w:bookmarkEnd w:id="555"/>
      <w:bookmarkStart w:id="556" w:name="_Toc318581174"/>
      <w:r>
        <w:rPr>
          <w:rFonts w:hint="eastAsia" w:ascii="宋体" w:hAnsi="宋体" w:eastAsia="宋体" w:cs="宋体"/>
          <w:color w:val="000000" w:themeColor="text1"/>
          <w:sz w:val="24"/>
          <w:szCs w:val="24"/>
          <w:highlight w:val="none"/>
          <w14:textFill>
            <w14:solidFill>
              <w14:schemeClr w14:val="tx1"/>
            </w14:solidFill>
          </w14:textFill>
        </w:rPr>
        <w:t xml:space="preserve">.1.2 </w:t>
      </w:r>
      <w:bookmarkEnd w:id="556"/>
      <w:r>
        <w:rPr>
          <w:rFonts w:hint="eastAsia" w:ascii="宋体" w:hAnsi="宋体" w:eastAsia="宋体" w:cs="宋体"/>
          <w:color w:val="000000" w:themeColor="text1"/>
          <w:sz w:val="24"/>
          <w:szCs w:val="24"/>
          <w:highlight w:val="none"/>
          <w14:textFill>
            <w14:solidFill>
              <w14:schemeClr w14:val="tx1"/>
            </w14:solidFill>
          </w14:textFill>
        </w:rPr>
        <w:t>试验设备</w:t>
      </w:r>
    </w:p>
    <w:p w14:paraId="240A211D">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施工现场需要配置的试验场所：</w:t>
      </w:r>
      <w:bookmarkStart w:id="557" w:name="_Toc297216195"/>
      <w:bookmarkEnd w:id="557"/>
      <w:bookmarkStart w:id="558" w:name="_Toc300934985"/>
      <w:bookmarkEnd w:id="558"/>
      <w:bookmarkStart w:id="559" w:name="_Toc304295562"/>
      <w:bookmarkEnd w:id="559"/>
      <w:bookmarkStart w:id="560" w:name="_Toc297123536"/>
      <w:bookmarkEnd w:id="560"/>
      <w:bookmarkStart w:id="561" w:name="_Toc303539142"/>
      <w:bookmarkEnd w:id="561"/>
      <w:bookmarkStart w:id="562" w:name="_Toc312678024"/>
      <w:bookmarkEnd w:id="562"/>
      <w:bookmarkStart w:id="563" w:name="_Toc312677498"/>
      <w:bookmarkEnd w:id="563"/>
      <w:r>
        <w:rPr>
          <w:rFonts w:hint="eastAsia" w:ascii="宋体" w:hAnsi="宋体" w:eastAsia="宋体" w:cs="宋体"/>
          <w:b/>
          <w:bCs/>
          <w:color w:val="000000" w:themeColor="text1"/>
          <w:sz w:val="24"/>
          <w:szCs w:val="24"/>
          <w:highlight w:val="none"/>
          <w:u w:val="single"/>
          <w14:textFill>
            <w14:solidFill>
              <w14:schemeClr w14:val="tx1"/>
            </w14:solidFill>
          </w14:textFill>
        </w:rPr>
        <w:t>按相关规定执行，由承包人提供</w:t>
      </w:r>
      <w:r>
        <w:rPr>
          <w:rFonts w:hint="eastAsia" w:ascii="宋体" w:hAnsi="宋体" w:eastAsia="宋体" w:cs="宋体"/>
          <w:b/>
          <w:bCs/>
          <w:color w:val="000000" w:themeColor="text1"/>
          <w:sz w:val="24"/>
          <w:szCs w:val="24"/>
          <w:highlight w:val="none"/>
          <w14:textFill>
            <w14:solidFill>
              <w14:schemeClr w14:val="tx1"/>
            </w14:solidFill>
          </w14:textFill>
        </w:rPr>
        <w:t>。</w:t>
      </w:r>
    </w:p>
    <w:p w14:paraId="090E25A4">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施工现场需要配备的试验设备：</w:t>
      </w:r>
      <w:r>
        <w:rPr>
          <w:rFonts w:hint="eastAsia" w:ascii="宋体" w:hAnsi="宋体" w:eastAsia="宋体" w:cs="宋体"/>
          <w:b/>
          <w:bCs/>
          <w:color w:val="000000" w:themeColor="text1"/>
          <w:sz w:val="24"/>
          <w:szCs w:val="24"/>
          <w:highlight w:val="none"/>
          <w:u w:val="single"/>
          <w14:textFill>
            <w14:solidFill>
              <w14:schemeClr w14:val="tx1"/>
            </w14:solidFill>
          </w14:textFill>
        </w:rPr>
        <w:t>按相关规定执行，由承包人提供</w:t>
      </w:r>
      <w:r>
        <w:rPr>
          <w:rFonts w:hint="eastAsia" w:ascii="宋体" w:hAnsi="宋体" w:eastAsia="宋体" w:cs="宋体"/>
          <w:b/>
          <w:bCs/>
          <w:color w:val="000000" w:themeColor="text1"/>
          <w:sz w:val="24"/>
          <w:szCs w:val="24"/>
          <w:highlight w:val="none"/>
          <w14:textFill>
            <w14:solidFill>
              <w14:schemeClr w14:val="tx1"/>
            </w14:solidFill>
          </w14:textFill>
        </w:rPr>
        <w:t>。</w:t>
      </w:r>
    </w:p>
    <w:p w14:paraId="213BC2DA">
      <w:pPr>
        <w:pStyle w:val="245"/>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施工现场需要具备的其他试验条件：</w:t>
      </w:r>
      <w:r>
        <w:rPr>
          <w:rFonts w:hint="eastAsia" w:ascii="宋体" w:hAnsi="宋体" w:eastAsia="宋体" w:cs="宋体"/>
          <w:b/>
          <w:bCs/>
          <w:color w:val="000000" w:themeColor="text1"/>
          <w:sz w:val="24"/>
          <w:szCs w:val="24"/>
          <w:highlight w:val="none"/>
          <w:u w:val="single"/>
          <w14:textFill>
            <w14:solidFill>
              <w14:schemeClr w14:val="tx1"/>
            </w14:solidFill>
          </w14:textFill>
        </w:rPr>
        <w:t>按相关规定执行，由承包人提供</w:t>
      </w:r>
      <w:r>
        <w:rPr>
          <w:rFonts w:hint="eastAsia" w:ascii="宋体" w:hAnsi="宋体" w:eastAsia="宋体" w:cs="宋体"/>
          <w:b/>
          <w:bCs/>
          <w:color w:val="000000" w:themeColor="text1"/>
          <w:sz w:val="24"/>
          <w:szCs w:val="24"/>
          <w:highlight w:val="none"/>
          <w14:textFill>
            <w14:solidFill>
              <w14:schemeClr w14:val="tx1"/>
            </w14:solidFill>
          </w14:textFill>
        </w:rPr>
        <w:t>。</w:t>
      </w:r>
    </w:p>
    <w:p w14:paraId="19D5D3A2">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564" w:name="_Toc407135240"/>
      <w:bookmarkEnd w:id="564"/>
      <w:bookmarkStart w:id="565" w:name="_Toc389065304"/>
      <w:bookmarkEnd w:id="565"/>
      <w:bookmarkStart w:id="566" w:name="_Toc373227738"/>
      <w:bookmarkEnd w:id="566"/>
      <w:bookmarkStart w:id="567" w:name="_Toc373478385"/>
      <w:r>
        <w:rPr>
          <w:rFonts w:hint="eastAsia" w:ascii="宋体" w:hAnsi="宋体" w:eastAsia="宋体" w:cs="宋体"/>
          <w:color w:val="000000" w:themeColor="text1"/>
          <w:sz w:val="24"/>
          <w:szCs w:val="24"/>
          <w:highlight w:val="none"/>
          <w14:textFill>
            <w14:solidFill>
              <w14:schemeClr w14:val="tx1"/>
            </w14:solidFill>
          </w14:textFill>
        </w:rPr>
        <w:t xml:space="preserve">9.4 </w:t>
      </w:r>
      <w:bookmarkEnd w:id="567"/>
      <w:r>
        <w:rPr>
          <w:rFonts w:hint="eastAsia" w:ascii="宋体" w:hAnsi="宋体" w:eastAsia="宋体" w:cs="宋体"/>
          <w:color w:val="000000" w:themeColor="text1"/>
          <w:sz w:val="24"/>
          <w:szCs w:val="24"/>
          <w:highlight w:val="none"/>
          <w14:textFill>
            <w14:solidFill>
              <w14:schemeClr w14:val="tx1"/>
            </w14:solidFill>
          </w14:textFill>
        </w:rPr>
        <w:t xml:space="preserve">现场工艺试验 </w:t>
      </w:r>
    </w:p>
    <w:p w14:paraId="29CDA03D">
      <w:pPr>
        <w:pStyle w:val="245"/>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现场工艺试验的有关约定：</w:t>
      </w:r>
      <w:r>
        <w:rPr>
          <w:rFonts w:hint="eastAsia" w:ascii="宋体" w:hAnsi="宋体" w:eastAsia="宋体" w:cs="宋体"/>
          <w:b/>
          <w:bCs/>
          <w:color w:val="000000" w:themeColor="text1"/>
          <w:sz w:val="24"/>
          <w:szCs w:val="24"/>
          <w:highlight w:val="none"/>
          <w:u w:val="single"/>
          <w14:textFill>
            <w14:solidFill>
              <w14:schemeClr w14:val="tx1"/>
            </w14:solidFill>
          </w14:textFill>
        </w:rPr>
        <w:t>按《通用合同条款》9.4条执行</w:t>
      </w:r>
      <w:r>
        <w:rPr>
          <w:rFonts w:hint="eastAsia" w:ascii="宋体" w:hAnsi="宋体" w:eastAsia="宋体" w:cs="宋体"/>
          <w:b/>
          <w:bCs/>
          <w:color w:val="000000" w:themeColor="text1"/>
          <w:sz w:val="24"/>
          <w:szCs w:val="24"/>
          <w:highlight w:val="none"/>
          <w14:textFill>
            <w14:solidFill>
              <w14:schemeClr w14:val="tx1"/>
            </w14:solidFill>
          </w14:textFill>
        </w:rPr>
        <w:t>。</w:t>
      </w:r>
    </w:p>
    <w:p w14:paraId="43B542BB">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568" w:name="_Toc407135241"/>
      <w:bookmarkEnd w:id="568"/>
      <w:bookmarkStart w:id="569" w:name="_Toc18997"/>
      <w:bookmarkEnd w:id="569"/>
      <w:bookmarkStart w:id="570" w:name="OLE_LINK1"/>
      <w:r>
        <w:rPr>
          <w:rFonts w:hint="eastAsia" w:ascii="宋体" w:hAnsi="宋体" w:eastAsia="宋体" w:cs="宋体"/>
          <w:color w:val="000000" w:themeColor="text1"/>
          <w:sz w:val="24"/>
          <w:szCs w:val="24"/>
          <w:highlight w:val="none"/>
          <w14:textFill>
            <w14:solidFill>
              <w14:schemeClr w14:val="tx1"/>
            </w14:solidFill>
          </w14:textFill>
        </w:rPr>
        <w:t xml:space="preserve">9.5 </w:t>
      </w:r>
      <w:bookmarkEnd w:id="570"/>
      <w:r>
        <w:rPr>
          <w:rFonts w:hint="eastAsia" w:ascii="宋体" w:hAnsi="宋体" w:eastAsia="宋体" w:cs="宋体"/>
          <w:color w:val="000000" w:themeColor="text1"/>
          <w:sz w:val="24"/>
          <w:szCs w:val="24"/>
          <w:highlight w:val="none"/>
          <w14:textFill>
            <w14:solidFill>
              <w14:schemeClr w14:val="tx1"/>
            </w14:solidFill>
          </w14:textFill>
        </w:rPr>
        <w:t>检验费用</w:t>
      </w:r>
    </w:p>
    <w:p w14:paraId="6840D8B8">
      <w:pPr>
        <w:pStyle w:val="245"/>
        <w:pageBreakBefore w:val="0"/>
        <w:wordWrap/>
        <w:overflowPunct/>
        <w:topLinePunct w:val="0"/>
        <w:bidi w:val="0"/>
        <w:spacing w:line="460" w:lineRule="exact"/>
        <w:ind w:firstLine="470" w:firstLineChars="196"/>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u w:val="single"/>
          <w14:textFill>
            <w14:solidFill>
              <w14:schemeClr w14:val="tx1"/>
            </w14:solidFill>
          </w14:textFill>
        </w:rPr>
        <w:t>根据《建设工程质量检测管理办法》（建设部令第141号）以及《广西壮族自治区建设工程质量检测管理规定》（桂建管〔2013〕11号）规定，工程质量检测业务由发包人委托有相应资质的检测机构检测。费用从发包人的项目建设经费中支出并直接支付给检测机构，不计入合同价款内。</w:t>
      </w:r>
    </w:p>
    <w:p w14:paraId="7EE50169">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571" w:name="_Toc16275"/>
      <w:bookmarkEnd w:id="571"/>
      <w:bookmarkStart w:id="572" w:name="_Toc389065305"/>
      <w:bookmarkEnd w:id="572"/>
      <w:bookmarkStart w:id="573" w:name="_Toc373478386"/>
      <w:bookmarkEnd w:id="573"/>
      <w:bookmarkStart w:id="574" w:name="_Toc373227739"/>
      <w:bookmarkEnd w:id="574"/>
      <w:bookmarkStart w:id="575" w:name="_Toc351203642"/>
      <w:bookmarkEnd w:id="575"/>
      <w:bookmarkStart w:id="576" w:name="_Toc407135242"/>
      <w:bookmarkEnd w:id="576"/>
      <w:r>
        <w:rPr>
          <w:rFonts w:hint="eastAsia" w:ascii="宋体" w:hAnsi="宋体" w:eastAsia="宋体" w:cs="宋体"/>
          <w:color w:val="000000" w:themeColor="text1"/>
          <w:sz w:val="24"/>
          <w:szCs w:val="24"/>
          <w:highlight w:val="none"/>
          <w14:textFill>
            <w14:solidFill>
              <w14:schemeClr w14:val="tx1"/>
            </w14:solidFill>
          </w14:textFill>
        </w:rPr>
        <w:t>1</w:t>
      </w:r>
      <w:bookmarkStart w:id="577" w:name="_Toc303539146"/>
      <w:bookmarkEnd w:id="577"/>
      <w:bookmarkStart w:id="578" w:name="_Toc267251440"/>
      <w:bookmarkEnd w:id="578"/>
      <w:bookmarkStart w:id="579" w:name="_Toc297048379"/>
      <w:bookmarkEnd w:id="579"/>
      <w:bookmarkStart w:id="580" w:name="_Toc297216199"/>
      <w:bookmarkEnd w:id="580"/>
      <w:bookmarkStart w:id="581" w:name="_Toc300934989"/>
      <w:bookmarkEnd w:id="581"/>
      <w:bookmarkStart w:id="582" w:name="_Toc267251439"/>
      <w:bookmarkEnd w:id="582"/>
      <w:bookmarkStart w:id="583" w:name="_Toc296503193"/>
      <w:bookmarkEnd w:id="583"/>
      <w:bookmarkStart w:id="584" w:name="_Toc292559903"/>
      <w:bookmarkEnd w:id="584"/>
      <w:bookmarkStart w:id="585" w:name="_Toc267251441"/>
      <w:bookmarkEnd w:id="585"/>
      <w:bookmarkStart w:id="586" w:name="_Toc296891233"/>
      <w:bookmarkEnd w:id="586"/>
      <w:bookmarkStart w:id="587" w:name="_Toc296891021"/>
      <w:bookmarkEnd w:id="587"/>
      <w:bookmarkStart w:id="588" w:name="_Toc292559398"/>
      <w:bookmarkEnd w:id="588"/>
      <w:bookmarkStart w:id="589" w:name="_Toc304295566"/>
      <w:bookmarkEnd w:id="589"/>
      <w:bookmarkStart w:id="590" w:name="_Toc296347192"/>
      <w:bookmarkEnd w:id="590"/>
      <w:bookmarkStart w:id="591" w:name="_Toc297123540"/>
      <w:bookmarkEnd w:id="591"/>
      <w:bookmarkStart w:id="592" w:name="_Toc296346694"/>
      <w:bookmarkEnd w:id="592"/>
      <w:bookmarkStart w:id="593" w:name="_Toc267251442"/>
      <w:bookmarkEnd w:id="593"/>
      <w:bookmarkStart w:id="594" w:name="_Toc297120493"/>
      <w:bookmarkEnd w:id="594"/>
      <w:bookmarkStart w:id="595" w:name="_Toc312677499"/>
      <w:bookmarkEnd w:id="595"/>
      <w:bookmarkStart w:id="596" w:name="_Toc267251435"/>
      <w:bookmarkEnd w:id="596"/>
      <w:bookmarkStart w:id="597" w:name="_Toc312678025"/>
      <w:bookmarkEnd w:id="597"/>
      <w:bookmarkStart w:id="598" w:name="_Toc267251433"/>
      <w:bookmarkEnd w:id="598"/>
      <w:bookmarkStart w:id="599" w:name="_Toc296944532"/>
      <w:bookmarkEnd w:id="599"/>
      <w:bookmarkStart w:id="600" w:name="_Toc267251437"/>
      <w:r>
        <w:rPr>
          <w:rFonts w:hint="eastAsia" w:ascii="宋体" w:hAnsi="宋体" w:eastAsia="宋体" w:cs="宋体"/>
          <w:color w:val="000000" w:themeColor="text1"/>
          <w:sz w:val="24"/>
          <w:szCs w:val="24"/>
          <w:highlight w:val="none"/>
          <w14:textFill>
            <w14:solidFill>
              <w14:schemeClr w14:val="tx1"/>
            </w14:solidFill>
          </w14:textFill>
        </w:rPr>
        <w:t xml:space="preserve">0. </w:t>
      </w:r>
      <w:bookmarkEnd w:id="600"/>
      <w:r>
        <w:rPr>
          <w:rFonts w:hint="eastAsia" w:ascii="宋体" w:hAnsi="宋体" w:eastAsia="宋体" w:cs="宋体"/>
          <w:color w:val="000000" w:themeColor="text1"/>
          <w:sz w:val="24"/>
          <w:szCs w:val="24"/>
          <w:highlight w:val="none"/>
          <w14:textFill>
            <w14:solidFill>
              <w14:schemeClr w14:val="tx1"/>
            </w14:solidFill>
          </w14:textFill>
        </w:rPr>
        <w:t>变更</w:t>
      </w:r>
    </w:p>
    <w:p w14:paraId="076C8C8D">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601" w:name="_Toc9754"/>
      <w:bookmarkEnd w:id="601"/>
      <w:bookmarkStart w:id="602" w:name="_Toc373227740"/>
      <w:bookmarkEnd w:id="602"/>
      <w:bookmarkStart w:id="603" w:name="_Toc407135243"/>
      <w:bookmarkEnd w:id="603"/>
      <w:bookmarkStart w:id="604" w:name="_Toc389065306"/>
      <w:bookmarkEnd w:id="604"/>
      <w:bookmarkStart w:id="605" w:name="_Toc373478387"/>
      <w:r>
        <w:rPr>
          <w:rFonts w:hint="eastAsia" w:ascii="宋体" w:hAnsi="宋体" w:eastAsia="宋体" w:cs="宋体"/>
          <w:color w:val="000000" w:themeColor="text1"/>
          <w:sz w:val="24"/>
          <w:szCs w:val="24"/>
          <w:highlight w:val="none"/>
          <w14:textFill>
            <w14:solidFill>
              <w14:schemeClr w14:val="tx1"/>
            </w14:solidFill>
          </w14:textFill>
        </w:rPr>
        <w:t>1</w:t>
      </w:r>
      <w:bookmarkEnd w:id="605"/>
      <w:bookmarkStart w:id="606" w:name="_Toc304295567"/>
      <w:bookmarkEnd w:id="606"/>
      <w:bookmarkStart w:id="607" w:name="_Toc296503194"/>
      <w:bookmarkEnd w:id="607"/>
      <w:bookmarkStart w:id="608" w:name="_Toc296347193"/>
      <w:bookmarkEnd w:id="608"/>
      <w:bookmarkStart w:id="609" w:name="_Toc312678026"/>
      <w:bookmarkEnd w:id="609"/>
      <w:bookmarkStart w:id="610" w:name="_Toc292559904"/>
      <w:bookmarkEnd w:id="610"/>
      <w:bookmarkStart w:id="611" w:name="_Toc292559399"/>
      <w:bookmarkEnd w:id="611"/>
      <w:bookmarkStart w:id="612" w:name="_Toc297120494"/>
      <w:bookmarkEnd w:id="612"/>
      <w:bookmarkStart w:id="613" w:name="_Toc297048380"/>
      <w:bookmarkEnd w:id="613"/>
      <w:bookmarkStart w:id="614" w:name="_Toc303539147"/>
      <w:bookmarkEnd w:id="614"/>
      <w:bookmarkStart w:id="615" w:name="_Toc312677500"/>
      <w:bookmarkEnd w:id="615"/>
      <w:bookmarkStart w:id="616" w:name="_Toc296346695"/>
      <w:bookmarkEnd w:id="616"/>
      <w:bookmarkStart w:id="617" w:name="_Toc296944533"/>
      <w:bookmarkEnd w:id="617"/>
      <w:bookmarkStart w:id="618" w:name="_Toc296891234"/>
      <w:bookmarkEnd w:id="618"/>
      <w:bookmarkStart w:id="619" w:name="_Toc300934990"/>
      <w:bookmarkEnd w:id="619"/>
      <w:bookmarkStart w:id="620" w:name="_Toc297123541"/>
      <w:bookmarkEnd w:id="620"/>
      <w:bookmarkStart w:id="621" w:name="_Toc296891022"/>
      <w:bookmarkEnd w:id="621"/>
      <w:bookmarkStart w:id="622" w:name="_Toc297216200"/>
      <w:r>
        <w:rPr>
          <w:rFonts w:hint="eastAsia" w:ascii="宋体" w:hAnsi="宋体" w:eastAsia="宋体" w:cs="宋体"/>
          <w:color w:val="000000" w:themeColor="text1"/>
          <w:sz w:val="24"/>
          <w:szCs w:val="24"/>
          <w:highlight w:val="none"/>
          <w14:textFill>
            <w14:solidFill>
              <w14:schemeClr w14:val="tx1"/>
            </w14:solidFill>
          </w14:textFill>
        </w:rPr>
        <w:t xml:space="preserve">0.1 </w:t>
      </w:r>
      <w:bookmarkEnd w:id="622"/>
      <w:r>
        <w:rPr>
          <w:rFonts w:hint="eastAsia" w:ascii="宋体" w:hAnsi="宋体" w:eastAsia="宋体" w:cs="宋体"/>
          <w:color w:val="000000" w:themeColor="text1"/>
          <w:sz w:val="24"/>
          <w:szCs w:val="24"/>
          <w:highlight w:val="none"/>
          <w14:textFill>
            <w14:solidFill>
              <w14:schemeClr w14:val="tx1"/>
            </w14:solidFill>
          </w14:textFill>
        </w:rPr>
        <w:t>变更的范围</w:t>
      </w:r>
    </w:p>
    <w:p w14:paraId="77C99927">
      <w:pPr>
        <w:pStyle w:val="245"/>
        <w:pageBreakBefore w:val="0"/>
        <w:wordWrap/>
        <w:overflowPunct/>
        <w:topLinePunct w:val="0"/>
        <w:bidi w:val="0"/>
        <w:spacing w:line="460" w:lineRule="exact"/>
        <w:ind w:firstLine="426"/>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关于变更的范围的约定：</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缺项、漏项、设计变更   </w:t>
      </w:r>
      <w:r>
        <w:rPr>
          <w:rFonts w:hint="eastAsia" w:ascii="宋体" w:hAnsi="宋体" w:eastAsia="宋体" w:cs="宋体"/>
          <w:color w:val="000000" w:themeColor="text1"/>
          <w:sz w:val="24"/>
          <w:szCs w:val="24"/>
          <w:highlight w:val="none"/>
          <w14:textFill>
            <w14:solidFill>
              <w14:schemeClr w14:val="tx1"/>
            </w14:solidFill>
          </w14:textFill>
        </w:rPr>
        <w:t>。</w:t>
      </w:r>
    </w:p>
    <w:p w14:paraId="13A4105C">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623" w:name="_Toc389065307"/>
      <w:bookmarkEnd w:id="623"/>
      <w:bookmarkStart w:id="624" w:name="_Toc407135244"/>
      <w:bookmarkEnd w:id="624"/>
      <w:bookmarkStart w:id="625" w:name="_Toc373227741"/>
      <w:bookmarkEnd w:id="625"/>
      <w:bookmarkStart w:id="626" w:name="_Toc373478388"/>
      <w:bookmarkEnd w:id="626"/>
      <w:bookmarkStart w:id="627" w:name="_Toc1870"/>
      <w:r>
        <w:rPr>
          <w:rFonts w:hint="eastAsia" w:ascii="宋体" w:hAnsi="宋体" w:eastAsia="宋体" w:cs="宋体"/>
          <w:color w:val="000000" w:themeColor="text1"/>
          <w:sz w:val="24"/>
          <w:szCs w:val="24"/>
          <w:highlight w:val="none"/>
          <w14:textFill>
            <w14:solidFill>
              <w14:schemeClr w14:val="tx1"/>
            </w14:solidFill>
          </w14:textFill>
        </w:rPr>
        <w:t xml:space="preserve">10.3 </w:t>
      </w:r>
      <w:bookmarkEnd w:id="627"/>
      <w:r>
        <w:rPr>
          <w:rFonts w:hint="eastAsia" w:ascii="宋体" w:hAnsi="宋体" w:eastAsia="宋体" w:cs="宋体"/>
          <w:color w:val="000000" w:themeColor="text1"/>
          <w:sz w:val="24"/>
          <w:szCs w:val="24"/>
          <w:highlight w:val="none"/>
          <w14:textFill>
            <w14:solidFill>
              <w14:schemeClr w14:val="tx1"/>
            </w14:solidFill>
          </w14:textFill>
        </w:rPr>
        <w:t>变更程序</w:t>
      </w:r>
    </w:p>
    <w:p w14:paraId="0D015E4A">
      <w:pPr>
        <w:keepNext w:val="0"/>
        <w:keepLines w:val="0"/>
        <w:pageBreakBefore w:val="0"/>
        <w:widowControl/>
        <w:suppressLineNumbers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10.3.1</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国有投资项目：</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32"/>
          <w:szCs w:val="32"/>
          <w:highlight w:val="none"/>
          <w:u w:val="single"/>
          <w14:textFill>
            <w14:solidFill>
              <w14:schemeClr w14:val="tx1"/>
            </w14:solidFill>
          </w14:textFill>
        </w:rPr>
        <w:t xml:space="preserve">   </w:t>
      </w:r>
      <w:r>
        <w:rPr>
          <w:rFonts w:hint="eastAsia" w:ascii="宋体" w:hAnsi="宋体" w:eastAsia="宋体" w:cs="宋体"/>
          <w:b/>
          <w:bCs/>
          <w:color w:val="000000" w:themeColor="text1"/>
          <w:sz w:val="32"/>
          <w:szCs w:val="32"/>
          <w:highlight w:val="none"/>
          <w:u w:val="single"/>
          <w14:textFill>
            <w14:solidFill>
              <w14:schemeClr w14:val="tx1"/>
            </w14:solidFill>
          </w14:textFill>
        </w:rPr>
        <w:t xml:space="preserve">/ </w:t>
      </w:r>
      <w:r>
        <w:rPr>
          <w:rFonts w:hint="eastAsia" w:ascii="宋体" w:hAnsi="宋体" w:eastAsia="宋体" w:cs="宋体"/>
          <w:color w:val="000000" w:themeColor="text1"/>
          <w:sz w:val="32"/>
          <w:szCs w:val="32"/>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08842911">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10.3.2 非国有投资项目：</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2DC16366">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628" w:name="_Toc11079"/>
      <w:bookmarkEnd w:id="628"/>
      <w:bookmarkStart w:id="629" w:name="_Toc373478389"/>
      <w:bookmarkEnd w:id="629"/>
      <w:bookmarkStart w:id="630" w:name="_Toc407135245"/>
      <w:bookmarkEnd w:id="630"/>
      <w:bookmarkStart w:id="631" w:name="_Toc389065308"/>
      <w:bookmarkEnd w:id="631"/>
      <w:bookmarkStart w:id="632" w:name="_Toc373227742"/>
      <w:r>
        <w:rPr>
          <w:rFonts w:hint="eastAsia" w:ascii="宋体" w:hAnsi="宋体" w:eastAsia="宋体" w:cs="宋体"/>
          <w:color w:val="000000" w:themeColor="text1"/>
          <w:sz w:val="24"/>
          <w:szCs w:val="24"/>
          <w:highlight w:val="none"/>
          <w14:textFill>
            <w14:solidFill>
              <w14:schemeClr w14:val="tx1"/>
            </w14:solidFill>
          </w14:textFill>
        </w:rPr>
        <w:t xml:space="preserve">10.4 </w:t>
      </w:r>
      <w:bookmarkEnd w:id="632"/>
      <w:r>
        <w:rPr>
          <w:rFonts w:hint="eastAsia" w:ascii="宋体" w:hAnsi="宋体" w:eastAsia="宋体" w:cs="宋体"/>
          <w:color w:val="000000" w:themeColor="text1"/>
          <w:sz w:val="24"/>
          <w:szCs w:val="24"/>
          <w:highlight w:val="none"/>
          <w14:textFill>
            <w14:solidFill>
              <w14:schemeClr w14:val="tx1"/>
            </w14:solidFill>
          </w14:textFill>
        </w:rPr>
        <w:t>变更估价</w:t>
      </w:r>
    </w:p>
    <w:p w14:paraId="07FB7491">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bookmarkStart w:id="633" w:name="_Toc373478390"/>
      <w:bookmarkEnd w:id="633"/>
      <w:bookmarkStart w:id="634" w:name="_Toc389065309"/>
      <w:bookmarkEnd w:id="634"/>
      <w:bookmarkStart w:id="635" w:name="_Toc373227743"/>
      <w:bookmarkEnd w:id="635"/>
      <w:bookmarkStart w:id="636" w:name="_Toc407135246"/>
      <w:r>
        <w:rPr>
          <w:rFonts w:hint="eastAsia" w:ascii="宋体" w:hAnsi="宋体" w:eastAsia="宋体" w:cs="宋体"/>
          <w:color w:val="000000" w:themeColor="text1"/>
          <w:sz w:val="24"/>
          <w:szCs w:val="24"/>
          <w:highlight w:val="none"/>
          <w14:textFill>
            <w14:solidFill>
              <w14:schemeClr w14:val="tx1"/>
            </w14:solidFill>
          </w14:textFill>
        </w:rPr>
        <w:t xml:space="preserve">10.4.1 </w:t>
      </w:r>
      <w:bookmarkEnd w:id="636"/>
      <w:r>
        <w:rPr>
          <w:rFonts w:hint="eastAsia" w:ascii="宋体" w:hAnsi="宋体" w:eastAsia="宋体" w:cs="宋体"/>
          <w:color w:val="000000" w:themeColor="text1"/>
          <w:sz w:val="24"/>
          <w:szCs w:val="24"/>
          <w:highlight w:val="none"/>
          <w14:textFill>
            <w14:solidFill>
              <w14:schemeClr w14:val="tx1"/>
            </w14:solidFill>
          </w14:textFill>
        </w:rPr>
        <w:t>变更估价原则</w:t>
      </w:r>
    </w:p>
    <w:p w14:paraId="60E7C391">
      <w:pPr>
        <w:pStyle w:val="247"/>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关于变更估价的约定: </w:t>
      </w:r>
      <w:bookmarkStart w:id="637" w:name="_Toc251051742"/>
      <w:bookmarkEnd w:id="637"/>
      <w:r>
        <w:rPr>
          <w:rFonts w:hint="eastAsia" w:ascii="宋体" w:hAnsi="宋体" w:eastAsia="宋体" w:cs="宋体"/>
          <w:b/>
          <w:bCs/>
          <w:color w:val="000000" w:themeColor="text1"/>
          <w:sz w:val="24"/>
          <w:szCs w:val="24"/>
          <w:highlight w:val="none"/>
          <w:u w:val="single"/>
          <w14:textFill>
            <w14:solidFill>
              <w14:schemeClr w14:val="tx1"/>
            </w14:solidFill>
          </w14:textFill>
        </w:rPr>
        <w:t>工程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w:t>
      </w:r>
      <w:r>
        <w:rPr>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u w:val="single"/>
          <w14:textFill>
            <w14:solidFill>
              <w14:schemeClr w14:val="tx1"/>
            </w14:solidFill>
          </w14:textFill>
        </w:rPr>
        <w:t>乘以下浮系数  %，</w:t>
      </w: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cs="宋体"/>
          <w:b/>
          <w:bCs/>
          <w:color w:val="000000" w:themeColor="text1"/>
          <w:sz w:val="24"/>
          <w:szCs w:val="24"/>
          <w:highlight w:val="none"/>
          <w:u w:val="single"/>
          <w14:textFill>
            <w14:solidFill>
              <w14:schemeClr w14:val="tx1"/>
            </w14:solidFill>
          </w14:textFill>
        </w:rPr>
        <w:t>不乘下浮系数）计算，其中：材料设备价格按施工期间的《</w:t>
      </w:r>
      <w:r>
        <w:rPr>
          <w:rFonts w:hint="eastAsia" w:ascii="宋体" w:hAnsi="宋体" w:eastAsia="宋体" w:cs="宋体"/>
          <w:b/>
          <w:bCs/>
          <w:color w:val="000000" w:themeColor="text1"/>
          <w:sz w:val="24"/>
          <w:szCs w:val="24"/>
          <w:highlight w:val="none"/>
          <w:u w:val="single"/>
          <w:lang w:eastAsia="zh-CN"/>
          <w14:textFill>
            <w14:solidFill>
              <w14:schemeClr w14:val="tx1"/>
            </w14:solidFill>
          </w14:textFill>
        </w:rPr>
        <w:t>贵港</w:t>
      </w:r>
      <w:r>
        <w:rPr>
          <w:rFonts w:hint="eastAsia" w:ascii="宋体" w:hAnsi="宋体" w:eastAsia="宋体" w:cs="宋体"/>
          <w:b/>
          <w:bCs/>
          <w:color w:val="000000" w:themeColor="text1"/>
          <w:sz w:val="24"/>
          <w:szCs w:val="24"/>
          <w:highlight w:val="none"/>
          <w:u w:val="single"/>
          <w14:textFill>
            <w14:solidFill>
              <w14:schemeClr w14:val="tx1"/>
            </w14:solidFill>
          </w14:textFill>
        </w:rPr>
        <w:t>市建设工程造价信息》相应信息价的加权平均值计算，《</w:t>
      </w:r>
      <w:r>
        <w:rPr>
          <w:rFonts w:hint="eastAsia" w:ascii="宋体" w:hAnsi="宋体" w:eastAsia="宋体" w:cs="宋体"/>
          <w:b/>
          <w:bCs/>
          <w:color w:val="000000" w:themeColor="text1"/>
          <w:sz w:val="24"/>
          <w:szCs w:val="24"/>
          <w:highlight w:val="none"/>
          <w:u w:val="single"/>
          <w:lang w:eastAsia="zh-CN"/>
          <w14:textFill>
            <w14:solidFill>
              <w14:schemeClr w14:val="tx1"/>
            </w14:solidFill>
          </w14:textFill>
        </w:rPr>
        <w:t>贵港</w:t>
      </w:r>
      <w:r>
        <w:rPr>
          <w:rFonts w:hint="eastAsia" w:ascii="宋体" w:hAnsi="宋体" w:eastAsia="宋体" w:cs="宋体"/>
          <w:b/>
          <w:bCs/>
          <w:color w:val="000000" w:themeColor="text1"/>
          <w:sz w:val="24"/>
          <w:szCs w:val="24"/>
          <w:highlight w:val="none"/>
          <w:u w:val="single"/>
          <w14:textFill>
            <w14:solidFill>
              <w14:schemeClr w14:val="tx1"/>
            </w14:solidFill>
          </w14:textFill>
        </w:rPr>
        <w:t>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新增单价需报送</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贵港市</w:t>
      </w:r>
      <w:r>
        <w:rPr>
          <w:rFonts w:hint="eastAsia" w:ascii="宋体" w:hAnsi="宋体" w:eastAsia="宋体" w:cs="宋体"/>
          <w:b/>
          <w:bCs/>
          <w:color w:val="000000" w:themeColor="text1"/>
          <w:sz w:val="24"/>
          <w:szCs w:val="24"/>
          <w:highlight w:val="none"/>
          <w:u w:val="single"/>
          <w14:textFill>
            <w14:solidFill>
              <w14:schemeClr w14:val="tx1"/>
            </w14:solidFill>
          </w14:textFill>
        </w:rPr>
        <w:t>财政拨款评审确定</w:t>
      </w:r>
      <w:r>
        <w:rPr>
          <w:rFonts w:hint="eastAsia" w:ascii="宋体" w:hAnsi="宋体" w:eastAsia="宋体" w:cs="宋体"/>
          <w:b/>
          <w:bCs/>
          <w:color w:val="000000" w:themeColor="text1"/>
          <w:sz w:val="24"/>
          <w:szCs w:val="24"/>
          <w:highlight w:val="none"/>
          <w14:textFill>
            <w14:solidFill>
              <w14:schemeClr w14:val="tx1"/>
            </w14:solidFill>
          </w14:textFill>
        </w:rPr>
        <w:t>。以上约定同时适用于招标工程量清单缺项以及工程量清单项目特征与图纸不符时的价款确定。</w:t>
      </w:r>
    </w:p>
    <w:p w14:paraId="5561C660">
      <w:pPr>
        <w:pStyle w:val="247"/>
        <w:pageBreakBefore w:val="0"/>
        <w:wordWrap/>
        <w:overflowPunct/>
        <w:topLinePunct w:val="0"/>
        <w:bidi w:val="0"/>
        <w:spacing w:line="460" w:lineRule="exact"/>
        <w:ind w:firstLine="482" w:firstLineChars="200"/>
        <w:jc w:val="left"/>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b/>
          <w:bCs/>
          <w:color w:val="000000" w:themeColor="text1"/>
          <w:sz w:val="24"/>
          <w:szCs w:val="24"/>
          <w:highlight w:val="none"/>
          <w:u w:val="single"/>
          <w14:textFill>
            <w14:solidFill>
              <w14:schemeClr w14:val="tx1"/>
            </w14:solidFill>
          </w14:textFill>
        </w:rPr>
        <w:t>工程变更导致实际完成的变更工程量与已标价清单或预算书中列明的该项目工程量有偏差时，其综合单价的确定按专用条款“1.13工程量清单错误的修正”执行。</w:t>
      </w:r>
    </w:p>
    <w:p w14:paraId="2B9AD0D2">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638" w:name="_Toc5836"/>
      <w:bookmarkEnd w:id="638"/>
      <w:r>
        <w:rPr>
          <w:rFonts w:hint="eastAsia" w:ascii="宋体" w:hAnsi="宋体" w:eastAsia="宋体" w:cs="宋体"/>
          <w:color w:val="000000" w:themeColor="text1"/>
          <w:sz w:val="24"/>
          <w:szCs w:val="24"/>
          <w:highlight w:val="none"/>
          <w14:textFill>
            <w14:solidFill>
              <w14:schemeClr w14:val="tx1"/>
            </w14:solidFill>
          </w14:textFill>
        </w:rPr>
        <w:t>1</w:t>
      </w:r>
      <w:bookmarkStart w:id="639" w:name="_Toc300934993"/>
      <w:bookmarkEnd w:id="639"/>
      <w:bookmarkStart w:id="640" w:name="_Toc296944536"/>
      <w:bookmarkEnd w:id="640"/>
      <w:bookmarkStart w:id="641" w:name="_Toc297048383"/>
      <w:bookmarkEnd w:id="641"/>
      <w:bookmarkStart w:id="642" w:name="_Toc296891237"/>
      <w:bookmarkEnd w:id="642"/>
      <w:bookmarkStart w:id="643" w:name="_Toc296347196"/>
      <w:bookmarkEnd w:id="643"/>
      <w:bookmarkStart w:id="644" w:name="_Toc303539150"/>
      <w:bookmarkEnd w:id="644"/>
      <w:bookmarkStart w:id="645" w:name="_Toc297120497"/>
      <w:bookmarkEnd w:id="645"/>
      <w:bookmarkStart w:id="646" w:name="_Toc297123544"/>
      <w:bookmarkEnd w:id="646"/>
      <w:bookmarkStart w:id="647" w:name="_Toc296503197"/>
      <w:bookmarkEnd w:id="647"/>
      <w:bookmarkStart w:id="648" w:name="_Toc297216203"/>
      <w:bookmarkEnd w:id="648"/>
      <w:bookmarkStart w:id="649" w:name="_Toc296891025"/>
      <w:bookmarkEnd w:id="649"/>
      <w:bookmarkStart w:id="650" w:name="_Toc292559907"/>
      <w:bookmarkEnd w:id="650"/>
      <w:bookmarkStart w:id="651" w:name="_Toc296346698"/>
      <w:bookmarkEnd w:id="651"/>
      <w:bookmarkStart w:id="652" w:name="_Toc304295570"/>
      <w:bookmarkEnd w:id="652"/>
      <w:bookmarkStart w:id="653" w:name="_Toc312678029"/>
      <w:bookmarkEnd w:id="653"/>
      <w:bookmarkStart w:id="654" w:name="_Toc292559402"/>
      <w:bookmarkEnd w:id="654"/>
      <w:bookmarkStart w:id="655" w:name="_Toc312677503"/>
      <w:bookmarkEnd w:id="655"/>
      <w:r>
        <w:rPr>
          <w:rFonts w:hint="eastAsia" w:ascii="宋体" w:hAnsi="宋体" w:eastAsia="宋体" w:cs="宋体"/>
          <w:color w:val="000000" w:themeColor="text1"/>
          <w:sz w:val="24"/>
          <w:szCs w:val="24"/>
          <w:highlight w:val="none"/>
          <w14:textFill>
            <w14:solidFill>
              <w14:schemeClr w14:val="tx1"/>
            </w14:solidFill>
          </w14:textFill>
        </w:rPr>
        <w:t>0.5 承</w:t>
      </w:r>
      <w:bookmarkStart w:id="656" w:name="_Toc300934994"/>
      <w:bookmarkEnd w:id="656"/>
      <w:bookmarkStart w:id="657" w:name="_Toc296503203"/>
      <w:bookmarkEnd w:id="657"/>
      <w:bookmarkStart w:id="658" w:name="_Toc297123545"/>
      <w:bookmarkEnd w:id="658"/>
      <w:bookmarkStart w:id="659" w:name="_Toc292559913"/>
      <w:bookmarkEnd w:id="659"/>
      <w:bookmarkStart w:id="660" w:name="_Toc296944542"/>
      <w:bookmarkEnd w:id="660"/>
      <w:bookmarkStart w:id="661" w:name="_Toc296346704"/>
      <w:bookmarkEnd w:id="661"/>
      <w:bookmarkStart w:id="662" w:name="_Toc297216204"/>
      <w:bookmarkEnd w:id="662"/>
      <w:bookmarkStart w:id="663" w:name="_Toc292559408"/>
      <w:bookmarkEnd w:id="663"/>
      <w:bookmarkStart w:id="664" w:name="_Toc297120503"/>
      <w:bookmarkEnd w:id="664"/>
      <w:bookmarkStart w:id="665" w:name="_Toc297048389"/>
      <w:bookmarkEnd w:id="665"/>
      <w:bookmarkStart w:id="666" w:name="_Toc296347202"/>
      <w:bookmarkEnd w:id="666"/>
      <w:bookmarkStart w:id="667" w:name="_Toc303539151"/>
      <w:bookmarkEnd w:id="667"/>
      <w:bookmarkStart w:id="668" w:name="_Toc296891243"/>
      <w:bookmarkEnd w:id="668"/>
      <w:bookmarkStart w:id="669" w:name="_Toc296891031"/>
      <w:bookmarkEnd w:id="669"/>
      <w:r>
        <w:rPr>
          <w:rFonts w:hint="eastAsia" w:ascii="宋体" w:hAnsi="宋体" w:eastAsia="宋体" w:cs="宋体"/>
          <w:color w:val="000000" w:themeColor="text1"/>
          <w:sz w:val="24"/>
          <w:szCs w:val="24"/>
          <w:highlight w:val="none"/>
          <w14:textFill>
            <w14:solidFill>
              <w14:schemeClr w14:val="tx1"/>
            </w14:solidFill>
          </w14:textFill>
        </w:rPr>
        <w:t>包人的合理化建议</w:t>
      </w:r>
    </w:p>
    <w:p w14:paraId="77D49665">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监理人审查承包人合理化建议的期限：</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7天内审查完毕并报发包人</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61928717">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发包人审批承包人合理化建议的期限：</w:t>
      </w:r>
      <w:r>
        <w:rPr>
          <w:rFonts w:hint="eastAsia" w:ascii="宋体" w:hAnsi="宋体" w:eastAsia="宋体" w:cs="宋体"/>
          <w:b/>
          <w:bCs/>
          <w:color w:val="000000" w:themeColor="text1"/>
          <w:sz w:val="24"/>
          <w:szCs w:val="24"/>
          <w:highlight w:val="none"/>
          <w:u w:val="single"/>
          <w14:textFill>
            <w14:solidFill>
              <w14:schemeClr w14:val="tx1"/>
            </w14:solidFill>
          </w14:textFill>
        </w:rPr>
        <w:t>收到监理人报送的合理化建议后7天内审批完毕</w:t>
      </w:r>
      <w:r>
        <w:rPr>
          <w:rFonts w:hint="eastAsia" w:ascii="宋体" w:hAnsi="宋体" w:eastAsia="宋体" w:cs="宋体"/>
          <w:color w:val="000000" w:themeColor="text1"/>
          <w:sz w:val="24"/>
          <w:szCs w:val="24"/>
          <w:highlight w:val="none"/>
          <w14:textFill>
            <w14:solidFill>
              <w14:schemeClr w14:val="tx1"/>
            </w14:solidFill>
          </w14:textFill>
        </w:rPr>
        <w:t>。</w:t>
      </w:r>
    </w:p>
    <w:p w14:paraId="5C585945">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承</w:t>
      </w:r>
      <w:bookmarkStart w:id="670" w:name="_Toc296891244"/>
      <w:bookmarkEnd w:id="670"/>
      <w:bookmarkStart w:id="671" w:name="_Toc297120504"/>
      <w:bookmarkEnd w:id="671"/>
      <w:bookmarkStart w:id="672" w:name="_Toc297048390"/>
      <w:bookmarkEnd w:id="672"/>
      <w:bookmarkStart w:id="673" w:name="_Toc292559409"/>
      <w:bookmarkEnd w:id="673"/>
      <w:bookmarkStart w:id="674" w:name="_Toc300934995"/>
      <w:bookmarkEnd w:id="674"/>
      <w:bookmarkStart w:id="675" w:name="_Toc297216205"/>
      <w:bookmarkEnd w:id="675"/>
      <w:bookmarkStart w:id="676" w:name="_Toc303539152"/>
      <w:bookmarkEnd w:id="676"/>
      <w:bookmarkStart w:id="677" w:name="_Toc312677504"/>
      <w:bookmarkEnd w:id="677"/>
      <w:bookmarkStart w:id="678" w:name="_Toc312678030"/>
      <w:bookmarkEnd w:id="678"/>
      <w:bookmarkStart w:id="679" w:name="_Toc296944543"/>
      <w:bookmarkEnd w:id="679"/>
      <w:bookmarkStart w:id="680" w:name="_Toc292559914"/>
      <w:bookmarkEnd w:id="680"/>
      <w:bookmarkStart w:id="681" w:name="_Toc297123546"/>
      <w:bookmarkEnd w:id="681"/>
      <w:bookmarkStart w:id="682" w:name="_Toc296503204"/>
      <w:bookmarkEnd w:id="682"/>
      <w:bookmarkStart w:id="683" w:name="_Toc318581175"/>
      <w:bookmarkEnd w:id="683"/>
      <w:bookmarkStart w:id="684" w:name="_Toc296346705"/>
      <w:bookmarkEnd w:id="684"/>
      <w:bookmarkStart w:id="685" w:name="_Toc304295571"/>
      <w:bookmarkEnd w:id="685"/>
      <w:bookmarkStart w:id="686" w:name="_Toc296347203"/>
      <w:bookmarkEnd w:id="686"/>
      <w:bookmarkStart w:id="687" w:name="_Toc296891032"/>
      <w:r>
        <w:rPr>
          <w:rFonts w:hint="eastAsia" w:ascii="宋体" w:hAnsi="宋体" w:eastAsia="宋体" w:cs="宋体"/>
          <w:color w:val="000000" w:themeColor="text1"/>
          <w:sz w:val="24"/>
          <w:szCs w:val="24"/>
          <w:highlight w:val="none"/>
          <w14:textFill>
            <w14:solidFill>
              <w14:schemeClr w14:val="tx1"/>
            </w14:solidFill>
          </w14:textFill>
        </w:rPr>
        <w:t>包人提出的合理化建议降低了合同价格或者提高了工程经济效益的奖励的方法和金额为：</w:t>
      </w:r>
      <w:bookmarkEnd w:id="687"/>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无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7DA4CF6D">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688" w:name="_Toc373478391"/>
      <w:bookmarkEnd w:id="688"/>
      <w:bookmarkStart w:id="689" w:name="_Toc865"/>
      <w:bookmarkEnd w:id="689"/>
      <w:bookmarkStart w:id="690" w:name="_Toc373227744"/>
      <w:bookmarkEnd w:id="690"/>
      <w:bookmarkStart w:id="691" w:name="_Toc407135247"/>
      <w:bookmarkEnd w:id="691"/>
      <w:bookmarkStart w:id="692" w:name="_Toc389065310"/>
      <w:bookmarkEnd w:id="692"/>
      <w:r>
        <w:rPr>
          <w:rFonts w:hint="eastAsia" w:ascii="宋体" w:hAnsi="宋体" w:eastAsia="宋体" w:cs="宋体"/>
          <w:color w:val="000000" w:themeColor="text1"/>
          <w:sz w:val="24"/>
          <w:szCs w:val="24"/>
          <w:highlight w:val="none"/>
          <w14:textFill>
            <w14:solidFill>
              <w14:schemeClr w14:val="tx1"/>
            </w14:solidFill>
          </w14:textFill>
        </w:rPr>
        <w:t>1</w:t>
      </w:r>
      <w:bookmarkStart w:id="693" w:name="_Toc297123548"/>
      <w:bookmarkEnd w:id="693"/>
      <w:bookmarkStart w:id="694" w:name="_Toc296944538"/>
      <w:bookmarkEnd w:id="694"/>
      <w:bookmarkStart w:id="695" w:name="_Toc297216207"/>
      <w:bookmarkEnd w:id="695"/>
      <w:bookmarkStart w:id="696" w:name="_Toc304295574"/>
      <w:bookmarkEnd w:id="696"/>
      <w:bookmarkStart w:id="697" w:name="_Toc292559404"/>
      <w:bookmarkEnd w:id="697"/>
      <w:bookmarkStart w:id="698" w:name="_Toc297048385"/>
      <w:bookmarkEnd w:id="698"/>
      <w:bookmarkStart w:id="699" w:name="_Toc297120499"/>
      <w:bookmarkEnd w:id="699"/>
      <w:bookmarkStart w:id="700" w:name="_Toc296503199"/>
      <w:bookmarkEnd w:id="700"/>
      <w:bookmarkStart w:id="701" w:name="_Toc296891239"/>
      <w:bookmarkEnd w:id="701"/>
      <w:bookmarkStart w:id="702" w:name="_Toc312678033"/>
      <w:bookmarkEnd w:id="702"/>
      <w:bookmarkStart w:id="703" w:name="_Toc303539154"/>
      <w:bookmarkEnd w:id="703"/>
      <w:bookmarkStart w:id="704" w:name="_Toc296891027"/>
      <w:bookmarkEnd w:id="704"/>
      <w:bookmarkStart w:id="705" w:name="_Toc296346700"/>
      <w:bookmarkEnd w:id="705"/>
      <w:bookmarkStart w:id="706" w:name="_Toc292559909"/>
      <w:bookmarkEnd w:id="706"/>
      <w:bookmarkStart w:id="707" w:name="_Toc296347198"/>
      <w:bookmarkEnd w:id="707"/>
      <w:bookmarkStart w:id="708" w:name="_Toc300934997"/>
      <w:bookmarkEnd w:id="708"/>
      <w:bookmarkStart w:id="709" w:name="_Toc312677507"/>
      <w:r>
        <w:rPr>
          <w:rFonts w:hint="eastAsia" w:ascii="宋体" w:hAnsi="宋体" w:eastAsia="宋体" w:cs="宋体"/>
          <w:color w:val="000000" w:themeColor="text1"/>
          <w:sz w:val="24"/>
          <w:szCs w:val="24"/>
          <w:highlight w:val="none"/>
          <w14:textFill>
            <w14:solidFill>
              <w14:schemeClr w14:val="tx1"/>
            </w14:solidFill>
          </w14:textFill>
        </w:rPr>
        <w:t xml:space="preserve">0.7 </w:t>
      </w:r>
      <w:bookmarkEnd w:id="709"/>
      <w:r>
        <w:rPr>
          <w:rFonts w:hint="eastAsia" w:ascii="宋体" w:hAnsi="宋体" w:eastAsia="宋体" w:cs="宋体"/>
          <w:color w:val="000000" w:themeColor="text1"/>
          <w:sz w:val="24"/>
          <w:szCs w:val="24"/>
          <w:highlight w:val="none"/>
          <w14:textFill>
            <w14:solidFill>
              <w14:schemeClr w14:val="tx1"/>
            </w14:solidFill>
          </w14:textFill>
        </w:rPr>
        <w:t>暂估价</w:t>
      </w:r>
    </w:p>
    <w:p w14:paraId="4ED0F8BC">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bookmarkStart w:id="710" w:name="_Toc407135248"/>
      <w:bookmarkEnd w:id="710"/>
      <w:bookmarkStart w:id="711" w:name="_Toc373478392"/>
      <w:bookmarkEnd w:id="711"/>
      <w:bookmarkStart w:id="712" w:name="_Toc389065311"/>
      <w:bookmarkEnd w:id="712"/>
      <w:bookmarkStart w:id="713" w:name="_Toc373227745"/>
      <w:bookmarkEnd w:id="713"/>
      <w:r>
        <w:rPr>
          <w:rFonts w:hint="eastAsia" w:ascii="宋体" w:hAnsi="宋体" w:eastAsia="宋体" w:cs="宋体"/>
          <w:color w:val="000000" w:themeColor="text1"/>
          <w:kern w:val="0"/>
          <w:sz w:val="24"/>
          <w:szCs w:val="24"/>
          <w:highlight w:val="none"/>
          <w14:textFill>
            <w14:solidFill>
              <w14:schemeClr w14:val="tx1"/>
            </w14:solidFill>
          </w14:textFill>
        </w:rPr>
        <w:t>暂</w:t>
      </w:r>
      <w:bookmarkStart w:id="714" w:name="_Toc312677508"/>
      <w:bookmarkEnd w:id="714"/>
      <w:bookmarkStart w:id="715" w:name="_Toc318581176"/>
      <w:bookmarkEnd w:id="715"/>
      <w:bookmarkStart w:id="716" w:name="_Toc312678034"/>
      <w:r>
        <w:rPr>
          <w:rFonts w:hint="eastAsia" w:ascii="宋体" w:hAnsi="宋体" w:eastAsia="宋体" w:cs="宋体"/>
          <w:color w:val="000000" w:themeColor="text1"/>
          <w:kern w:val="0"/>
          <w:sz w:val="24"/>
          <w:szCs w:val="24"/>
          <w:highlight w:val="none"/>
          <w14:textFill>
            <w14:solidFill>
              <w14:schemeClr w14:val="tx1"/>
            </w14:solidFill>
          </w14:textFill>
        </w:rPr>
        <w:t>估价材料和工程设备的明细详见已标价工程量清单《</w:t>
      </w:r>
      <w:bookmarkEnd w:id="716"/>
      <w:r>
        <w:rPr>
          <w:rFonts w:hint="eastAsia" w:ascii="宋体" w:hAnsi="宋体" w:eastAsia="宋体" w:cs="宋体"/>
          <w:color w:val="000000" w:themeColor="text1"/>
          <w:sz w:val="24"/>
          <w:szCs w:val="24"/>
          <w:highlight w:val="none"/>
          <w14:textFill>
            <w14:solidFill>
              <w14:schemeClr w14:val="tx1"/>
            </w14:solidFill>
          </w14:textFill>
        </w:rPr>
        <w:t>材料（工程设备）暂估价格及调整表》</w:t>
      </w:r>
      <w:r>
        <w:rPr>
          <w:rFonts w:hint="eastAsia" w:ascii="宋体" w:hAnsi="宋体" w:eastAsia="宋体" w:cs="宋体"/>
          <w:color w:val="000000" w:themeColor="text1"/>
          <w:kern w:val="0"/>
          <w:sz w:val="24"/>
          <w:szCs w:val="24"/>
          <w:highlight w:val="none"/>
          <w14:textFill>
            <w14:solidFill>
              <w14:schemeClr w14:val="tx1"/>
            </w14:solidFill>
          </w14:textFill>
        </w:rPr>
        <w:t>（表12-2）和《</w:t>
      </w:r>
      <w:r>
        <w:rPr>
          <w:rFonts w:hint="eastAsia" w:ascii="宋体" w:hAnsi="宋体" w:eastAsia="宋体" w:cs="宋体"/>
          <w:color w:val="000000" w:themeColor="text1"/>
          <w:sz w:val="24"/>
          <w:szCs w:val="24"/>
          <w:highlight w:val="none"/>
          <w14:textFill>
            <w14:solidFill>
              <w14:schemeClr w14:val="tx1"/>
            </w14:solidFill>
          </w14:textFill>
        </w:rPr>
        <w:t>专业工程暂估价表》（</w:t>
      </w:r>
      <w:r>
        <w:rPr>
          <w:rFonts w:hint="eastAsia" w:ascii="宋体" w:hAnsi="宋体" w:eastAsia="宋体" w:cs="宋体"/>
          <w:color w:val="000000" w:themeColor="text1"/>
          <w:kern w:val="0"/>
          <w:sz w:val="24"/>
          <w:szCs w:val="24"/>
          <w:highlight w:val="none"/>
          <w14:textFill>
            <w14:solidFill>
              <w14:schemeClr w14:val="tx1"/>
            </w14:solidFill>
          </w14:textFill>
        </w:rPr>
        <w:t>表12-3）。</w:t>
      </w:r>
    </w:p>
    <w:p w14:paraId="7772CB00">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bookmarkStart w:id="717" w:name="_Toc312678035"/>
      <w:bookmarkEnd w:id="717"/>
      <w:bookmarkStart w:id="718" w:name="_Toc312677509"/>
      <w:bookmarkEnd w:id="718"/>
      <w:bookmarkStart w:id="719" w:name="_Toc318581177"/>
      <w:r>
        <w:rPr>
          <w:rFonts w:hint="eastAsia" w:ascii="宋体" w:hAnsi="宋体" w:eastAsia="宋体" w:cs="宋体"/>
          <w:color w:val="000000" w:themeColor="text1"/>
          <w:sz w:val="24"/>
          <w:szCs w:val="24"/>
          <w:highlight w:val="none"/>
          <w14:textFill>
            <w14:solidFill>
              <w14:schemeClr w14:val="tx1"/>
            </w14:solidFill>
          </w14:textFill>
        </w:rPr>
        <w:t xml:space="preserve">0.7.1 </w:t>
      </w:r>
      <w:bookmarkEnd w:id="719"/>
      <w:r>
        <w:rPr>
          <w:rFonts w:hint="eastAsia" w:ascii="宋体" w:hAnsi="宋体" w:eastAsia="宋体" w:cs="宋体"/>
          <w:color w:val="000000" w:themeColor="text1"/>
          <w:sz w:val="24"/>
          <w:szCs w:val="24"/>
          <w:highlight w:val="none"/>
          <w14:textFill>
            <w14:solidFill>
              <w14:schemeClr w14:val="tx1"/>
            </w14:solidFill>
          </w14:textFill>
        </w:rPr>
        <w:t>依法必须招标的暂估价项目</w:t>
      </w:r>
    </w:p>
    <w:p w14:paraId="5D5E34A8">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对于依法必须招标的暂估价项目的确认和批准采取</w:t>
      </w:r>
      <w:r>
        <w:rPr>
          <w:rFonts w:hint="eastAsia" w:ascii="宋体" w:hAnsi="宋体" w:eastAsia="宋体" w:cs="宋体"/>
          <w:b/>
          <w:bCs/>
          <w:color w:val="000000" w:themeColor="text1"/>
          <w:sz w:val="24"/>
          <w:szCs w:val="24"/>
          <w:highlight w:val="none"/>
          <w14:textFill>
            <w14:solidFill>
              <w14:schemeClr w14:val="tx1"/>
            </w14:solidFill>
          </w14:textFill>
        </w:rPr>
        <w:t>第</w:t>
      </w:r>
      <w:r>
        <w:rPr>
          <w:rFonts w:hint="eastAsia" w:ascii="宋体" w:hAnsi="宋体" w:eastAsia="宋体" w:cs="宋体"/>
          <w:b/>
          <w:bCs/>
          <w:color w:val="000000" w:themeColor="text1"/>
          <w:sz w:val="24"/>
          <w:szCs w:val="24"/>
          <w:highlight w:val="none"/>
          <w:u w:val="single"/>
          <w14:textFill>
            <w14:solidFill>
              <w14:schemeClr w14:val="tx1"/>
            </w14:solidFill>
          </w14:textFill>
        </w:rPr>
        <w:t>1</w:t>
      </w:r>
      <w:r>
        <w:rPr>
          <w:rFonts w:hint="eastAsia" w:ascii="宋体" w:hAnsi="宋体" w:eastAsia="宋体" w:cs="宋体"/>
          <w:b/>
          <w:bCs/>
          <w:color w:val="000000" w:themeColor="text1"/>
          <w:sz w:val="24"/>
          <w:szCs w:val="24"/>
          <w:highlight w:val="none"/>
          <w14:textFill>
            <w14:solidFill>
              <w14:schemeClr w14:val="tx1"/>
            </w14:solidFill>
          </w14:textFill>
        </w:rPr>
        <w:t>种</w:t>
      </w:r>
      <w:r>
        <w:rPr>
          <w:rFonts w:hint="eastAsia" w:ascii="宋体" w:hAnsi="宋体" w:eastAsia="宋体" w:cs="宋体"/>
          <w:color w:val="000000" w:themeColor="text1"/>
          <w:sz w:val="24"/>
          <w:szCs w:val="24"/>
          <w:highlight w:val="none"/>
          <w14:textFill>
            <w14:solidFill>
              <w14:schemeClr w14:val="tx1"/>
            </w14:solidFill>
          </w14:textFill>
        </w:rPr>
        <w:t>方式确定。</w:t>
      </w:r>
    </w:p>
    <w:p w14:paraId="5E1C1A50">
      <w:pPr>
        <w:pStyle w:val="246"/>
        <w:pageBreakBefore w:val="0"/>
        <w:wordWrap/>
        <w:overflowPunct/>
        <w:topLinePunct w:val="0"/>
        <w:bidi w:val="0"/>
        <w:spacing w:line="460" w:lineRule="exact"/>
        <w:ind w:firstLine="420"/>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b/>
          <w:bCs/>
          <w:color w:val="000000" w:themeColor="text1"/>
          <w:sz w:val="24"/>
          <w:szCs w:val="24"/>
          <w:highlight w:val="none"/>
          <w:u w:val="single"/>
          <w14:textFill>
            <w14:solidFill>
              <w14:schemeClr w14:val="tx1"/>
            </w14:solidFill>
          </w14:textFill>
        </w:rPr>
        <w:t>对于依法必须招标的暂估价项目，由承包人招标，对该暂估价项目的确认和批准按照以下约定执行：</w:t>
      </w:r>
    </w:p>
    <w:p w14:paraId="1F940EE5">
      <w:pPr>
        <w:pStyle w:val="246"/>
        <w:pageBreakBefore w:val="0"/>
        <w:wordWrap/>
        <w:overflowPunct/>
        <w:topLinePunct w:val="0"/>
        <w:bidi w:val="0"/>
        <w:spacing w:line="460" w:lineRule="exact"/>
        <w:ind w:firstLine="420"/>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b/>
          <w:bCs/>
          <w:color w:val="000000" w:themeColor="text1"/>
          <w:sz w:val="24"/>
          <w:szCs w:val="24"/>
          <w:highlight w:val="none"/>
          <w:u w:val="single"/>
          <w14:textFill>
            <w14:solidFill>
              <w14:schemeClr w14:val="tx1"/>
            </w14:solidFill>
          </w14:textFill>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45A485FA">
      <w:pPr>
        <w:pStyle w:val="246"/>
        <w:pageBreakBefore w:val="0"/>
        <w:wordWrap/>
        <w:overflowPunct/>
        <w:topLinePunct w:val="0"/>
        <w:bidi w:val="0"/>
        <w:spacing w:line="460" w:lineRule="exact"/>
        <w:ind w:firstLine="420"/>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b/>
          <w:bCs/>
          <w:color w:val="000000" w:themeColor="text1"/>
          <w:sz w:val="24"/>
          <w:szCs w:val="24"/>
          <w:highlight w:val="none"/>
          <w:u w:val="single"/>
          <w14:textFill>
            <w14:solidFill>
              <w14:schemeClr w14:val="tx1"/>
            </w14:solidFill>
          </w14:textFill>
        </w:rPr>
        <w:t>（2）承包人应当根据施工进度计划，提前14天将招标文件通过监理人报送发包人审批，发包人应当在收到承包人报送的相关文件后7天内完成审批或提出修改意见；发包人有权确定招标控制价并委派评标委员会成员；</w:t>
      </w:r>
    </w:p>
    <w:p w14:paraId="361190A0">
      <w:pPr>
        <w:pStyle w:val="246"/>
        <w:pageBreakBefore w:val="0"/>
        <w:wordWrap/>
        <w:overflowPunct/>
        <w:topLinePunct w:val="0"/>
        <w:bidi w:val="0"/>
        <w:spacing w:line="460" w:lineRule="exact"/>
        <w:ind w:firstLine="420"/>
        <w:jc w:val="left"/>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b/>
          <w:bCs/>
          <w:color w:val="000000" w:themeColor="text1"/>
          <w:sz w:val="24"/>
          <w:szCs w:val="24"/>
          <w:highlight w:val="none"/>
          <w:u w:val="single"/>
          <w14:textFill>
            <w14:solidFill>
              <w14:schemeClr w14:val="tx1"/>
            </w14:solidFill>
          </w14:textFill>
        </w:rPr>
        <w:t>（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7FD656B8">
      <w:pPr>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10.7.2 不属于依法必须招标的暂估价项目</w:t>
      </w:r>
    </w:p>
    <w:p w14:paraId="528ACB7F">
      <w:pPr>
        <w:pStyle w:val="246"/>
        <w:pageBreakBefore w:val="0"/>
        <w:wordWrap/>
        <w:overflowPunct/>
        <w:topLinePunct w:val="0"/>
        <w:bidi w:val="0"/>
        <w:spacing w:line="460" w:lineRule="exact"/>
        <w:ind w:firstLine="42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对于不属于依法必须招标的暂估价项目的确认和批准采取</w:t>
      </w:r>
      <w:r>
        <w:rPr>
          <w:rFonts w:hint="eastAsia" w:ascii="宋体" w:hAnsi="宋体" w:eastAsia="宋体" w:cs="宋体"/>
          <w:b/>
          <w:bCs/>
          <w:color w:val="000000" w:themeColor="text1"/>
          <w:sz w:val="24"/>
          <w:szCs w:val="24"/>
          <w:highlight w:val="none"/>
          <w14:textFill>
            <w14:solidFill>
              <w14:schemeClr w14:val="tx1"/>
            </w14:solidFill>
          </w14:textFill>
        </w:rPr>
        <w:t>第</w:t>
      </w:r>
      <w:r>
        <w:rPr>
          <w:rFonts w:hint="eastAsia" w:ascii="宋体" w:hAnsi="宋体" w:eastAsia="宋体" w:cs="宋体"/>
          <w:b/>
          <w:bCs/>
          <w:color w:val="000000" w:themeColor="text1"/>
          <w:sz w:val="24"/>
          <w:szCs w:val="24"/>
          <w:highlight w:val="none"/>
          <w:u w:val="single"/>
          <w14:textFill>
            <w14:solidFill>
              <w14:schemeClr w14:val="tx1"/>
            </w14:solidFill>
          </w14:textFill>
        </w:rPr>
        <w:t>1</w:t>
      </w:r>
      <w:r>
        <w:rPr>
          <w:rFonts w:hint="eastAsia" w:ascii="宋体" w:hAnsi="宋体" w:eastAsia="宋体" w:cs="宋体"/>
          <w:b/>
          <w:bCs/>
          <w:color w:val="000000" w:themeColor="text1"/>
          <w:sz w:val="24"/>
          <w:szCs w:val="24"/>
          <w:highlight w:val="none"/>
          <w14:textFill>
            <w14:solidFill>
              <w14:schemeClr w14:val="tx1"/>
            </w14:solidFill>
          </w14:textFill>
        </w:rPr>
        <w:t>种</w:t>
      </w:r>
      <w:r>
        <w:rPr>
          <w:rFonts w:hint="eastAsia" w:ascii="宋体" w:hAnsi="宋体" w:eastAsia="宋体" w:cs="宋体"/>
          <w:color w:val="000000" w:themeColor="text1"/>
          <w:sz w:val="24"/>
          <w:szCs w:val="24"/>
          <w:highlight w:val="none"/>
          <w14:textFill>
            <w14:solidFill>
              <w14:schemeClr w14:val="tx1"/>
            </w14:solidFill>
          </w14:textFill>
        </w:rPr>
        <w:t>方式确定。</w:t>
      </w:r>
    </w:p>
    <w:p w14:paraId="3E7C6AED">
      <w:pPr>
        <w:pStyle w:val="246"/>
        <w:pageBreakBefore w:val="0"/>
        <w:wordWrap/>
        <w:overflowPunct/>
        <w:topLinePunct w:val="0"/>
        <w:bidi w:val="0"/>
        <w:spacing w:line="460" w:lineRule="exact"/>
        <w:ind w:firstLine="42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第1种方式：对于不属于依法必须招标的暂估价项目，按本项约定确认和批准：</w:t>
      </w:r>
    </w:p>
    <w:p w14:paraId="34DDCBB2">
      <w:pPr>
        <w:pStyle w:val="246"/>
        <w:pageBreakBefore w:val="0"/>
        <w:wordWrap/>
        <w:overflowPunct/>
        <w:topLinePunct w:val="0"/>
        <w:bidi w:val="0"/>
        <w:spacing w:line="460" w:lineRule="exact"/>
        <w:ind w:firstLine="42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5C2FA0DE">
      <w:pPr>
        <w:pStyle w:val="246"/>
        <w:pageBreakBefore w:val="0"/>
        <w:wordWrap/>
        <w:overflowPunct/>
        <w:topLinePunct w:val="0"/>
        <w:bidi w:val="0"/>
        <w:spacing w:line="460" w:lineRule="exact"/>
        <w:ind w:firstLine="42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（2）发包人认为承包人确定的供应商、分包人无法满足工程质量或合同要求的，发包人可以要求承包人重新确定暂估价项目的供应商、分包人；</w:t>
      </w:r>
    </w:p>
    <w:p w14:paraId="1D6D5654">
      <w:pPr>
        <w:pStyle w:val="246"/>
        <w:pageBreakBefore w:val="0"/>
        <w:wordWrap/>
        <w:overflowPunct/>
        <w:topLinePunct w:val="0"/>
        <w:bidi w:val="0"/>
        <w:spacing w:line="460" w:lineRule="exact"/>
        <w:ind w:firstLine="42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（3）承包人应当在签订暂估价合同后7天内，将暂估价合同副本报送发包人留存。</w:t>
      </w:r>
    </w:p>
    <w:p w14:paraId="351288C9">
      <w:pPr>
        <w:pStyle w:val="246"/>
        <w:pageBreakBefore w:val="0"/>
        <w:wordWrap/>
        <w:overflowPunct/>
        <w:topLinePunct w:val="0"/>
        <w:bidi w:val="0"/>
        <w:spacing w:line="460" w:lineRule="exact"/>
        <w:ind w:firstLine="42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第3种方式：承包人直接实施的暂估价项目。</w:t>
      </w:r>
    </w:p>
    <w:p w14:paraId="0C78767E">
      <w:pPr>
        <w:pStyle w:val="246"/>
        <w:pageBreakBefore w:val="0"/>
        <w:wordWrap/>
        <w:overflowPunct/>
        <w:topLinePunct w:val="0"/>
        <w:bidi w:val="0"/>
        <w:spacing w:line="460" w:lineRule="exact"/>
        <w:ind w:firstLine="42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承包人直接实施的暂估价项目的约定：</w:t>
      </w:r>
      <w:r>
        <w:rPr>
          <w:rFonts w:hint="eastAsia" w:ascii="宋体" w:hAnsi="宋体" w:eastAsia="宋体" w:cs="宋体"/>
          <w:color w:val="000000" w:themeColor="text1"/>
          <w:sz w:val="24"/>
          <w:szCs w:val="24"/>
          <w:highlight w:val="none"/>
          <w:u w:val="single"/>
          <w14:textFill>
            <w14:solidFill>
              <w14:schemeClr w14:val="tx1"/>
            </w14:solidFill>
          </w14:textFill>
        </w:rPr>
        <w:t>承包人具备实施暂估价项目的资格和条件的，经发包人和承包人协商一致后，可由承包人自行实施暂估价项目，合同当事人可以在合同条款约定具体事项</w:t>
      </w:r>
      <w:r>
        <w:rPr>
          <w:rFonts w:hint="eastAsia" w:ascii="宋体" w:hAnsi="宋体" w:eastAsia="宋体" w:cs="宋体"/>
          <w:color w:val="000000" w:themeColor="text1"/>
          <w:sz w:val="24"/>
          <w:szCs w:val="24"/>
          <w:highlight w:val="none"/>
          <w14:textFill>
            <w14:solidFill>
              <w14:schemeClr w14:val="tx1"/>
            </w14:solidFill>
          </w14:textFill>
        </w:rPr>
        <w:t>。</w:t>
      </w:r>
    </w:p>
    <w:p w14:paraId="09E25A18">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720" w:name="_Toc20455"/>
      <w:bookmarkEnd w:id="720"/>
      <w:r>
        <w:rPr>
          <w:rFonts w:hint="eastAsia" w:ascii="宋体" w:hAnsi="宋体" w:eastAsia="宋体" w:cs="宋体"/>
          <w:color w:val="000000" w:themeColor="text1"/>
          <w:sz w:val="24"/>
          <w:szCs w:val="24"/>
          <w:highlight w:val="none"/>
          <w14:textFill>
            <w14:solidFill>
              <w14:schemeClr w14:val="tx1"/>
            </w14:solidFill>
          </w14:textFill>
        </w:rPr>
        <w:t>10.8 暂列金额</w:t>
      </w:r>
    </w:p>
    <w:p w14:paraId="3E6664A4">
      <w:pPr>
        <w:pStyle w:val="245"/>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合同当事人关于暂列金额使用的约定：</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（1）已签约合同价中的暂列金额由发包人掌握使用；（2）发包人按照规定所作支付后，暂列金额如有余额归发包人</w:t>
      </w:r>
      <w:r>
        <w:rPr>
          <w:rFonts w:hint="eastAsia" w:ascii="宋体" w:hAnsi="宋体" w:eastAsia="宋体" w:cs="宋体"/>
          <w:b/>
          <w:bCs/>
          <w:color w:val="000000" w:themeColor="text1"/>
          <w:kern w:val="0"/>
          <w:sz w:val="24"/>
          <w:szCs w:val="24"/>
          <w:highlight w:val="none"/>
          <w14:textFill>
            <w14:solidFill>
              <w14:schemeClr w14:val="tx1"/>
            </w14:solidFill>
          </w14:textFill>
        </w:rPr>
        <w:t>。</w:t>
      </w:r>
    </w:p>
    <w:p w14:paraId="71F9FB0A">
      <w:pPr>
        <w:pStyle w:val="237"/>
        <w:pageBreakBefore w:val="0"/>
        <w:numPr>
          <w:ilvl w:val="0"/>
          <w:numId w:val="5"/>
        </w:numPr>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721" w:name="_Toc389065312"/>
      <w:bookmarkEnd w:id="721"/>
      <w:bookmarkStart w:id="722" w:name="_Toc5241"/>
      <w:bookmarkEnd w:id="722"/>
      <w:bookmarkStart w:id="723" w:name="_Toc351203643"/>
      <w:bookmarkEnd w:id="723"/>
      <w:bookmarkStart w:id="724" w:name="_Toc407135249"/>
      <w:bookmarkEnd w:id="724"/>
      <w:bookmarkStart w:id="725" w:name="_Toc373227746"/>
      <w:bookmarkEnd w:id="725"/>
      <w:bookmarkStart w:id="726" w:name="_Toc373478393"/>
      <w:r>
        <w:rPr>
          <w:rFonts w:hint="eastAsia" w:ascii="宋体" w:hAnsi="宋体" w:eastAsia="宋体" w:cs="宋体"/>
          <w:color w:val="000000" w:themeColor="text1"/>
          <w:sz w:val="24"/>
          <w:szCs w:val="24"/>
          <w:highlight w:val="none"/>
          <w14:textFill>
            <w14:solidFill>
              <w14:schemeClr w14:val="tx1"/>
            </w14:solidFill>
          </w14:textFill>
        </w:rPr>
        <w:t>价格调整</w:t>
      </w:r>
      <w:bookmarkEnd w:id="726"/>
    </w:p>
    <w:p w14:paraId="634EB35F">
      <w:pPr>
        <w:pStyle w:val="237"/>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bookmarkStart w:id="727" w:name="_Toc296944540"/>
      <w:bookmarkEnd w:id="727"/>
      <w:bookmarkStart w:id="728" w:name="_Toc373227747"/>
      <w:bookmarkEnd w:id="728"/>
      <w:bookmarkStart w:id="729" w:name="_Toc297048387"/>
      <w:bookmarkEnd w:id="729"/>
      <w:bookmarkStart w:id="730" w:name="_Toc297123550"/>
      <w:bookmarkEnd w:id="730"/>
      <w:bookmarkStart w:id="731" w:name="_Toc389065313"/>
      <w:bookmarkEnd w:id="731"/>
      <w:bookmarkStart w:id="732" w:name="_Toc297216209"/>
      <w:bookmarkEnd w:id="732"/>
      <w:bookmarkStart w:id="733" w:name="_Toc292559911"/>
      <w:bookmarkEnd w:id="733"/>
      <w:bookmarkStart w:id="734" w:name="_Toc407135250"/>
      <w:bookmarkEnd w:id="734"/>
      <w:bookmarkStart w:id="735" w:name="_Toc296891029"/>
      <w:bookmarkEnd w:id="735"/>
      <w:bookmarkStart w:id="736" w:name="_Toc373478394"/>
      <w:bookmarkEnd w:id="736"/>
      <w:bookmarkStart w:id="737" w:name="_Toc292559406"/>
      <w:bookmarkEnd w:id="737"/>
      <w:bookmarkStart w:id="738" w:name="_Toc303539157"/>
      <w:bookmarkEnd w:id="738"/>
      <w:bookmarkStart w:id="739" w:name="_Toc296347200"/>
      <w:bookmarkEnd w:id="739"/>
      <w:bookmarkStart w:id="740" w:name="_Toc304295577"/>
      <w:bookmarkEnd w:id="740"/>
      <w:bookmarkStart w:id="741" w:name="_Toc25985"/>
      <w:bookmarkEnd w:id="741"/>
      <w:bookmarkStart w:id="742" w:name="_Toc312678039"/>
      <w:bookmarkEnd w:id="742"/>
      <w:bookmarkStart w:id="743" w:name="_Toc296503201"/>
      <w:bookmarkEnd w:id="743"/>
      <w:bookmarkStart w:id="744" w:name="_Toc296891241"/>
      <w:bookmarkEnd w:id="744"/>
      <w:bookmarkStart w:id="745" w:name="_Toc296346702"/>
      <w:bookmarkEnd w:id="745"/>
      <w:bookmarkStart w:id="746" w:name="_Toc297120501"/>
      <w:bookmarkEnd w:id="746"/>
      <w:bookmarkStart w:id="747" w:name="_Toc300935000"/>
      <w:r>
        <w:rPr>
          <w:rFonts w:hint="eastAsia" w:ascii="宋体" w:hAnsi="宋体" w:eastAsia="宋体" w:cs="宋体"/>
          <w:color w:val="000000" w:themeColor="text1"/>
          <w:sz w:val="24"/>
          <w:szCs w:val="24"/>
          <w:highlight w:val="none"/>
          <w14:textFill>
            <w14:solidFill>
              <w14:schemeClr w14:val="tx1"/>
            </w14:solidFill>
          </w14:textFill>
        </w:rPr>
        <w:t xml:space="preserve">11.1 </w:t>
      </w:r>
      <w:bookmarkEnd w:id="747"/>
      <w:r>
        <w:rPr>
          <w:rFonts w:hint="eastAsia" w:ascii="宋体" w:hAnsi="宋体" w:eastAsia="宋体" w:cs="宋体"/>
          <w:color w:val="000000" w:themeColor="text1"/>
          <w:sz w:val="24"/>
          <w:szCs w:val="24"/>
          <w:highlight w:val="none"/>
          <w14:textFill>
            <w14:solidFill>
              <w14:schemeClr w14:val="tx1"/>
            </w14:solidFill>
          </w14:textFill>
        </w:rPr>
        <w:t>市场价格波动引起的调整</w:t>
      </w:r>
    </w:p>
    <w:p w14:paraId="4701E692">
      <w:pPr>
        <w:pStyle w:val="247"/>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bookmarkStart w:id="748" w:name="_Toc296347204"/>
      <w:bookmarkEnd w:id="748"/>
      <w:bookmarkStart w:id="749" w:name="_Toc351203644"/>
      <w:bookmarkEnd w:id="749"/>
      <w:bookmarkStart w:id="750" w:name="_Toc300935002"/>
      <w:bookmarkEnd w:id="750"/>
      <w:bookmarkStart w:id="751" w:name="_Toc312678040"/>
      <w:bookmarkEnd w:id="751"/>
      <w:bookmarkStart w:id="752" w:name="_Toc296346706"/>
      <w:bookmarkEnd w:id="752"/>
      <w:bookmarkStart w:id="753" w:name="_Toc296891245"/>
      <w:bookmarkEnd w:id="753"/>
      <w:bookmarkStart w:id="754" w:name="_Toc407135251"/>
      <w:bookmarkEnd w:id="754"/>
      <w:bookmarkStart w:id="755" w:name="_Toc292559915"/>
      <w:bookmarkEnd w:id="755"/>
      <w:bookmarkStart w:id="756" w:name="_Toc373227748"/>
      <w:bookmarkEnd w:id="756"/>
      <w:bookmarkStart w:id="757" w:name="_Toc303539159"/>
      <w:bookmarkEnd w:id="757"/>
      <w:bookmarkStart w:id="758" w:name="_Toc292559410"/>
      <w:bookmarkEnd w:id="758"/>
      <w:bookmarkStart w:id="759" w:name="_Toc296944544"/>
      <w:bookmarkEnd w:id="759"/>
      <w:bookmarkStart w:id="760" w:name="_Toc297216211"/>
      <w:bookmarkEnd w:id="760"/>
      <w:bookmarkStart w:id="761" w:name="_Toc373478395"/>
      <w:bookmarkEnd w:id="761"/>
      <w:bookmarkStart w:id="762" w:name="_Toc297123552"/>
      <w:bookmarkEnd w:id="762"/>
      <w:bookmarkStart w:id="763" w:name="_Toc296891033"/>
      <w:bookmarkEnd w:id="763"/>
      <w:bookmarkStart w:id="764" w:name="_Toc297120505"/>
      <w:bookmarkEnd w:id="764"/>
      <w:bookmarkStart w:id="765" w:name="_Toc304295579"/>
      <w:bookmarkEnd w:id="765"/>
      <w:bookmarkStart w:id="766" w:name="_Toc297048391"/>
      <w:bookmarkEnd w:id="766"/>
      <w:bookmarkStart w:id="767" w:name="_Toc296503205"/>
      <w:bookmarkEnd w:id="767"/>
      <w:r>
        <w:rPr>
          <w:rFonts w:hint="eastAsia" w:ascii="宋体" w:hAnsi="宋体" w:eastAsia="宋体" w:cs="宋体"/>
          <w:color w:val="000000" w:themeColor="text1"/>
          <w:kern w:val="0"/>
          <w:sz w:val="24"/>
          <w:szCs w:val="24"/>
          <w:highlight w:val="none"/>
          <w14:textFill>
            <w14:solidFill>
              <w14:schemeClr w14:val="tx1"/>
            </w14:solidFill>
          </w14:textFill>
        </w:rPr>
        <w:t>市场价格波动是否调整合同价格的约定：</w:t>
      </w:r>
      <w:r>
        <w:rPr>
          <w:rFonts w:hint="eastAsia" w:ascii="宋体" w:hAnsi="宋体" w:eastAsia="宋体" w:cs="宋体"/>
          <w:b/>
          <w:bCs/>
          <w:color w:val="000000" w:themeColor="text1"/>
          <w:sz w:val="24"/>
          <w:szCs w:val="24"/>
          <w:highlight w:val="none"/>
          <w:u w:val="single"/>
          <w14:textFill>
            <w14:solidFill>
              <w14:schemeClr w14:val="tx1"/>
            </w14:solidFill>
          </w14:textFill>
        </w:rPr>
        <w:t>调整</w:t>
      </w:r>
      <w:r>
        <w:rPr>
          <w:rFonts w:hint="eastAsia" w:ascii="宋体" w:hAnsi="宋体" w:eastAsia="宋体" w:cs="宋体"/>
          <w:b/>
          <w:bCs/>
          <w:color w:val="000000" w:themeColor="text1"/>
          <w:sz w:val="24"/>
          <w:szCs w:val="24"/>
          <w:highlight w:val="none"/>
          <w14:textFill>
            <w14:solidFill>
              <w14:schemeClr w14:val="tx1"/>
            </w14:solidFill>
          </w14:textFill>
        </w:rPr>
        <w:t>。</w:t>
      </w:r>
    </w:p>
    <w:p w14:paraId="558913C0">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因市场价格波动调整合同价格，采用以下第</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种方式对合同价格进行调整：</w:t>
      </w:r>
    </w:p>
    <w:p w14:paraId="10C601DA">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第1种方式：采用价格指数进行价格调整。</w:t>
      </w:r>
    </w:p>
    <w:p w14:paraId="491C224C">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关于各可调因子、定值和变值权重，以及基本价格指数及其来源的定：</w:t>
      </w:r>
      <w:r>
        <w:rPr>
          <w:rFonts w:hint="eastAsia" w:ascii="宋体" w:hAnsi="宋体" w:eastAsia="宋体" w:cs="宋体"/>
          <w:color w:val="000000" w:themeColor="text1"/>
          <w:sz w:val="24"/>
          <w:szCs w:val="24"/>
          <w:highlight w:val="none"/>
          <w:u w:val="single"/>
          <w14:textFill>
            <w14:solidFill>
              <w14:schemeClr w14:val="tx1"/>
            </w14:solidFill>
          </w14:textFill>
        </w:rPr>
        <w:t xml:space="preserve">  /   </w:t>
      </w:r>
      <w:r>
        <w:rPr>
          <w:rFonts w:hint="eastAsia" w:ascii="宋体" w:hAnsi="宋体" w:eastAsia="宋体" w:cs="宋体"/>
          <w:color w:val="000000" w:themeColor="text1"/>
          <w:sz w:val="24"/>
          <w:szCs w:val="24"/>
          <w:highlight w:val="none"/>
          <w14:textFill>
            <w14:solidFill>
              <w14:schemeClr w14:val="tx1"/>
            </w14:solidFill>
          </w14:textFill>
        </w:rPr>
        <w:t>；</w:t>
      </w:r>
    </w:p>
    <w:p w14:paraId="139D579D">
      <w:pPr>
        <w:pStyle w:val="247"/>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第2种方式：</w:t>
      </w:r>
      <w:r>
        <w:rPr>
          <w:rFonts w:hint="eastAsia" w:ascii="宋体" w:hAnsi="宋体" w:eastAsia="宋体" w:cs="宋体"/>
          <w:b/>
          <w:bCs/>
          <w:color w:val="000000" w:themeColor="text1"/>
          <w:sz w:val="24"/>
          <w:szCs w:val="24"/>
          <w:highlight w:val="none"/>
          <w:u w:val="single"/>
          <w14:textFill>
            <w14:solidFill>
              <w14:schemeClr w14:val="tx1"/>
            </w14:solidFill>
          </w14:textFill>
        </w:rPr>
        <w:t>采用造价信息进行价格调整。</w:t>
      </w:r>
    </w:p>
    <w:p w14:paraId="4B1E7C98">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允许调整的主要材料和设备、基期价格、风险系数、投标报价详见《承包人提供主要材料和设备一览表》（表-22）,价差调整部分仅计算税金，除此表列明的材料、设备外，其余材料设备价差原则上不予调整。</w:t>
      </w:r>
    </w:p>
    <w:p w14:paraId="3915D2B2">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（2）主要材料和设备确认价：</w:t>
      </w:r>
    </w:p>
    <w:p w14:paraId="4F2C07FD">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按施工期间《</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贵港</w:t>
      </w:r>
      <w:r>
        <w:rPr>
          <w:rFonts w:hint="eastAsia" w:ascii="宋体" w:hAnsi="宋体" w:eastAsia="宋体" w:cs="宋体"/>
          <w:color w:val="000000" w:themeColor="text1"/>
          <w:sz w:val="24"/>
          <w:szCs w:val="24"/>
          <w:highlight w:val="none"/>
          <w14:textFill>
            <w14:solidFill>
              <w14:schemeClr w14:val="tx1"/>
            </w14:solidFill>
          </w14:textFill>
        </w:rPr>
        <w:t>市建设工程造价信息》材料信息价的加权平均价计算，信息价没有的按通用条款规定确定。</w:t>
      </w:r>
    </w:p>
    <w:p w14:paraId="5ECED645">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（3）价差计算方法：</w:t>
      </w:r>
    </w:p>
    <w:p w14:paraId="3524BB4B">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14:paraId="5ED3FEF5">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②承包人在《承包人提供主要材料和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48A44F24">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③承包人在《承包人提供主要材料和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6095A17C">
      <w:pPr>
        <w:pStyle w:val="247"/>
        <w:pageBreakBefore w:val="0"/>
        <w:wordWrap/>
        <w:overflowPunct/>
        <w:topLinePunct w:val="0"/>
        <w:bidi w:val="0"/>
        <w:spacing w:line="460" w:lineRule="exact"/>
        <w:ind w:firstLine="645"/>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第3种方式：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          </w:t>
      </w:r>
      <w:r>
        <w:rPr>
          <w:rFonts w:hint="eastAsia" w:ascii="宋体" w:hAnsi="宋体" w:eastAsia="宋体" w:cs="宋体"/>
          <w:color w:val="000000" w:themeColor="text1"/>
          <w:sz w:val="24"/>
          <w:szCs w:val="24"/>
          <w:highlight w:val="none"/>
          <w14:textFill>
            <w14:solidFill>
              <w14:schemeClr w14:val="tx1"/>
            </w14:solidFill>
          </w14:textFill>
        </w:rPr>
        <w:t>。</w:t>
      </w:r>
    </w:p>
    <w:p w14:paraId="2ECBED36">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768" w:name="_Toc32412"/>
      <w:bookmarkEnd w:id="768"/>
      <w:r>
        <w:rPr>
          <w:rFonts w:hint="eastAsia" w:ascii="宋体" w:hAnsi="宋体" w:eastAsia="宋体" w:cs="宋体"/>
          <w:color w:val="000000" w:themeColor="text1"/>
          <w:sz w:val="24"/>
          <w:szCs w:val="24"/>
          <w:highlight w:val="none"/>
          <w14:textFill>
            <w14:solidFill>
              <w14:schemeClr w14:val="tx1"/>
            </w14:solidFill>
          </w14:textFill>
        </w:rPr>
        <w:t>12. 合同价格、计量与支付</w:t>
      </w:r>
    </w:p>
    <w:p w14:paraId="5A54A977">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769" w:name="_Toc407135252"/>
      <w:bookmarkEnd w:id="769"/>
      <w:bookmarkStart w:id="770" w:name="_Toc297216212"/>
      <w:bookmarkEnd w:id="770"/>
      <w:bookmarkStart w:id="771" w:name="_Toc389065314"/>
      <w:bookmarkEnd w:id="771"/>
      <w:bookmarkStart w:id="772" w:name="_Toc297120506"/>
      <w:bookmarkEnd w:id="772"/>
      <w:bookmarkStart w:id="773" w:name="_Toc297048392"/>
      <w:bookmarkEnd w:id="773"/>
      <w:bookmarkStart w:id="774" w:name="_Toc296891034"/>
      <w:bookmarkEnd w:id="774"/>
      <w:bookmarkStart w:id="775" w:name="_Toc5477"/>
      <w:bookmarkEnd w:id="775"/>
      <w:bookmarkStart w:id="776" w:name="_Toc296891246"/>
      <w:bookmarkEnd w:id="776"/>
      <w:bookmarkStart w:id="777" w:name="_Toc297123553"/>
      <w:bookmarkEnd w:id="777"/>
      <w:bookmarkStart w:id="778" w:name="_Toc296346707"/>
      <w:bookmarkEnd w:id="778"/>
      <w:bookmarkStart w:id="779" w:name="_Toc373227749"/>
      <w:bookmarkEnd w:id="779"/>
      <w:bookmarkStart w:id="780" w:name="_Toc303539160"/>
      <w:bookmarkEnd w:id="780"/>
      <w:bookmarkStart w:id="781" w:name="_Toc296347205"/>
      <w:bookmarkEnd w:id="781"/>
      <w:bookmarkStart w:id="782" w:name="_Toc300935003"/>
      <w:bookmarkEnd w:id="782"/>
      <w:bookmarkStart w:id="783" w:name="_Toc267251461"/>
      <w:bookmarkEnd w:id="783"/>
      <w:bookmarkStart w:id="784" w:name="_Toc296944545"/>
      <w:bookmarkEnd w:id="784"/>
      <w:bookmarkStart w:id="785" w:name="_Toc304295580"/>
      <w:bookmarkEnd w:id="785"/>
      <w:bookmarkStart w:id="786" w:name="_Toc373478396"/>
      <w:bookmarkEnd w:id="786"/>
      <w:bookmarkStart w:id="787" w:name="_Toc292559411"/>
      <w:bookmarkEnd w:id="787"/>
      <w:bookmarkStart w:id="788" w:name="_Toc312678041"/>
      <w:bookmarkEnd w:id="788"/>
      <w:bookmarkStart w:id="789" w:name="_Toc296503206"/>
      <w:bookmarkEnd w:id="789"/>
      <w:bookmarkStart w:id="790" w:name="_Toc292559916"/>
      <w:r>
        <w:rPr>
          <w:rFonts w:hint="eastAsia" w:ascii="宋体" w:hAnsi="宋体" w:eastAsia="宋体" w:cs="宋体"/>
          <w:color w:val="000000" w:themeColor="text1"/>
          <w:sz w:val="24"/>
          <w:szCs w:val="24"/>
          <w:highlight w:val="none"/>
          <w14:textFill>
            <w14:solidFill>
              <w14:schemeClr w14:val="tx1"/>
            </w14:solidFill>
          </w14:textFill>
        </w:rPr>
        <w:t xml:space="preserve">12.1 </w:t>
      </w:r>
      <w:bookmarkEnd w:id="790"/>
      <w:r>
        <w:rPr>
          <w:rFonts w:hint="eastAsia" w:ascii="宋体" w:hAnsi="宋体" w:eastAsia="宋体" w:cs="宋体"/>
          <w:color w:val="000000" w:themeColor="text1"/>
          <w:sz w:val="24"/>
          <w:szCs w:val="24"/>
          <w:highlight w:val="none"/>
          <w14:textFill>
            <w14:solidFill>
              <w14:schemeClr w14:val="tx1"/>
            </w14:solidFill>
          </w14:textFill>
        </w:rPr>
        <w:t>合同价格形式</w:t>
      </w:r>
    </w:p>
    <w:p w14:paraId="433F5BD0">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bookmarkStart w:id="791" w:name="_Toc297120507"/>
      <w:bookmarkEnd w:id="791"/>
      <w:bookmarkStart w:id="792" w:name="_Toc296891035"/>
      <w:bookmarkEnd w:id="792"/>
      <w:bookmarkStart w:id="793" w:name="_Toc297123554"/>
      <w:bookmarkEnd w:id="793"/>
      <w:bookmarkStart w:id="794" w:name="_Toc296503207"/>
      <w:bookmarkEnd w:id="794"/>
      <w:bookmarkStart w:id="795" w:name="_Toc373478397"/>
      <w:bookmarkEnd w:id="795"/>
      <w:bookmarkStart w:id="796" w:name="_Toc296944546"/>
      <w:bookmarkEnd w:id="796"/>
      <w:bookmarkStart w:id="797" w:name="_Toc296891247"/>
      <w:bookmarkEnd w:id="797"/>
      <w:bookmarkStart w:id="798" w:name="_Toc297216213"/>
      <w:bookmarkEnd w:id="798"/>
      <w:bookmarkStart w:id="799" w:name="_Toc292559412"/>
      <w:bookmarkEnd w:id="799"/>
      <w:bookmarkStart w:id="800" w:name="_Toc407135253"/>
      <w:bookmarkEnd w:id="800"/>
      <w:bookmarkStart w:id="801" w:name="_Toc303539161"/>
      <w:bookmarkEnd w:id="801"/>
      <w:bookmarkStart w:id="802" w:name="_Toc304295581"/>
      <w:bookmarkEnd w:id="802"/>
      <w:bookmarkStart w:id="803" w:name="_Toc300935004"/>
      <w:bookmarkEnd w:id="803"/>
      <w:bookmarkStart w:id="804" w:name="_Toc292559917"/>
      <w:bookmarkEnd w:id="804"/>
      <w:bookmarkStart w:id="805" w:name="_Toc296346708"/>
      <w:bookmarkEnd w:id="805"/>
      <w:bookmarkStart w:id="806" w:name="_Toc312678042"/>
      <w:bookmarkEnd w:id="806"/>
      <w:bookmarkStart w:id="807" w:name="_Toc389065315"/>
      <w:bookmarkEnd w:id="807"/>
      <w:bookmarkStart w:id="808" w:name="_Toc297048393"/>
      <w:bookmarkEnd w:id="808"/>
      <w:bookmarkStart w:id="809" w:name="_Toc296347206"/>
      <w:bookmarkEnd w:id="809"/>
      <w:bookmarkStart w:id="810" w:name="_Toc373227750"/>
      <w:r>
        <w:rPr>
          <w:rFonts w:hint="eastAsia" w:ascii="宋体" w:hAnsi="宋体" w:eastAsia="宋体" w:cs="宋体"/>
          <w:color w:val="000000" w:themeColor="text1"/>
          <w:sz w:val="24"/>
          <w:szCs w:val="24"/>
          <w:highlight w:val="none"/>
          <w14:textFill>
            <w14:solidFill>
              <w14:schemeClr w14:val="tx1"/>
            </w14:solidFill>
          </w14:textFill>
        </w:rPr>
        <w:t>本工程采用</w:t>
      </w:r>
      <w:bookmarkEnd w:id="810"/>
      <w:r>
        <w:rPr>
          <w:rFonts w:hint="eastAsia" w:ascii="宋体" w:hAnsi="宋体" w:eastAsia="宋体" w:cs="宋体"/>
          <w:b/>
          <w:bCs/>
          <w:color w:val="000000" w:themeColor="text1"/>
          <w:sz w:val="24"/>
          <w:szCs w:val="24"/>
          <w:highlight w:val="none"/>
          <w14:textFill>
            <w14:solidFill>
              <w14:schemeClr w14:val="tx1"/>
            </w14:solidFill>
          </w14:textFill>
        </w:rPr>
        <w:t>单价合同价格形式</w:t>
      </w:r>
      <w:r>
        <w:rPr>
          <w:rFonts w:hint="eastAsia" w:ascii="宋体" w:hAnsi="宋体" w:eastAsia="宋体" w:cs="宋体"/>
          <w:color w:val="000000" w:themeColor="text1"/>
          <w:sz w:val="24"/>
          <w:szCs w:val="24"/>
          <w:highlight w:val="none"/>
          <w14:textFill>
            <w14:solidFill>
              <w14:schemeClr w14:val="tx1"/>
            </w14:solidFill>
          </w14:textFill>
        </w:rPr>
        <w:t>，合同价格包含增值税，本工程计价时采用的增值税计税方法为：</w:t>
      </w:r>
      <w:r>
        <w:rPr>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 xml:space="preserve">一般计税法 </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sz w:val="24"/>
          <w:szCs w:val="24"/>
          <w:highlight w:val="none"/>
          <w14:textFill>
            <w14:solidFill>
              <w14:schemeClr w14:val="tx1"/>
            </w14:solidFill>
          </w14:textFill>
        </w:rPr>
        <w:t>简易计税法。</w:t>
      </w:r>
    </w:p>
    <w:p w14:paraId="0BA293AD">
      <w:pPr>
        <w:pStyle w:val="247"/>
        <w:pageBreakBefore w:val="0"/>
        <w:wordWrap/>
        <w:overflowPunct/>
        <w:topLinePunct w:val="0"/>
        <w:bidi w:val="0"/>
        <w:spacing w:line="460" w:lineRule="exact"/>
        <w:ind w:firstLine="482"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（1）单价合同。</w:t>
      </w:r>
    </w:p>
    <w:p w14:paraId="7B3AC650">
      <w:pPr>
        <w:pStyle w:val="247"/>
        <w:pageBreakBefore w:val="0"/>
        <w:wordWrap/>
        <w:overflowPunct/>
        <w:topLinePunct w:val="0"/>
        <w:bidi w:val="0"/>
        <w:spacing w:line="460" w:lineRule="exact"/>
        <w:ind w:firstLine="482"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采用综合单价合同方式时，工程量按建设单位、监理单位、施工单位三方确认的竣工图结算。</w:t>
      </w:r>
    </w:p>
    <w:p w14:paraId="654F55AE">
      <w:pPr>
        <w:pStyle w:val="247"/>
        <w:pageBreakBefore w:val="0"/>
        <w:wordWrap/>
        <w:overflowPunct/>
        <w:topLinePunct w:val="0"/>
        <w:bidi w:val="0"/>
        <w:spacing w:line="460" w:lineRule="exact"/>
        <w:ind w:firstLine="482"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综合单价包含的风险范围：</w:t>
      </w:r>
      <w:r>
        <w:rPr>
          <w:rFonts w:hint="eastAsia" w:ascii="宋体" w:hAnsi="宋体" w:eastAsia="宋体" w:cs="宋体"/>
          <w:b/>
          <w:bCs/>
          <w:color w:val="000000" w:themeColor="text1"/>
          <w:sz w:val="24"/>
          <w:szCs w:val="24"/>
          <w:highlight w:val="none"/>
          <w:u w:val="single"/>
          <w14:textFill>
            <w14:solidFill>
              <w14:schemeClr w14:val="tx1"/>
            </w14:solidFill>
          </w14:textFill>
        </w:rPr>
        <w:t>除工程变更、项目特征不符、工程量清单缺项、工程量偏差、政策性调整、本工程《承包人提供主要材料和设备一览表》中约定的材料和设备价格变动风险以外的其他风险因素。</w:t>
      </w:r>
    </w:p>
    <w:p w14:paraId="449D3CE9">
      <w:pPr>
        <w:pStyle w:val="247"/>
        <w:pageBreakBefore w:val="0"/>
        <w:wordWrap/>
        <w:overflowPunct/>
        <w:topLinePunct w:val="0"/>
        <w:bidi w:val="0"/>
        <w:spacing w:line="460" w:lineRule="exact"/>
        <w:ind w:firstLine="482"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风险范围以外合同价格的调整方法：</w:t>
      </w:r>
    </w:p>
    <w:p w14:paraId="3B9F8AF5">
      <w:pPr>
        <w:pStyle w:val="247"/>
        <w:pageBreakBefore w:val="0"/>
        <w:wordWrap/>
        <w:overflowPunct/>
        <w:topLinePunct w:val="0"/>
        <w:bidi w:val="0"/>
        <w:spacing w:line="460" w:lineRule="exact"/>
        <w:ind w:firstLine="482"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①工程变更、项目特征不符、工程量清单缺项：按10.4.1变更估价原则的约定调整。</w:t>
      </w:r>
    </w:p>
    <w:p w14:paraId="0F1D03CD">
      <w:pPr>
        <w:pStyle w:val="247"/>
        <w:pageBreakBefore w:val="0"/>
        <w:wordWrap/>
        <w:overflowPunct/>
        <w:topLinePunct w:val="0"/>
        <w:bidi w:val="0"/>
        <w:spacing w:line="460" w:lineRule="exact"/>
        <w:ind w:firstLine="482"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②工程量偏差：按1.13工程量清单错误修正的约定调整。</w:t>
      </w:r>
    </w:p>
    <w:p w14:paraId="798DFBA3">
      <w:pPr>
        <w:pStyle w:val="247"/>
        <w:pageBreakBefore w:val="0"/>
        <w:wordWrap/>
        <w:overflowPunct/>
        <w:topLinePunct w:val="0"/>
        <w:bidi w:val="0"/>
        <w:spacing w:line="460" w:lineRule="exact"/>
        <w:ind w:firstLine="482"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③政策性调整：按自治区住房城乡建设厅或工程所在地住房城乡建设主管部门颁布的文件执行。</w:t>
      </w:r>
    </w:p>
    <w:p w14:paraId="1662D37C">
      <w:pPr>
        <w:pStyle w:val="247"/>
        <w:pageBreakBefore w:val="0"/>
        <w:wordWrap/>
        <w:overflowPunct/>
        <w:topLinePunct w:val="0"/>
        <w:bidi w:val="0"/>
        <w:spacing w:line="460" w:lineRule="exact"/>
        <w:ind w:firstLine="482"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④材料价格风险：按11.1的约定调整。</w:t>
      </w:r>
    </w:p>
    <w:p w14:paraId="39CC3EE1">
      <w:pPr>
        <w:pStyle w:val="246"/>
        <w:pageBreakBefore w:val="0"/>
        <w:wordWrap/>
        <w:overflowPunct/>
        <w:topLinePunct w:val="0"/>
        <w:bidi w:val="0"/>
        <w:spacing w:line="460" w:lineRule="exact"/>
        <w:ind w:firstLine="420"/>
        <w:jc w:val="left"/>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⑤其它：</w:t>
      </w:r>
      <w:r>
        <w:rPr>
          <w:rFonts w:hint="eastAsia" w:ascii="宋体" w:hAnsi="宋体" w:eastAsia="宋体" w:cs="宋体"/>
          <w:b/>
          <w:bCs/>
          <w:color w:val="000000" w:themeColor="text1"/>
          <w:sz w:val="24"/>
          <w:szCs w:val="24"/>
          <w:highlight w:val="none"/>
          <w:u w:val="single"/>
          <w14:textFill>
            <w14:solidFill>
              <w14:schemeClr w14:val="tx1"/>
            </w14:solidFill>
          </w14:textFill>
        </w:rPr>
        <w:t>价格调整需符合《</w:t>
      </w:r>
      <w:r>
        <w:rPr>
          <w:rFonts w:hint="eastAsia" w:ascii="宋体" w:hAnsi="宋体" w:eastAsia="宋体" w:cs="宋体"/>
          <w:b/>
          <w:bCs/>
          <w:color w:val="000000" w:themeColor="text1"/>
          <w:sz w:val="24"/>
          <w:szCs w:val="24"/>
          <w:highlight w:val="none"/>
          <w:u w:val="single"/>
          <w:lang w:eastAsia="zh-CN"/>
          <w14:textFill>
            <w14:solidFill>
              <w14:schemeClr w14:val="tx1"/>
            </w14:solidFill>
          </w14:textFill>
        </w:rPr>
        <w:t>贵港市政府投资信息化项目管理办法</w:t>
      </w:r>
      <w:r>
        <w:rPr>
          <w:rFonts w:hint="eastAsia" w:ascii="宋体" w:hAnsi="宋体" w:eastAsia="宋体" w:cs="宋体"/>
          <w:b/>
          <w:bCs/>
          <w:color w:val="000000" w:themeColor="text1"/>
          <w:sz w:val="24"/>
          <w:szCs w:val="24"/>
          <w:highlight w:val="none"/>
          <w:u w:val="single"/>
          <w14:textFill>
            <w14:solidFill>
              <w14:schemeClr w14:val="tx1"/>
            </w14:solidFill>
          </w14:textFill>
        </w:rPr>
        <w:t>》即</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 xml:space="preserve">柳政规〔2020〕7号 </w:t>
      </w:r>
      <w:r>
        <w:rPr>
          <w:rFonts w:hint="eastAsia" w:ascii="宋体" w:hAnsi="宋体" w:eastAsia="宋体" w:cs="宋体"/>
          <w:b/>
          <w:bCs/>
          <w:color w:val="000000" w:themeColor="text1"/>
          <w:sz w:val="24"/>
          <w:szCs w:val="24"/>
          <w:highlight w:val="none"/>
          <w:u w:val="single"/>
          <w14:textFill>
            <w14:solidFill>
              <w14:schemeClr w14:val="tx1"/>
            </w14:solidFill>
          </w14:textFill>
        </w:rPr>
        <w:t>规定。A、需变更设计或者因特殊情况造成工程内容和工程量变化需现场签证的，应当履行审批手续并经建设单位、设计单位、监理单位和施工单位等共同确认，若工程内容和工程量变化较大的，应邀请</w:t>
      </w:r>
      <w:r>
        <w:rPr>
          <w:rFonts w:hint="eastAsia" w:ascii="宋体" w:hAnsi="宋体" w:eastAsia="宋体" w:cs="宋体"/>
          <w:b/>
          <w:bCs/>
          <w:color w:val="000000" w:themeColor="text1"/>
          <w:sz w:val="24"/>
          <w:szCs w:val="24"/>
          <w:highlight w:val="none"/>
          <w:u w:val="single"/>
          <w:lang w:eastAsia="zh-CN"/>
          <w14:textFill>
            <w14:solidFill>
              <w14:schemeClr w14:val="tx1"/>
            </w14:solidFill>
          </w14:textFill>
        </w:rPr>
        <w:t>贵港</w:t>
      </w:r>
      <w:r>
        <w:rPr>
          <w:rFonts w:hint="eastAsia" w:ascii="宋体" w:hAnsi="宋体" w:eastAsia="宋体" w:cs="宋体"/>
          <w:b/>
          <w:bCs/>
          <w:color w:val="000000" w:themeColor="text1"/>
          <w:sz w:val="24"/>
          <w:szCs w:val="24"/>
          <w:highlight w:val="none"/>
          <w:u w:val="single"/>
          <w14:textFill>
            <w14:solidFill>
              <w14:schemeClr w14:val="tx1"/>
            </w14:solidFill>
          </w14:textFill>
        </w:rPr>
        <w:t>市行业行政主管部门、市发改、市财政拨款、审计机关、勘察单位和造价咨询单位参加。B、根据投标人的中标综合单价及施工实际工程量进行结算。在施工过程中，若《</w:t>
      </w:r>
      <w:r>
        <w:rPr>
          <w:rFonts w:hint="eastAsia" w:ascii="宋体" w:hAnsi="宋体" w:eastAsia="宋体" w:cs="宋体"/>
          <w:b/>
          <w:bCs/>
          <w:color w:val="000000" w:themeColor="text1"/>
          <w:sz w:val="24"/>
          <w:szCs w:val="24"/>
          <w:highlight w:val="none"/>
          <w:u w:val="single"/>
          <w:lang w:eastAsia="zh-CN"/>
          <w14:textFill>
            <w14:solidFill>
              <w14:schemeClr w14:val="tx1"/>
            </w14:solidFill>
          </w14:textFill>
        </w:rPr>
        <w:t>贵港</w:t>
      </w:r>
      <w:r>
        <w:rPr>
          <w:rFonts w:hint="eastAsia" w:ascii="宋体" w:hAnsi="宋体" w:eastAsia="宋体" w:cs="宋体"/>
          <w:b/>
          <w:bCs/>
          <w:color w:val="000000" w:themeColor="text1"/>
          <w:sz w:val="24"/>
          <w:szCs w:val="24"/>
          <w:highlight w:val="none"/>
          <w:u w:val="single"/>
          <w14:textFill>
            <w14:solidFill>
              <w14:schemeClr w14:val="tx1"/>
            </w14:solidFill>
          </w14:textFill>
        </w:rPr>
        <w:t>市建设工程造价信息》上发布的市场价格幅度超过基准材料价格的±5%时，工程所用的主要材料（指：钢筋、水泥、沙、碎石、给排水管、块料、水电、装饰、商品混凝土、砖、通风、空调）可以调整价格。具体调整办法为：即（施工期《</w:t>
      </w:r>
      <w:r>
        <w:rPr>
          <w:rFonts w:hint="eastAsia" w:ascii="宋体" w:hAnsi="宋体" w:eastAsia="宋体" w:cs="宋体"/>
          <w:b/>
          <w:bCs/>
          <w:color w:val="000000" w:themeColor="text1"/>
          <w:sz w:val="24"/>
          <w:szCs w:val="24"/>
          <w:highlight w:val="none"/>
          <w:u w:val="single"/>
          <w:lang w:eastAsia="zh-CN"/>
          <w14:textFill>
            <w14:solidFill>
              <w14:schemeClr w14:val="tx1"/>
            </w14:solidFill>
          </w14:textFill>
        </w:rPr>
        <w:t>贵港</w:t>
      </w:r>
      <w:r>
        <w:rPr>
          <w:rFonts w:hint="eastAsia" w:ascii="宋体" w:hAnsi="宋体" w:eastAsia="宋体" w:cs="宋体"/>
          <w:b/>
          <w:bCs/>
          <w:color w:val="000000" w:themeColor="text1"/>
          <w:sz w:val="24"/>
          <w:szCs w:val="24"/>
          <w:highlight w:val="none"/>
          <w:u w:val="single"/>
          <w14:textFill>
            <w14:solidFill>
              <w14:schemeClr w14:val="tx1"/>
            </w14:solidFill>
          </w14:textFill>
        </w:rPr>
        <w:t>市建设工程造价信息》发布的材料价格－投标期预算控制价套用的材料价格）×发包人确认材料数量）及相应的税金。C、对于法律、法规、规章或有关政策出台导致工程税金、规费、人工费发生变化，并由自治区建设行政主管部门或其授权的自治区工程造价管理机构根据上述变化发布的政策性调整，承包人不应承担风险，应按照有关调整规定执行。 D、设计变更引起的调整方法a、合同中已有适用的综合单价，按合同中已有的综合单价确定。b、合同中有类似的综合单价，参照类似的综合单价确定。c、合同中没有适用或类似的综合单价，由承包人提出新的综合单价，经发包人及有关部门审核确认并乘以下浮系数（中标价/工程预算控制价）后执行。E、由以上原因引起的工程措施项目费和其他项目费等按GB50500－2013《建设工程工程量清单计价规范广西壮族自治区实施细则》规定进行调整</w:t>
      </w:r>
      <w:r>
        <w:rPr>
          <w:rFonts w:hint="eastAsia" w:ascii="宋体" w:hAnsi="宋体" w:eastAsia="宋体" w:cs="宋体"/>
          <w:b/>
          <w:bCs/>
          <w:color w:val="000000" w:themeColor="text1"/>
          <w:sz w:val="24"/>
          <w:szCs w:val="24"/>
          <w:highlight w:val="none"/>
          <w14:textFill>
            <w14:solidFill>
              <w14:schemeClr w14:val="tx1"/>
            </w14:solidFill>
          </w14:textFill>
        </w:rPr>
        <w:t>。</w:t>
      </w:r>
    </w:p>
    <w:p w14:paraId="00376951">
      <w:pPr>
        <w:pStyle w:val="246"/>
        <w:pageBreakBefore w:val="0"/>
        <w:wordWrap/>
        <w:overflowPunct/>
        <w:topLinePunct w:val="0"/>
        <w:bidi w:val="0"/>
        <w:spacing w:line="460" w:lineRule="exact"/>
        <w:ind w:firstLine="42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风险范围以外合同价格的调整方法：</w:t>
      </w:r>
      <w:r>
        <w:rPr>
          <w:rFonts w:hint="eastAsia" w:ascii="宋体" w:hAnsi="宋体" w:eastAsia="宋体" w:cs="宋体"/>
          <w:b/>
          <w:bCs/>
          <w:color w:val="000000" w:themeColor="text1"/>
          <w:sz w:val="24"/>
          <w:szCs w:val="24"/>
          <w:highlight w:val="none"/>
          <w:u w:val="single"/>
          <w14:textFill>
            <w14:solidFill>
              <w14:schemeClr w14:val="tx1"/>
            </w14:solidFill>
          </w14:textFill>
        </w:rPr>
        <w:t>工程量按实际工程量，材料价格按施工期间</w:t>
      </w:r>
      <w:r>
        <w:rPr>
          <w:rFonts w:hint="eastAsia" w:ascii="宋体" w:hAnsi="宋体" w:eastAsia="宋体" w:cs="宋体"/>
          <w:b/>
          <w:bCs/>
          <w:color w:val="000000" w:themeColor="text1"/>
          <w:sz w:val="24"/>
          <w:szCs w:val="24"/>
          <w:highlight w:val="none"/>
          <w:u w:val="single"/>
          <w:lang w:eastAsia="zh-CN"/>
          <w14:textFill>
            <w14:solidFill>
              <w14:schemeClr w14:val="tx1"/>
            </w14:solidFill>
          </w14:textFill>
        </w:rPr>
        <w:t>贵港</w:t>
      </w:r>
      <w:r>
        <w:rPr>
          <w:rFonts w:hint="eastAsia" w:ascii="宋体" w:hAnsi="宋体" w:eastAsia="宋体" w:cs="宋体"/>
          <w:b/>
          <w:bCs/>
          <w:color w:val="000000" w:themeColor="text1"/>
          <w:sz w:val="24"/>
          <w:szCs w:val="24"/>
          <w:highlight w:val="none"/>
          <w:u w:val="single"/>
          <w14:textFill>
            <w14:solidFill>
              <w14:schemeClr w14:val="tx1"/>
            </w14:solidFill>
          </w14:textFill>
        </w:rPr>
        <w:t>的信息价格，新增单价以</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贵港市</w:t>
      </w:r>
      <w:r>
        <w:rPr>
          <w:rFonts w:hint="eastAsia" w:ascii="宋体" w:hAnsi="宋体" w:eastAsia="宋体" w:cs="宋体"/>
          <w:b/>
          <w:bCs/>
          <w:color w:val="000000" w:themeColor="text1"/>
          <w:sz w:val="24"/>
          <w:szCs w:val="24"/>
          <w:highlight w:val="none"/>
          <w:u w:val="single"/>
          <w14:textFill>
            <w14:solidFill>
              <w14:schemeClr w14:val="tx1"/>
            </w14:solidFill>
          </w14:textFill>
        </w:rPr>
        <w:t>财政拨款评审核定为准</w:t>
      </w:r>
      <w:r>
        <w:rPr>
          <w:rFonts w:hint="eastAsia" w:ascii="宋体" w:hAnsi="宋体" w:eastAsia="宋体" w:cs="宋体"/>
          <w:b/>
          <w:bCs/>
          <w:color w:val="000000" w:themeColor="text1"/>
          <w:sz w:val="24"/>
          <w:szCs w:val="24"/>
          <w:highlight w:val="none"/>
          <w14:textFill>
            <w14:solidFill>
              <w14:schemeClr w14:val="tx1"/>
            </w14:solidFill>
          </w14:textFill>
        </w:rPr>
        <w:t>。</w:t>
      </w:r>
    </w:p>
    <w:p w14:paraId="6933B5B9">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（2）总价合同。</w:t>
      </w:r>
    </w:p>
    <w:p w14:paraId="259B1B4E">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总价包含的风险范围：包含除工程变更、政策性调整、</w:t>
      </w:r>
      <w:r>
        <w:rPr>
          <w:rFonts w:hint="eastAsia" w:ascii="宋体" w:hAnsi="宋体" w:eastAsia="宋体" w:cs="宋体"/>
          <w:color w:val="000000" w:themeColor="text1"/>
          <w:sz w:val="24"/>
          <w:szCs w:val="24"/>
          <w:highlight w:val="none"/>
          <w:u w:val="single"/>
          <w14:textFill>
            <w14:solidFill>
              <w14:schemeClr w14:val="tx1"/>
            </w14:solidFill>
          </w14:textFill>
        </w:rPr>
        <w:t>本工程《承包人提供主要材料和设备一览表》中约定的材料和设备价格变动风险以外的其他风险。除工程变更外，结算时不再对招标施工图对应的工程量重新计量</w:t>
      </w:r>
      <w:r>
        <w:rPr>
          <w:rFonts w:hint="eastAsia" w:ascii="宋体" w:hAnsi="宋体" w:eastAsia="宋体" w:cs="宋体"/>
          <w:color w:val="000000" w:themeColor="text1"/>
          <w:sz w:val="24"/>
          <w:szCs w:val="24"/>
          <w:highlight w:val="none"/>
          <w14:textFill>
            <w14:solidFill>
              <w14:schemeClr w14:val="tx1"/>
            </w14:solidFill>
          </w14:textFill>
        </w:rPr>
        <w:t>。</w:t>
      </w:r>
    </w:p>
    <w:p w14:paraId="2CA94F86">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风险范围以外合同价格的调整方法：</w:t>
      </w:r>
    </w:p>
    <w:p w14:paraId="6964E2F1">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①工程变更：按10.4.1变更估价原则的约定调整。</w:t>
      </w:r>
    </w:p>
    <w:p w14:paraId="5C6A0C30">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②政策性调整：按自治区住房城乡建设厅或工程所在地住房城乡建设主管部门颁布的文件执行。</w:t>
      </w:r>
    </w:p>
    <w:p w14:paraId="6AFFF64A">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③材料价格风险：按11.1的约定调整。</w:t>
      </w:r>
    </w:p>
    <w:p w14:paraId="17B75241">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4其它：</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12010235">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（3）其他价格方式：</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38A2C93F">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811" w:name="_Toc22186"/>
      <w:bookmarkEnd w:id="811"/>
      <w:r>
        <w:rPr>
          <w:rFonts w:hint="eastAsia" w:ascii="宋体" w:hAnsi="宋体" w:eastAsia="宋体" w:cs="宋体"/>
          <w:color w:val="000000" w:themeColor="text1"/>
          <w:sz w:val="24"/>
          <w:szCs w:val="24"/>
          <w:highlight w:val="none"/>
          <w14:textFill>
            <w14:solidFill>
              <w14:schemeClr w14:val="tx1"/>
            </w14:solidFill>
          </w14:textFill>
        </w:rPr>
        <w:t>12.2 预付款</w:t>
      </w:r>
    </w:p>
    <w:p w14:paraId="7B31481A">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bookmarkStart w:id="812" w:name="_Toc373478398"/>
      <w:bookmarkEnd w:id="812"/>
      <w:bookmarkStart w:id="813" w:name="_Toc407135254"/>
      <w:bookmarkEnd w:id="813"/>
      <w:bookmarkStart w:id="814" w:name="_Toc373227751"/>
      <w:bookmarkEnd w:id="814"/>
      <w:bookmarkStart w:id="815" w:name="_Toc389065316"/>
      <w:bookmarkEnd w:id="815"/>
      <w:r>
        <w:rPr>
          <w:rFonts w:hint="eastAsia" w:ascii="宋体" w:hAnsi="宋体" w:eastAsia="宋体" w:cs="宋体"/>
          <w:color w:val="000000" w:themeColor="text1"/>
          <w:sz w:val="24"/>
          <w:szCs w:val="24"/>
          <w:highlight w:val="none"/>
          <w14:textFill>
            <w14:solidFill>
              <w14:schemeClr w14:val="tx1"/>
            </w14:solidFill>
          </w14:textFill>
        </w:rPr>
        <w:t>12.2.1 预付款的支付</w:t>
      </w:r>
    </w:p>
    <w:p w14:paraId="60D1A2CA">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预付款支付比例或金额：</w:t>
      </w:r>
      <w:r>
        <w:rPr>
          <w:rFonts w:hint="eastAsia" w:ascii="宋体" w:hAnsi="宋体" w:eastAsia="宋体" w:cs="宋体"/>
          <w:b/>
          <w:bCs/>
          <w:color w:val="000000" w:themeColor="text1"/>
          <w:sz w:val="24"/>
          <w:szCs w:val="24"/>
          <w:highlight w:val="none"/>
          <w:u w:val="single"/>
          <w14:textFill>
            <w14:solidFill>
              <w14:schemeClr w14:val="tx1"/>
            </w14:solidFill>
          </w14:textFill>
        </w:rPr>
        <w:t>合同价款的</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b/>
          <w:bCs/>
          <w:color w:val="000000" w:themeColor="text1"/>
          <w:sz w:val="24"/>
          <w:szCs w:val="24"/>
          <w:highlight w:val="none"/>
          <w:u w:val="single"/>
          <w14:textFill>
            <w14:solidFill>
              <w14:schemeClr w14:val="tx1"/>
            </w14:solidFill>
          </w14:textFill>
        </w:rPr>
        <w:t>%。</w:t>
      </w:r>
    </w:p>
    <w:p w14:paraId="1CD2E763">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预付款扣回的方式：</w:t>
      </w:r>
      <w:r>
        <w:rPr>
          <w:rFonts w:hint="eastAsia" w:ascii="宋体" w:hAnsi="宋体" w:eastAsia="宋体" w:cs="宋体"/>
          <w:b/>
          <w:bCs/>
          <w:color w:val="000000" w:themeColor="text1"/>
          <w:sz w:val="24"/>
          <w:szCs w:val="24"/>
          <w:highlight w:val="none"/>
          <w:u w:val="single"/>
          <w14:textFill>
            <w14:solidFill>
              <w14:schemeClr w14:val="tx1"/>
            </w14:solidFill>
          </w14:textFill>
        </w:rPr>
        <w:t>按每次进度款的 35 % 扣回，直至进度款拨付金额达到签约合同价的 80%时全部扣清，在颁发工程接收证书前，提前解除合同的，尚未扣完的预付款应与合同价款一并结算。</w:t>
      </w:r>
    </w:p>
    <w:p w14:paraId="412C46AB">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12.2.2 预付款担保</w:t>
      </w:r>
    </w:p>
    <w:p w14:paraId="53B2C8D2">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承包人提交预付款担保的期限：</w:t>
      </w:r>
      <w:r>
        <w:rPr>
          <w:rFonts w:hint="eastAsia" w:ascii="宋体" w:hAnsi="宋体" w:eastAsia="宋体" w:cs="宋体"/>
          <w:b/>
          <w:bCs/>
          <w:color w:val="000000" w:themeColor="text1"/>
          <w:sz w:val="24"/>
          <w:szCs w:val="24"/>
          <w:highlight w:val="none"/>
          <w:u w:val="single"/>
          <w14:textFill>
            <w14:solidFill>
              <w14:schemeClr w14:val="tx1"/>
            </w14:solidFill>
          </w14:textFill>
        </w:rPr>
        <w:t>无</w:t>
      </w:r>
      <w:r>
        <w:rPr>
          <w:rFonts w:hint="eastAsia" w:ascii="宋体" w:hAnsi="宋体" w:eastAsia="宋体" w:cs="宋体"/>
          <w:b/>
          <w:bCs/>
          <w:color w:val="000000" w:themeColor="text1"/>
          <w:sz w:val="24"/>
          <w:szCs w:val="24"/>
          <w:highlight w:val="none"/>
          <w14:textFill>
            <w14:solidFill>
              <w14:schemeClr w14:val="tx1"/>
            </w14:solidFill>
          </w14:textFill>
        </w:rPr>
        <w:t>。</w:t>
      </w:r>
    </w:p>
    <w:p w14:paraId="04C3F3AE">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预付款担保的形式为：</w:t>
      </w:r>
      <w:r>
        <w:rPr>
          <w:rFonts w:hint="eastAsia" w:ascii="宋体" w:hAnsi="宋体" w:eastAsia="宋体" w:cs="宋体"/>
          <w:b/>
          <w:bCs/>
          <w:color w:val="000000" w:themeColor="text1"/>
          <w:sz w:val="24"/>
          <w:szCs w:val="24"/>
          <w:highlight w:val="none"/>
          <w:u w:val="single"/>
          <w14:textFill>
            <w14:solidFill>
              <w14:schemeClr w14:val="tx1"/>
            </w14:solidFill>
          </w14:textFill>
        </w:rPr>
        <w:t>无</w:t>
      </w:r>
      <w:r>
        <w:rPr>
          <w:rFonts w:hint="eastAsia" w:ascii="宋体" w:hAnsi="宋体" w:eastAsia="宋体" w:cs="宋体"/>
          <w:b/>
          <w:bCs/>
          <w:color w:val="000000" w:themeColor="text1"/>
          <w:sz w:val="24"/>
          <w:szCs w:val="24"/>
          <w:highlight w:val="none"/>
          <w14:textFill>
            <w14:solidFill>
              <w14:schemeClr w14:val="tx1"/>
            </w14:solidFill>
          </w14:textFill>
        </w:rPr>
        <w:t>。</w:t>
      </w:r>
    </w:p>
    <w:p w14:paraId="0CA20AA4">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816" w:name="_Toc4411"/>
      <w:bookmarkEnd w:id="816"/>
      <w:bookmarkStart w:id="817" w:name="_Toc15912"/>
      <w:bookmarkEnd w:id="817"/>
      <w:r>
        <w:rPr>
          <w:rFonts w:hint="eastAsia" w:ascii="宋体" w:hAnsi="宋体" w:eastAsia="宋体" w:cs="宋体"/>
          <w:color w:val="000000" w:themeColor="text1"/>
          <w:sz w:val="24"/>
          <w:szCs w:val="24"/>
          <w:highlight w:val="none"/>
          <w14:textFill>
            <w14:solidFill>
              <w14:schemeClr w14:val="tx1"/>
            </w14:solidFill>
          </w14:textFill>
        </w:rPr>
        <w:t>12.3 计量</w:t>
      </w:r>
    </w:p>
    <w:p w14:paraId="7BC94D17">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12.3.1 计量原则</w:t>
      </w:r>
    </w:p>
    <w:p w14:paraId="0BBBBC34">
      <w:pPr>
        <w:pStyle w:val="247"/>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工程量计算规则：</w:t>
      </w:r>
      <w:r>
        <w:rPr>
          <w:rFonts w:hint="eastAsia" w:ascii="宋体" w:hAnsi="宋体" w:eastAsia="宋体" w:cs="宋体"/>
          <w:b/>
          <w:bCs/>
          <w:color w:val="000000" w:themeColor="text1"/>
          <w:sz w:val="24"/>
          <w:szCs w:val="24"/>
          <w:highlight w:val="none"/>
          <w:u w:val="single"/>
          <w14:textFill>
            <w14:solidFill>
              <w14:schemeClr w14:val="tx1"/>
            </w14:solidFill>
          </w14:textFill>
        </w:rPr>
        <w:t>工程的计量均以《建设工程工程量清单计价规范》（GB50500－2013）和及其广西壮族自治区实施细则、《建设工程工程量清单计算规范》（GB50854~50862－2013）及其广西实施细则、本工程补充项目清单为准。</w:t>
      </w:r>
    </w:p>
    <w:p w14:paraId="1E595222">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12.3.2 计量周期</w:t>
      </w:r>
    </w:p>
    <w:p w14:paraId="42B9F99E">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关于计量周期的约定：</w:t>
      </w:r>
      <w:r>
        <w:rPr>
          <w:rFonts w:hint="eastAsia" w:ascii="宋体" w:hAnsi="宋体" w:eastAsia="宋体" w:cs="宋体"/>
          <w:b/>
          <w:bCs/>
          <w:color w:val="000000" w:themeColor="text1"/>
          <w:sz w:val="24"/>
          <w:szCs w:val="24"/>
          <w:highlight w:val="none"/>
          <w:u w:val="single"/>
          <w14:textFill>
            <w14:solidFill>
              <w14:schemeClr w14:val="tx1"/>
            </w14:solidFill>
          </w14:textFill>
        </w:rPr>
        <w:t>每月25日前</w:t>
      </w:r>
      <w:r>
        <w:rPr>
          <w:rFonts w:hint="eastAsia" w:ascii="宋体" w:hAnsi="宋体" w:eastAsia="宋体" w:cs="宋体"/>
          <w:b/>
          <w:bCs/>
          <w:color w:val="000000" w:themeColor="text1"/>
          <w:sz w:val="24"/>
          <w:szCs w:val="24"/>
          <w:highlight w:val="none"/>
          <w14:textFill>
            <w14:solidFill>
              <w14:schemeClr w14:val="tx1"/>
            </w14:solidFill>
          </w14:textFill>
        </w:rPr>
        <w:t>。</w:t>
      </w:r>
    </w:p>
    <w:p w14:paraId="07ABE38A">
      <w:pPr>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12.3.3 单价合同的计量</w:t>
      </w:r>
    </w:p>
    <w:p w14:paraId="5D1DDA02">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关于单价合同计量的约定：</w:t>
      </w:r>
    </w:p>
    <w:p w14:paraId="577794BE">
      <w:pPr>
        <w:pStyle w:val="247"/>
        <w:pageBreakBefore w:val="0"/>
        <w:wordWrap/>
        <w:overflowPunct/>
        <w:topLinePunct w:val="0"/>
        <w:bidi w:val="0"/>
        <w:spacing w:line="460" w:lineRule="exact"/>
        <w:ind w:firstLine="504" w:firstLineChars="21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 工程量清单所列的工程量，不能作为承包人按合同履行其责任依据，实际施工中发生的工程量增加或减少并不影响承包人履行合同的责任，工程结算以完成的实际工程量为准。</w:t>
      </w:r>
    </w:p>
    <w:p w14:paraId="0EA9DE6B">
      <w:pPr>
        <w:pStyle w:val="247"/>
        <w:pageBreakBefore w:val="0"/>
        <w:wordWrap/>
        <w:overflowPunct/>
        <w:topLinePunct w:val="0"/>
        <w:bidi w:val="0"/>
        <w:spacing w:line="460" w:lineRule="exact"/>
        <w:ind w:firstLine="504" w:firstLineChars="21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 除另有规定外，工程师应按照合同通过计量来核实确定已完成的工程量和价款，承包人应得到该价款扣除保留金后的金额。当工程师要对已完工的工程量进行计量时，应适时地通知承包人参加。</w:t>
      </w:r>
    </w:p>
    <w:p w14:paraId="6823B573">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12.3.4 总价合同的计量</w:t>
      </w:r>
    </w:p>
    <w:p w14:paraId="1D38AEA1">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（1）总价合同计量约定：进度款按支付分解表支付</w:t>
      </w: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支付分解表在招标完成后签合同之前制定，具体详见本专用合同条款12.4.6。</w:t>
      </w:r>
    </w:p>
    <w:p w14:paraId="2F9E05C7">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12.3.6 其他价格形式合同的计量</w:t>
      </w:r>
    </w:p>
    <w:p w14:paraId="029DB2B7">
      <w:pPr>
        <w:pStyle w:val="247"/>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其他价格形式的计量方式和程序：</w:t>
      </w:r>
      <w:r>
        <w:rPr>
          <w:rFonts w:hint="eastAsia" w:ascii="宋体" w:hAnsi="宋体" w:eastAsia="宋体" w:cs="宋体"/>
          <w:b/>
          <w:bCs/>
          <w:color w:val="000000" w:themeColor="text1"/>
          <w:sz w:val="24"/>
          <w:szCs w:val="24"/>
          <w:highlight w:val="none"/>
          <w:u w:val="single"/>
          <w14:textFill>
            <w14:solidFill>
              <w14:schemeClr w14:val="tx1"/>
            </w14:solidFill>
          </w14:textFill>
        </w:rPr>
        <w:t>本合同价款采用</w:t>
      </w:r>
      <w:r>
        <w:rPr>
          <w:rFonts w:hint="eastAsia" w:ascii="宋体" w:hAnsi="宋体" w:eastAsia="宋体" w:cs="宋体"/>
          <w:b/>
          <w:bCs/>
          <w:color w:val="000000" w:themeColor="text1"/>
          <w:sz w:val="24"/>
          <w:szCs w:val="24"/>
          <w:highlight w:val="none"/>
          <w:u w:val="single"/>
          <w:lang w:eastAsia="zh-CN"/>
          <w14:textFill>
            <w14:solidFill>
              <w14:schemeClr w14:val="tx1"/>
            </w14:solidFill>
          </w14:textFill>
        </w:rPr>
        <w:t>可调综合单价</w:t>
      </w:r>
      <w:r>
        <w:rPr>
          <w:rFonts w:hint="eastAsia" w:ascii="宋体" w:hAnsi="宋体" w:eastAsia="宋体" w:cs="宋体"/>
          <w:b/>
          <w:bCs/>
          <w:color w:val="000000" w:themeColor="text1"/>
          <w:sz w:val="24"/>
          <w:szCs w:val="24"/>
          <w:highlight w:val="none"/>
          <w:u w:val="single"/>
          <w14:textFill>
            <w14:solidFill>
              <w14:schemeClr w14:val="tx1"/>
            </w14:solidFill>
          </w14:textFill>
        </w:rPr>
        <w:t>方式确定，结算时的工程量按实际发生的工程量，材料价格按施工期间</w:t>
      </w:r>
      <w:r>
        <w:rPr>
          <w:rFonts w:hint="eastAsia" w:ascii="宋体" w:hAnsi="宋体" w:eastAsia="宋体" w:cs="宋体"/>
          <w:b/>
          <w:bCs/>
          <w:color w:val="000000" w:themeColor="text1"/>
          <w:sz w:val="24"/>
          <w:szCs w:val="24"/>
          <w:highlight w:val="none"/>
          <w:u w:val="single"/>
          <w:lang w:eastAsia="zh-CN"/>
          <w14:textFill>
            <w14:solidFill>
              <w14:schemeClr w14:val="tx1"/>
            </w14:solidFill>
          </w14:textFill>
        </w:rPr>
        <w:t>贵港</w:t>
      </w:r>
      <w:r>
        <w:rPr>
          <w:rFonts w:hint="eastAsia" w:ascii="宋体" w:hAnsi="宋体" w:eastAsia="宋体" w:cs="宋体"/>
          <w:b/>
          <w:bCs/>
          <w:color w:val="000000" w:themeColor="text1"/>
          <w:sz w:val="24"/>
          <w:szCs w:val="24"/>
          <w:highlight w:val="none"/>
          <w:u w:val="single"/>
          <w14:textFill>
            <w14:solidFill>
              <w14:schemeClr w14:val="tx1"/>
            </w14:solidFill>
          </w14:textFill>
        </w:rPr>
        <w:t>的信息价格</w:t>
      </w:r>
      <w:r>
        <w:rPr>
          <w:rFonts w:hint="eastAsia" w:ascii="宋体" w:hAnsi="宋体" w:eastAsia="宋体" w:cs="宋体"/>
          <w:b/>
          <w:bCs/>
          <w:color w:val="000000" w:themeColor="text1"/>
          <w:sz w:val="24"/>
          <w:szCs w:val="24"/>
          <w:highlight w:val="none"/>
          <w14:textFill>
            <w14:solidFill>
              <w14:schemeClr w14:val="tx1"/>
            </w14:solidFill>
          </w14:textFill>
        </w:rPr>
        <w:t>。</w:t>
      </w:r>
    </w:p>
    <w:p w14:paraId="3DB03D42">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818" w:name="_Toc407135255"/>
      <w:bookmarkEnd w:id="818"/>
      <w:bookmarkStart w:id="819" w:name="_Toc373227752"/>
      <w:bookmarkEnd w:id="819"/>
      <w:bookmarkStart w:id="820" w:name="_Toc389065317"/>
      <w:bookmarkEnd w:id="820"/>
      <w:bookmarkStart w:id="821" w:name="_Toc373478399"/>
      <w:bookmarkEnd w:id="821"/>
      <w:bookmarkStart w:id="822" w:name="_Toc6416"/>
      <w:r>
        <w:rPr>
          <w:rFonts w:hint="eastAsia" w:ascii="宋体" w:hAnsi="宋体" w:eastAsia="宋体" w:cs="宋体"/>
          <w:color w:val="000000" w:themeColor="text1"/>
          <w:sz w:val="24"/>
          <w:szCs w:val="24"/>
          <w:highlight w:val="none"/>
          <w14:textFill>
            <w14:solidFill>
              <w14:schemeClr w14:val="tx1"/>
            </w14:solidFill>
          </w14:textFill>
        </w:rPr>
        <w:t xml:space="preserve">12.4 </w:t>
      </w:r>
      <w:bookmarkEnd w:id="822"/>
      <w:r>
        <w:rPr>
          <w:rFonts w:hint="eastAsia" w:ascii="宋体" w:hAnsi="宋体" w:eastAsia="宋体" w:cs="宋体"/>
          <w:color w:val="000000" w:themeColor="text1"/>
          <w:sz w:val="24"/>
          <w:szCs w:val="24"/>
          <w:highlight w:val="none"/>
          <w14:textFill>
            <w14:solidFill>
              <w14:schemeClr w14:val="tx1"/>
            </w14:solidFill>
          </w14:textFill>
        </w:rPr>
        <w:t>工程进度款支付</w:t>
      </w:r>
    </w:p>
    <w:p w14:paraId="4C01CB47">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bookmarkStart w:id="823" w:name="_Toc297123556"/>
      <w:bookmarkEnd w:id="823"/>
      <w:bookmarkStart w:id="824" w:name="_Toc407135256"/>
      <w:bookmarkEnd w:id="824"/>
      <w:bookmarkStart w:id="825" w:name="_Toc296891047"/>
      <w:bookmarkEnd w:id="825"/>
      <w:bookmarkStart w:id="826" w:name="_Toc297048397"/>
      <w:bookmarkEnd w:id="826"/>
      <w:bookmarkStart w:id="827" w:name="_Toc312678053"/>
      <w:bookmarkEnd w:id="827"/>
      <w:bookmarkStart w:id="828" w:name="_Toc296347210"/>
      <w:bookmarkEnd w:id="828"/>
      <w:bookmarkStart w:id="829" w:name="_Toc296891251"/>
      <w:bookmarkEnd w:id="829"/>
      <w:bookmarkStart w:id="830" w:name="_Toc296346720"/>
      <w:bookmarkEnd w:id="830"/>
      <w:bookmarkStart w:id="831" w:name="_Toc300935006"/>
      <w:bookmarkEnd w:id="831"/>
      <w:bookmarkStart w:id="832" w:name="_Toc297216215"/>
      <w:bookmarkEnd w:id="832"/>
      <w:bookmarkStart w:id="833" w:name="_Toc292559921"/>
      <w:bookmarkEnd w:id="833"/>
      <w:bookmarkStart w:id="834" w:name="_Toc296891259"/>
      <w:bookmarkEnd w:id="834"/>
      <w:bookmarkStart w:id="835" w:name="_Toc296891039"/>
      <w:bookmarkEnd w:id="835"/>
      <w:bookmarkStart w:id="836" w:name="_Toc296346712"/>
      <w:bookmarkEnd w:id="836"/>
      <w:bookmarkStart w:id="837" w:name="_Toc292559424"/>
      <w:bookmarkEnd w:id="837"/>
      <w:bookmarkStart w:id="838" w:name="_Toc351203645"/>
      <w:bookmarkEnd w:id="838"/>
      <w:bookmarkStart w:id="839" w:name="_Toc303539172"/>
      <w:bookmarkEnd w:id="839"/>
      <w:bookmarkStart w:id="840" w:name="_Toc296503211"/>
      <w:bookmarkEnd w:id="840"/>
      <w:bookmarkStart w:id="841" w:name="_Toc373227753"/>
      <w:bookmarkEnd w:id="841"/>
      <w:bookmarkStart w:id="842" w:name="_Toc297123564"/>
      <w:bookmarkEnd w:id="842"/>
      <w:bookmarkStart w:id="843" w:name="_Toc303539163"/>
      <w:bookmarkEnd w:id="843"/>
      <w:bookmarkStart w:id="844" w:name="_Toc304295593"/>
      <w:bookmarkEnd w:id="844"/>
      <w:bookmarkStart w:id="845" w:name="_Toc297120519"/>
      <w:bookmarkEnd w:id="845"/>
      <w:bookmarkStart w:id="846" w:name="_Toc300935015"/>
      <w:bookmarkEnd w:id="846"/>
      <w:bookmarkStart w:id="847" w:name="_Toc297120511"/>
      <w:bookmarkEnd w:id="847"/>
      <w:bookmarkStart w:id="848" w:name="_Toc297048405"/>
      <w:bookmarkEnd w:id="848"/>
      <w:bookmarkStart w:id="849" w:name="_Toc373478400"/>
      <w:bookmarkEnd w:id="849"/>
      <w:bookmarkStart w:id="850" w:name="_Toc296944550"/>
      <w:bookmarkEnd w:id="850"/>
      <w:bookmarkStart w:id="851" w:name="_Toc292559416"/>
      <w:bookmarkEnd w:id="851"/>
      <w:bookmarkStart w:id="852" w:name="_Toc296347218"/>
      <w:bookmarkEnd w:id="852"/>
      <w:bookmarkStart w:id="853" w:name="_Toc297216223"/>
      <w:bookmarkEnd w:id="853"/>
      <w:bookmarkStart w:id="854" w:name="_Toc389065318"/>
      <w:bookmarkEnd w:id="854"/>
      <w:bookmarkStart w:id="855" w:name="_Toc292559929"/>
      <w:bookmarkEnd w:id="855"/>
      <w:bookmarkStart w:id="856" w:name="_Toc296944558"/>
      <w:bookmarkEnd w:id="856"/>
      <w:bookmarkStart w:id="857" w:name="_Toc296503219"/>
      <w:r>
        <w:rPr>
          <w:rFonts w:hint="eastAsia" w:ascii="宋体" w:hAnsi="宋体" w:eastAsia="宋体" w:cs="宋体"/>
          <w:color w:val="000000" w:themeColor="text1"/>
          <w:sz w:val="24"/>
          <w:szCs w:val="24"/>
          <w:highlight w:val="none"/>
          <w14:textFill>
            <w14:solidFill>
              <w14:schemeClr w14:val="tx1"/>
            </w14:solidFill>
          </w14:textFill>
        </w:rPr>
        <w:t xml:space="preserve">12.4.1 </w:t>
      </w:r>
      <w:bookmarkEnd w:id="857"/>
      <w:r>
        <w:rPr>
          <w:rFonts w:hint="eastAsia" w:ascii="宋体" w:hAnsi="宋体" w:eastAsia="宋体" w:cs="宋体"/>
          <w:color w:val="000000" w:themeColor="text1"/>
          <w:sz w:val="24"/>
          <w:szCs w:val="24"/>
          <w:highlight w:val="none"/>
          <w14:textFill>
            <w14:solidFill>
              <w14:schemeClr w14:val="tx1"/>
            </w14:solidFill>
          </w14:textFill>
        </w:rPr>
        <w:t>付款周期</w:t>
      </w:r>
    </w:p>
    <w:p w14:paraId="2E9BFCAA">
      <w:pPr>
        <w:keepNext w:val="0"/>
        <w:keepLines w:val="0"/>
        <w:pageBreakBefore w:val="0"/>
        <w:widowControl w:val="0"/>
        <w:kinsoku/>
        <w:wordWrap/>
        <w:overflowPunct/>
        <w:topLinePunct w:val="0"/>
        <w:autoSpaceDE/>
        <w:autoSpaceDN/>
        <w:bidi w:val="0"/>
        <w:adjustRightInd/>
        <w:snapToGrid/>
        <w:spacing w:line="460" w:lineRule="exact"/>
        <w:ind w:right="0" w:rightChars="0" w:firstLine="482" w:firstLineChars="200"/>
        <w:jc w:val="both"/>
        <w:textAlignment w:val="auto"/>
        <w:outlineLvl w:val="9"/>
        <w:rPr>
          <w:rFonts w:hint="eastAsia" w:ascii="宋体" w:hAnsi="宋体" w:eastAsia="宋体" w:cs="宋体"/>
          <w:b/>
          <w:bCs/>
          <w:color w:val="000000" w:themeColor="text1"/>
          <w:kern w:val="2"/>
          <w:sz w:val="24"/>
          <w:szCs w:val="24"/>
          <w:highlight w:val="none"/>
          <w:u w:val="singl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u w:val="single"/>
          <w:lang w:val="en-US" w:eastAsia="zh-CN" w:bidi="ar-SA"/>
          <w14:textFill>
            <w14:solidFill>
              <w14:schemeClr w14:val="tx1"/>
            </w14:solidFill>
          </w14:textFill>
        </w:rPr>
        <w:t>（1）</w:t>
      </w:r>
      <w:r>
        <w:rPr>
          <w:rFonts w:hint="eastAsia" w:ascii="宋体" w:hAnsi="宋体" w:eastAsia="宋体" w:cs="宋体"/>
          <w:b/>
          <w:bCs/>
          <w:color w:val="000000" w:themeColor="text1"/>
          <w:kern w:val="2"/>
          <w:sz w:val="24"/>
          <w:szCs w:val="24"/>
          <w:highlight w:val="none"/>
          <w:u w:val="single"/>
          <w:lang w:val="en-US" w:eastAsia="zh-CN" w:bidi="ar-SA"/>
          <w14:textFill>
            <w14:solidFill>
              <w14:schemeClr w14:val="tx1"/>
            </w14:solidFill>
          </w14:textFill>
        </w:rPr>
        <w:t>工程进度款原则上按月支付，工程进度款支付限额为已完成工程量的80%，合同外（工程变更部分和现场签证引起的费用等）进度款支付金额为已完成工程量的60%；</w:t>
      </w:r>
    </w:p>
    <w:p w14:paraId="08686ACA">
      <w:pPr>
        <w:keepNext w:val="0"/>
        <w:keepLines w:val="0"/>
        <w:pageBreakBefore w:val="0"/>
        <w:widowControl w:val="0"/>
        <w:kinsoku/>
        <w:wordWrap/>
        <w:overflowPunct/>
        <w:topLinePunct w:val="0"/>
        <w:autoSpaceDE/>
        <w:autoSpaceDN/>
        <w:bidi w:val="0"/>
        <w:adjustRightInd/>
        <w:snapToGrid/>
        <w:spacing w:line="460" w:lineRule="exact"/>
        <w:ind w:right="0" w:rightChars="0" w:firstLine="482" w:firstLineChars="200"/>
        <w:jc w:val="both"/>
        <w:textAlignment w:val="auto"/>
        <w:outlineLvl w:val="9"/>
        <w:rPr>
          <w:rFonts w:hint="eastAsia" w:ascii="宋体" w:hAnsi="宋体" w:eastAsia="宋体" w:cs="宋体"/>
          <w:b/>
          <w:bCs/>
          <w:color w:val="000000" w:themeColor="text1"/>
          <w:kern w:val="2"/>
          <w:sz w:val="24"/>
          <w:szCs w:val="24"/>
          <w:highlight w:val="none"/>
          <w:u w:val="singl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u w:val="single"/>
          <w:lang w:val="en-US" w:eastAsia="zh-CN" w:bidi="ar-SA"/>
          <w14:textFill>
            <w14:solidFill>
              <w14:schemeClr w14:val="tx1"/>
            </w14:solidFill>
          </w14:textFill>
        </w:rPr>
        <w:t>（2）</w:t>
      </w:r>
      <w:r>
        <w:rPr>
          <w:rFonts w:hint="eastAsia" w:ascii="宋体" w:hAnsi="宋体" w:eastAsia="宋体" w:cs="宋体"/>
          <w:b/>
          <w:bCs/>
          <w:color w:val="000000" w:themeColor="text1"/>
          <w:kern w:val="2"/>
          <w:sz w:val="24"/>
          <w:szCs w:val="24"/>
          <w:highlight w:val="none"/>
          <w:u w:val="single"/>
          <w:lang w:val="en-US" w:eastAsia="zh-CN" w:bidi="ar-SA"/>
          <w14:textFill>
            <w14:solidFill>
              <w14:schemeClr w14:val="tx1"/>
            </w14:solidFill>
          </w14:textFill>
        </w:rPr>
        <w:t>工程竣工且验收合格后，发包人支付工程合同价款的90%作为工程款。</w:t>
      </w:r>
    </w:p>
    <w:p w14:paraId="6AA7E210">
      <w:pPr>
        <w:keepNext w:val="0"/>
        <w:keepLines w:val="0"/>
        <w:pageBreakBefore w:val="0"/>
        <w:widowControl w:val="0"/>
        <w:kinsoku/>
        <w:wordWrap/>
        <w:overflowPunct/>
        <w:topLinePunct w:val="0"/>
        <w:autoSpaceDE/>
        <w:autoSpaceDN/>
        <w:bidi w:val="0"/>
        <w:adjustRightInd/>
        <w:snapToGrid/>
        <w:spacing w:line="460" w:lineRule="exact"/>
        <w:ind w:right="0" w:rightChars="0" w:firstLine="482" w:firstLineChars="200"/>
        <w:jc w:val="both"/>
        <w:textAlignment w:val="auto"/>
        <w:outlineLvl w:val="9"/>
        <w:rPr>
          <w:rFonts w:hint="eastAsia" w:ascii="宋体" w:hAnsi="宋体" w:eastAsia="宋体" w:cs="宋体"/>
          <w:b/>
          <w:bCs/>
          <w:color w:val="000000" w:themeColor="text1"/>
          <w:kern w:val="2"/>
          <w:sz w:val="24"/>
          <w:szCs w:val="24"/>
          <w:highlight w:val="none"/>
          <w:u w:val="singl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u w:val="single"/>
          <w:lang w:val="en-US" w:eastAsia="zh-CN" w:bidi="ar-SA"/>
          <w14:textFill>
            <w14:solidFill>
              <w14:schemeClr w14:val="tx1"/>
            </w14:solidFill>
          </w14:textFill>
        </w:rPr>
        <w:t>（3）</w:t>
      </w:r>
      <w:r>
        <w:rPr>
          <w:rFonts w:hint="eastAsia" w:ascii="宋体" w:hAnsi="宋体" w:eastAsia="宋体" w:cs="宋体"/>
          <w:b/>
          <w:bCs/>
          <w:color w:val="000000" w:themeColor="text1"/>
          <w:kern w:val="2"/>
          <w:sz w:val="24"/>
          <w:szCs w:val="24"/>
          <w:highlight w:val="none"/>
          <w:u w:val="single"/>
          <w:lang w:val="en-US" w:eastAsia="zh-CN" w:bidi="ar-SA"/>
          <w14:textFill>
            <w14:solidFill>
              <w14:schemeClr w14:val="tx1"/>
            </w14:solidFill>
          </w14:textFill>
        </w:rPr>
        <w:t>竣工结算审计后，发包人支付至结算审定价款的97%。剩余3%作为工程质量保证金，待工程缺陷责任期满经双方复检书面确认乙方无违约行为后，甲方支付至工程结算价款的100%。</w:t>
      </w:r>
    </w:p>
    <w:p w14:paraId="6E2143E6">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12.4.2 进度付款申请单的编制</w:t>
      </w:r>
    </w:p>
    <w:p w14:paraId="527C9400">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关于进度付款申请单编制的约定：</w:t>
      </w:r>
      <w:r>
        <w:rPr>
          <w:rFonts w:hint="eastAsia" w:ascii="宋体" w:hAnsi="宋体" w:eastAsia="宋体" w:cs="宋体"/>
          <w:b/>
          <w:bCs/>
          <w:color w:val="000000" w:themeColor="text1"/>
          <w:sz w:val="24"/>
          <w:szCs w:val="24"/>
          <w:highlight w:val="none"/>
          <w:u w:val="single"/>
          <w14:textFill>
            <w14:solidFill>
              <w14:schemeClr w14:val="tx1"/>
            </w14:solidFill>
          </w14:textFill>
        </w:rPr>
        <w:t>每月25日前</w:t>
      </w:r>
      <w:r>
        <w:rPr>
          <w:rFonts w:hint="eastAsia" w:ascii="宋体" w:hAnsi="宋体" w:eastAsia="宋体" w:cs="宋体"/>
          <w:color w:val="000000" w:themeColor="text1"/>
          <w:sz w:val="24"/>
          <w:szCs w:val="24"/>
          <w:highlight w:val="none"/>
          <w14:textFill>
            <w14:solidFill>
              <w14:schemeClr w14:val="tx1"/>
            </w14:solidFill>
          </w14:textFill>
        </w:rPr>
        <w:t>。</w:t>
      </w:r>
    </w:p>
    <w:p w14:paraId="021DF4BF">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12.4.3 进度付款申请单的提交</w:t>
      </w:r>
    </w:p>
    <w:p w14:paraId="393406B5">
      <w:pPr>
        <w:pStyle w:val="246"/>
        <w:pageBreakBefore w:val="0"/>
        <w:wordWrap/>
        <w:overflowPunct/>
        <w:topLinePunct w:val="0"/>
        <w:bidi w:val="0"/>
        <w:spacing w:line="460" w:lineRule="exact"/>
        <w:ind w:firstLine="42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（1）单价合同进度付款申请单提交的约定：</w:t>
      </w:r>
      <w:r>
        <w:rPr>
          <w:rFonts w:hint="eastAsia" w:ascii="宋体" w:hAnsi="宋体" w:eastAsia="宋体" w:cs="宋体"/>
          <w:b/>
          <w:bCs/>
          <w:color w:val="000000" w:themeColor="text1"/>
          <w:sz w:val="24"/>
          <w:szCs w:val="24"/>
          <w:highlight w:val="none"/>
          <w:u w:val="single"/>
          <w14:textFill>
            <w14:solidFill>
              <w14:schemeClr w14:val="tx1"/>
            </w14:solidFill>
          </w14:textFill>
        </w:rPr>
        <w:t>承包人每月25日，向发包人递交当月已完工程量工程进度款申请，并附已完成工程量报表</w:t>
      </w:r>
      <w:r>
        <w:rPr>
          <w:rFonts w:hint="eastAsia" w:ascii="宋体" w:hAnsi="宋体" w:eastAsia="宋体" w:cs="宋体"/>
          <w:b/>
          <w:bCs/>
          <w:color w:val="000000" w:themeColor="text1"/>
          <w:sz w:val="24"/>
          <w:szCs w:val="24"/>
          <w:highlight w:val="none"/>
          <w14:textFill>
            <w14:solidFill>
              <w14:schemeClr w14:val="tx1"/>
            </w14:solidFill>
          </w14:textFill>
        </w:rPr>
        <w:t>。</w:t>
      </w:r>
    </w:p>
    <w:p w14:paraId="56070149">
      <w:pPr>
        <w:pStyle w:val="246"/>
        <w:pageBreakBefore w:val="0"/>
        <w:wordWrap/>
        <w:overflowPunct/>
        <w:topLinePunct w:val="0"/>
        <w:bidi w:val="0"/>
        <w:spacing w:line="460" w:lineRule="exact"/>
        <w:ind w:firstLine="42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（2）总价合同进度付款申请单提交的约定：</w:t>
      </w:r>
      <w:r>
        <w:rPr>
          <w:rFonts w:hint="eastAsia" w:ascii="宋体" w:hAnsi="宋体" w:eastAsia="宋体" w:cs="宋体"/>
          <w:b/>
          <w:bCs/>
          <w:color w:val="000000" w:themeColor="text1"/>
          <w:sz w:val="24"/>
          <w:szCs w:val="24"/>
          <w:highlight w:val="none"/>
          <w:u w:val="single"/>
          <w14:textFill>
            <w14:solidFill>
              <w14:schemeClr w14:val="tx1"/>
            </w14:solidFill>
          </w14:textFill>
        </w:rPr>
        <w:t>承包人应在每个计量周期到期后的7天内向发包人提交已完工程进度款支付申请一式四份，详细说明此周期自己认为有权得到的款额，包括分包人已完工程的价款。</w:t>
      </w:r>
    </w:p>
    <w:p w14:paraId="72A588D9">
      <w:pPr>
        <w:pStyle w:val="247"/>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（3）其他价格形式合同进度付款申请单提交的约定：</w:t>
      </w:r>
      <w:r>
        <w:rPr>
          <w:rFonts w:hint="eastAsia" w:ascii="宋体" w:hAnsi="宋体" w:eastAsia="宋体" w:cs="宋体"/>
          <w:b/>
          <w:bCs/>
          <w:color w:val="000000" w:themeColor="text1"/>
          <w:sz w:val="24"/>
          <w:szCs w:val="24"/>
          <w:highlight w:val="none"/>
          <w:u w:val="single"/>
          <w14:textFill>
            <w14:solidFill>
              <w14:schemeClr w14:val="tx1"/>
            </w14:solidFill>
          </w14:textFill>
        </w:rPr>
        <w:t>每月25日前</w:t>
      </w:r>
      <w:r>
        <w:rPr>
          <w:rFonts w:hint="eastAsia" w:ascii="宋体" w:hAnsi="宋体" w:eastAsia="宋体" w:cs="宋体"/>
          <w:b/>
          <w:bCs/>
          <w:color w:val="000000" w:themeColor="text1"/>
          <w:sz w:val="24"/>
          <w:szCs w:val="24"/>
          <w:highlight w:val="none"/>
          <w14:textFill>
            <w14:solidFill>
              <w14:schemeClr w14:val="tx1"/>
            </w14:solidFill>
          </w14:textFill>
        </w:rPr>
        <w:t>。</w:t>
      </w:r>
    </w:p>
    <w:p w14:paraId="153CE67E">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12.4.4 进度款审核和支付</w:t>
      </w:r>
    </w:p>
    <w:p w14:paraId="2FD85929">
      <w:pPr>
        <w:pStyle w:val="246"/>
        <w:pageBreakBefore w:val="0"/>
        <w:wordWrap/>
        <w:overflowPunct/>
        <w:topLinePunct w:val="0"/>
        <w:bidi w:val="0"/>
        <w:spacing w:line="460" w:lineRule="exact"/>
        <w:ind w:firstLine="420"/>
        <w:jc w:val="left"/>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（1）监理人审查并报送发包人的期限：</w:t>
      </w:r>
      <w:r>
        <w:rPr>
          <w:rFonts w:hint="eastAsia" w:ascii="宋体" w:hAnsi="宋体" w:eastAsia="宋体" w:cs="宋体"/>
          <w:b/>
          <w:bCs/>
          <w:color w:val="000000" w:themeColor="text1"/>
          <w:sz w:val="24"/>
          <w:szCs w:val="24"/>
          <w:highlight w:val="none"/>
          <w:u w:val="single"/>
          <w14:textFill>
            <w14:solidFill>
              <w14:schemeClr w14:val="tx1"/>
            </w14:solidFill>
          </w14:textFill>
        </w:rPr>
        <w:t>监理人应在收到承包人进度付款申请单以及相关资料后7天内完成审查并报送发包人</w:t>
      </w:r>
      <w:r>
        <w:rPr>
          <w:rFonts w:hint="eastAsia" w:ascii="宋体" w:hAnsi="宋体" w:eastAsia="宋体" w:cs="宋体"/>
          <w:b/>
          <w:bCs/>
          <w:color w:val="000000" w:themeColor="text1"/>
          <w:sz w:val="24"/>
          <w:szCs w:val="24"/>
          <w:highlight w:val="none"/>
          <w14:textFill>
            <w14:solidFill>
              <w14:schemeClr w14:val="tx1"/>
            </w14:solidFill>
          </w14:textFill>
        </w:rPr>
        <w:t>。</w:t>
      </w:r>
    </w:p>
    <w:p w14:paraId="65B50201">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发包人完成审批并签发进度款支付证书的期限：</w:t>
      </w:r>
      <w:r>
        <w:rPr>
          <w:rFonts w:hint="eastAsia" w:ascii="宋体" w:hAnsi="宋体" w:eastAsia="宋体" w:cs="宋体"/>
          <w:b/>
          <w:bCs/>
          <w:color w:val="000000" w:themeColor="text1"/>
          <w:sz w:val="24"/>
          <w:szCs w:val="24"/>
          <w:highlight w:val="none"/>
          <w:u w:val="single"/>
          <w14:textFill>
            <w14:solidFill>
              <w14:schemeClr w14:val="tx1"/>
            </w14:solidFill>
          </w14:textFill>
        </w:rPr>
        <w:t>发包人应在收到后7天内完成审批并签发进度款支付证书，发包人逾期未完成审批且未提出异议的，视为已签发进度款支付证书</w:t>
      </w:r>
      <w:r>
        <w:rPr>
          <w:rFonts w:hint="eastAsia" w:ascii="宋体" w:hAnsi="宋体" w:eastAsia="宋体" w:cs="宋体"/>
          <w:b/>
          <w:bCs/>
          <w:color w:val="000000" w:themeColor="text1"/>
          <w:sz w:val="24"/>
          <w:szCs w:val="24"/>
          <w:highlight w:val="none"/>
          <w14:textFill>
            <w14:solidFill>
              <w14:schemeClr w14:val="tx1"/>
            </w14:solidFill>
          </w14:textFill>
        </w:rPr>
        <w:t>。</w:t>
      </w:r>
    </w:p>
    <w:p w14:paraId="7ECFAC64">
      <w:pPr>
        <w:pStyle w:val="247"/>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（2）发包人支付进度款的期限：</w:t>
      </w:r>
      <w:r>
        <w:rPr>
          <w:rFonts w:hint="eastAsia" w:ascii="宋体" w:hAnsi="宋体" w:eastAsia="宋体" w:cs="宋体"/>
          <w:b/>
          <w:bCs/>
          <w:color w:val="000000" w:themeColor="text1"/>
          <w:sz w:val="24"/>
          <w:szCs w:val="24"/>
          <w:highlight w:val="none"/>
          <w:u w:val="single"/>
          <w14:textFill>
            <w14:solidFill>
              <w14:schemeClr w14:val="tx1"/>
            </w14:solidFill>
          </w14:textFill>
        </w:rPr>
        <w:t>收到承包人进度支付申请单以及相关资料后7天内</w:t>
      </w:r>
      <w:r>
        <w:rPr>
          <w:rFonts w:hint="eastAsia" w:ascii="宋体" w:hAnsi="宋体" w:eastAsia="宋体" w:cs="宋体"/>
          <w:b/>
          <w:bCs/>
          <w:color w:val="000000" w:themeColor="text1"/>
          <w:sz w:val="24"/>
          <w:szCs w:val="24"/>
          <w:highlight w:val="none"/>
          <w14:textFill>
            <w14:solidFill>
              <w14:schemeClr w14:val="tx1"/>
            </w14:solidFill>
          </w14:textFill>
        </w:rPr>
        <w:t>。</w:t>
      </w:r>
    </w:p>
    <w:p w14:paraId="3B5350C8">
      <w:pPr>
        <w:pStyle w:val="247"/>
        <w:pageBreakBefore w:val="0"/>
        <w:wordWrap/>
        <w:overflowPunct/>
        <w:topLinePunct w:val="0"/>
        <w:bidi w:val="0"/>
        <w:spacing w:line="460" w:lineRule="exact"/>
        <w:ind w:firstLine="600" w:firstLineChars="25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发包人逾期支付进度款的违约金的计算方式：</w:t>
      </w:r>
      <w:r>
        <w:rPr>
          <w:rFonts w:hint="eastAsia" w:ascii="宋体" w:hAnsi="宋体" w:eastAsia="宋体" w:cs="宋体"/>
          <w:b/>
          <w:bCs/>
          <w:color w:val="000000" w:themeColor="text1"/>
          <w:sz w:val="24"/>
          <w:szCs w:val="24"/>
          <w:highlight w:val="none"/>
          <w:u w:val="single"/>
          <w14:textFill>
            <w14:solidFill>
              <w14:schemeClr w14:val="tx1"/>
            </w14:solidFill>
          </w14:textFill>
        </w:rPr>
        <w:t>按《通用合同条款》12.4.4条执行</w:t>
      </w:r>
      <w:r>
        <w:rPr>
          <w:rFonts w:hint="eastAsia" w:ascii="宋体" w:hAnsi="宋体" w:eastAsia="宋体" w:cs="宋体"/>
          <w:color w:val="000000" w:themeColor="text1"/>
          <w:sz w:val="24"/>
          <w:szCs w:val="24"/>
          <w:highlight w:val="none"/>
          <w14:textFill>
            <w14:solidFill>
              <w14:schemeClr w14:val="tx1"/>
            </w14:solidFill>
          </w14:textFill>
        </w:rPr>
        <w:t>。</w:t>
      </w:r>
    </w:p>
    <w:p w14:paraId="3CA55300">
      <w:pPr>
        <w:pStyle w:val="247"/>
        <w:pageBreakBefore w:val="0"/>
        <w:wordWrap/>
        <w:overflowPunct/>
        <w:topLinePunct w:val="0"/>
        <w:bidi w:val="0"/>
        <w:spacing w:line="460" w:lineRule="exact"/>
        <w:ind w:firstLine="720" w:firstLineChars="3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进度款支付方式：</w:t>
      </w:r>
      <w:r>
        <w:rPr>
          <w:rFonts w:hint="eastAsia" w:ascii="宋体" w:hAnsi="宋体" w:eastAsia="宋体" w:cs="宋体"/>
          <w:b/>
          <w:bCs/>
          <w:color w:val="000000" w:themeColor="text1"/>
          <w:sz w:val="24"/>
          <w:szCs w:val="24"/>
          <w:highlight w:val="none"/>
          <w:u w:val="single"/>
          <w14:textFill>
            <w14:solidFill>
              <w14:schemeClr w14:val="tx1"/>
            </w14:solidFill>
          </w14:textFill>
        </w:rPr>
        <w:t>银行转账</w:t>
      </w:r>
      <w:r>
        <w:rPr>
          <w:rFonts w:hint="eastAsia" w:ascii="宋体" w:hAnsi="宋体" w:eastAsia="宋体" w:cs="宋体"/>
          <w:color w:val="000000" w:themeColor="text1"/>
          <w:sz w:val="24"/>
          <w:szCs w:val="24"/>
          <w:highlight w:val="none"/>
          <w14:textFill>
            <w14:solidFill>
              <w14:schemeClr w14:val="tx1"/>
            </w14:solidFill>
          </w14:textFill>
        </w:rPr>
        <w:t>。</w:t>
      </w:r>
    </w:p>
    <w:p w14:paraId="2879729A">
      <w:pPr>
        <w:pStyle w:val="247"/>
        <w:pageBreakBefore w:val="0"/>
        <w:wordWrap/>
        <w:overflowPunct/>
        <w:topLinePunct w:val="0"/>
        <w:bidi w:val="0"/>
        <w:spacing w:line="460" w:lineRule="exact"/>
        <w:ind w:firstLine="600" w:firstLineChars="25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 农民工工资支付</w:t>
      </w:r>
    </w:p>
    <w:p w14:paraId="7A8A06C5">
      <w:pPr>
        <w:pStyle w:val="247"/>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农民工工资应与其它工程进度款分帐管理。农民工工资必须按时足额支付，农民工费用拨付周期不得超过1个月，最少每月支付一次，无工程款申请的月份，承包人单独上报农民工工资申请；承包人向发包人申请工程进度款时必须把工人工资部分单独列明，如果未单独列明，监理单位不得签支付证书等支付工程款的手续，发包人单位不得审批和支付工程款。发包人必须把工程款分帐出来的农民工工资转入承包人工人工资支付专用账户专户，转入专户环节必须有银行流水凭证。</w:t>
      </w:r>
    </w:p>
    <w:p w14:paraId="31169AEF">
      <w:pPr>
        <w:pStyle w:val="247"/>
        <w:pageBreakBefore w:val="0"/>
        <w:wordWrap/>
        <w:overflowPunct/>
        <w:topLinePunct w:val="0"/>
        <w:bidi w:val="0"/>
        <w:spacing w:line="460" w:lineRule="exact"/>
        <w:ind w:firstLine="600" w:firstLineChars="25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2）发包人依据工程进度，按与承包人约定的农民工支付比例，将的工程人工费分账支付到承包人的农民工工资专户，工程完工时发包人向承包人农民工工资专户支付的完工工程量的人工费支付比例不低于</w:t>
      </w:r>
      <w:r>
        <w:rPr>
          <w:rFonts w:hint="eastAsia" w:ascii="宋体" w:hAnsi="宋体" w:eastAsia="宋体" w:cs="宋体"/>
          <w:b/>
          <w:bCs/>
          <w:color w:val="000000" w:themeColor="text1"/>
          <w:sz w:val="24"/>
          <w:szCs w:val="24"/>
          <w:highlight w:val="none"/>
          <w:u w:val="single"/>
          <w14:textFill>
            <w14:solidFill>
              <w14:schemeClr w14:val="tx1"/>
            </w14:solidFill>
          </w14:textFill>
        </w:rPr>
        <w:t>80</w:t>
      </w: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，其余工程进度款项由发包人支付到承包人的单位基本户。</w:t>
      </w:r>
    </w:p>
    <w:p w14:paraId="24937B19">
      <w:pPr>
        <w:pStyle w:val="247"/>
        <w:pageBreakBefore w:val="0"/>
        <w:wordWrap/>
        <w:overflowPunct/>
        <w:topLinePunct w:val="0"/>
        <w:bidi w:val="0"/>
        <w:spacing w:line="460" w:lineRule="exact"/>
        <w:ind w:firstLine="600" w:firstLineChars="25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承包人依据分包专业工程进度，按与分包人约定农民工支付比例，通过承包人农民工工资专户将分包工程的人工费分账支付到分包人的农民工工资专户，专业分包工程完工时承包人向分包人农民工工资专户支付完工工程量的人工费支付比例不低于</w:t>
      </w:r>
      <w:r>
        <w:rPr>
          <w:rFonts w:hint="eastAsia" w:ascii="宋体" w:hAnsi="宋体" w:eastAsia="宋体" w:cs="宋体"/>
          <w:b/>
          <w:bCs/>
          <w:color w:val="000000" w:themeColor="text1"/>
          <w:sz w:val="24"/>
          <w:szCs w:val="24"/>
          <w:highlight w:val="none"/>
          <w:u w:val="single"/>
          <w14:textFill>
            <w14:solidFill>
              <w14:schemeClr w14:val="tx1"/>
            </w14:solidFill>
          </w14:textFill>
        </w:rPr>
        <w:t>100</w:t>
      </w: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其余分包工程进度款项由承包人支付到分包人的单位基本户。</w:t>
      </w:r>
    </w:p>
    <w:p w14:paraId="6BB299FF">
      <w:pPr>
        <w:pStyle w:val="247"/>
        <w:pageBreakBefore w:val="0"/>
        <w:wordWrap/>
        <w:overflowPunct/>
        <w:topLinePunct w:val="0"/>
        <w:bidi w:val="0"/>
        <w:spacing w:line="460" w:lineRule="exact"/>
        <w:ind w:firstLine="600" w:firstLineChars="25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4）凡未向付款单位提供农民工工资专户的，或者请款单位在申请工程进度款时未将人工费单列的，付款单位有权拒绝支付工程进度款。</w:t>
      </w:r>
    </w:p>
    <w:p w14:paraId="58B9238E">
      <w:pPr>
        <w:pStyle w:val="247"/>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5）农民工工资使用要求：</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专款专用，除发放工人工资外，不得用于其他用途。</w:t>
      </w:r>
    </w:p>
    <w:p w14:paraId="10AC550B">
      <w:pPr>
        <w:pStyle w:val="247"/>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6）承包人将农民工工资支付情况定期报告发包人和监理单位，并提供相应的材料接受建设行政主管部门和劳动保障行政主管部门对此事项监管。</w:t>
      </w:r>
    </w:p>
    <w:p w14:paraId="4AF34D57">
      <w:pPr>
        <w:pStyle w:val="247"/>
        <w:pageBreakBefore w:val="0"/>
        <w:wordWrap/>
        <w:overflowPunct/>
        <w:topLinePunct w:val="0"/>
        <w:autoSpaceDE w:val="0"/>
        <w:autoSpaceDN w:val="0"/>
        <w:bidi w:val="0"/>
        <w:adjustRightInd w:val="0"/>
        <w:spacing w:line="460" w:lineRule="exact"/>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（4）农民工工资支付专用账户：</w:t>
      </w:r>
      <w:r>
        <w:rPr>
          <w:rFonts w:hint="eastAsia" w:ascii="宋体" w:hAnsi="宋体" w:eastAsia="宋体" w:cs="宋体"/>
          <w:b/>
          <w:bCs/>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 xml:space="preserve"> 。</w:t>
      </w:r>
    </w:p>
    <w:p w14:paraId="09C6EBE0">
      <w:pPr>
        <w:pStyle w:val="247"/>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开户银行：</w:t>
      </w:r>
      <w:r>
        <w:rPr>
          <w:rFonts w:hint="eastAsia" w:ascii="宋体" w:hAnsi="宋体" w:eastAsia="宋体" w:cs="宋体"/>
          <w:b/>
          <w:bCs/>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 xml:space="preserve">  。</w:t>
      </w:r>
    </w:p>
    <w:p w14:paraId="119BC570">
      <w:pPr>
        <w:pStyle w:val="247"/>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kern w:val="0"/>
          <w:sz w:val="24"/>
          <w:szCs w:val="24"/>
          <w:highlight w:val="none"/>
          <w:u w:val="singl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账号：</w:t>
      </w:r>
      <w:r>
        <w:rPr>
          <w:rFonts w:hint="eastAsia" w:ascii="宋体" w:hAnsi="宋体" w:eastAsia="宋体" w:cs="宋体"/>
          <w:b/>
          <w:bCs/>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 xml:space="preserve">  。</w:t>
      </w:r>
    </w:p>
    <w:p w14:paraId="0E1AB432">
      <w:pPr>
        <w:pStyle w:val="247"/>
        <w:pageBreakBefore w:val="0"/>
        <w:wordWrap/>
        <w:overflowPunct/>
        <w:topLinePunct w:val="0"/>
        <w:bidi w:val="0"/>
        <w:spacing w:line="460" w:lineRule="exact"/>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12.4.6 支付分解表的编制</w:t>
      </w:r>
    </w:p>
    <w:p w14:paraId="4A6C0A5C">
      <w:pPr>
        <w:pStyle w:val="247"/>
        <w:pageBreakBefore w:val="0"/>
        <w:wordWrap/>
        <w:overflowPunct/>
        <w:topLinePunct w:val="0"/>
        <w:bidi w:val="0"/>
        <w:spacing w:line="460" w:lineRule="exact"/>
        <w:ind w:firstLine="600" w:firstLineChars="250"/>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（1）总价合同支付分解表的编制与审批：</w:t>
      </w:r>
      <w:r>
        <w:rPr>
          <w:rFonts w:hint="eastAsia" w:ascii="宋体" w:hAnsi="宋体" w:eastAsia="宋体" w:cs="宋体"/>
          <w:b/>
          <w:bCs/>
          <w:color w:val="000000" w:themeColor="text1"/>
          <w:sz w:val="24"/>
          <w:szCs w:val="24"/>
          <w:highlight w:val="none"/>
          <w:u w:val="single"/>
          <w14:textFill>
            <w14:solidFill>
              <w14:schemeClr w14:val="tx1"/>
            </w14:solidFill>
          </w14:textFill>
        </w:rPr>
        <w:t>总价合同支付分分解表在招标完成后由发包人和承包人共同编制，发包人审批，并作为本合同内容。</w:t>
      </w:r>
    </w:p>
    <w:p w14:paraId="60B2B44E">
      <w:pPr>
        <w:pStyle w:val="247"/>
        <w:pageBreakBefore w:val="0"/>
        <w:wordWrap/>
        <w:overflowPunct/>
        <w:topLinePunct w:val="0"/>
        <w:bidi w:val="0"/>
        <w:spacing w:line="460" w:lineRule="exact"/>
        <w:ind w:firstLine="600" w:firstLineChars="250"/>
        <w:jc w:val="left"/>
        <w:rPr>
          <w:rFonts w:hint="eastAsia" w:ascii="宋体" w:hAnsi="宋体" w:eastAsia="宋体" w:cs="宋体"/>
          <w:b w:val="0"/>
          <w:bCs w:val="0"/>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（2）单价合同的总价项目支付分解表的编制与审批：</w:t>
      </w:r>
      <w:r>
        <w:rPr>
          <w:rFonts w:hint="eastAsia" w:ascii="宋体" w:hAnsi="宋体" w:eastAsia="宋体" w:cs="宋体"/>
          <w:b w:val="0"/>
          <w:bCs w:val="0"/>
          <w:color w:val="000000" w:themeColor="text1"/>
          <w:sz w:val="24"/>
          <w:szCs w:val="24"/>
          <w:highlight w:val="none"/>
          <w:u w:val="single"/>
          <w14:textFill>
            <w14:solidFill>
              <w14:schemeClr w14:val="tx1"/>
            </w14:solidFill>
          </w14:textFill>
        </w:rPr>
        <w:t>总价项目不采用支付分解表的方式计算，而按《建设工程工程量清单计价规范（GB50500-2013）广西壮族自治区实施细则》的规定执行。</w:t>
      </w:r>
    </w:p>
    <w:p w14:paraId="7B0BD45B">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858" w:name="_Toc25945"/>
      <w:bookmarkEnd w:id="858"/>
      <w:r>
        <w:rPr>
          <w:rFonts w:hint="eastAsia" w:ascii="宋体" w:hAnsi="宋体" w:eastAsia="宋体" w:cs="宋体"/>
          <w:color w:val="000000" w:themeColor="text1"/>
          <w:sz w:val="24"/>
          <w:szCs w:val="24"/>
          <w:highlight w:val="none"/>
          <w14:textFill>
            <w14:solidFill>
              <w14:schemeClr w14:val="tx1"/>
            </w14:solidFill>
          </w14:textFill>
        </w:rPr>
        <w:t>13. 验收和工程试车</w:t>
      </w:r>
    </w:p>
    <w:p w14:paraId="4E565C04">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859" w:name="_Toc407135257"/>
      <w:bookmarkEnd w:id="859"/>
      <w:bookmarkStart w:id="860" w:name="_Toc24659"/>
      <w:bookmarkEnd w:id="860"/>
      <w:bookmarkStart w:id="861" w:name="_Toc373478401"/>
      <w:bookmarkEnd w:id="861"/>
      <w:bookmarkStart w:id="862" w:name="_Toc373227754"/>
      <w:bookmarkEnd w:id="862"/>
      <w:bookmarkStart w:id="863" w:name="_Toc389065319"/>
      <w:bookmarkEnd w:id="863"/>
      <w:r>
        <w:rPr>
          <w:rFonts w:hint="eastAsia" w:ascii="宋体" w:hAnsi="宋体" w:eastAsia="宋体" w:cs="宋体"/>
          <w:color w:val="000000" w:themeColor="text1"/>
          <w:sz w:val="24"/>
          <w:szCs w:val="24"/>
          <w:highlight w:val="none"/>
          <w14:textFill>
            <w14:solidFill>
              <w14:schemeClr w14:val="tx1"/>
            </w14:solidFill>
          </w14:textFill>
        </w:rPr>
        <w:t>13.1 分部分项工程验收</w:t>
      </w:r>
    </w:p>
    <w:p w14:paraId="171A26D8">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13.1.2监理人不能按时进行验收时，应提前</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24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小时提交书面延期要求。</w:t>
      </w:r>
    </w:p>
    <w:p w14:paraId="32D47464">
      <w:pPr>
        <w:pStyle w:val="245"/>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关于延期最长不得超过：</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48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小时。</w:t>
      </w:r>
    </w:p>
    <w:p w14:paraId="5173DACF">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864" w:name="_Toc303539173"/>
      <w:bookmarkEnd w:id="864"/>
      <w:bookmarkStart w:id="865" w:name="_Toc373227755"/>
      <w:bookmarkEnd w:id="865"/>
      <w:bookmarkStart w:id="866" w:name="_Toc292559428"/>
      <w:bookmarkEnd w:id="866"/>
      <w:bookmarkStart w:id="867" w:name="_Toc292559933"/>
      <w:bookmarkEnd w:id="867"/>
      <w:bookmarkStart w:id="868" w:name="_Toc297120523"/>
      <w:bookmarkEnd w:id="868"/>
      <w:bookmarkStart w:id="869" w:name="_Toc373478402"/>
      <w:bookmarkEnd w:id="869"/>
      <w:bookmarkStart w:id="870" w:name="_Toc300935016"/>
      <w:bookmarkEnd w:id="870"/>
      <w:bookmarkStart w:id="871" w:name="_Toc296891263"/>
      <w:bookmarkEnd w:id="871"/>
      <w:bookmarkStart w:id="872" w:name="_Toc296503223"/>
      <w:bookmarkEnd w:id="872"/>
      <w:bookmarkStart w:id="873" w:name="_Toc297048409"/>
      <w:bookmarkEnd w:id="873"/>
      <w:bookmarkStart w:id="874" w:name="_Toc28246"/>
      <w:bookmarkEnd w:id="874"/>
      <w:bookmarkStart w:id="875" w:name="_Toc297123565"/>
      <w:bookmarkEnd w:id="875"/>
      <w:bookmarkStart w:id="876" w:name="_Toc296347222"/>
      <w:bookmarkEnd w:id="876"/>
      <w:bookmarkStart w:id="877" w:name="_Toc267251473"/>
      <w:bookmarkEnd w:id="877"/>
      <w:bookmarkStart w:id="878" w:name="_Toc267251471"/>
      <w:bookmarkEnd w:id="878"/>
      <w:bookmarkStart w:id="879" w:name="_Toc296346724"/>
      <w:bookmarkEnd w:id="879"/>
      <w:bookmarkStart w:id="880" w:name="_Toc407135258"/>
      <w:bookmarkEnd w:id="880"/>
      <w:bookmarkStart w:id="881" w:name="_Toc389065320"/>
      <w:bookmarkEnd w:id="881"/>
      <w:bookmarkStart w:id="882" w:name="_Toc267251472"/>
      <w:bookmarkEnd w:id="882"/>
      <w:bookmarkStart w:id="883" w:name="_Toc296891051"/>
      <w:bookmarkEnd w:id="883"/>
      <w:bookmarkStart w:id="884" w:name="_Toc267251470"/>
      <w:bookmarkEnd w:id="884"/>
      <w:bookmarkStart w:id="885" w:name="_Toc297216224"/>
      <w:bookmarkEnd w:id="885"/>
      <w:bookmarkStart w:id="886" w:name="_Toc304295596"/>
      <w:bookmarkEnd w:id="886"/>
      <w:bookmarkStart w:id="887" w:name="_Toc312678056"/>
      <w:bookmarkEnd w:id="887"/>
      <w:bookmarkStart w:id="888" w:name="_Toc267251475"/>
      <w:bookmarkEnd w:id="888"/>
      <w:bookmarkStart w:id="889" w:name="_Toc267251474"/>
      <w:bookmarkEnd w:id="889"/>
      <w:bookmarkStart w:id="890" w:name="_Toc296944562"/>
      <w:bookmarkEnd w:id="890"/>
      <w:bookmarkStart w:id="891" w:name="_Toc267251476"/>
      <w:r>
        <w:rPr>
          <w:rFonts w:hint="eastAsia" w:ascii="宋体" w:hAnsi="宋体" w:eastAsia="宋体" w:cs="宋体"/>
          <w:color w:val="000000" w:themeColor="text1"/>
          <w:sz w:val="24"/>
          <w:szCs w:val="24"/>
          <w:highlight w:val="none"/>
          <w14:textFill>
            <w14:solidFill>
              <w14:schemeClr w14:val="tx1"/>
            </w14:solidFill>
          </w14:textFill>
        </w:rPr>
        <w:t xml:space="preserve">13.2 </w:t>
      </w:r>
      <w:bookmarkEnd w:id="891"/>
      <w:r>
        <w:rPr>
          <w:rFonts w:hint="eastAsia" w:ascii="宋体" w:hAnsi="宋体" w:eastAsia="宋体" w:cs="宋体"/>
          <w:color w:val="000000" w:themeColor="text1"/>
          <w:sz w:val="24"/>
          <w:szCs w:val="24"/>
          <w:highlight w:val="none"/>
          <w14:textFill>
            <w14:solidFill>
              <w14:schemeClr w14:val="tx1"/>
            </w14:solidFill>
          </w14:textFill>
        </w:rPr>
        <w:t>竣工验收</w:t>
      </w:r>
    </w:p>
    <w:p w14:paraId="3FD22A88">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bookmarkStart w:id="892" w:name="_Toc280868705"/>
      <w:bookmarkEnd w:id="892"/>
      <w:bookmarkStart w:id="893" w:name="_Toc280868704"/>
      <w:bookmarkEnd w:id="893"/>
      <w:bookmarkStart w:id="894" w:name="_Toc280868707"/>
      <w:bookmarkEnd w:id="894"/>
      <w:bookmarkStart w:id="895" w:name="_Toc280868706"/>
      <w:bookmarkEnd w:id="895"/>
      <w:bookmarkStart w:id="896" w:name="_Toc280868709"/>
      <w:bookmarkEnd w:id="896"/>
      <w:bookmarkStart w:id="897" w:name="_Toc280868708"/>
      <w:bookmarkEnd w:id="897"/>
      <w:r>
        <w:rPr>
          <w:rFonts w:hint="eastAsia" w:ascii="宋体" w:hAnsi="宋体" w:eastAsia="宋体" w:cs="宋体"/>
          <w:color w:val="000000" w:themeColor="text1"/>
          <w:sz w:val="24"/>
          <w:szCs w:val="24"/>
          <w:highlight w:val="none"/>
          <w14:textFill>
            <w14:solidFill>
              <w14:schemeClr w14:val="tx1"/>
            </w14:solidFill>
          </w14:textFill>
        </w:rPr>
        <w:t>13.2.1竣工验收条件</w:t>
      </w:r>
    </w:p>
    <w:p w14:paraId="386D1317">
      <w:pPr>
        <w:pStyle w:val="245"/>
        <w:pageBreakBefore w:val="0"/>
        <w:wordWrap/>
        <w:overflowPunct/>
        <w:topLinePunct w:val="0"/>
        <w:bidi w:val="0"/>
        <w:spacing w:line="460" w:lineRule="exact"/>
        <w:ind w:firstLine="480" w:firstLineChars="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（3）承包人负责整理和提交的竣工验收资料应当符合工程所在地建设行政主管部门和(或)城市建设档案管理机构有关施工资料的要求，具体内容包括：</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按通用条款第13.2.1款执行并满足发包人要求</w:t>
      </w:r>
      <w:r>
        <w:rPr>
          <w:rFonts w:hint="eastAsia" w:ascii="宋体" w:hAnsi="宋体" w:eastAsia="宋体" w:cs="宋体"/>
          <w:b/>
          <w:bCs/>
          <w:color w:val="000000" w:themeColor="text1"/>
          <w:sz w:val="24"/>
          <w:szCs w:val="24"/>
          <w:highlight w:val="none"/>
          <w14:textFill>
            <w14:solidFill>
              <w14:schemeClr w14:val="tx1"/>
            </w14:solidFill>
          </w14:textFill>
        </w:rPr>
        <w:t>。</w:t>
      </w:r>
    </w:p>
    <w:p w14:paraId="3F8BE331">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竣工验收资料的份数：</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陆份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34C519A4">
      <w:pPr>
        <w:pStyle w:val="245"/>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承包人提供竣工图的约定：</w:t>
      </w:r>
      <w:r>
        <w:rPr>
          <w:rFonts w:hint="eastAsia" w:ascii="宋体" w:hAnsi="宋体" w:eastAsia="宋体" w:cs="宋体"/>
          <w:b/>
          <w:bCs/>
          <w:color w:val="000000" w:themeColor="text1"/>
          <w:sz w:val="24"/>
          <w:szCs w:val="24"/>
          <w:highlight w:val="none"/>
          <w:u w:val="single"/>
          <w14:textFill>
            <w14:solidFill>
              <w14:schemeClr w14:val="tx1"/>
            </w14:solidFill>
          </w14:textFill>
        </w:rPr>
        <w:t>竣工验收正式通过后5天（工程造价在500万元以下含500万元）、10天（工程造价在500万元至1000万元之间含1000万元）、15天（工程造价在1000万元以上），提供竣工图的数量分别为2套、4套、6套。</w:t>
      </w:r>
    </w:p>
    <w:p w14:paraId="1AC6F54C">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13.2.2竣工验收程序</w:t>
      </w:r>
    </w:p>
    <w:p w14:paraId="01EFDF59">
      <w:pPr>
        <w:pStyle w:val="245"/>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关于竣工验收程序的约定：</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按工程所在地建设行政主管部门和城市建设档案管理机构有关验收程序的要求进行</w:t>
      </w:r>
      <w:r>
        <w:rPr>
          <w:rFonts w:hint="eastAsia" w:ascii="宋体" w:hAnsi="宋体" w:eastAsia="宋体" w:cs="宋体"/>
          <w:b/>
          <w:bCs/>
          <w:color w:val="000000" w:themeColor="text1"/>
          <w:sz w:val="24"/>
          <w:szCs w:val="24"/>
          <w:highlight w:val="none"/>
          <w14:textFill>
            <w14:solidFill>
              <w14:schemeClr w14:val="tx1"/>
            </w14:solidFill>
          </w14:textFill>
        </w:rPr>
        <w:t>。</w:t>
      </w:r>
    </w:p>
    <w:p w14:paraId="64B56887">
      <w:pPr>
        <w:pStyle w:val="245"/>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发包人不按照本项约定组织竣工验收、颁发工程接收证书的违约金的计算方法：</w:t>
      </w:r>
      <w:r>
        <w:rPr>
          <w:rFonts w:hint="eastAsia" w:ascii="宋体" w:hAnsi="宋体" w:eastAsia="宋体" w:cs="宋体"/>
          <w:b/>
          <w:bCs/>
          <w:color w:val="000000" w:themeColor="text1"/>
          <w:sz w:val="24"/>
          <w:szCs w:val="24"/>
          <w:highlight w:val="none"/>
          <w:u w:val="single"/>
          <w14:textFill>
            <w14:solidFill>
              <w14:schemeClr w14:val="tx1"/>
            </w14:solidFill>
          </w14:textFill>
        </w:rPr>
        <w:t>按工程所在地建设行政主管部门和城市建设档案管理机构有关验收程序的要求进行</w:t>
      </w:r>
      <w:r>
        <w:rPr>
          <w:rFonts w:hint="eastAsia" w:ascii="宋体" w:hAnsi="宋体" w:eastAsia="宋体" w:cs="宋体"/>
          <w:b/>
          <w:bCs/>
          <w:color w:val="000000" w:themeColor="text1"/>
          <w:sz w:val="24"/>
          <w:szCs w:val="24"/>
          <w:highlight w:val="none"/>
          <w14:textFill>
            <w14:solidFill>
              <w14:schemeClr w14:val="tx1"/>
            </w14:solidFill>
          </w14:textFill>
        </w:rPr>
        <w:t>。</w:t>
      </w:r>
    </w:p>
    <w:p w14:paraId="3021453E">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13.2.5移交、接收全部与部分工程</w:t>
      </w:r>
    </w:p>
    <w:p w14:paraId="2F43751A">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承包人向发包人移交工程的期限：</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颁发工程接收证书后14天内完成工程的移交</w:t>
      </w:r>
      <w:r>
        <w:rPr>
          <w:rFonts w:hint="eastAsia" w:ascii="宋体" w:hAnsi="宋体" w:eastAsia="宋体" w:cs="宋体"/>
          <w:color w:val="000000" w:themeColor="text1"/>
          <w:sz w:val="24"/>
          <w:szCs w:val="24"/>
          <w:highlight w:val="none"/>
          <w14:textFill>
            <w14:solidFill>
              <w14:schemeClr w14:val="tx1"/>
            </w14:solidFill>
          </w14:textFill>
        </w:rPr>
        <w:t>。</w:t>
      </w:r>
    </w:p>
    <w:p w14:paraId="58CD6E47">
      <w:pPr>
        <w:pStyle w:val="245"/>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kern w:val="0"/>
          <w:sz w:val="24"/>
          <w:szCs w:val="24"/>
          <w:highlight w:val="none"/>
          <w:u w:val="singl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发包人未按本合同约定接收全部或部分工程的，违约金的计算方法为：</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发包人无正当理由不接收工程的，发包人自应当接收工程之日起，承担工程照管、成品保护、保管等与工程有关的各项费用，且每延误一天，向承包人支付 150 元/天的违约金。</w:t>
      </w:r>
    </w:p>
    <w:p w14:paraId="76BE9094">
      <w:pPr>
        <w:pStyle w:val="245"/>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承包人未按时移交工程的，违约金的计算方法为：</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因承包人原因未按时移交工程的，承包人应采取措施确保相关工程的正常使用，承包人应承担工程照管、成品保护、保管等与工程有关的各项费用，且每延误一天，扣除150元/天的质保金</w:t>
      </w:r>
      <w:r>
        <w:rPr>
          <w:rFonts w:hint="eastAsia" w:ascii="宋体" w:hAnsi="宋体" w:eastAsia="宋体" w:cs="宋体"/>
          <w:b/>
          <w:bCs/>
          <w:color w:val="000000" w:themeColor="text1"/>
          <w:sz w:val="24"/>
          <w:szCs w:val="24"/>
          <w:highlight w:val="none"/>
          <w14:textFill>
            <w14:solidFill>
              <w14:schemeClr w14:val="tx1"/>
            </w14:solidFill>
          </w14:textFill>
        </w:rPr>
        <w:t>。</w:t>
      </w:r>
    </w:p>
    <w:p w14:paraId="15F6FD2D">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898" w:name="_Toc373478403"/>
      <w:bookmarkEnd w:id="898"/>
      <w:bookmarkStart w:id="899" w:name="_Toc373227756"/>
      <w:bookmarkEnd w:id="899"/>
      <w:bookmarkStart w:id="900" w:name="_Toc407135259"/>
      <w:bookmarkEnd w:id="900"/>
      <w:bookmarkStart w:id="901" w:name="_Toc11306"/>
      <w:bookmarkEnd w:id="901"/>
      <w:bookmarkStart w:id="902" w:name="_Toc389065321"/>
      <w:r>
        <w:rPr>
          <w:rFonts w:hint="eastAsia" w:ascii="宋体" w:hAnsi="宋体" w:eastAsia="宋体" w:cs="宋体"/>
          <w:color w:val="000000" w:themeColor="text1"/>
          <w:sz w:val="24"/>
          <w:szCs w:val="24"/>
          <w:highlight w:val="none"/>
          <w14:textFill>
            <w14:solidFill>
              <w14:schemeClr w14:val="tx1"/>
            </w14:solidFill>
          </w14:textFill>
        </w:rPr>
        <w:t xml:space="preserve">13.3 </w:t>
      </w:r>
      <w:bookmarkEnd w:id="902"/>
      <w:r>
        <w:rPr>
          <w:rFonts w:hint="eastAsia" w:ascii="宋体" w:hAnsi="宋体" w:eastAsia="宋体" w:cs="宋体"/>
          <w:color w:val="000000" w:themeColor="text1"/>
          <w:sz w:val="24"/>
          <w:szCs w:val="24"/>
          <w:highlight w:val="none"/>
          <w14:textFill>
            <w14:solidFill>
              <w14:schemeClr w14:val="tx1"/>
            </w14:solidFill>
          </w14:textFill>
        </w:rPr>
        <w:t>工程试车</w:t>
      </w:r>
    </w:p>
    <w:p w14:paraId="6465C44D">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13.3.1 试车程序</w:t>
      </w:r>
    </w:p>
    <w:p w14:paraId="551493FB">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工程试车内容：</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按设计图纸要求</w:t>
      </w:r>
      <w:r>
        <w:rPr>
          <w:rFonts w:hint="eastAsia" w:ascii="宋体" w:hAnsi="宋体" w:eastAsia="宋体" w:cs="宋体"/>
          <w:b/>
          <w:bCs/>
          <w:color w:val="000000" w:themeColor="text1"/>
          <w:sz w:val="24"/>
          <w:szCs w:val="24"/>
          <w:highlight w:val="none"/>
          <w14:textFill>
            <w14:solidFill>
              <w14:schemeClr w14:val="tx1"/>
            </w14:solidFill>
          </w14:textFill>
        </w:rPr>
        <w:t>。</w:t>
      </w:r>
    </w:p>
    <w:p w14:paraId="0771AD92">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（1）单机无负荷试车费用由</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承包人</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承担；</w:t>
      </w:r>
    </w:p>
    <w:p w14:paraId="0D4D49CC">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（2）无负荷联动试车费用由</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承包人</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承担。</w:t>
      </w:r>
    </w:p>
    <w:p w14:paraId="5E5274A3">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13.3.3 投料试车</w:t>
      </w:r>
    </w:p>
    <w:p w14:paraId="2DBDC876">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关于投料试车相关事项的约定：</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按设计图纸要求</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4369A05F">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903" w:name="_Toc373478404"/>
      <w:bookmarkEnd w:id="903"/>
      <w:bookmarkStart w:id="904" w:name="_Toc373227757"/>
      <w:bookmarkEnd w:id="904"/>
      <w:bookmarkStart w:id="905" w:name="_Toc407135260"/>
      <w:bookmarkEnd w:id="905"/>
      <w:bookmarkStart w:id="906" w:name="_Toc19721"/>
      <w:bookmarkEnd w:id="906"/>
      <w:bookmarkStart w:id="907" w:name="_Toc389065322"/>
      <w:r>
        <w:rPr>
          <w:rFonts w:hint="eastAsia" w:ascii="宋体" w:hAnsi="宋体" w:eastAsia="宋体" w:cs="宋体"/>
          <w:color w:val="000000" w:themeColor="text1"/>
          <w:sz w:val="24"/>
          <w:szCs w:val="24"/>
          <w:highlight w:val="none"/>
          <w14:textFill>
            <w14:solidFill>
              <w14:schemeClr w14:val="tx1"/>
            </w14:solidFill>
          </w14:textFill>
        </w:rPr>
        <w:t xml:space="preserve">13.6 </w:t>
      </w:r>
      <w:bookmarkEnd w:id="907"/>
      <w:r>
        <w:rPr>
          <w:rFonts w:hint="eastAsia" w:ascii="宋体" w:hAnsi="宋体" w:eastAsia="宋体" w:cs="宋体"/>
          <w:color w:val="000000" w:themeColor="text1"/>
          <w:sz w:val="24"/>
          <w:szCs w:val="24"/>
          <w:highlight w:val="none"/>
          <w14:textFill>
            <w14:solidFill>
              <w14:schemeClr w14:val="tx1"/>
            </w14:solidFill>
          </w14:textFill>
        </w:rPr>
        <w:t>竣工退场</w:t>
      </w:r>
    </w:p>
    <w:p w14:paraId="7EDC86F5">
      <w:pPr>
        <w:pageBreakBefore w:val="0"/>
        <w:wordWrap/>
        <w:overflowPunct/>
        <w:topLinePunct w:val="0"/>
        <w:bidi w:val="0"/>
        <w:spacing w:line="460" w:lineRule="exac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13.6.1 竣工退场</w:t>
      </w:r>
    </w:p>
    <w:p w14:paraId="36ED607D">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承包人完成竣工退场的期限：</w:t>
      </w:r>
      <w:r>
        <w:rPr>
          <w:rFonts w:hint="eastAsia" w:ascii="宋体" w:hAnsi="宋体" w:eastAsia="宋体" w:cs="宋体"/>
          <w:b/>
          <w:bCs/>
          <w:color w:val="000000" w:themeColor="text1"/>
          <w:sz w:val="24"/>
          <w:szCs w:val="24"/>
          <w:highlight w:val="none"/>
          <w:u w:val="single"/>
          <w14:textFill>
            <w14:solidFill>
              <w14:schemeClr w14:val="tx1"/>
            </w14:solidFill>
          </w14:textFill>
        </w:rPr>
        <w:t>颁发工程接收证书后14天内完成工程的移交</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22D6E424">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908" w:name="_Toc25989"/>
      <w:bookmarkEnd w:id="908"/>
      <w:bookmarkStart w:id="909" w:name="_Toc373227758"/>
      <w:bookmarkEnd w:id="909"/>
      <w:bookmarkStart w:id="910" w:name="_Toc389065323"/>
      <w:bookmarkEnd w:id="910"/>
      <w:bookmarkStart w:id="911" w:name="_Toc351203646"/>
      <w:bookmarkEnd w:id="911"/>
      <w:bookmarkStart w:id="912" w:name="_Toc373478405"/>
      <w:bookmarkEnd w:id="912"/>
      <w:bookmarkStart w:id="913" w:name="_Toc407135261"/>
      <w:r>
        <w:rPr>
          <w:rFonts w:hint="eastAsia" w:ascii="宋体" w:hAnsi="宋体" w:eastAsia="宋体" w:cs="宋体"/>
          <w:color w:val="000000" w:themeColor="text1"/>
          <w:sz w:val="24"/>
          <w:szCs w:val="24"/>
          <w:highlight w:val="none"/>
          <w14:textFill>
            <w14:solidFill>
              <w14:schemeClr w14:val="tx1"/>
            </w14:solidFill>
          </w14:textFill>
        </w:rPr>
        <w:t xml:space="preserve">14. </w:t>
      </w:r>
      <w:bookmarkEnd w:id="913"/>
      <w:r>
        <w:rPr>
          <w:rFonts w:hint="eastAsia" w:ascii="宋体" w:hAnsi="宋体" w:eastAsia="宋体" w:cs="宋体"/>
          <w:color w:val="000000" w:themeColor="text1"/>
          <w:sz w:val="24"/>
          <w:szCs w:val="24"/>
          <w:highlight w:val="none"/>
          <w14:textFill>
            <w14:solidFill>
              <w14:schemeClr w14:val="tx1"/>
            </w14:solidFill>
          </w14:textFill>
        </w:rPr>
        <w:t>竣工结算</w:t>
      </w:r>
    </w:p>
    <w:p w14:paraId="7B66EB4E">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914" w:name="_Toc389065324"/>
      <w:bookmarkEnd w:id="914"/>
      <w:bookmarkStart w:id="915" w:name="_Toc373227759"/>
      <w:bookmarkEnd w:id="915"/>
      <w:bookmarkStart w:id="916" w:name="_Toc19510"/>
      <w:bookmarkEnd w:id="916"/>
      <w:bookmarkStart w:id="917" w:name="_Toc407135262"/>
      <w:bookmarkEnd w:id="917"/>
      <w:bookmarkStart w:id="918" w:name="_Toc373478406"/>
      <w:r>
        <w:rPr>
          <w:rFonts w:hint="eastAsia" w:ascii="宋体" w:hAnsi="宋体" w:eastAsia="宋体" w:cs="宋体"/>
          <w:color w:val="000000" w:themeColor="text1"/>
          <w:sz w:val="24"/>
          <w:szCs w:val="24"/>
          <w:highlight w:val="none"/>
          <w14:textFill>
            <w14:solidFill>
              <w14:schemeClr w14:val="tx1"/>
            </w14:solidFill>
          </w14:textFill>
        </w:rPr>
        <w:t xml:space="preserve">14.1 </w:t>
      </w:r>
      <w:bookmarkEnd w:id="918"/>
      <w:r>
        <w:rPr>
          <w:rFonts w:hint="eastAsia" w:ascii="宋体" w:hAnsi="宋体" w:eastAsia="宋体" w:cs="宋体"/>
          <w:color w:val="000000" w:themeColor="text1"/>
          <w:sz w:val="24"/>
          <w:szCs w:val="24"/>
          <w:highlight w:val="none"/>
          <w14:textFill>
            <w14:solidFill>
              <w14:schemeClr w14:val="tx1"/>
            </w14:solidFill>
          </w14:textFill>
        </w:rPr>
        <w:t>竣工付款申请</w:t>
      </w:r>
    </w:p>
    <w:p w14:paraId="152F01CF">
      <w:pPr>
        <w:pStyle w:val="245"/>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承包人提交竣工付款申请单的期限：</w:t>
      </w:r>
      <w:r>
        <w:rPr>
          <w:rFonts w:hint="eastAsia" w:ascii="宋体" w:hAnsi="宋体" w:eastAsia="宋体" w:cs="宋体"/>
          <w:b/>
          <w:bCs/>
          <w:color w:val="000000" w:themeColor="text1"/>
          <w:sz w:val="24"/>
          <w:szCs w:val="24"/>
          <w:highlight w:val="none"/>
          <w:u w:val="single"/>
          <w:lang w:val="en-US" w:eastAsia="en-US" w:bidi="ar-SA"/>
          <w14:textFill>
            <w14:solidFill>
              <w14:schemeClr w14:val="tx1"/>
            </w14:solidFill>
          </w14:textFill>
        </w:rPr>
        <w:t>在工程竣工验收合格后 28 天内向发包人和监理人提交竣 工结算申请单及相关材料。无正当理由延期或经发包人催促 14 天内仍未提供或明确答复的，发包人有权根据已有资料进行结算审核，责任由承包人自负。承包人应及时提供竣工结算过程中所需补充的资料。</w:t>
      </w:r>
      <w:r>
        <w:rPr>
          <w:rFonts w:hint="eastAsia" w:ascii="宋体" w:hAnsi="宋体" w:eastAsia="宋体" w:cs="宋体"/>
          <w:b/>
          <w:bCs/>
          <w:color w:val="000000" w:themeColor="text1"/>
          <w:sz w:val="24"/>
          <w:szCs w:val="24"/>
          <w:highlight w:val="none"/>
          <w14:textFill>
            <w14:solidFill>
              <w14:schemeClr w14:val="tx1"/>
            </w14:solidFill>
          </w14:textFill>
        </w:rPr>
        <w:t>。</w:t>
      </w:r>
    </w:p>
    <w:p w14:paraId="5C4EB030">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竣工付款申请单应包括的内容：</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竣工付款申请单须符合</w:t>
      </w:r>
      <w:r>
        <w:rPr>
          <w:rFonts w:hint="eastAsia" w:ascii="宋体" w:hAnsi="宋体" w:eastAsia="宋体" w:cs="宋体"/>
          <w:b/>
          <w:bCs/>
          <w:color w:val="000000" w:themeColor="text1"/>
          <w:sz w:val="24"/>
          <w:szCs w:val="24"/>
          <w:highlight w:val="none"/>
          <w:u w:val="single"/>
          <w:lang w:eastAsia="zh-CN"/>
          <w14:textFill>
            <w14:solidFill>
              <w14:schemeClr w14:val="tx1"/>
            </w14:solidFill>
          </w14:textFill>
        </w:rPr>
        <w:t>贵港</w:t>
      </w:r>
      <w:r>
        <w:rPr>
          <w:rFonts w:hint="eastAsia" w:ascii="宋体" w:hAnsi="宋体" w:eastAsia="宋体" w:cs="宋体"/>
          <w:b/>
          <w:bCs/>
          <w:color w:val="000000" w:themeColor="text1"/>
          <w:sz w:val="24"/>
          <w:szCs w:val="24"/>
          <w:highlight w:val="none"/>
          <w:u w:val="single"/>
          <w14:textFill>
            <w14:solidFill>
              <w14:schemeClr w14:val="tx1"/>
            </w14:solidFill>
          </w14:textFill>
        </w:rPr>
        <w:t>市人民政府相关文件规定，竣工付款申请单编制内容按发包人工程款支付管理规定执行</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2B32DD62">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919" w:name="_Toc407135263"/>
      <w:bookmarkEnd w:id="919"/>
      <w:bookmarkStart w:id="920" w:name="_Toc25450"/>
      <w:bookmarkEnd w:id="920"/>
      <w:bookmarkStart w:id="921" w:name="_Toc373227760"/>
      <w:bookmarkEnd w:id="921"/>
      <w:bookmarkStart w:id="922" w:name="_Toc389065325"/>
      <w:bookmarkEnd w:id="922"/>
      <w:bookmarkStart w:id="923" w:name="_Toc373478407"/>
      <w:r>
        <w:rPr>
          <w:rFonts w:hint="eastAsia" w:ascii="宋体" w:hAnsi="宋体" w:eastAsia="宋体" w:cs="宋体"/>
          <w:color w:val="000000" w:themeColor="text1"/>
          <w:sz w:val="24"/>
          <w:szCs w:val="24"/>
          <w:highlight w:val="none"/>
          <w14:textFill>
            <w14:solidFill>
              <w14:schemeClr w14:val="tx1"/>
            </w14:solidFill>
          </w14:textFill>
        </w:rPr>
        <w:t xml:space="preserve">14.2 </w:t>
      </w:r>
      <w:bookmarkEnd w:id="923"/>
      <w:r>
        <w:rPr>
          <w:rFonts w:hint="eastAsia" w:ascii="宋体" w:hAnsi="宋体" w:eastAsia="宋体" w:cs="宋体"/>
          <w:color w:val="000000" w:themeColor="text1"/>
          <w:sz w:val="24"/>
          <w:szCs w:val="24"/>
          <w:highlight w:val="none"/>
          <w14:textFill>
            <w14:solidFill>
              <w14:schemeClr w14:val="tx1"/>
            </w14:solidFill>
          </w14:textFill>
        </w:rPr>
        <w:t>竣工结算审核</w:t>
      </w:r>
    </w:p>
    <w:p w14:paraId="3DEDDE11">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发包人审批竣工付款申请单的期限：</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6050"/>
      </w:tblGrid>
      <w:tr w14:paraId="1E060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161F3ED4">
            <w:pPr>
              <w:pStyle w:val="245"/>
              <w:pageBreakBefore w:val="0"/>
              <w:wordWrap/>
              <w:overflowPunct/>
              <w:topLinePunct w:val="0"/>
              <w:bidi w:val="0"/>
              <w:spacing w:line="460" w:lineRule="exact"/>
              <w:rPr>
                <w:rFonts w:hint="eastAsia" w:ascii="宋体" w:hAnsi="宋体" w:eastAsia="宋体" w:cs="宋体"/>
                <w:color w:val="000000" w:themeColor="text1"/>
                <w:sz w:val="22"/>
                <w:szCs w:val="22"/>
                <w:highlight w:val="none"/>
                <w14:textFill>
                  <w14:solidFill>
                    <w14:schemeClr w14:val="tx1"/>
                  </w14:solidFill>
                </w14:textFill>
              </w:rPr>
            </w:pPr>
          </w:p>
        </w:tc>
        <w:tc>
          <w:tcPr>
            <w:tcW w:w="2466" w:type="dxa"/>
            <w:tcBorders>
              <w:left w:val="nil"/>
            </w:tcBorders>
            <w:vAlign w:val="center"/>
          </w:tcPr>
          <w:p w14:paraId="605EF9AC">
            <w:pPr>
              <w:pStyle w:val="245"/>
              <w:pageBreakBefore w:val="0"/>
              <w:wordWrap/>
              <w:overflowPunct/>
              <w:topLinePunct w:val="0"/>
              <w:bidi w:val="0"/>
              <w:spacing w:line="460" w:lineRule="exact"/>
              <w:ind w:firstLine="28" w:firstLineChars="13"/>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工程竣工结算报告金额</w:t>
            </w:r>
          </w:p>
        </w:tc>
        <w:tc>
          <w:tcPr>
            <w:tcW w:w="6050" w:type="dxa"/>
            <w:tcBorders>
              <w:left w:val="nil"/>
            </w:tcBorders>
            <w:vAlign w:val="center"/>
          </w:tcPr>
          <w:p w14:paraId="6E257A24">
            <w:pPr>
              <w:pStyle w:val="245"/>
              <w:pageBreakBefore w:val="0"/>
              <w:wordWrap/>
              <w:overflowPunct/>
              <w:topLinePunct w:val="0"/>
              <w:bidi w:val="0"/>
              <w:spacing w:line="460" w:lineRule="exact"/>
              <w:ind w:firstLine="462" w:firstLineChars="210"/>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发包人审查时间</w:t>
            </w:r>
          </w:p>
        </w:tc>
      </w:tr>
      <w:tr w14:paraId="56878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43138A89">
            <w:pPr>
              <w:pStyle w:val="245"/>
              <w:pageBreakBefore w:val="0"/>
              <w:wordWrap/>
              <w:overflowPunct/>
              <w:topLinePunct w:val="0"/>
              <w:bidi w:val="0"/>
              <w:spacing w:line="460" w:lineRule="exact"/>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w:t>
            </w:r>
          </w:p>
        </w:tc>
        <w:tc>
          <w:tcPr>
            <w:tcW w:w="2466" w:type="dxa"/>
            <w:tcBorders>
              <w:left w:val="nil"/>
            </w:tcBorders>
            <w:vAlign w:val="center"/>
          </w:tcPr>
          <w:p w14:paraId="053E2C20">
            <w:pPr>
              <w:pStyle w:val="245"/>
              <w:pageBreakBefore w:val="0"/>
              <w:wordWrap/>
              <w:overflowPunct/>
              <w:topLinePunct w:val="0"/>
              <w:bidi w:val="0"/>
              <w:spacing w:line="460" w:lineRule="exact"/>
              <w:ind w:firstLine="28" w:firstLineChars="13"/>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500万元以下</w:t>
            </w:r>
          </w:p>
        </w:tc>
        <w:tc>
          <w:tcPr>
            <w:tcW w:w="6050" w:type="dxa"/>
            <w:tcBorders>
              <w:left w:val="nil"/>
            </w:tcBorders>
            <w:vAlign w:val="center"/>
          </w:tcPr>
          <w:p w14:paraId="4C13BB03">
            <w:pPr>
              <w:pStyle w:val="245"/>
              <w:pageBreakBefore w:val="0"/>
              <w:wordWrap/>
              <w:overflowPunct/>
              <w:topLinePunct w:val="0"/>
              <w:bidi w:val="0"/>
              <w:spacing w:line="460" w:lineRule="exact"/>
              <w:ind w:firstLine="462" w:firstLineChars="210"/>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从接到竣工结算报告和完整的竣工结算资料之日起20天</w:t>
            </w:r>
          </w:p>
        </w:tc>
      </w:tr>
      <w:tr w14:paraId="33A4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11C15EF9">
            <w:pPr>
              <w:pStyle w:val="245"/>
              <w:pageBreakBefore w:val="0"/>
              <w:wordWrap/>
              <w:overflowPunct/>
              <w:topLinePunct w:val="0"/>
              <w:bidi w:val="0"/>
              <w:spacing w:line="460" w:lineRule="exact"/>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w:t>
            </w:r>
          </w:p>
        </w:tc>
        <w:tc>
          <w:tcPr>
            <w:tcW w:w="2466" w:type="dxa"/>
            <w:tcBorders>
              <w:left w:val="nil"/>
            </w:tcBorders>
            <w:vAlign w:val="center"/>
          </w:tcPr>
          <w:p w14:paraId="6EEEB85E">
            <w:pPr>
              <w:pStyle w:val="245"/>
              <w:pageBreakBefore w:val="0"/>
              <w:wordWrap/>
              <w:overflowPunct/>
              <w:topLinePunct w:val="0"/>
              <w:bidi w:val="0"/>
              <w:spacing w:line="460" w:lineRule="exact"/>
              <w:ind w:firstLine="28" w:firstLineChars="13"/>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500万元-2000万元</w:t>
            </w:r>
          </w:p>
        </w:tc>
        <w:tc>
          <w:tcPr>
            <w:tcW w:w="6050" w:type="dxa"/>
            <w:tcBorders>
              <w:left w:val="nil"/>
            </w:tcBorders>
            <w:vAlign w:val="center"/>
          </w:tcPr>
          <w:p w14:paraId="05A931C7">
            <w:pPr>
              <w:pStyle w:val="245"/>
              <w:pageBreakBefore w:val="0"/>
              <w:wordWrap/>
              <w:overflowPunct/>
              <w:topLinePunct w:val="0"/>
              <w:bidi w:val="0"/>
              <w:spacing w:line="460" w:lineRule="exact"/>
              <w:ind w:firstLine="462" w:firstLineChars="210"/>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从接到竣工结算报告和完整的竣工结算资料之日起30天</w:t>
            </w:r>
          </w:p>
        </w:tc>
      </w:tr>
      <w:tr w14:paraId="20A65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1DE021BD">
            <w:pPr>
              <w:pStyle w:val="245"/>
              <w:pageBreakBefore w:val="0"/>
              <w:wordWrap/>
              <w:overflowPunct/>
              <w:topLinePunct w:val="0"/>
              <w:bidi w:val="0"/>
              <w:spacing w:line="460" w:lineRule="exact"/>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w:t>
            </w:r>
          </w:p>
        </w:tc>
        <w:tc>
          <w:tcPr>
            <w:tcW w:w="2466" w:type="dxa"/>
            <w:tcBorders>
              <w:left w:val="nil"/>
            </w:tcBorders>
            <w:vAlign w:val="center"/>
          </w:tcPr>
          <w:p w14:paraId="0FE21E6E">
            <w:pPr>
              <w:pStyle w:val="245"/>
              <w:pageBreakBefore w:val="0"/>
              <w:wordWrap/>
              <w:overflowPunct/>
              <w:topLinePunct w:val="0"/>
              <w:bidi w:val="0"/>
              <w:spacing w:line="460" w:lineRule="exact"/>
              <w:ind w:firstLine="28" w:firstLineChars="13"/>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2000万元-5000万元</w:t>
            </w:r>
          </w:p>
        </w:tc>
        <w:tc>
          <w:tcPr>
            <w:tcW w:w="6050" w:type="dxa"/>
            <w:tcBorders>
              <w:left w:val="nil"/>
            </w:tcBorders>
            <w:vAlign w:val="center"/>
          </w:tcPr>
          <w:p w14:paraId="631F083B">
            <w:pPr>
              <w:pStyle w:val="245"/>
              <w:pageBreakBefore w:val="0"/>
              <w:wordWrap/>
              <w:overflowPunct/>
              <w:topLinePunct w:val="0"/>
              <w:bidi w:val="0"/>
              <w:spacing w:line="460" w:lineRule="exact"/>
              <w:ind w:firstLine="462" w:firstLineChars="210"/>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从接到竣工结算报告和完整的竣工结算资料之日起45天</w:t>
            </w:r>
          </w:p>
        </w:tc>
      </w:tr>
      <w:tr w14:paraId="55EB3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0A443705">
            <w:pPr>
              <w:pStyle w:val="245"/>
              <w:pageBreakBefore w:val="0"/>
              <w:wordWrap/>
              <w:overflowPunct/>
              <w:topLinePunct w:val="0"/>
              <w:bidi w:val="0"/>
              <w:spacing w:line="460" w:lineRule="exact"/>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4</w:t>
            </w:r>
          </w:p>
        </w:tc>
        <w:tc>
          <w:tcPr>
            <w:tcW w:w="2466" w:type="dxa"/>
            <w:tcBorders>
              <w:left w:val="nil"/>
            </w:tcBorders>
            <w:vAlign w:val="center"/>
          </w:tcPr>
          <w:p w14:paraId="4FBDFA39">
            <w:pPr>
              <w:pStyle w:val="245"/>
              <w:pageBreakBefore w:val="0"/>
              <w:wordWrap/>
              <w:overflowPunct/>
              <w:topLinePunct w:val="0"/>
              <w:bidi w:val="0"/>
              <w:spacing w:line="460" w:lineRule="exact"/>
              <w:ind w:firstLine="28" w:firstLineChars="13"/>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5000万元以上</w:t>
            </w:r>
          </w:p>
        </w:tc>
        <w:tc>
          <w:tcPr>
            <w:tcW w:w="6050" w:type="dxa"/>
            <w:tcBorders>
              <w:left w:val="nil"/>
            </w:tcBorders>
            <w:vAlign w:val="center"/>
          </w:tcPr>
          <w:p w14:paraId="63799E9C">
            <w:pPr>
              <w:pStyle w:val="245"/>
              <w:pageBreakBefore w:val="0"/>
              <w:wordWrap/>
              <w:overflowPunct/>
              <w:topLinePunct w:val="0"/>
              <w:bidi w:val="0"/>
              <w:spacing w:line="460" w:lineRule="exact"/>
              <w:ind w:firstLine="462" w:firstLineChars="210"/>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从接到竣工结算报告和完整的竣工结算资料之日起60天</w:t>
            </w:r>
          </w:p>
        </w:tc>
      </w:tr>
      <w:tr w14:paraId="71407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765" w:type="dxa"/>
            <w:vAlign w:val="center"/>
          </w:tcPr>
          <w:p w14:paraId="39E99DBA">
            <w:pPr>
              <w:pStyle w:val="245"/>
              <w:pageBreakBefore w:val="0"/>
              <w:wordWrap/>
              <w:overflowPunct/>
              <w:topLinePunct w:val="0"/>
              <w:bidi w:val="0"/>
              <w:spacing w:line="460" w:lineRule="exact"/>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5</w:t>
            </w:r>
          </w:p>
        </w:tc>
        <w:tc>
          <w:tcPr>
            <w:tcW w:w="2466" w:type="dxa"/>
            <w:tcBorders>
              <w:left w:val="nil"/>
            </w:tcBorders>
            <w:vAlign w:val="center"/>
          </w:tcPr>
          <w:p w14:paraId="0D3CEDE1">
            <w:pPr>
              <w:pStyle w:val="245"/>
              <w:pageBreakBefore w:val="0"/>
              <w:wordWrap/>
              <w:overflowPunct/>
              <w:topLinePunct w:val="0"/>
              <w:bidi w:val="0"/>
              <w:spacing w:line="460" w:lineRule="exact"/>
              <w:ind w:firstLine="28" w:firstLineChars="13"/>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5000万以上每增加0.5亿(不足0.5亿不增加)</w:t>
            </w:r>
          </w:p>
        </w:tc>
        <w:tc>
          <w:tcPr>
            <w:tcW w:w="6050" w:type="dxa"/>
            <w:tcBorders>
              <w:left w:val="nil"/>
            </w:tcBorders>
            <w:vAlign w:val="center"/>
          </w:tcPr>
          <w:p w14:paraId="1998073E">
            <w:pPr>
              <w:pStyle w:val="245"/>
              <w:pageBreakBefore w:val="0"/>
              <w:wordWrap/>
              <w:overflowPunct/>
              <w:topLinePunct w:val="0"/>
              <w:bidi w:val="0"/>
              <w:spacing w:line="460" w:lineRule="exact"/>
              <w:ind w:firstLine="462" w:firstLineChars="210"/>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增加10天</w:t>
            </w:r>
          </w:p>
        </w:tc>
      </w:tr>
    </w:tbl>
    <w:p w14:paraId="6E28920A">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因承包人提供的结算资料不完整而需要补充或承包人不按时对账耽误时间时，审查时间应相应顺延。</w:t>
      </w:r>
    </w:p>
    <w:p w14:paraId="028322DE">
      <w:pPr>
        <w:pStyle w:val="245"/>
        <w:pageBreakBefore w:val="0"/>
        <w:wordWrap/>
        <w:overflowPunct/>
        <w:topLinePunct w:val="0"/>
        <w:bidi w:val="0"/>
        <w:spacing w:line="460" w:lineRule="exact"/>
        <w:ind w:firstLine="470" w:firstLineChars="1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竣工结算审核约定：</w:t>
      </w:r>
    </w:p>
    <w:p w14:paraId="58FB6049">
      <w:pPr>
        <w:pStyle w:val="245"/>
        <w:pageBreakBefore w:val="0"/>
        <w:wordWrap/>
        <w:overflowPunct/>
        <w:topLinePunct w:val="0"/>
        <w:bidi w:val="0"/>
        <w:spacing w:line="460" w:lineRule="exact"/>
        <w:ind w:firstLine="472" w:firstLineChars="196"/>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b/>
          <w:bCs/>
          <w:color w:val="000000" w:themeColor="text1"/>
          <w:sz w:val="24"/>
          <w:szCs w:val="24"/>
          <w:highlight w:val="none"/>
          <w:u w:val="single"/>
          <w14:textFill>
            <w14:solidFill>
              <w14:schemeClr w14:val="tx1"/>
            </w14:solidFill>
          </w14:textFill>
        </w:rPr>
        <w:t>1、工程竣工验收报告经发包人认可后30天内，承包人向发包人递交竣工验收合格资料及完整的结算资料和报告，双方按照本工程合同约定的价格形式及价款调整办法进行工程竣工结算。2、发包人收到承包人递交的竣工结算报告及结算资料之日起30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30日内提出异议，必要时合同当事人要当面核对，直至完成工程竣工结算。除非有特殊情形，否则从承包人递交竣工结算报告到完成竣工结算的时间应控制在“发包人审核竣工付款申请单的期限”要求的时间范围内。3.自竣工结算完毕之日起30天内，发包人按审定后的竣工结算价款，通知经办银行向承包人支付结算价款。</w:t>
      </w:r>
    </w:p>
    <w:p w14:paraId="01C082E9">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924" w:name="_Toc373478408"/>
      <w:bookmarkEnd w:id="924"/>
      <w:bookmarkStart w:id="925" w:name="_Toc26858"/>
      <w:bookmarkEnd w:id="925"/>
      <w:bookmarkStart w:id="926" w:name="_Toc407135264"/>
      <w:bookmarkEnd w:id="926"/>
      <w:bookmarkStart w:id="927" w:name="_Toc373227761"/>
      <w:bookmarkEnd w:id="927"/>
      <w:bookmarkStart w:id="928" w:name="_Toc389065326"/>
      <w:r>
        <w:rPr>
          <w:rFonts w:hint="eastAsia" w:ascii="宋体" w:hAnsi="宋体" w:eastAsia="宋体" w:cs="宋体"/>
          <w:color w:val="000000" w:themeColor="text1"/>
          <w:sz w:val="24"/>
          <w:szCs w:val="24"/>
          <w:highlight w:val="none"/>
          <w14:textFill>
            <w14:solidFill>
              <w14:schemeClr w14:val="tx1"/>
            </w14:solidFill>
          </w14:textFill>
        </w:rPr>
        <w:t xml:space="preserve">14.4 </w:t>
      </w:r>
      <w:bookmarkEnd w:id="928"/>
      <w:r>
        <w:rPr>
          <w:rFonts w:hint="eastAsia" w:ascii="宋体" w:hAnsi="宋体" w:eastAsia="宋体" w:cs="宋体"/>
          <w:color w:val="000000" w:themeColor="text1"/>
          <w:sz w:val="24"/>
          <w:szCs w:val="24"/>
          <w:highlight w:val="none"/>
          <w14:textFill>
            <w14:solidFill>
              <w14:schemeClr w14:val="tx1"/>
            </w14:solidFill>
          </w14:textFill>
        </w:rPr>
        <w:t>最终结清</w:t>
      </w:r>
    </w:p>
    <w:p w14:paraId="7FE7AEB0">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14.4.1 最终结清申请单</w:t>
      </w:r>
    </w:p>
    <w:p w14:paraId="257E154A">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承包人提交最终结清申请单的份数：</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最终结清申请单须符合工程所在地相关文件规定，提交份数按发包人工程款支付管理规定执行  </w:t>
      </w:r>
      <w:r>
        <w:rPr>
          <w:rFonts w:hint="eastAsia" w:ascii="宋体" w:hAnsi="宋体" w:eastAsia="宋体" w:cs="宋体"/>
          <w:color w:val="000000" w:themeColor="text1"/>
          <w:sz w:val="24"/>
          <w:szCs w:val="24"/>
          <w:highlight w:val="none"/>
          <w14:textFill>
            <w14:solidFill>
              <w14:schemeClr w14:val="tx1"/>
            </w14:solidFill>
          </w14:textFill>
        </w:rPr>
        <w:t>。</w:t>
      </w:r>
    </w:p>
    <w:p w14:paraId="49648DFA">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承包人提交最终结算申请单的期限：</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缺陷责任期终止证书颁发后7天内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w:t>
      </w:r>
    </w:p>
    <w:p w14:paraId="42A55AA4">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14.4.2 最终结清证书和支付</w:t>
      </w:r>
    </w:p>
    <w:p w14:paraId="1AF5EA5F">
      <w:pPr>
        <w:pStyle w:val="245"/>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（1）发包人完成最终结清申请单的审批并颁发最终结清证书的期限：</w:t>
      </w:r>
      <w:r>
        <w:rPr>
          <w:rFonts w:hint="eastAsia" w:ascii="宋体" w:hAnsi="宋体" w:eastAsia="宋体" w:cs="宋体"/>
          <w:b/>
          <w:bCs/>
          <w:color w:val="000000" w:themeColor="text1"/>
          <w:sz w:val="24"/>
          <w:szCs w:val="24"/>
          <w:highlight w:val="none"/>
          <w:u w:val="single"/>
          <w14:textFill>
            <w14:solidFill>
              <w14:schemeClr w14:val="tx1"/>
            </w14:solidFill>
          </w14:textFill>
        </w:rPr>
        <w:t>收到承包人提交的最终结清申请单和完整的证明材料后28天内</w:t>
      </w:r>
      <w:r>
        <w:rPr>
          <w:rFonts w:hint="eastAsia" w:ascii="宋体" w:hAnsi="宋体" w:eastAsia="宋体" w:cs="宋体"/>
          <w:b/>
          <w:bCs/>
          <w:color w:val="000000" w:themeColor="text1"/>
          <w:sz w:val="24"/>
          <w:szCs w:val="24"/>
          <w:highlight w:val="none"/>
          <w14:textFill>
            <w14:solidFill>
              <w14:schemeClr w14:val="tx1"/>
            </w14:solidFill>
          </w14:textFill>
        </w:rPr>
        <w:t>。</w:t>
      </w:r>
    </w:p>
    <w:p w14:paraId="02C6E306">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（2）发包人完成支付的期限：</w:t>
      </w:r>
      <w:r>
        <w:rPr>
          <w:rFonts w:hint="eastAsia" w:ascii="宋体" w:hAnsi="宋体" w:eastAsia="宋体" w:cs="宋体"/>
          <w:b/>
          <w:bCs/>
          <w:color w:val="000000" w:themeColor="text1"/>
          <w:sz w:val="24"/>
          <w:szCs w:val="24"/>
          <w:highlight w:val="none"/>
          <w:u w:val="single"/>
          <w14:textFill>
            <w14:solidFill>
              <w14:schemeClr w14:val="tx1"/>
            </w14:solidFill>
          </w14:textFill>
        </w:rPr>
        <w:t>发包人签发颁发最终结清证书后28天内</w:t>
      </w:r>
      <w:r>
        <w:rPr>
          <w:rFonts w:hint="eastAsia" w:ascii="宋体" w:hAnsi="宋体" w:eastAsia="宋体" w:cs="宋体"/>
          <w:b/>
          <w:bCs/>
          <w:color w:val="000000" w:themeColor="text1"/>
          <w:sz w:val="24"/>
          <w:szCs w:val="24"/>
          <w:highlight w:val="none"/>
          <w14:textFill>
            <w14:solidFill>
              <w14:schemeClr w14:val="tx1"/>
            </w14:solidFill>
          </w14:textFill>
        </w:rPr>
        <w:t>。</w:t>
      </w:r>
    </w:p>
    <w:p w14:paraId="6ADF8D80">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929" w:name="_Toc267251485"/>
      <w:bookmarkEnd w:id="929"/>
      <w:bookmarkStart w:id="930" w:name="_Toc267251508"/>
      <w:bookmarkEnd w:id="930"/>
      <w:bookmarkStart w:id="931" w:name="_Toc267251513"/>
      <w:bookmarkEnd w:id="931"/>
      <w:bookmarkStart w:id="932" w:name="_Toc267251484"/>
      <w:bookmarkEnd w:id="932"/>
      <w:bookmarkStart w:id="933" w:name="_Toc407135265"/>
      <w:bookmarkEnd w:id="933"/>
      <w:bookmarkStart w:id="934" w:name="_Toc267251488"/>
      <w:bookmarkEnd w:id="934"/>
      <w:bookmarkStart w:id="935" w:name="_Toc267251495"/>
      <w:bookmarkEnd w:id="935"/>
      <w:bookmarkStart w:id="936" w:name="_Toc267251502"/>
      <w:bookmarkEnd w:id="936"/>
      <w:bookmarkStart w:id="937" w:name="_Toc267251489"/>
      <w:bookmarkEnd w:id="937"/>
      <w:bookmarkStart w:id="938" w:name="_Toc267251483"/>
      <w:bookmarkEnd w:id="938"/>
      <w:bookmarkStart w:id="939" w:name="_Toc267251511"/>
      <w:bookmarkEnd w:id="939"/>
      <w:bookmarkStart w:id="940" w:name="_Toc267251514"/>
      <w:bookmarkEnd w:id="940"/>
      <w:bookmarkStart w:id="941" w:name="_Toc389065327"/>
      <w:bookmarkEnd w:id="941"/>
      <w:bookmarkStart w:id="942" w:name="_Toc267251494"/>
      <w:bookmarkEnd w:id="942"/>
      <w:bookmarkStart w:id="943" w:name="_Toc267251497"/>
      <w:bookmarkEnd w:id="943"/>
      <w:bookmarkStart w:id="944" w:name="_Toc267251504"/>
      <w:bookmarkEnd w:id="944"/>
      <w:bookmarkStart w:id="945" w:name="_Toc267251503"/>
      <w:bookmarkEnd w:id="945"/>
      <w:bookmarkStart w:id="946" w:name="_Toc267251501"/>
      <w:bookmarkEnd w:id="946"/>
      <w:bookmarkStart w:id="947" w:name="_Toc267251515"/>
      <w:bookmarkEnd w:id="947"/>
      <w:bookmarkStart w:id="948" w:name="_Toc267251493"/>
      <w:bookmarkEnd w:id="948"/>
      <w:bookmarkStart w:id="949" w:name="_Toc267251498"/>
      <w:bookmarkEnd w:id="949"/>
      <w:bookmarkStart w:id="950" w:name="_Toc267251507"/>
      <w:bookmarkEnd w:id="950"/>
      <w:bookmarkStart w:id="951" w:name="_Toc373227762"/>
      <w:bookmarkEnd w:id="951"/>
      <w:bookmarkStart w:id="952" w:name="_Toc267251482"/>
      <w:bookmarkEnd w:id="952"/>
      <w:bookmarkStart w:id="953" w:name="_Toc267251486"/>
      <w:bookmarkEnd w:id="953"/>
      <w:bookmarkStart w:id="954" w:name="_Toc267251509"/>
      <w:bookmarkEnd w:id="954"/>
      <w:bookmarkStart w:id="955" w:name="_Toc267251510"/>
      <w:bookmarkEnd w:id="955"/>
      <w:bookmarkStart w:id="956" w:name="_Toc267251499"/>
      <w:bookmarkEnd w:id="956"/>
      <w:bookmarkStart w:id="957" w:name="_Toc267251506"/>
      <w:bookmarkEnd w:id="957"/>
      <w:bookmarkStart w:id="958" w:name="_Toc373478409"/>
      <w:bookmarkEnd w:id="958"/>
      <w:bookmarkStart w:id="959" w:name="_Toc267251490"/>
      <w:bookmarkEnd w:id="959"/>
      <w:bookmarkStart w:id="960" w:name="_Toc267251492"/>
      <w:bookmarkEnd w:id="960"/>
      <w:bookmarkStart w:id="961" w:name="_Toc12356"/>
      <w:bookmarkEnd w:id="961"/>
      <w:bookmarkStart w:id="962" w:name="_Toc267251491"/>
      <w:bookmarkEnd w:id="962"/>
      <w:bookmarkStart w:id="963" w:name="_Toc351203647"/>
      <w:bookmarkEnd w:id="963"/>
      <w:bookmarkStart w:id="964" w:name="_Toc267251496"/>
      <w:r>
        <w:rPr>
          <w:rFonts w:hint="eastAsia" w:ascii="宋体" w:hAnsi="宋体" w:eastAsia="宋体" w:cs="宋体"/>
          <w:color w:val="000000" w:themeColor="text1"/>
          <w:sz w:val="24"/>
          <w:szCs w:val="24"/>
          <w:highlight w:val="none"/>
          <w14:textFill>
            <w14:solidFill>
              <w14:schemeClr w14:val="tx1"/>
            </w14:solidFill>
          </w14:textFill>
        </w:rPr>
        <w:t xml:space="preserve">15. </w:t>
      </w:r>
      <w:bookmarkEnd w:id="964"/>
      <w:r>
        <w:rPr>
          <w:rFonts w:hint="eastAsia" w:ascii="宋体" w:hAnsi="宋体" w:eastAsia="宋体" w:cs="宋体"/>
          <w:color w:val="000000" w:themeColor="text1"/>
          <w:sz w:val="24"/>
          <w:szCs w:val="24"/>
          <w:highlight w:val="none"/>
          <w14:textFill>
            <w14:solidFill>
              <w14:schemeClr w14:val="tx1"/>
            </w14:solidFill>
          </w14:textFill>
        </w:rPr>
        <w:t>缺陷责任期与保修</w:t>
      </w:r>
    </w:p>
    <w:p w14:paraId="4F073338">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965" w:name="_Toc373478410"/>
      <w:bookmarkEnd w:id="965"/>
      <w:bookmarkStart w:id="966" w:name="_Toc373227763"/>
      <w:bookmarkEnd w:id="966"/>
      <w:bookmarkStart w:id="967" w:name="_Toc26391"/>
      <w:bookmarkEnd w:id="967"/>
      <w:bookmarkStart w:id="968" w:name="_Toc407135266"/>
      <w:bookmarkEnd w:id="968"/>
      <w:bookmarkStart w:id="969" w:name="_Toc389065328"/>
      <w:r>
        <w:rPr>
          <w:rFonts w:hint="eastAsia" w:ascii="宋体" w:hAnsi="宋体" w:eastAsia="宋体" w:cs="宋体"/>
          <w:color w:val="000000" w:themeColor="text1"/>
          <w:sz w:val="24"/>
          <w:szCs w:val="24"/>
          <w:highlight w:val="none"/>
          <w14:textFill>
            <w14:solidFill>
              <w14:schemeClr w14:val="tx1"/>
            </w14:solidFill>
          </w14:textFill>
        </w:rPr>
        <w:t xml:space="preserve">15.2 </w:t>
      </w:r>
      <w:bookmarkEnd w:id="969"/>
      <w:r>
        <w:rPr>
          <w:rFonts w:hint="eastAsia" w:ascii="宋体" w:hAnsi="宋体" w:eastAsia="宋体" w:cs="宋体"/>
          <w:color w:val="000000" w:themeColor="text1"/>
          <w:sz w:val="24"/>
          <w:szCs w:val="24"/>
          <w:highlight w:val="none"/>
          <w14:textFill>
            <w14:solidFill>
              <w14:schemeClr w14:val="tx1"/>
            </w14:solidFill>
          </w14:textFill>
        </w:rPr>
        <w:t>缺陷责任期</w:t>
      </w:r>
    </w:p>
    <w:p w14:paraId="4FFE9DD7">
      <w:pPr>
        <w:pStyle w:val="245"/>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缺陷责任期的具体期限：</w:t>
      </w:r>
      <w:r>
        <w:rPr>
          <w:rFonts w:hint="eastAsia" w:ascii="宋体" w:hAnsi="宋体" w:eastAsia="宋体" w:cs="宋体"/>
          <w:b/>
          <w:bCs/>
          <w:color w:val="000000" w:themeColor="text1"/>
          <w:sz w:val="24"/>
          <w:szCs w:val="24"/>
          <w:highlight w:val="none"/>
          <w:u w:val="single"/>
          <w14:textFill>
            <w14:solidFill>
              <w14:schemeClr w14:val="tx1"/>
            </w14:solidFill>
          </w14:textFill>
        </w:rPr>
        <w:t>本工程缺陷责任期为12个月，以竣工验收合格之日起计算，养护至竣工验收合格及完成接养手续为止。</w:t>
      </w:r>
    </w:p>
    <w:p w14:paraId="01526FD4">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970" w:name="_Toc407135267"/>
      <w:bookmarkEnd w:id="970"/>
      <w:bookmarkStart w:id="971" w:name="_Toc389065329"/>
      <w:bookmarkEnd w:id="971"/>
      <w:bookmarkStart w:id="972" w:name="_Toc373478411"/>
      <w:bookmarkEnd w:id="972"/>
      <w:bookmarkStart w:id="973" w:name="_Toc373227764"/>
      <w:bookmarkEnd w:id="973"/>
      <w:bookmarkStart w:id="974" w:name="_Toc7852"/>
      <w:r>
        <w:rPr>
          <w:rFonts w:hint="eastAsia" w:ascii="宋体" w:hAnsi="宋体" w:eastAsia="宋体" w:cs="宋体"/>
          <w:color w:val="000000" w:themeColor="text1"/>
          <w:sz w:val="24"/>
          <w:szCs w:val="24"/>
          <w:highlight w:val="none"/>
          <w14:textFill>
            <w14:solidFill>
              <w14:schemeClr w14:val="tx1"/>
            </w14:solidFill>
          </w14:textFill>
        </w:rPr>
        <w:t xml:space="preserve">15.3 </w:t>
      </w:r>
      <w:bookmarkEnd w:id="974"/>
      <w:r>
        <w:rPr>
          <w:rFonts w:hint="eastAsia" w:ascii="宋体" w:hAnsi="宋体" w:eastAsia="宋体" w:cs="宋体"/>
          <w:color w:val="000000" w:themeColor="text1"/>
          <w:sz w:val="24"/>
          <w:szCs w:val="24"/>
          <w:highlight w:val="none"/>
          <w14:textFill>
            <w14:solidFill>
              <w14:schemeClr w14:val="tx1"/>
            </w14:solidFill>
          </w14:textFill>
        </w:rPr>
        <w:t>质量保证金</w:t>
      </w:r>
    </w:p>
    <w:p w14:paraId="60588F89">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关于是否扣留质量保证金的约定：</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是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61313E39">
      <w:pPr>
        <w:pStyle w:val="245"/>
        <w:pageBreakBefore w:val="0"/>
        <w:wordWrap/>
        <w:overflowPunct/>
        <w:topLinePunct w:val="0"/>
        <w:bidi w:val="0"/>
        <w:spacing w:line="460" w:lineRule="exact"/>
        <w:ind w:firstLine="482"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在工程项目竣工前，承包人按专用合同条款第3.7条提供履约担保的，发包人不得同时预留工程质量保证金。</w:t>
      </w:r>
    </w:p>
    <w:p w14:paraId="23DAC72A">
      <w:pPr>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15.3.1 承包人提供质量保证金的方式</w:t>
      </w:r>
    </w:p>
    <w:p w14:paraId="5FA3E84B">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质量保证金采用以下第</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2</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种方式：</w:t>
      </w:r>
    </w:p>
    <w:p w14:paraId="497C3F64">
      <w:pPr>
        <w:pStyle w:val="245"/>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（1）质量保证金保函，保证金额为：</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 xml:space="preserve"> / </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60A933C7">
      <w:pPr>
        <w:pStyle w:val="245"/>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发包人按工程价款结算总额的</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3  </w:t>
      </w: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（不得超过3%）预留工程质量保证金，待缺陷责任期满后返还，是否付息及利息计算方式为：</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否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518E240E">
      <w:pPr>
        <w:pageBreakBefore w:val="0"/>
        <w:wordWrap/>
        <w:overflowPunct/>
        <w:topLinePunct w:val="0"/>
        <w:bidi w:val="0"/>
        <w:spacing w:line="460" w:lineRule="exact"/>
        <w:ind w:firstLine="480" w:firstLineChars="200"/>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（3）其他方式：</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无</w:t>
      </w:r>
      <w:r>
        <w:rPr>
          <w:rFonts w:hint="eastAsia" w:ascii="宋体" w:hAnsi="宋体" w:eastAsia="宋体" w:cs="宋体"/>
          <w:b/>
          <w:bCs/>
          <w:color w:val="000000" w:themeColor="text1"/>
          <w:sz w:val="24"/>
          <w:szCs w:val="24"/>
          <w:highlight w:val="none"/>
          <w:u w:val="single"/>
          <w14:textFill>
            <w14:solidFill>
              <w14:schemeClr w14:val="tx1"/>
            </w14:solidFill>
          </w14:textFill>
        </w:rPr>
        <w:t>。</w:t>
      </w:r>
    </w:p>
    <w:p w14:paraId="0BC13948">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15.3.2 质量保证金的扣留</w:t>
      </w:r>
    </w:p>
    <w:p w14:paraId="4A642BEF">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质量保证金的扣留采取以下第</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（2）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种方式：</w:t>
      </w:r>
    </w:p>
    <w:p w14:paraId="54251B5F">
      <w:pPr>
        <w:pStyle w:val="245"/>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（1）在不缴纳履保证金情况下，按支付工程进度款时逐次扣留，质量保证金的计算基数不包括预付款的支付、扣回以及价格调整的金额；</w:t>
      </w:r>
    </w:p>
    <w:p w14:paraId="2207AD5C">
      <w:pPr>
        <w:pStyle w:val="245"/>
        <w:pageBreakBefore w:val="0"/>
        <w:wordWrap/>
        <w:overflowPunct/>
        <w:topLinePunct w:val="0"/>
        <w:autoSpaceDE w:val="0"/>
        <w:autoSpaceDN w:val="0"/>
        <w:bidi w:val="0"/>
        <w:adjustRightInd w:val="0"/>
        <w:spacing w:line="460" w:lineRule="exact"/>
        <w:ind w:firstLine="482" w:firstLineChars="200"/>
        <w:jc w:val="left"/>
        <w:rPr>
          <w:rFonts w:hint="eastAsia" w:ascii="宋体" w:hAnsi="宋体" w:eastAsia="宋体" w:cs="宋体"/>
          <w:b/>
          <w:bCs/>
          <w:color w:val="000000" w:themeColor="text1"/>
          <w:kern w:val="0"/>
          <w:sz w:val="24"/>
          <w:szCs w:val="24"/>
          <w:highlight w:val="none"/>
          <w:u w:val="single"/>
          <w14:textFill>
            <w14:solidFill>
              <w14:schemeClr w14:val="tx1"/>
            </w14:solidFill>
          </w14:textFill>
        </w:rPr>
      </w:pPr>
      <w:r>
        <w:rPr>
          <w:rFonts w:hint="eastAsia" w:ascii="宋体" w:hAnsi="宋体" w:eastAsia="宋体" w:cs="宋体"/>
          <w:b/>
          <w:bCs/>
          <w:color w:val="000000" w:themeColor="text1"/>
          <w:kern w:val="0"/>
          <w:sz w:val="24"/>
          <w:szCs w:val="24"/>
          <w:highlight w:val="none"/>
          <w:u w:val="single"/>
          <w14:textFill>
            <w14:solidFill>
              <w14:schemeClr w14:val="tx1"/>
            </w14:solidFill>
          </w14:textFill>
        </w:rPr>
        <w:t>（2）</w:t>
      </w:r>
      <w:r>
        <w:rPr>
          <w:rFonts w:hint="eastAsia" w:ascii="宋体" w:hAnsi="宋体" w:eastAsia="宋体" w:cs="宋体"/>
          <w:b/>
          <w:bCs/>
          <w:color w:val="000000" w:themeColor="text1"/>
          <w:sz w:val="24"/>
          <w:szCs w:val="24"/>
          <w:highlight w:val="none"/>
          <w:u w:val="single"/>
          <w:lang w:val="en-US" w:eastAsia="zh-CN" w:bidi="ar-SA"/>
          <w14:textFill>
            <w14:solidFill>
              <w14:schemeClr w14:val="tx1"/>
            </w14:solidFill>
          </w14:textFill>
        </w:rPr>
        <w:t>工程竣工结算时一次性扣留质量保证金</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w:t>
      </w:r>
    </w:p>
    <w:p w14:paraId="0DE7DED9">
      <w:pPr>
        <w:pStyle w:val="245"/>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（3）其他扣留方式:</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 xml:space="preserve">   无</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70CA6BF5">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kern w:val="0"/>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关于质量保证金的补充约定：</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 xml:space="preserve">无 </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60FD0480">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975" w:name="_Toc407135268"/>
      <w:bookmarkEnd w:id="975"/>
      <w:bookmarkStart w:id="976" w:name="_Toc389065330"/>
      <w:bookmarkEnd w:id="976"/>
      <w:bookmarkStart w:id="977" w:name="_Toc373227765"/>
      <w:bookmarkEnd w:id="977"/>
      <w:bookmarkStart w:id="978" w:name="_Toc7093"/>
      <w:bookmarkEnd w:id="978"/>
      <w:bookmarkStart w:id="979" w:name="_Toc373478412"/>
      <w:r>
        <w:rPr>
          <w:rFonts w:hint="eastAsia" w:ascii="宋体" w:hAnsi="宋体" w:eastAsia="宋体" w:cs="宋体"/>
          <w:color w:val="000000" w:themeColor="text1"/>
          <w:sz w:val="24"/>
          <w:szCs w:val="24"/>
          <w:highlight w:val="none"/>
          <w14:textFill>
            <w14:solidFill>
              <w14:schemeClr w14:val="tx1"/>
            </w14:solidFill>
          </w14:textFill>
        </w:rPr>
        <w:t xml:space="preserve">15.4 </w:t>
      </w:r>
      <w:bookmarkEnd w:id="979"/>
      <w:r>
        <w:rPr>
          <w:rFonts w:hint="eastAsia" w:ascii="宋体" w:hAnsi="宋体" w:eastAsia="宋体" w:cs="宋体"/>
          <w:color w:val="000000" w:themeColor="text1"/>
          <w:sz w:val="24"/>
          <w:szCs w:val="24"/>
          <w:highlight w:val="none"/>
          <w14:textFill>
            <w14:solidFill>
              <w14:schemeClr w14:val="tx1"/>
            </w14:solidFill>
          </w14:textFill>
        </w:rPr>
        <w:t>保修</w:t>
      </w:r>
    </w:p>
    <w:p w14:paraId="48BE0C77">
      <w:pPr>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15.4.1 保修责任</w:t>
      </w:r>
    </w:p>
    <w:p w14:paraId="385DE8D0">
      <w:pPr>
        <w:pStyle w:val="245"/>
        <w:pageBreakBefore w:val="0"/>
        <w:wordWrap/>
        <w:overflowPunct/>
        <w:topLinePunct w:val="0"/>
        <w:bidi w:val="0"/>
        <w:spacing w:line="460" w:lineRule="exact"/>
        <w:ind w:firstLine="468" w:firstLineChars="195"/>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工程保修期为：</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见附件：工程质量保修书</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7E8FA3FC">
      <w:pPr>
        <w:pStyle w:val="245"/>
        <w:pageBreakBefore w:val="0"/>
        <w:wordWrap/>
        <w:overflowPunct/>
        <w:topLinePunct w:val="0"/>
        <w:bidi w:val="0"/>
        <w:spacing w:line="460" w:lineRule="exact"/>
        <w:ind w:firstLine="468" w:firstLineChars="195"/>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15.4.3 修复通知</w:t>
      </w:r>
    </w:p>
    <w:p w14:paraId="5ACE9E96">
      <w:pPr>
        <w:pStyle w:val="245"/>
        <w:pageBreakBefore w:val="0"/>
        <w:wordWrap/>
        <w:overflowPunct/>
        <w:topLinePunct w:val="0"/>
        <w:bidi w:val="0"/>
        <w:spacing w:line="460" w:lineRule="exact"/>
        <w:ind w:firstLine="468" w:firstLineChars="195"/>
        <w:jc w:val="left"/>
        <w:rPr>
          <w:rFonts w:hint="eastAsia" w:ascii="宋体" w:hAnsi="宋体" w:eastAsia="宋体" w:cs="宋体"/>
          <w:color w:val="000000" w:themeColor="text1"/>
          <w:kern w:val="0"/>
          <w:sz w:val="24"/>
          <w:szCs w:val="24"/>
          <w:highlight w:val="none"/>
          <w:u w:val="singl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承包人收到保修通知并到达工程现场的合理时间：</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 xml:space="preserve"> 24小时内 </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407E894E">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980" w:name="_Toc373227766"/>
      <w:bookmarkEnd w:id="980"/>
      <w:bookmarkStart w:id="981" w:name="_Toc20847"/>
      <w:bookmarkEnd w:id="981"/>
      <w:bookmarkStart w:id="982" w:name="_Toc280868717"/>
      <w:bookmarkEnd w:id="982"/>
      <w:bookmarkStart w:id="983" w:name="_Toc389065331"/>
      <w:bookmarkEnd w:id="983"/>
      <w:bookmarkStart w:id="984" w:name="_Toc407135269"/>
      <w:bookmarkEnd w:id="984"/>
      <w:bookmarkStart w:id="985" w:name="_Toc280868718"/>
      <w:bookmarkEnd w:id="985"/>
      <w:bookmarkStart w:id="986" w:name="_Toc351203648"/>
      <w:bookmarkEnd w:id="986"/>
      <w:bookmarkStart w:id="987" w:name="_Toc373478413"/>
      <w:r>
        <w:rPr>
          <w:rFonts w:hint="eastAsia" w:ascii="宋体" w:hAnsi="宋体" w:eastAsia="宋体" w:cs="宋体"/>
          <w:color w:val="000000" w:themeColor="text1"/>
          <w:sz w:val="24"/>
          <w:szCs w:val="24"/>
          <w:highlight w:val="none"/>
          <w14:textFill>
            <w14:solidFill>
              <w14:schemeClr w14:val="tx1"/>
            </w14:solidFill>
          </w14:textFill>
        </w:rPr>
        <w:t xml:space="preserve">16. </w:t>
      </w:r>
      <w:bookmarkEnd w:id="987"/>
      <w:r>
        <w:rPr>
          <w:rFonts w:hint="eastAsia" w:ascii="宋体" w:hAnsi="宋体" w:eastAsia="宋体" w:cs="宋体"/>
          <w:color w:val="000000" w:themeColor="text1"/>
          <w:sz w:val="24"/>
          <w:szCs w:val="24"/>
          <w:highlight w:val="none"/>
          <w14:textFill>
            <w14:solidFill>
              <w14:schemeClr w14:val="tx1"/>
            </w14:solidFill>
          </w14:textFill>
        </w:rPr>
        <w:t>违约</w:t>
      </w:r>
    </w:p>
    <w:p w14:paraId="656E8D22">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988" w:name="_Toc389065332"/>
      <w:bookmarkEnd w:id="988"/>
      <w:bookmarkStart w:id="989" w:name="_Toc8492"/>
      <w:bookmarkEnd w:id="989"/>
      <w:bookmarkStart w:id="990" w:name="_Toc373478414"/>
      <w:bookmarkEnd w:id="990"/>
      <w:bookmarkStart w:id="991" w:name="_Toc373227767"/>
      <w:bookmarkEnd w:id="991"/>
      <w:bookmarkStart w:id="992" w:name="_Toc407135270"/>
      <w:r>
        <w:rPr>
          <w:rFonts w:hint="eastAsia" w:ascii="宋体" w:hAnsi="宋体" w:eastAsia="宋体" w:cs="宋体"/>
          <w:color w:val="000000" w:themeColor="text1"/>
          <w:sz w:val="24"/>
          <w:szCs w:val="24"/>
          <w:highlight w:val="none"/>
          <w14:textFill>
            <w14:solidFill>
              <w14:schemeClr w14:val="tx1"/>
            </w14:solidFill>
          </w14:textFill>
        </w:rPr>
        <w:t xml:space="preserve">16.1 </w:t>
      </w:r>
      <w:bookmarkEnd w:id="992"/>
      <w:r>
        <w:rPr>
          <w:rFonts w:hint="eastAsia" w:ascii="宋体" w:hAnsi="宋体" w:eastAsia="宋体" w:cs="宋体"/>
          <w:color w:val="000000" w:themeColor="text1"/>
          <w:sz w:val="24"/>
          <w:szCs w:val="24"/>
          <w:highlight w:val="none"/>
          <w14:textFill>
            <w14:solidFill>
              <w14:schemeClr w14:val="tx1"/>
            </w14:solidFill>
          </w14:textFill>
        </w:rPr>
        <w:t>发包人违约</w:t>
      </w:r>
    </w:p>
    <w:p w14:paraId="538B5044">
      <w:pPr>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16.1.1发包人违约的情形</w:t>
      </w:r>
    </w:p>
    <w:p w14:paraId="0158B7F6">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发包人违约的其他情形：</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 xml:space="preserve">  按《通用合同条款》执行  </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18816C80">
      <w:pPr>
        <w:pageBreakBefore w:val="0"/>
        <w:wordWrap/>
        <w:overflowPunct/>
        <w:topLinePunct w:val="0"/>
        <w:bidi w:val="0"/>
        <w:spacing w:line="460" w:lineRule="exac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16.1.2 发包人违约的责任</w:t>
      </w:r>
    </w:p>
    <w:p w14:paraId="1D459106">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发包人违约责任的承担方式和计算方法：</w:t>
      </w:r>
    </w:p>
    <w:p w14:paraId="6F010268">
      <w:pPr>
        <w:pStyle w:val="245"/>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kern w:val="0"/>
          <w:sz w:val="24"/>
          <w:szCs w:val="24"/>
          <w:highlight w:val="none"/>
          <w:u w:val="singl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（1）因发包人原因未能在计划开工日期前7天内下达开工通知的违约责任：</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承包人可以顺延工程日期</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kern w:val="0"/>
          <w:sz w:val="24"/>
          <w:szCs w:val="24"/>
          <w:highlight w:val="none"/>
          <w14:textFill>
            <w14:solidFill>
              <w14:schemeClr w14:val="tx1"/>
            </w14:solidFill>
          </w14:textFill>
        </w:rPr>
        <w:t>。</w:t>
      </w:r>
    </w:p>
    <w:p w14:paraId="23B64627">
      <w:pPr>
        <w:pStyle w:val="245"/>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kern w:val="0"/>
          <w:sz w:val="24"/>
          <w:szCs w:val="24"/>
          <w:highlight w:val="none"/>
          <w:u w:val="singl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（2）因发包人原因未能按合同约定支付合同价款的违约责任：</w:t>
      </w:r>
      <w:r>
        <w:rPr>
          <w:rFonts w:hint="eastAsia" w:ascii="宋体" w:hAnsi="宋体" w:eastAsia="宋体" w:cs="宋体"/>
          <w:b/>
          <w:bCs/>
          <w:color w:val="000000" w:themeColor="text1"/>
          <w:kern w:val="0"/>
          <w:sz w:val="24"/>
          <w:szCs w:val="24"/>
          <w:highlight w:val="none"/>
          <w:u w:val="single"/>
          <w:lang w:eastAsia="en-US"/>
          <w14:textFill>
            <w14:solidFill>
              <w14:schemeClr w14:val="tx1"/>
            </w14:solidFill>
          </w14:textFill>
        </w:rPr>
        <w:t>承包人可以顺延工期，并有权要求赔偿停工、窝工等损失。未支付的合同价款按照中国人民银行发布的同期同类贷款基准利率支付违约金。</w:t>
      </w:r>
    </w:p>
    <w:p w14:paraId="7B31FDEB">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（3）发包人违反第10.1款〔变更的范围〕第（2）项约定，自行实施被取消的工作或转由他人实施的违约责任：</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发包人按变更工程造价的5%赔偿承包人的经济损失，发包人自行实施的工作或转由他人实施的工作不符合国家合格质量标准的，由发包人承担因此造成的经济损失</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39410995">
      <w:pPr>
        <w:pStyle w:val="245"/>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kern w:val="0"/>
          <w:sz w:val="24"/>
          <w:szCs w:val="24"/>
          <w:highlight w:val="none"/>
          <w:u w:val="single"/>
          <w:lang w:eastAsia="en-US"/>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（4）发包人提供的材料、工程设备的规格、数量或质量不符合合同约定，或因发包人原因导致交货日期延误或交货地点变更等情况的违约责任：</w:t>
      </w:r>
      <w:r>
        <w:rPr>
          <w:rFonts w:hint="eastAsia" w:ascii="宋体" w:hAnsi="宋体" w:eastAsia="宋体" w:cs="宋体"/>
          <w:b/>
          <w:bCs/>
          <w:color w:val="000000" w:themeColor="text1"/>
          <w:kern w:val="0"/>
          <w:sz w:val="24"/>
          <w:szCs w:val="24"/>
          <w:highlight w:val="none"/>
          <w:u w:val="single"/>
          <w:lang w:eastAsia="en-US"/>
          <w14:textFill>
            <w14:solidFill>
              <w14:schemeClr w14:val="tx1"/>
            </w14:solidFill>
          </w14:textFill>
        </w:rPr>
        <w:t>承包人可以顺延工期，并有权要求赔偿停工、窝工等损失</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w:t>
      </w:r>
    </w:p>
    <w:p w14:paraId="53384F3F">
      <w:pPr>
        <w:pStyle w:val="245"/>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kern w:val="0"/>
          <w:sz w:val="24"/>
          <w:szCs w:val="24"/>
          <w:highlight w:val="none"/>
          <w:u w:val="single"/>
          <w:lang w:eastAsia="en-US"/>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（5）因发包人违反合同约定造成暂停施工的违约责任：</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kern w:val="0"/>
          <w:sz w:val="24"/>
          <w:szCs w:val="24"/>
          <w:highlight w:val="none"/>
          <w:u w:val="single"/>
          <w:lang w:eastAsia="en-US"/>
          <w14:textFill>
            <w14:solidFill>
              <w14:schemeClr w14:val="tx1"/>
            </w14:solidFill>
          </w14:textFill>
        </w:rPr>
        <w:t>承包人可以顺延工期，发包人应当采取措施弥补或者减少损失，赔偿承包人因此造成的停工、窝工、倒运、机械设备调迁、材料和构件积压等损失和实际费用</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w:t>
      </w:r>
    </w:p>
    <w:p w14:paraId="329D0966">
      <w:pPr>
        <w:pStyle w:val="245"/>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kern w:val="0"/>
          <w:sz w:val="24"/>
          <w:szCs w:val="24"/>
          <w:highlight w:val="none"/>
          <w:u w:val="single"/>
          <w:lang w:eastAsia="en-US"/>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（6）发包人无正当理由没有在约定期限内发出复工指示，导致承包人无法复工的违约责任：</w:t>
      </w:r>
      <w:r>
        <w:rPr>
          <w:rFonts w:hint="eastAsia" w:ascii="宋体" w:hAnsi="宋体" w:eastAsia="宋体" w:cs="宋体"/>
          <w:b/>
          <w:bCs/>
          <w:color w:val="000000" w:themeColor="text1"/>
          <w:kern w:val="0"/>
          <w:sz w:val="24"/>
          <w:szCs w:val="24"/>
          <w:highlight w:val="none"/>
          <w:u w:val="single"/>
          <w:lang w:eastAsia="en-US"/>
          <w14:textFill>
            <w14:solidFill>
              <w14:schemeClr w14:val="tx1"/>
            </w14:solidFill>
          </w14:textFill>
        </w:rPr>
        <w:t>承包人可以顺延工期，并有权要求赔偿停工、窝工等损失。</w:t>
      </w:r>
    </w:p>
    <w:p w14:paraId="47EE2C0D">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（7）其他：</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kern w:val="0"/>
          <w:sz w:val="24"/>
          <w:szCs w:val="24"/>
          <w:highlight w:val="none"/>
          <w:u w:val="single"/>
          <w:lang w:eastAsia="en-US"/>
          <w14:textFill>
            <w14:solidFill>
              <w14:schemeClr w14:val="tx1"/>
            </w14:solidFill>
          </w14:textFill>
        </w:rPr>
        <w:t xml:space="preserve"> 按《通用合同条款》执行  </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2354DF6F">
      <w:pPr>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16.1.3 因发包人违约解除合同</w:t>
      </w:r>
    </w:p>
    <w:p w14:paraId="7789F376">
      <w:pPr>
        <w:pStyle w:val="245"/>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承包人按16.1.1项〔发包人违约的情形〕约定暂停施工满</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 xml:space="preserve"> 90 </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天后发包人仍不纠正其违约行为并致使合同目的不能实现的，承包人有权解除合同。</w:t>
      </w:r>
    </w:p>
    <w:p w14:paraId="2814F0B0">
      <w:pPr>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993" w:name="_Toc14566"/>
      <w:bookmarkEnd w:id="993"/>
      <w:bookmarkStart w:id="994" w:name="_Toc373227768"/>
      <w:bookmarkEnd w:id="994"/>
      <w:bookmarkStart w:id="995" w:name="_Toc389065333"/>
      <w:bookmarkEnd w:id="995"/>
      <w:bookmarkStart w:id="996" w:name="_Toc407135271"/>
      <w:bookmarkEnd w:id="996"/>
      <w:bookmarkStart w:id="997" w:name="_Toc373478415"/>
      <w:r>
        <w:rPr>
          <w:rFonts w:hint="eastAsia" w:ascii="宋体" w:hAnsi="宋体" w:eastAsia="宋体" w:cs="宋体"/>
          <w:color w:val="000000" w:themeColor="text1"/>
          <w:sz w:val="24"/>
          <w:szCs w:val="24"/>
          <w:highlight w:val="none"/>
          <w14:textFill>
            <w14:solidFill>
              <w14:schemeClr w14:val="tx1"/>
            </w14:solidFill>
          </w14:textFill>
        </w:rPr>
        <w:t xml:space="preserve">16.2 </w:t>
      </w:r>
      <w:bookmarkEnd w:id="997"/>
      <w:r>
        <w:rPr>
          <w:rFonts w:hint="eastAsia" w:ascii="宋体" w:hAnsi="宋体" w:eastAsia="宋体" w:cs="宋体"/>
          <w:color w:val="000000" w:themeColor="text1"/>
          <w:sz w:val="24"/>
          <w:szCs w:val="24"/>
          <w:highlight w:val="none"/>
          <w14:textFill>
            <w14:solidFill>
              <w14:schemeClr w14:val="tx1"/>
            </w14:solidFill>
          </w14:textFill>
        </w:rPr>
        <w:t>承包人违约</w:t>
      </w:r>
    </w:p>
    <w:p w14:paraId="0A3DFFD5">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16.2.1 承包人违约的情形</w:t>
      </w:r>
    </w:p>
    <w:p w14:paraId="2085D670">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kern w:val="0"/>
          <w:sz w:val="24"/>
          <w:szCs w:val="24"/>
          <w:highlight w:val="none"/>
          <w:u w:val="singl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承包人违约的其他情形：</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按《通用合同条款》16.2.1条执行</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7FEA53B2">
      <w:pPr>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16.2.2承包人违约的责任</w:t>
      </w:r>
    </w:p>
    <w:p w14:paraId="759DFD3F">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承包人违约责任的承担方式和计算方法：</w:t>
      </w:r>
    </w:p>
    <w:p w14:paraId="5F2ACCA3">
      <w:pPr>
        <w:pStyle w:val="247"/>
        <w:pageBreakBefore w:val="0"/>
        <w:wordWrap/>
        <w:overflowPunct/>
        <w:topLinePunct w:val="0"/>
        <w:bidi w:val="0"/>
        <w:spacing w:line="460" w:lineRule="exact"/>
        <w:ind w:firstLine="482" w:firstLineChars="200"/>
        <w:jc w:val="left"/>
        <w:rPr>
          <w:rFonts w:hint="eastAsia" w:ascii="宋体" w:hAnsi="宋体" w:eastAsia="宋体" w:cs="宋体"/>
          <w:b/>
          <w:bCs/>
          <w:color w:val="000000" w:themeColor="text1"/>
          <w:kern w:val="0"/>
          <w:sz w:val="24"/>
          <w:szCs w:val="24"/>
          <w:highlight w:val="none"/>
          <w:u w:val="single"/>
          <w14:textFill>
            <w14:solidFill>
              <w14:schemeClr w14:val="tx1"/>
            </w14:solidFill>
          </w14:textFill>
        </w:rPr>
      </w:pPr>
      <w:r>
        <w:rPr>
          <w:rFonts w:hint="eastAsia" w:ascii="宋体" w:hAnsi="宋体" w:eastAsia="宋体" w:cs="宋体"/>
          <w:b/>
          <w:bCs/>
          <w:color w:val="000000" w:themeColor="text1"/>
          <w:kern w:val="0"/>
          <w:sz w:val="24"/>
          <w:szCs w:val="24"/>
          <w:highlight w:val="none"/>
          <w:u w:val="single"/>
          <w14:textFill>
            <w14:solidFill>
              <w14:schemeClr w14:val="tx1"/>
            </w14:solidFill>
          </w14:textFill>
        </w:rPr>
        <w:t>（1）承包人有本合同通用条款第16.2.1（2）、（3）条内容情形的，承包人无条件返工处理，修复至工程质量要求并承担相关费用，并在发包人规定的时间内完成返工，否则发包人有权扣罚该分项工程</w:t>
      </w:r>
      <w:r>
        <w:rPr>
          <w:rFonts w:hint="eastAsia" w:ascii="宋体" w:hAnsi="宋体" w:eastAsia="宋体" w:cs="宋体"/>
          <w:b/>
          <w:bCs/>
          <w:color w:val="000000" w:themeColor="text1"/>
          <w:kern w:val="0"/>
          <w:sz w:val="24"/>
          <w:szCs w:val="24"/>
          <w:highlight w:val="none"/>
          <w:u w:val="single"/>
          <w:lang w:val="en-US" w:eastAsia="zh-CN"/>
          <w14:textFill>
            <w14:solidFill>
              <w14:schemeClr w14:val="tx1"/>
            </w14:solidFill>
          </w14:textFill>
        </w:rPr>
        <w:t>0.5</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%的工程款作为处罚。</w:t>
      </w:r>
    </w:p>
    <w:p w14:paraId="624A5C57">
      <w:pPr>
        <w:pStyle w:val="247"/>
        <w:pageBreakBefore w:val="0"/>
        <w:wordWrap/>
        <w:overflowPunct/>
        <w:topLinePunct w:val="0"/>
        <w:bidi w:val="0"/>
        <w:spacing w:line="460" w:lineRule="exact"/>
        <w:ind w:firstLine="482" w:firstLineChars="200"/>
        <w:jc w:val="left"/>
        <w:rPr>
          <w:rFonts w:hint="eastAsia" w:ascii="宋体" w:hAnsi="宋体" w:eastAsia="宋体" w:cs="宋体"/>
          <w:b/>
          <w:bCs/>
          <w:color w:val="000000" w:themeColor="text1"/>
          <w:kern w:val="0"/>
          <w:sz w:val="24"/>
          <w:szCs w:val="24"/>
          <w:highlight w:val="none"/>
          <w:u w:val="single"/>
          <w14:textFill>
            <w14:solidFill>
              <w14:schemeClr w14:val="tx1"/>
            </w14:solidFill>
          </w14:textFill>
        </w:rPr>
      </w:pPr>
      <w:r>
        <w:rPr>
          <w:rFonts w:hint="eastAsia" w:ascii="宋体" w:hAnsi="宋体" w:eastAsia="宋体" w:cs="宋体"/>
          <w:b/>
          <w:bCs/>
          <w:color w:val="000000" w:themeColor="text1"/>
          <w:kern w:val="0"/>
          <w:sz w:val="24"/>
          <w:szCs w:val="24"/>
          <w:highlight w:val="none"/>
          <w:u w:val="single"/>
          <w14:textFill>
            <w14:solidFill>
              <w14:schemeClr w14:val="tx1"/>
            </w14:solidFill>
          </w14:textFill>
        </w:rPr>
        <w:t>（2）承包人有本合同通用条款第16.2.1（6）条情形的，或经监理人检验认为修复质量不合格而承包人拒绝再进行修补的，发包人将扣除承包人全部质量保证金。</w:t>
      </w:r>
    </w:p>
    <w:p w14:paraId="3AB206E6">
      <w:pPr>
        <w:pStyle w:val="247"/>
        <w:pageBreakBefore w:val="0"/>
        <w:wordWrap/>
        <w:overflowPunct/>
        <w:topLinePunct w:val="0"/>
        <w:bidi w:val="0"/>
        <w:spacing w:line="460" w:lineRule="exact"/>
        <w:ind w:firstLine="482" w:firstLineChars="200"/>
        <w:jc w:val="left"/>
        <w:rPr>
          <w:rFonts w:hint="eastAsia" w:ascii="宋体" w:hAnsi="宋体" w:eastAsia="宋体" w:cs="宋体"/>
          <w:b/>
          <w:bCs/>
          <w:color w:val="000000" w:themeColor="text1"/>
          <w:kern w:val="0"/>
          <w:sz w:val="24"/>
          <w:szCs w:val="24"/>
          <w:highlight w:val="none"/>
          <w:u w:val="single"/>
          <w14:textFill>
            <w14:solidFill>
              <w14:schemeClr w14:val="tx1"/>
            </w14:solidFill>
          </w14:textFill>
        </w:rPr>
      </w:pPr>
      <w:r>
        <w:rPr>
          <w:rFonts w:hint="eastAsia" w:ascii="宋体" w:hAnsi="宋体" w:eastAsia="宋体" w:cs="宋体"/>
          <w:b/>
          <w:bCs/>
          <w:color w:val="000000" w:themeColor="text1"/>
          <w:kern w:val="0"/>
          <w:sz w:val="24"/>
          <w:szCs w:val="24"/>
          <w:highlight w:val="none"/>
          <w:u w:val="single"/>
          <w14:textFill>
            <w14:solidFill>
              <w14:schemeClr w14:val="tx1"/>
            </w14:solidFill>
          </w14:textFill>
        </w:rPr>
        <w:t>（3）承包人有本专用合同条款 3.2、3.3 条违约行为的，发包人有权在承包人的履约保证金及发包人应付的进度款、结算工程款中直接抵扣。监理人预先下发含有罚款意向的指令，如承包人不及时采取措施纠正，则在指令下达后十五天下发罚款通知书（不再陈述罚款理由）。因承包人违约，发包人从承包人履约保证金中抵扣应付的违约金及罚款，而导致承包人履约保证金不足的，发包人可从下一期进度款或后续的工程款中扣除相应金额以补足履约保证金。</w:t>
      </w:r>
    </w:p>
    <w:p w14:paraId="2A2EDEEA">
      <w:pPr>
        <w:pStyle w:val="247"/>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16.2.3 因承包人违约解除合同</w:t>
      </w:r>
    </w:p>
    <w:p w14:paraId="1C395E64">
      <w:pPr>
        <w:pStyle w:val="247"/>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kern w:val="0"/>
          <w:sz w:val="24"/>
          <w:szCs w:val="24"/>
          <w:highlight w:val="none"/>
          <w:u w:val="singl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关于承包人违约解除合同的特别约定：</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承包人有违反以下情况之一的，发包人有权解除合同，并没收其全部履约保证金。</w:t>
      </w:r>
    </w:p>
    <w:p w14:paraId="2F17DFC8">
      <w:pPr>
        <w:pStyle w:val="247"/>
        <w:pageBreakBefore w:val="0"/>
        <w:wordWrap/>
        <w:overflowPunct/>
        <w:topLinePunct w:val="0"/>
        <w:bidi w:val="0"/>
        <w:spacing w:line="460" w:lineRule="exact"/>
        <w:ind w:firstLine="482" w:firstLineChars="200"/>
        <w:jc w:val="left"/>
        <w:rPr>
          <w:rFonts w:hint="eastAsia" w:ascii="宋体" w:hAnsi="宋体" w:eastAsia="宋体" w:cs="宋体"/>
          <w:b/>
          <w:bCs/>
          <w:color w:val="000000" w:themeColor="text1"/>
          <w:kern w:val="0"/>
          <w:sz w:val="24"/>
          <w:szCs w:val="24"/>
          <w:highlight w:val="none"/>
          <w:u w:val="single"/>
          <w14:textFill>
            <w14:solidFill>
              <w14:schemeClr w14:val="tx1"/>
            </w14:solidFill>
          </w14:textFill>
        </w:rPr>
      </w:pPr>
      <w:r>
        <w:rPr>
          <w:rFonts w:hint="eastAsia" w:ascii="宋体" w:hAnsi="宋体" w:eastAsia="宋体" w:cs="宋体"/>
          <w:b/>
          <w:bCs/>
          <w:color w:val="000000" w:themeColor="text1"/>
          <w:kern w:val="0"/>
          <w:sz w:val="24"/>
          <w:szCs w:val="24"/>
          <w:highlight w:val="none"/>
          <w:u w:val="single"/>
          <w14:textFill>
            <w14:solidFill>
              <w14:schemeClr w14:val="tx1"/>
            </w14:solidFill>
          </w14:textFill>
        </w:rPr>
        <w:t>(1)承包人无正当理由不按开工通知的要求及时进场组织施工和不按签订协议书时商定的进度计划有效地开展施工准备，造成工期延误的；</w:t>
      </w:r>
    </w:p>
    <w:p w14:paraId="39C341D7">
      <w:pPr>
        <w:pStyle w:val="247"/>
        <w:pageBreakBefore w:val="0"/>
        <w:wordWrap/>
        <w:overflowPunct/>
        <w:topLinePunct w:val="0"/>
        <w:bidi w:val="0"/>
        <w:spacing w:line="460" w:lineRule="exact"/>
        <w:ind w:firstLine="482" w:firstLineChars="200"/>
        <w:jc w:val="left"/>
        <w:rPr>
          <w:rFonts w:hint="eastAsia" w:ascii="宋体" w:hAnsi="宋体" w:eastAsia="宋体" w:cs="宋体"/>
          <w:b/>
          <w:bCs/>
          <w:color w:val="000000" w:themeColor="text1"/>
          <w:kern w:val="0"/>
          <w:sz w:val="24"/>
          <w:szCs w:val="24"/>
          <w:highlight w:val="none"/>
          <w:u w:val="single"/>
          <w14:textFill>
            <w14:solidFill>
              <w14:schemeClr w14:val="tx1"/>
            </w14:solidFill>
          </w14:textFill>
        </w:rPr>
      </w:pPr>
      <w:r>
        <w:rPr>
          <w:rFonts w:hint="eastAsia" w:ascii="宋体" w:hAnsi="宋体" w:eastAsia="宋体" w:cs="宋体"/>
          <w:b/>
          <w:bCs/>
          <w:color w:val="000000" w:themeColor="text1"/>
          <w:kern w:val="0"/>
          <w:sz w:val="24"/>
          <w:szCs w:val="24"/>
          <w:highlight w:val="none"/>
          <w:u w:val="single"/>
          <w14:textFill>
            <w14:solidFill>
              <w14:schemeClr w14:val="tx1"/>
            </w14:solidFill>
          </w14:textFill>
        </w:rPr>
        <w:t>(2)承包人违反本合同通用条款第3.5条规定私自将合同或合同的任何部分或任何权利转让给其他人，或私自将工程或工程的一部分分包出去的；</w:t>
      </w:r>
    </w:p>
    <w:p w14:paraId="000DF737">
      <w:pPr>
        <w:pStyle w:val="247"/>
        <w:pageBreakBefore w:val="0"/>
        <w:wordWrap/>
        <w:overflowPunct/>
        <w:topLinePunct w:val="0"/>
        <w:bidi w:val="0"/>
        <w:spacing w:line="460" w:lineRule="exact"/>
        <w:ind w:firstLine="482" w:firstLineChars="200"/>
        <w:jc w:val="left"/>
        <w:rPr>
          <w:rFonts w:hint="eastAsia" w:ascii="宋体" w:hAnsi="宋体" w:eastAsia="宋体" w:cs="宋体"/>
          <w:b/>
          <w:bCs/>
          <w:color w:val="000000" w:themeColor="text1"/>
          <w:kern w:val="0"/>
          <w:sz w:val="24"/>
          <w:szCs w:val="24"/>
          <w:highlight w:val="none"/>
          <w:u w:val="single"/>
          <w14:textFill>
            <w14:solidFill>
              <w14:schemeClr w14:val="tx1"/>
            </w14:solidFill>
          </w14:textFill>
        </w:rPr>
      </w:pPr>
      <w:r>
        <w:rPr>
          <w:rFonts w:hint="eastAsia" w:ascii="宋体" w:hAnsi="宋体" w:eastAsia="宋体" w:cs="宋体"/>
          <w:b/>
          <w:bCs/>
          <w:color w:val="000000" w:themeColor="text1"/>
          <w:kern w:val="0"/>
          <w:sz w:val="24"/>
          <w:szCs w:val="24"/>
          <w:highlight w:val="none"/>
          <w:u w:val="single"/>
          <w14:textFill>
            <w14:solidFill>
              <w14:schemeClr w14:val="tx1"/>
            </w14:solidFill>
          </w14:textFill>
        </w:rPr>
        <w:t>(3)未经监理人批准，承包人私自将已按投标文件承诺进入工地的工程设备、施工设备、临时工程或材料撤离工地的；</w:t>
      </w:r>
    </w:p>
    <w:p w14:paraId="29452891">
      <w:pPr>
        <w:pStyle w:val="247"/>
        <w:pageBreakBefore w:val="0"/>
        <w:wordWrap/>
        <w:overflowPunct/>
        <w:topLinePunct w:val="0"/>
        <w:bidi w:val="0"/>
        <w:spacing w:line="460" w:lineRule="exact"/>
        <w:ind w:firstLine="482" w:firstLineChars="200"/>
        <w:jc w:val="left"/>
        <w:rPr>
          <w:rFonts w:hint="eastAsia" w:ascii="宋体" w:hAnsi="宋体" w:eastAsia="宋体" w:cs="宋体"/>
          <w:b/>
          <w:bCs/>
          <w:color w:val="000000" w:themeColor="text1"/>
          <w:kern w:val="0"/>
          <w:sz w:val="24"/>
          <w:szCs w:val="24"/>
          <w:highlight w:val="none"/>
          <w:u w:val="single"/>
          <w14:textFill>
            <w14:solidFill>
              <w14:schemeClr w14:val="tx1"/>
            </w14:solidFill>
          </w14:textFill>
        </w:rPr>
      </w:pPr>
      <w:r>
        <w:rPr>
          <w:rFonts w:hint="eastAsia" w:ascii="宋体" w:hAnsi="宋体" w:eastAsia="宋体" w:cs="宋体"/>
          <w:b/>
          <w:bCs/>
          <w:color w:val="000000" w:themeColor="text1"/>
          <w:kern w:val="0"/>
          <w:sz w:val="24"/>
          <w:szCs w:val="24"/>
          <w:highlight w:val="none"/>
          <w:u w:val="single"/>
          <w14:textFill>
            <w14:solidFill>
              <w14:schemeClr w14:val="tx1"/>
            </w14:solidFill>
          </w14:textFill>
        </w:rPr>
        <w:t>(4)由于承包人原因拒绝按合同进度计划及时完成合同规定的工程，而又未采取有效措施赶上进度，造成工期严重延误的；</w:t>
      </w:r>
    </w:p>
    <w:p w14:paraId="04AA0AE2">
      <w:pPr>
        <w:pStyle w:val="247"/>
        <w:pageBreakBefore w:val="0"/>
        <w:wordWrap/>
        <w:overflowPunct/>
        <w:topLinePunct w:val="0"/>
        <w:bidi w:val="0"/>
        <w:spacing w:line="460" w:lineRule="exact"/>
        <w:ind w:firstLine="482" w:firstLineChars="200"/>
        <w:rPr>
          <w:rFonts w:hint="eastAsia" w:ascii="宋体" w:hAnsi="宋体" w:eastAsia="宋体" w:cs="宋体"/>
          <w:b/>
          <w:bCs/>
          <w:color w:val="000000" w:themeColor="text1"/>
          <w:kern w:val="0"/>
          <w:sz w:val="24"/>
          <w:szCs w:val="24"/>
          <w:highlight w:val="none"/>
          <w:u w:val="single"/>
          <w14:textFill>
            <w14:solidFill>
              <w14:schemeClr w14:val="tx1"/>
            </w14:solidFill>
          </w14:textFill>
        </w:rPr>
      </w:pPr>
      <w:r>
        <w:rPr>
          <w:rFonts w:hint="eastAsia" w:ascii="宋体" w:hAnsi="宋体" w:eastAsia="宋体" w:cs="宋体"/>
          <w:b/>
          <w:bCs/>
          <w:color w:val="000000" w:themeColor="text1"/>
          <w:kern w:val="0"/>
          <w:sz w:val="24"/>
          <w:szCs w:val="24"/>
          <w:highlight w:val="none"/>
          <w:u w:val="single"/>
          <w14:textFill>
            <w14:solidFill>
              <w14:schemeClr w14:val="tx1"/>
            </w14:solidFill>
          </w14:textFill>
        </w:rPr>
        <w:t>(5)承包人否认合同有效或拒绝履行合同规定的承包人义务，或由于法律、财务等原因导致承包人无法继续履行或实质上已停止履行合同的义务的；</w:t>
      </w:r>
    </w:p>
    <w:p w14:paraId="431C6368">
      <w:pPr>
        <w:pStyle w:val="247"/>
        <w:pageBreakBefore w:val="0"/>
        <w:wordWrap/>
        <w:overflowPunct/>
        <w:topLinePunct w:val="0"/>
        <w:bidi w:val="0"/>
        <w:spacing w:line="460" w:lineRule="exact"/>
        <w:ind w:firstLine="482" w:firstLineChars="200"/>
        <w:rPr>
          <w:rFonts w:hint="eastAsia" w:ascii="宋体" w:hAnsi="宋体" w:eastAsia="宋体" w:cs="宋体"/>
          <w:color w:val="000000" w:themeColor="text1"/>
          <w:kern w:val="0"/>
          <w:sz w:val="24"/>
          <w:szCs w:val="24"/>
          <w:highlight w:val="none"/>
          <w:u w:val="single"/>
          <w14:textFill>
            <w14:solidFill>
              <w14:schemeClr w14:val="tx1"/>
            </w14:solidFill>
          </w14:textFill>
        </w:rPr>
      </w:pPr>
      <w:r>
        <w:rPr>
          <w:rFonts w:hint="eastAsia" w:ascii="宋体" w:hAnsi="宋体" w:eastAsia="宋体" w:cs="宋体"/>
          <w:b/>
          <w:bCs/>
          <w:color w:val="000000" w:themeColor="text1"/>
          <w:kern w:val="0"/>
          <w:sz w:val="24"/>
          <w:szCs w:val="24"/>
          <w:highlight w:val="none"/>
          <w:u w:val="single"/>
          <w14:textFill>
            <w14:solidFill>
              <w14:schemeClr w14:val="tx1"/>
            </w14:solidFill>
          </w14:textFill>
        </w:rPr>
        <w:t>(6)合同签订</w:t>
      </w:r>
      <w:r>
        <w:rPr>
          <w:rFonts w:hint="eastAsia" w:ascii="宋体" w:hAnsi="宋体" w:eastAsia="宋体" w:cs="宋体"/>
          <w:b/>
          <w:bCs/>
          <w:color w:val="000000" w:themeColor="text1"/>
          <w:sz w:val="24"/>
          <w:szCs w:val="24"/>
          <w:highlight w:val="none"/>
          <w:u w:val="single"/>
          <w14:textFill>
            <w14:solidFill>
              <w14:schemeClr w14:val="tx1"/>
            </w14:solidFill>
          </w14:textFill>
        </w:rPr>
        <w:t>且具备法定开工条件后</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之日起十五日内，承包人无法按合同规定及投标文件的承诺进场经监理工程师认可的该施工阶段应有的全部人员和机械的</w:t>
      </w:r>
      <w:r>
        <w:rPr>
          <w:rFonts w:hint="eastAsia" w:ascii="宋体" w:hAnsi="宋体" w:eastAsia="宋体" w:cs="宋体"/>
          <w:color w:val="000000" w:themeColor="text1"/>
          <w:kern w:val="0"/>
          <w:sz w:val="24"/>
          <w:szCs w:val="24"/>
          <w:highlight w:val="none"/>
          <w:u w:val="single"/>
          <w14:textFill>
            <w14:solidFill>
              <w14:schemeClr w14:val="tx1"/>
            </w14:solidFill>
          </w14:textFill>
        </w:rPr>
        <w:t>。</w:t>
      </w:r>
    </w:p>
    <w:p w14:paraId="0DFA4F2A">
      <w:pPr>
        <w:pStyle w:val="247"/>
        <w:pageBreakBefore w:val="0"/>
        <w:wordWrap/>
        <w:overflowPunct/>
        <w:topLinePunct w:val="0"/>
        <w:bidi w:val="0"/>
        <w:spacing w:line="460" w:lineRule="exact"/>
        <w:ind w:firstLine="480" w:firstLineChars="20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发包人继续使用承包人在施工现场的材料、设备、临时工程、承包人文件和由承包人或以其名义编制的其他文件的费用承担方式：</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由发包人承担相应费用</w:t>
      </w:r>
      <w:r>
        <w:rPr>
          <w:rFonts w:hint="eastAsia" w:ascii="宋体" w:hAnsi="宋体" w:eastAsia="宋体" w:cs="宋体"/>
          <w:b/>
          <w:bCs/>
          <w:color w:val="000000" w:themeColor="text1"/>
          <w:kern w:val="0"/>
          <w:sz w:val="24"/>
          <w:szCs w:val="24"/>
          <w:highlight w:val="none"/>
          <w14:textFill>
            <w14:solidFill>
              <w14:schemeClr w14:val="tx1"/>
            </w14:solidFill>
          </w14:textFill>
        </w:rPr>
        <w:t>。</w:t>
      </w:r>
    </w:p>
    <w:p w14:paraId="1563941E">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998" w:name="_Toc373227769"/>
      <w:bookmarkEnd w:id="998"/>
      <w:bookmarkStart w:id="999" w:name="_Toc407135272"/>
      <w:bookmarkEnd w:id="999"/>
      <w:bookmarkStart w:id="1000" w:name="_Toc351203649"/>
      <w:bookmarkEnd w:id="1000"/>
      <w:bookmarkStart w:id="1001" w:name="_Toc373478416"/>
      <w:bookmarkEnd w:id="1001"/>
      <w:bookmarkStart w:id="1002" w:name="_Toc4056"/>
      <w:bookmarkEnd w:id="1002"/>
      <w:bookmarkStart w:id="1003" w:name="_Toc389065334"/>
      <w:r>
        <w:rPr>
          <w:rFonts w:hint="eastAsia" w:ascii="宋体" w:hAnsi="宋体" w:eastAsia="宋体" w:cs="宋体"/>
          <w:color w:val="000000" w:themeColor="text1"/>
          <w:sz w:val="24"/>
          <w:szCs w:val="24"/>
          <w:highlight w:val="none"/>
          <w14:textFill>
            <w14:solidFill>
              <w14:schemeClr w14:val="tx1"/>
            </w14:solidFill>
          </w14:textFill>
        </w:rPr>
        <w:t xml:space="preserve">17. </w:t>
      </w:r>
      <w:bookmarkEnd w:id="1003"/>
      <w:r>
        <w:rPr>
          <w:rFonts w:hint="eastAsia" w:ascii="宋体" w:hAnsi="宋体" w:eastAsia="宋体" w:cs="宋体"/>
          <w:color w:val="000000" w:themeColor="text1"/>
          <w:sz w:val="24"/>
          <w:szCs w:val="24"/>
          <w:highlight w:val="none"/>
          <w14:textFill>
            <w14:solidFill>
              <w14:schemeClr w14:val="tx1"/>
            </w14:solidFill>
          </w14:textFill>
        </w:rPr>
        <w:t xml:space="preserve">不可抗力 </w:t>
      </w:r>
    </w:p>
    <w:p w14:paraId="1BDFA562">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1004" w:name="_Toc373227770"/>
      <w:bookmarkEnd w:id="1004"/>
      <w:bookmarkStart w:id="1005" w:name="_Toc373478417"/>
      <w:bookmarkEnd w:id="1005"/>
      <w:bookmarkStart w:id="1006" w:name="_Toc22482"/>
      <w:bookmarkEnd w:id="1006"/>
      <w:bookmarkStart w:id="1007" w:name="_Toc389065335"/>
      <w:bookmarkEnd w:id="1007"/>
      <w:bookmarkStart w:id="1008" w:name="_Toc407135273"/>
      <w:r>
        <w:rPr>
          <w:rFonts w:hint="eastAsia" w:ascii="宋体" w:hAnsi="宋体" w:eastAsia="宋体" w:cs="宋体"/>
          <w:color w:val="000000" w:themeColor="text1"/>
          <w:sz w:val="24"/>
          <w:szCs w:val="24"/>
          <w:highlight w:val="none"/>
          <w14:textFill>
            <w14:solidFill>
              <w14:schemeClr w14:val="tx1"/>
            </w14:solidFill>
          </w14:textFill>
        </w:rPr>
        <w:t xml:space="preserve">17.1 </w:t>
      </w:r>
      <w:bookmarkEnd w:id="1008"/>
      <w:r>
        <w:rPr>
          <w:rFonts w:hint="eastAsia" w:ascii="宋体" w:hAnsi="宋体" w:eastAsia="宋体" w:cs="宋体"/>
          <w:color w:val="000000" w:themeColor="text1"/>
          <w:sz w:val="24"/>
          <w:szCs w:val="24"/>
          <w:highlight w:val="none"/>
          <w14:textFill>
            <w14:solidFill>
              <w14:schemeClr w14:val="tx1"/>
            </w14:solidFill>
          </w14:textFill>
        </w:rPr>
        <w:t>不可抗力的确认</w:t>
      </w:r>
    </w:p>
    <w:p w14:paraId="2E74E241">
      <w:pPr>
        <w:pStyle w:val="245"/>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kern w:val="0"/>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除通用合同条款约定的不可抗力事件之外，视为不可抗力的其他情形：</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 xml:space="preserve"> 战争、离子辐射或放射性污染、6级以上地震及国家确认的不可抗力事项</w:t>
      </w:r>
      <w:r>
        <w:rPr>
          <w:rFonts w:hint="eastAsia" w:ascii="宋体" w:hAnsi="宋体" w:eastAsia="宋体" w:cs="宋体"/>
          <w:b/>
          <w:bCs/>
          <w:color w:val="000000" w:themeColor="text1"/>
          <w:kern w:val="0"/>
          <w:sz w:val="24"/>
          <w:szCs w:val="24"/>
          <w:highlight w:val="none"/>
          <w14:textFill>
            <w14:solidFill>
              <w14:schemeClr w14:val="tx1"/>
            </w14:solidFill>
          </w14:textFill>
        </w:rPr>
        <w:t>。</w:t>
      </w:r>
    </w:p>
    <w:p w14:paraId="01BF849D">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1009" w:name="_Toc407135274"/>
      <w:bookmarkEnd w:id="1009"/>
      <w:bookmarkStart w:id="1010" w:name="_Toc373227771"/>
      <w:bookmarkEnd w:id="1010"/>
      <w:bookmarkStart w:id="1011" w:name="_Toc373478418"/>
      <w:bookmarkEnd w:id="1011"/>
      <w:bookmarkStart w:id="1012" w:name="_Toc389065336"/>
      <w:bookmarkEnd w:id="1012"/>
      <w:bookmarkStart w:id="1013" w:name="_Toc25572"/>
      <w:r>
        <w:rPr>
          <w:rFonts w:hint="eastAsia" w:ascii="宋体" w:hAnsi="宋体" w:eastAsia="宋体" w:cs="宋体"/>
          <w:color w:val="000000" w:themeColor="text1"/>
          <w:sz w:val="24"/>
          <w:szCs w:val="24"/>
          <w:highlight w:val="none"/>
          <w14:textFill>
            <w14:solidFill>
              <w14:schemeClr w14:val="tx1"/>
            </w14:solidFill>
          </w14:textFill>
        </w:rPr>
        <w:t xml:space="preserve">17.4 </w:t>
      </w:r>
      <w:bookmarkEnd w:id="1013"/>
      <w:r>
        <w:rPr>
          <w:rFonts w:hint="eastAsia" w:ascii="宋体" w:hAnsi="宋体" w:eastAsia="宋体" w:cs="宋体"/>
          <w:color w:val="000000" w:themeColor="text1"/>
          <w:sz w:val="24"/>
          <w:szCs w:val="24"/>
          <w:highlight w:val="none"/>
          <w14:textFill>
            <w14:solidFill>
              <w14:schemeClr w14:val="tx1"/>
            </w14:solidFill>
          </w14:textFill>
        </w:rPr>
        <w:t>因不可抗力解除合同</w:t>
      </w:r>
    </w:p>
    <w:p w14:paraId="2A676843">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合同解除后，发包人应在商定或确定发包人应支付款项后</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28  </w:t>
      </w:r>
      <w:r>
        <w:rPr>
          <w:rFonts w:hint="eastAsia" w:ascii="宋体" w:hAnsi="宋体" w:eastAsia="宋体" w:cs="宋体"/>
          <w:b/>
          <w:bCs/>
          <w:color w:val="000000" w:themeColor="text1"/>
          <w:sz w:val="24"/>
          <w:szCs w:val="24"/>
          <w:highlight w:val="none"/>
          <w14:textFill>
            <w14:solidFill>
              <w14:schemeClr w14:val="tx1"/>
            </w14:solidFill>
          </w14:textFill>
        </w:rPr>
        <w:t>天</w:t>
      </w:r>
      <w:r>
        <w:rPr>
          <w:rFonts w:hint="eastAsia" w:ascii="宋体" w:hAnsi="宋体" w:eastAsia="宋体" w:cs="宋体"/>
          <w:color w:val="000000" w:themeColor="text1"/>
          <w:sz w:val="24"/>
          <w:szCs w:val="24"/>
          <w:highlight w:val="none"/>
          <w14:textFill>
            <w14:solidFill>
              <w14:schemeClr w14:val="tx1"/>
            </w14:solidFill>
          </w14:textFill>
        </w:rPr>
        <w:t>内完成款项的支付。</w:t>
      </w:r>
    </w:p>
    <w:p w14:paraId="7A6EA3CB">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1014" w:name="_Toc389065337"/>
      <w:bookmarkEnd w:id="1014"/>
      <w:bookmarkStart w:id="1015" w:name="_Toc29790"/>
      <w:bookmarkEnd w:id="1015"/>
      <w:bookmarkStart w:id="1016" w:name="_Toc407135275"/>
      <w:bookmarkEnd w:id="1016"/>
      <w:bookmarkStart w:id="1017" w:name="_Toc373227772"/>
      <w:bookmarkEnd w:id="1017"/>
      <w:bookmarkStart w:id="1018" w:name="_Toc373478419"/>
      <w:bookmarkEnd w:id="1018"/>
      <w:bookmarkStart w:id="1019" w:name="_Toc351203650"/>
      <w:r>
        <w:rPr>
          <w:rFonts w:hint="eastAsia" w:ascii="宋体" w:hAnsi="宋体" w:eastAsia="宋体" w:cs="宋体"/>
          <w:color w:val="000000" w:themeColor="text1"/>
          <w:sz w:val="24"/>
          <w:szCs w:val="24"/>
          <w:highlight w:val="none"/>
          <w14:textFill>
            <w14:solidFill>
              <w14:schemeClr w14:val="tx1"/>
            </w14:solidFill>
          </w14:textFill>
        </w:rPr>
        <w:t xml:space="preserve">18. </w:t>
      </w:r>
      <w:bookmarkEnd w:id="1019"/>
      <w:r>
        <w:rPr>
          <w:rFonts w:hint="eastAsia" w:ascii="宋体" w:hAnsi="宋体" w:eastAsia="宋体" w:cs="宋体"/>
          <w:color w:val="000000" w:themeColor="text1"/>
          <w:sz w:val="24"/>
          <w:szCs w:val="24"/>
          <w:highlight w:val="none"/>
          <w14:textFill>
            <w14:solidFill>
              <w14:schemeClr w14:val="tx1"/>
            </w14:solidFill>
          </w14:textFill>
        </w:rPr>
        <w:t>保险</w:t>
      </w:r>
    </w:p>
    <w:p w14:paraId="63997E62">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1020" w:name="_Toc389065338"/>
      <w:bookmarkEnd w:id="1020"/>
      <w:bookmarkStart w:id="1021" w:name="_Toc17107"/>
      <w:bookmarkEnd w:id="1021"/>
      <w:bookmarkStart w:id="1022" w:name="_Toc373478420"/>
      <w:bookmarkEnd w:id="1022"/>
      <w:bookmarkStart w:id="1023" w:name="_Toc373227773"/>
      <w:bookmarkEnd w:id="1023"/>
      <w:bookmarkStart w:id="1024" w:name="_Toc407135276"/>
      <w:r>
        <w:rPr>
          <w:rFonts w:hint="eastAsia" w:ascii="宋体" w:hAnsi="宋体" w:eastAsia="宋体" w:cs="宋体"/>
          <w:color w:val="000000" w:themeColor="text1"/>
          <w:sz w:val="24"/>
          <w:szCs w:val="24"/>
          <w:highlight w:val="none"/>
          <w14:textFill>
            <w14:solidFill>
              <w14:schemeClr w14:val="tx1"/>
            </w14:solidFill>
          </w14:textFill>
        </w:rPr>
        <w:t xml:space="preserve">18.1 </w:t>
      </w:r>
      <w:bookmarkEnd w:id="1024"/>
      <w:r>
        <w:rPr>
          <w:rFonts w:hint="eastAsia" w:ascii="宋体" w:hAnsi="宋体" w:eastAsia="宋体" w:cs="宋体"/>
          <w:color w:val="000000" w:themeColor="text1"/>
          <w:sz w:val="24"/>
          <w:szCs w:val="24"/>
          <w:highlight w:val="none"/>
          <w14:textFill>
            <w14:solidFill>
              <w14:schemeClr w14:val="tx1"/>
            </w14:solidFill>
          </w14:textFill>
        </w:rPr>
        <w:t>工程保险</w:t>
      </w:r>
    </w:p>
    <w:p w14:paraId="035BD938">
      <w:pPr>
        <w:pStyle w:val="245"/>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关于工程保险的特别约定：</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 xml:space="preserve">由承包人投保建筑工程一切险或安装工程一切险并承担相应费用 </w:t>
      </w:r>
      <w:r>
        <w:rPr>
          <w:rFonts w:hint="eastAsia" w:ascii="宋体" w:hAnsi="宋体" w:eastAsia="宋体" w:cs="宋体"/>
          <w:b/>
          <w:bCs/>
          <w:color w:val="000000" w:themeColor="text1"/>
          <w:kern w:val="0"/>
          <w:sz w:val="24"/>
          <w:szCs w:val="24"/>
          <w:highlight w:val="none"/>
          <w14:textFill>
            <w14:solidFill>
              <w14:schemeClr w14:val="tx1"/>
            </w14:solidFill>
          </w14:textFill>
        </w:rPr>
        <w:t>。</w:t>
      </w:r>
    </w:p>
    <w:p w14:paraId="02AF4E37">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1025" w:name="_Toc373478421"/>
      <w:bookmarkEnd w:id="1025"/>
      <w:bookmarkStart w:id="1026" w:name="_Toc15864"/>
      <w:bookmarkEnd w:id="1026"/>
      <w:bookmarkStart w:id="1027" w:name="_Toc389065339"/>
      <w:bookmarkEnd w:id="1027"/>
      <w:bookmarkStart w:id="1028" w:name="_Toc373227774"/>
      <w:bookmarkEnd w:id="1028"/>
      <w:bookmarkStart w:id="1029" w:name="_Toc407135277"/>
      <w:r>
        <w:rPr>
          <w:rFonts w:hint="eastAsia" w:ascii="宋体" w:hAnsi="宋体" w:eastAsia="宋体" w:cs="宋体"/>
          <w:color w:val="000000" w:themeColor="text1"/>
          <w:sz w:val="24"/>
          <w:szCs w:val="24"/>
          <w:highlight w:val="none"/>
          <w14:textFill>
            <w14:solidFill>
              <w14:schemeClr w14:val="tx1"/>
            </w14:solidFill>
          </w14:textFill>
        </w:rPr>
        <w:t xml:space="preserve">18.3 </w:t>
      </w:r>
      <w:bookmarkEnd w:id="1029"/>
      <w:r>
        <w:rPr>
          <w:rFonts w:hint="eastAsia" w:ascii="宋体" w:hAnsi="宋体" w:eastAsia="宋体" w:cs="宋体"/>
          <w:color w:val="000000" w:themeColor="text1"/>
          <w:sz w:val="24"/>
          <w:szCs w:val="24"/>
          <w:highlight w:val="none"/>
          <w14:textFill>
            <w14:solidFill>
              <w14:schemeClr w14:val="tx1"/>
            </w14:solidFill>
          </w14:textFill>
        </w:rPr>
        <w:t>其他保险</w:t>
      </w:r>
    </w:p>
    <w:p w14:paraId="5C7D158F">
      <w:pPr>
        <w:pStyle w:val="245"/>
        <w:pageBreakBefore w:val="0"/>
        <w:wordWrap/>
        <w:overflowPunct/>
        <w:topLinePunct w:val="0"/>
        <w:bidi w:val="0"/>
        <w:spacing w:line="460" w:lineRule="exact"/>
        <w:ind w:firstLine="480" w:firstLineChars="200"/>
        <w:jc w:val="left"/>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关于其他保险的约定：</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发包人和承包人各自为其施工现场的全部人员办理意外伤害保险并支付保险费</w:t>
      </w:r>
      <w:r>
        <w:rPr>
          <w:rFonts w:hint="eastAsia" w:ascii="宋体" w:hAnsi="宋体" w:eastAsia="宋体" w:cs="宋体"/>
          <w:b/>
          <w:bCs/>
          <w:color w:val="000000" w:themeColor="text1"/>
          <w:sz w:val="24"/>
          <w:szCs w:val="24"/>
          <w:highlight w:val="none"/>
          <w14:textFill>
            <w14:solidFill>
              <w14:schemeClr w14:val="tx1"/>
            </w14:solidFill>
          </w14:textFill>
        </w:rPr>
        <w:t>。</w:t>
      </w:r>
    </w:p>
    <w:p w14:paraId="722E67AA">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承包人是否应为其施工设备等办理财产保险：</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是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522A2B23">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1030" w:name="_Toc9836"/>
      <w:bookmarkEnd w:id="1030"/>
      <w:bookmarkStart w:id="1031" w:name="_Toc373478422"/>
      <w:bookmarkEnd w:id="1031"/>
      <w:bookmarkStart w:id="1032" w:name="_Toc373227775"/>
      <w:bookmarkEnd w:id="1032"/>
      <w:bookmarkStart w:id="1033" w:name="_Toc407135278"/>
      <w:bookmarkEnd w:id="1033"/>
      <w:bookmarkStart w:id="1034" w:name="_Toc389065340"/>
      <w:r>
        <w:rPr>
          <w:rFonts w:hint="eastAsia" w:ascii="宋体" w:hAnsi="宋体" w:eastAsia="宋体" w:cs="宋体"/>
          <w:color w:val="000000" w:themeColor="text1"/>
          <w:sz w:val="24"/>
          <w:szCs w:val="24"/>
          <w:highlight w:val="none"/>
          <w14:textFill>
            <w14:solidFill>
              <w14:schemeClr w14:val="tx1"/>
            </w14:solidFill>
          </w14:textFill>
        </w:rPr>
        <w:t xml:space="preserve">18.7 </w:t>
      </w:r>
      <w:bookmarkEnd w:id="1034"/>
      <w:r>
        <w:rPr>
          <w:rFonts w:hint="eastAsia" w:ascii="宋体" w:hAnsi="宋体" w:eastAsia="宋体" w:cs="宋体"/>
          <w:color w:val="000000" w:themeColor="text1"/>
          <w:sz w:val="24"/>
          <w:szCs w:val="24"/>
          <w:highlight w:val="none"/>
          <w14:textFill>
            <w14:solidFill>
              <w14:schemeClr w14:val="tx1"/>
            </w14:solidFill>
          </w14:textFill>
        </w:rPr>
        <w:t>通知义务</w:t>
      </w:r>
    </w:p>
    <w:p w14:paraId="4DAF2280">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关于变更保险合同时的通知义务的约定：</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由承包人书面通知发包人和监理人  </w:t>
      </w:r>
      <w:r>
        <w:rPr>
          <w:rFonts w:hint="eastAsia" w:ascii="宋体" w:hAnsi="宋体" w:eastAsia="宋体" w:cs="宋体"/>
          <w:b/>
          <w:bCs/>
          <w:color w:val="000000" w:themeColor="text1"/>
          <w:sz w:val="24"/>
          <w:szCs w:val="24"/>
          <w:highlight w:val="none"/>
          <w14:textFill>
            <w14:solidFill>
              <w14:schemeClr w14:val="tx1"/>
            </w14:solidFill>
          </w14:textFill>
        </w:rPr>
        <w:t>。</w:t>
      </w:r>
    </w:p>
    <w:p w14:paraId="06444669">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1035" w:name="_Toc373478423"/>
      <w:bookmarkEnd w:id="1035"/>
      <w:bookmarkStart w:id="1036" w:name="_Toc30490"/>
      <w:bookmarkEnd w:id="1036"/>
      <w:bookmarkStart w:id="1037" w:name="_Toc389065341"/>
      <w:bookmarkEnd w:id="1037"/>
      <w:bookmarkStart w:id="1038" w:name="_Toc351203651"/>
      <w:bookmarkEnd w:id="1038"/>
      <w:bookmarkStart w:id="1039" w:name="_Toc373227776"/>
      <w:bookmarkEnd w:id="1039"/>
      <w:bookmarkStart w:id="1040" w:name="_Toc407135279"/>
      <w:bookmarkEnd w:id="1040"/>
      <w:r>
        <w:rPr>
          <w:rFonts w:hint="eastAsia" w:ascii="宋体" w:hAnsi="宋体" w:eastAsia="宋体" w:cs="宋体"/>
          <w:color w:val="000000" w:themeColor="text1"/>
          <w:sz w:val="24"/>
          <w:szCs w:val="24"/>
          <w:highlight w:val="none"/>
          <w14:textFill>
            <w14:solidFill>
              <w14:schemeClr w14:val="tx1"/>
            </w14:solidFill>
          </w14:textFill>
        </w:rPr>
        <w:t>20. 争议解决</w:t>
      </w:r>
    </w:p>
    <w:p w14:paraId="36E5A750">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1041" w:name="_Toc389065342"/>
      <w:bookmarkEnd w:id="1041"/>
      <w:bookmarkStart w:id="1042" w:name="_Toc24546"/>
      <w:bookmarkEnd w:id="1042"/>
      <w:bookmarkStart w:id="1043" w:name="_Toc373227777"/>
      <w:bookmarkEnd w:id="1043"/>
      <w:bookmarkStart w:id="1044" w:name="_Toc373478424"/>
      <w:bookmarkEnd w:id="1044"/>
      <w:bookmarkStart w:id="1045" w:name="_Toc407135280"/>
      <w:r>
        <w:rPr>
          <w:rFonts w:hint="eastAsia" w:ascii="宋体" w:hAnsi="宋体" w:eastAsia="宋体" w:cs="宋体"/>
          <w:color w:val="000000" w:themeColor="text1"/>
          <w:sz w:val="24"/>
          <w:szCs w:val="24"/>
          <w:highlight w:val="none"/>
          <w14:textFill>
            <w14:solidFill>
              <w14:schemeClr w14:val="tx1"/>
            </w14:solidFill>
          </w14:textFill>
        </w:rPr>
        <w:t xml:space="preserve">20.3 </w:t>
      </w:r>
      <w:bookmarkEnd w:id="1045"/>
      <w:r>
        <w:rPr>
          <w:rFonts w:hint="eastAsia" w:ascii="宋体" w:hAnsi="宋体" w:eastAsia="宋体" w:cs="宋体"/>
          <w:color w:val="000000" w:themeColor="text1"/>
          <w:sz w:val="24"/>
          <w:szCs w:val="24"/>
          <w:highlight w:val="none"/>
          <w14:textFill>
            <w14:solidFill>
              <w14:schemeClr w14:val="tx1"/>
            </w14:solidFill>
          </w14:textFill>
        </w:rPr>
        <w:t>争议评审</w:t>
      </w:r>
    </w:p>
    <w:p w14:paraId="085EB619">
      <w:pPr>
        <w:pStyle w:val="245"/>
        <w:pageBreakBefore w:val="0"/>
        <w:wordWrap/>
        <w:overflowPunct/>
        <w:topLinePunct w:val="0"/>
        <w:bidi w:val="0"/>
        <w:spacing w:line="460" w:lineRule="exact"/>
        <w:ind w:left="149" w:leftChars="71" w:firstLine="360" w:firstLineChars="150"/>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合同当事人是否同意将工程争议提交争议评审小组决定：</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不同意</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0494B20A">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20.3.1 争议评审小组的确定</w:t>
      </w:r>
    </w:p>
    <w:p w14:paraId="4FD80398">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争议评审小组成员的确定：</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63DFEDE7">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选定争议评审员的期限：</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75BD292C">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争议评审小组成员的报酬承担方式：</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2156C953">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其他事项的约定：</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02DA7C5E">
      <w:pPr>
        <w:pStyle w:val="245"/>
        <w:pageBreakBefore w:val="0"/>
        <w:wordWrap/>
        <w:overflowPunct/>
        <w:topLinePunct w:val="0"/>
        <w:autoSpaceDE w:val="0"/>
        <w:autoSpaceDN w:val="0"/>
        <w:bidi w:val="0"/>
        <w:adjustRightInd w:val="0"/>
        <w:spacing w:line="460" w:lineRule="exact"/>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20.3.2 争议评审小组的决定</w:t>
      </w:r>
    </w:p>
    <w:p w14:paraId="2276E19E">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合同当事人关于本项的约定</w:t>
      </w: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676CD1B6">
      <w:pPr>
        <w:pStyle w:val="237"/>
        <w:pageBreakBefore w:val="0"/>
        <w:wordWrap/>
        <w:overflowPunct/>
        <w:topLinePunct w:val="0"/>
        <w:bidi w:val="0"/>
        <w:spacing w:line="460" w:lineRule="exact"/>
        <w:rPr>
          <w:rFonts w:hint="eastAsia" w:ascii="宋体" w:hAnsi="宋体" w:eastAsia="宋体" w:cs="宋体"/>
          <w:color w:val="000000" w:themeColor="text1"/>
          <w:sz w:val="24"/>
          <w:szCs w:val="24"/>
          <w:highlight w:val="none"/>
          <w14:textFill>
            <w14:solidFill>
              <w14:schemeClr w14:val="tx1"/>
            </w14:solidFill>
          </w14:textFill>
        </w:rPr>
      </w:pPr>
      <w:bookmarkStart w:id="1046" w:name="_Toc373227778"/>
      <w:bookmarkEnd w:id="1046"/>
      <w:bookmarkStart w:id="1047" w:name="_Toc373478425"/>
      <w:bookmarkEnd w:id="1047"/>
      <w:bookmarkStart w:id="1048" w:name="_Toc389065343"/>
      <w:bookmarkEnd w:id="1048"/>
      <w:bookmarkStart w:id="1049" w:name="_Toc407135281"/>
      <w:bookmarkEnd w:id="1049"/>
      <w:bookmarkStart w:id="1050" w:name="_Toc27200"/>
      <w:r>
        <w:rPr>
          <w:rFonts w:hint="eastAsia" w:ascii="宋体" w:hAnsi="宋体" w:eastAsia="宋体" w:cs="宋体"/>
          <w:color w:val="000000" w:themeColor="text1"/>
          <w:sz w:val="24"/>
          <w:szCs w:val="24"/>
          <w:highlight w:val="none"/>
          <w14:textFill>
            <w14:solidFill>
              <w14:schemeClr w14:val="tx1"/>
            </w14:solidFill>
          </w14:textFill>
        </w:rPr>
        <w:t xml:space="preserve">20.4 </w:t>
      </w:r>
      <w:bookmarkEnd w:id="1050"/>
      <w:r>
        <w:rPr>
          <w:rFonts w:hint="eastAsia" w:ascii="宋体" w:hAnsi="宋体" w:eastAsia="宋体" w:cs="宋体"/>
          <w:color w:val="000000" w:themeColor="text1"/>
          <w:sz w:val="24"/>
          <w:szCs w:val="24"/>
          <w:highlight w:val="none"/>
          <w14:textFill>
            <w14:solidFill>
              <w14:schemeClr w14:val="tx1"/>
            </w14:solidFill>
          </w14:textFill>
        </w:rPr>
        <w:t>仲裁或诉讼</w:t>
      </w:r>
    </w:p>
    <w:p w14:paraId="78912337">
      <w:pPr>
        <w:pStyle w:val="245"/>
        <w:pageBreakBefore w:val="0"/>
        <w:wordWrap/>
        <w:overflowPunct/>
        <w:topLinePunct w:val="0"/>
        <w:bidi w:val="0"/>
        <w:spacing w:line="46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因合同及合同有关事项发生的争议，按下列第</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2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种方式解决：</w:t>
      </w:r>
    </w:p>
    <w:p w14:paraId="5E6033FC">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（1）提请</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贵港</w:t>
      </w:r>
      <w:r>
        <w:rPr>
          <w:rFonts w:hint="eastAsia" w:ascii="宋体" w:hAnsi="宋体" w:eastAsia="宋体" w:cs="宋体"/>
          <w:color w:val="000000" w:themeColor="text1"/>
          <w:sz w:val="24"/>
          <w:szCs w:val="24"/>
          <w:highlight w:val="none"/>
          <w:u w:val="single"/>
          <w14:textFill>
            <w14:solidFill>
              <w14:schemeClr w14:val="tx1"/>
            </w14:solidFill>
          </w14:textFill>
        </w:rPr>
        <w:t xml:space="preserve">市  </w:t>
      </w:r>
      <w:r>
        <w:rPr>
          <w:rFonts w:hint="eastAsia" w:ascii="宋体" w:hAnsi="宋体" w:eastAsia="宋体" w:cs="宋体"/>
          <w:color w:val="000000" w:themeColor="text1"/>
          <w:sz w:val="24"/>
          <w:szCs w:val="24"/>
          <w:highlight w:val="none"/>
          <w14:textFill>
            <w14:solidFill>
              <w14:schemeClr w14:val="tx1"/>
            </w14:solidFill>
          </w14:textFill>
        </w:rPr>
        <w:t>仲裁委员会按照该会仲裁规则进行仲裁，仲裁裁决是终局的，对合同双方均有约束力。</w:t>
      </w:r>
    </w:p>
    <w:p w14:paraId="65E1263F">
      <w:pPr>
        <w:pStyle w:val="245"/>
        <w:pageBreakBefore w:val="0"/>
        <w:wordWrap/>
        <w:overflowPunct/>
        <w:topLinePunct w:val="0"/>
        <w:bidi w:val="0"/>
        <w:spacing w:line="46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（2）向</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14:textFill>
            <w14:solidFill>
              <w14:schemeClr w14:val="tx1"/>
            </w14:solidFill>
          </w14:textFill>
        </w:rPr>
        <w:t xml:space="preserve">  工程所在地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人民法院起诉。</w:t>
      </w:r>
    </w:p>
    <w:p w14:paraId="1237ECD0">
      <w:pPr>
        <w:bidi w:val="0"/>
        <w:rPr>
          <w:rFonts w:hint="eastAsia"/>
          <w:color w:val="000000" w:themeColor="text1"/>
          <w:lang w:val="en-US" w:eastAsia="zh-CN"/>
          <w14:textFill>
            <w14:solidFill>
              <w14:schemeClr w14:val="tx1"/>
            </w14:solidFill>
          </w14:textFill>
        </w:rPr>
      </w:pPr>
    </w:p>
    <w:p w14:paraId="0F1B984B">
      <w:pPr>
        <w:pStyle w:val="237"/>
        <w:pageBreakBefore w:val="0"/>
        <w:wordWrap/>
        <w:overflowPunct/>
        <w:topLinePunct w:val="0"/>
        <w:bidi w:val="0"/>
        <w:spacing w:line="460" w:lineRule="exact"/>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附件1、工程质量保修书</w:t>
      </w:r>
    </w:p>
    <w:p w14:paraId="664101E9">
      <w:pPr>
        <w:pStyle w:val="237"/>
        <w:rPr>
          <w:rFonts w:hint="eastAsia" w:ascii="宋体" w:hAnsi="宋体" w:eastAsia="宋体" w:cs="宋体"/>
          <w:color w:val="000000" w:themeColor="text1"/>
          <w:sz w:val="28"/>
          <w:szCs w:val="28"/>
          <w:lang w:val="en-US" w:eastAsia="zh-CN"/>
          <w14:textFill>
            <w14:solidFill>
              <w14:schemeClr w14:val="tx1"/>
            </w14:solidFill>
          </w14:textFill>
        </w:rPr>
      </w:pPr>
    </w:p>
    <w:p w14:paraId="1A1A1F0E">
      <w:pPr>
        <w:rPr>
          <w:rFonts w:hint="eastAsia" w:ascii="宋体" w:hAnsi="宋体" w:eastAsia="宋体" w:cs="宋体"/>
          <w:b/>
          <w:bCs/>
          <w:color w:val="000000" w:themeColor="text1"/>
          <w:sz w:val="28"/>
          <w:szCs w:val="28"/>
          <w:lang w:val="en-US" w:eastAsia="zh-CN"/>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br w:type="page"/>
      </w:r>
    </w:p>
    <w:p w14:paraId="5BF6CCFA">
      <w:pPr>
        <w:spacing w:before="120" w:beforeLines="50" w:after="120" w:afterLines="50" w:line="440" w:lineRule="exact"/>
        <w:jc w:val="both"/>
        <w:rPr>
          <w:rFonts w:hint="eastAsia" w:ascii="宋体" w:hAnsi="宋体" w:eastAsia="宋体" w:cs="宋体"/>
          <w:b/>
          <w:bCs/>
          <w:color w:val="000000" w:themeColor="text1"/>
          <w:sz w:val="36"/>
          <w:szCs w:val="36"/>
          <w:lang w:val="en-US" w:eastAsia="zh-CN"/>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 xml:space="preserve">附件1、 </w:t>
      </w:r>
      <w:r>
        <w:rPr>
          <w:rFonts w:hint="eastAsia" w:ascii="宋体" w:hAnsi="宋体" w:eastAsia="宋体" w:cs="宋体"/>
          <w:b/>
          <w:bCs/>
          <w:color w:val="000000" w:themeColor="text1"/>
          <w:sz w:val="36"/>
          <w:szCs w:val="36"/>
          <w:lang w:val="en-US" w:eastAsia="zh-CN"/>
          <w14:textFill>
            <w14:solidFill>
              <w14:schemeClr w14:val="tx1"/>
            </w14:solidFill>
          </w14:textFill>
        </w:rPr>
        <w:t xml:space="preserve">            </w:t>
      </w:r>
    </w:p>
    <w:p w14:paraId="6236CA33">
      <w:pPr>
        <w:spacing w:before="120" w:beforeLines="50" w:after="120" w:afterLines="50" w:line="440" w:lineRule="exact"/>
        <w:jc w:val="center"/>
        <w:rPr>
          <w:rFonts w:hint="eastAsia" w:ascii="宋体" w:hAnsi="宋体" w:eastAsia="宋体" w:cs="宋体"/>
          <w:b/>
          <w:bCs/>
          <w:color w:val="000000" w:themeColor="text1"/>
          <w:sz w:val="36"/>
          <w:szCs w:val="36"/>
          <w14:textFill>
            <w14:solidFill>
              <w14:schemeClr w14:val="tx1"/>
            </w14:solidFill>
          </w14:textFill>
        </w:rPr>
      </w:pPr>
      <w:r>
        <w:rPr>
          <w:rFonts w:hint="eastAsia" w:ascii="宋体" w:hAnsi="宋体" w:eastAsia="宋体" w:cs="宋体"/>
          <w:b/>
          <w:bCs/>
          <w:color w:val="000000" w:themeColor="text1"/>
          <w:sz w:val="36"/>
          <w:szCs w:val="36"/>
          <w14:textFill>
            <w14:solidFill>
              <w14:schemeClr w14:val="tx1"/>
            </w14:solidFill>
          </w14:textFill>
        </w:rPr>
        <w:t>工程质量保修书（房屋建筑工程）</w:t>
      </w:r>
    </w:p>
    <w:p w14:paraId="446B0357">
      <w:pPr>
        <w:pStyle w:val="246"/>
        <w:spacing w:line="440" w:lineRule="exact"/>
        <w:ind w:firstLine="480" w:firstLineChars="200"/>
        <w:rPr>
          <w:rStyle w:val="248"/>
          <w:rFonts w:hint="eastAsia" w:ascii="宋体" w:hAnsi="宋体" w:eastAsia="宋体" w:cs="宋体"/>
          <w:color w:val="000000" w:themeColor="text1"/>
          <w:sz w:val="24"/>
          <w:szCs w:val="24"/>
          <w14:textFill>
            <w14:solidFill>
              <w14:schemeClr w14:val="tx1"/>
            </w14:solidFill>
          </w14:textFill>
        </w:rPr>
      </w:pPr>
      <w:r>
        <w:rPr>
          <w:rStyle w:val="248"/>
          <w:rFonts w:hint="eastAsia" w:ascii="宋体" w:hAnsi="宋体" w:eastAsia="宋体" w:cs="宋体"/>
          <w:color w:val="000000" w:themeColor="text1"/>
          <w:sz w:val="24"/>
          <w:szCs w:val="24"/>
          <w14:textFill>
            <w14:solidFill>
              <w14:schemeClr w14:val="tx1"/>
            </w14:solidFill>
          </w14:textFill>
        </w:rPr>
        <w:t>发包人（全称）：</w:t>
      </w:r>
      <w:r>
        <w:rPr>
          <w:rStyle w:val="248"/>
          <w:rFonts w:hint="eastAsia" w:ascii="宋体" w:hAnsi="宋体" w:eastAsia="宋体" w:cs="宋体"/>
          <w:color w:val="000000" w:themeColor="text1"/>
          <w:sz w:val="24"/>
          <w:szCs w:val="24"/>
          <w:u w:val="single"/>
          <w14:textFill>
            <w14:solidFill>
              <w14:schemeClr w14:val="tx1"/>
            </w14:solidFill>
          </w14:textFill>
        </w:rPr>
        <w:t xml:space="preserve">       </w:t>
      </w:r>
      <w:r>
        <w:rPr>
          <w:rStyle w:val="248"/>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Style w:val="248"/>
          <w:rFonts w:hint="eastAsia" w:ascii="宋体" w:hAnsi="宋体" w:eastAsia="宋体" w:cs="宋体"/>
          <w:color w:val="000000" w:themeColor="text1"/>
          <w:sz w:val="24"/>
          <w:szCs w:val="24"/>
          <w:u w:val="single"/>
          <w14:textFill>
            <w14:solidFill>
              <w14:schemeClr w14:val="tx1"/>
            </w14:solidFill>
          </w14:textFill>
        </w:rPr>
        <w:t xml:space="preserve">   </w:t>
      </w:r>
      <w:r>
        <w:rPr>
          <w:rStyle w:val="248"/>
          <w:rFonts w:hint="eastAsia" w:ascii="宋体" w:hAnsi="宋体" w:eastAsia="宋体" w:cs="宋体"/>
          <w:color w:val="000000" w:themeColor="text1"/>
          <w:sz w:val="24"/>
          <w:szCs w:val="24"/>
          <w14:textFill>
            <w14:solidFill>
              <w14:schemeClr w14:val="tx1"/>
            </w14:solidFill>
          </w14:textFill>
        </w:rPr>
        <w:t xml:space="preserve"> </w:t>
      </w:r>
    </w:p>
    <w:p w14:paraId="22143228">
      <w:pPr>
        <w:pStyle w:val="246"/>
        <w:spacing w:line="440" w:lineRule="exact"/>
        <w:ind w:firstLine="480" w:firstLineChars="200"/>
        <w:rPr>
          <w:rStyle w:val="248"/>
          <w:rFonts w:hint="eastAsia" w:ascii="宋体" w:hAnsi="宋体" w:eastAsia="宋体" w:cs="宋体"/>
          <w:color w:val="000000" w:themeColor="text1"/>
          <w:sz w:val="24"/>
          <w:szCs w:val="24"/>
          <w14:textFill>
            <w14:solidFill>
              <w14:schemeClr w14:val="tx1"/>
            </w14:solidFill>
          </w14:textFill>
        </w:rPr>
      </w:pPr>
      <w:r>
        <w:rPr>
          <w:rStyle w:val="248"/>
          <w:rFonts w:hint="eastAsia" w:ascii="宋体" w:hAnsi="宋体" w:eastAsia="宋体" w:cs="宋体"/>
          <w:color w:val="000000" w:themeColor="text1"/>
          <w:sz w:val="24"/>
          <w:szCs w:val="24"/>
          <w14:textFill>
            <w14:solidFill>
              <w14:schemeClr w14:val="tx1"/>
            </w14:solidFill>
          </w14:textFill>
        </w:rPr>
        <w:t>承包人（全称）：</w:t>
      </w:r>
      <w:r>
        <w:rPr>
          <w:rStyle w:val="248"/>
          <w:rFonts w:hint="eastAsia" w:ascii="宋体" w:hAnsi="宋体" w:eastAsia="宋体" w:cs="宋体"/>
          <w:color w:val="000000" w:themeColor="text1"/>
          <w:sz w:val="24"/>
          <w:szCs w:val="24"/>
          <w:u w:val="single"/>
          <w14:textFill>
            <w14:solidFill>
              <w14:schemeClr w14:val="tx1"/>
            </w14:solidFill>
          </w14:textFill>
        </w:rPr>
        <w:t xml:space="preserve">  </w:t>
      </w:r>
      <w:r>
        <w:rPr>
          <w:rStyle w:val="248"/>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Style w:val="248"/>
          <w:rFonts w:hint="eastAsia" w:ascii="宋体" w:hAnsi="宋体" w:eastAsia="宋体" w:cs="宋体"/>
          <w:color w:val="000000" w:themeColor="text1"/>
          <w:sz w:val="24"/>
          <w:szCs w:val="24"/>
          <w:u w:val="single"/>
          <w:lang w:eastAsia="zh-CN"/>
          <w14:textFill>
            <w14:solidFill>
              <w14:schemeClr w14:val="tx1"/>
            </w14:solidFill>
          </w14:textFill>
        </w:rPr>
        <w:t xml:space="preserve"> </w:t>
      </w:r>
      <w:r>
        <w:rPr>
          <w:rStyle w:val="248"/>
          <w:rFonts w:hint="eastAsia" w:ascii="宋体" w:hAnsi="宋体" w:eastAsia="宋体" w:cs="宋体"/>
          <w:color w:val="000000" w:themeColor="text1"/>
          <w:sz w:val="24"/>
          <w:szCs w:val="24"/>
          <w:u w:val="single"/>
          <w14:textFill>
            <w14:solidFill>
              <w14:schemeClr w14:val="tx1"/>
            </w14:solidFill>
          </w14:textFill>
        </w:rPr>
        <w:t xml:space="preserve">    </w:t>
      </w:r>
      <w:r>
        <w:rPr>
          <w:rStyle w:val="248"/>
          <w:rFonts w:hint="eastAsia" w:ascii="宋体" w:hAnsi="宋体" w:eastAsia="宋体" w:cs="宋体"/>
          <w:color w:val="000000" w:themeColor="text1"/>
          <w:sz w:val="24"/>
          <w:szCs w:val="24"/>
          <w14:textFill>
            <w14:solidFill>
              <w14:schemeClr w14:val="tx1"/>
            </w14:solidFill>
          </w14:textFill>
        </w:rPr>
        <w:t xml:space="preserve"> </w:t>
      </w:r>
    </w:p>
    <w:p w14:paraId="06F1AEA8">
      <w:pPr>
        <w:pStyle w:val="246"/>
        <w:spacing w:line="440" w:lineRule="exact"/>
        <w:rPr>
          <w:rStyle w:val="248"/>
          <w:rFonts w:hint="eastAsia" w:ascii="宋体" w:hAnsi="宋体" w:eastAsia="宋体" w:cs="宋体"/>
          <w:color w:val="000000" w:themeColor="text1"/>
          <w:sz w:val="24"/>
          <w:szCs w:val="24"/>
          <w14:textFill>
            <w14:solidFill>
              <w14:schemeClr w14:val="tx1"/>
            </w14:solidFill>
          </w14:textFill>
        </w:rPr>
      </w:pPr>
      <w:r>
        <w:rPr>
          <w:rStyle w:val="248"/>
          <w:rFonts w:hint="eastAsia" w:ascii="宋体" w:hAnsi="宋体" w:eastAsia="宋体" w:cs="宋体"/>
          <w:color w:val="000000" w:themeColor="text1"/>
          <w:sz w:val="24"/>
          <w:szCs w:val="24"/>
          <w14:textFill>
            <w14:solidFill>
              <w14:schemeClr w14:val="tx1"/>
            </w14:solidFill>
          </w14:textFill>
        </w:rPr>
        <w:t xml:space="preserve"> 发包人和承包人根据《中华人民共和国建筑法》和《建设工程质量管理条例》，经协商一致就</w:t>
      </w:r>
      <w:r>
        <w:rPr>
          <w:rStyle w:val="248"/>
          <w:rFonts w:hint="eastAsia" w:ascii="宋体" w:hAnsi="宋体" w:eastAsia="宋体" w:cs="宋体"/>
          <w:color w:val="000000" w:themeColor="text1"/>
          <w:sz w:val="24"/>
          <w:szCs w:val="24"/>
          <w:u w:val="single"/>
          <w14:textFill>
            <w14:solidFill>
              <w14:schemeClr w14:val="tx1"/>
            </w14:solidFill>
          </w14:textFill>
        </w:rPr>
        <w:t xml:space="preserve"> </w:t>
      </w:r>
      <w:r>
        <w:rPr>
          <w:rStyle w:val="248"/>
          <w:rFonts w:hint="eastAsia" w:ascii="宋体" w:hAnsi="宋体" w:cs="宋体"/>
          <w:color w:val="000000" w:themeColor="text1"/>
          <w:sz w:val="24"/>
          <w:szCs w:val="24"/>
          <w:u w:val="single"/>
          <w:lang w:val="en-US" w:eastAsia="zh-CN"/>
          <w14:textFill>
            <w14:solidFill>
              <w14:schemeClr w14:val="tx1"/>
            </w14:solidFill>
          </w14:textFill>
        </w:rPr>
        <w:t xml:space="preserve">              </w:t>
      </w:r>
      <w:r>
        <w:rPr>
          <w:rStyle w:val="248"/>
          <w:rFonts w:hint="eastAsia" w:ascii="宋体" w:hAnsi="宋体" w:eastAsia="宋体" w:cs="宋体"/>
          <w:color w:val="000000" w:themeColor="text1"/>
          <w:sz w:val="24"/>
          <w:szCs w:val="24"/>
          <w:u w:val="single"/>
          <w14:textFill>
            <w14:solidFill>
              <w14:schemeClr w14:val="tx1"/>
            </w14:solidFill>
          </w14:textFill>
        </w:rPr>
        <w:t xml:space="preserve"> </w:t>
      </w:r>
      <w:r>
        <w:rPr>
          <w:rStyle w:val="248"/>
          <w:rFonts w:hint="eastAsia" w:ascii="宋体" w:hAnsi="宋体" w:eastAsia="宋体" w:cs="宋体"/>
          <w:color w:val="000000" w:themeColor="text1"/>
          <w:sz w:val="24"/>
          <w:szCs w:val="24"/>
          <w14:textFill>
            <w14:solidFill>
              <w14:schemeClr w14:val="tx1"/>
            </w14:solidFill>
          </w14:textFill>
        </w:rPr>
        <w:t>（工程全称）签订工程质量保修书。</w:t>
      </w:r>
    </w:p>
    <w:p w14:paraId="09BCD05E">
      <w:pPr>
        <w:pStyle w:val="246"/>
        <w:spacing w:line="360" w:lineRule="auto"/>
        <w:ind w:firstLine="480" w:firstLineChars="200"/>
        <w:rPr>
          <w:rStyle w:val="248"/>
          <w:rFonts w:hint="eastAsia" w:ascii="宋体" w:hAnsi="宋体" w:eastAsia="宋体" w:cs="宋体"/>
          <w:color w:val="000000" w:themeColor="text1"/>
          <w:sz w:val="24"/>
          <w:szCs w:val="24"/>
          <w14:textFill>
            <w14:solidFill>
              <w14:schemeClr w14:val="tx1"/>
            </w14:solidFill>
          </w14:textFill>
        </w:rPr>
      </w:pPr>
      <w:r>
        <w:rPr>
          <w:rStyle w:val="248"/>
          <w:rFonts w:hint="eastAsia" w:ascii="宋体" w:hAnsi="宋体" w:eastAsia="宋体" w:cs="宋体"/>
          <w:color w:val="000000" w:themeColor="text1"/>
          <w:sz w:val="24"/>
          <w:szCs w:val="24"/>
          <w14:textFill>
            <w14:solidFill>
              <w14:schemeClr w14:val="tx1"/>
            </w14:solidFill>
          </w14:textFill>
        </w:rPr>
        <w:t>一、工程质量保修范围和内容</w:t>
      </w:r>
    </w:p>
    <w:p w14:paraId="3B68C982">
      <w:pPr>
        <w:pStyle w:val="246"/>
        <w:spacing w:line="360" w:lineRule="auto"/>
        <w:ind w:firstLine="480" w:firstLineChars="200"/>
        <w:rPr>
          <w:rStyle w:val="248"/>
          <w:rFonts w:hint="eastAsia" w:ascii="宋体" w:hAnsi="宋体" w:eastAsia="宋体" w:cs="宋体"/>
          <w:color w:val="000000" w:themeColor="text1"/>
          <w:sz w:val="24"/>
          <w:szCs w:val="24"/>
          <w14:textFill>
            <w14:solidFill>
              <w14:schemeClr w14:val="tx1"/>
            </w14:solidFill>
          </w14:textFill>
        </w:rPr>
      </w:pPr>
      <w:r>
        <w:rPr>
          <w:rStyle w:val="248"/>
          <w:rFonts w:hint="eastAsia" w:ascii="宋体" w:hAnsi="宋体" w:eastAsia="宋体" w:cs="宋体"/>
          <w:color w:val="000000" w:themeColor="text1"/>
          <w:sz w:val="24"/>
          <w:szCs w:val="24"/>
          <w14:textFill>
            <w14:solidFill>
              <w14:schemeClr w14:val="tx1"/>
            </w14:solidFill>
          </w14:textFill>
        </w:rPr>
        <w:t>承包人在质量保修期内，按照有关法律规定和合同约定，承担工程质量保修责任。</w:t>
      </w:r>
    </w:p>
    <w:p w14:paraId="3D918252">
      <w:pPr>
        <w:pStyle w:val="246"/>
        <w:spacing w:line="360" w:lineRule="auto"/>
        <w:ind w:firstLine="420"/>
        <w:rPr>
          <w:rStyle w:val="248"/>
          <w:rFonts w:hint="eastAsia" w:ascii="宋体" w:hAnsi="宋体" w:eastAsia="宋体" w:cs="宋体"/>
          <w:color w:val="000000" w:themeColor="text1"/>
          <w:sz w:val="24"/>
          <w:szCs w:val="24"/>
          <w14:textFill>
            <w14:solidFill>
              <w14:schemeClr w14:val="tx1"/>
            </w14:solidFill>
          </w14:textFill>
        </w:rPr>
      </w:pPr>
      <w:r>
        <w:rPr>
          <w:rStyle w:val="248"/>
          <w:rFonts w:hint="eastAsia" w:ascii="宋体" w:hAnsi="宋体" w:eastAsia="宋体" w:cs="宋体"/>
          <w:color w:val="000000" w:themeColor="text1"/>
          <w:sz w:val="24"/>
          <w:szCs w:val="24"/>
          <w14:textFill>
            <w14:solidFill>
              <w14:schemeClr w14:val="tx1"/>
            </w14:solidFill>
          </w14:textFill>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1F6DB7AF">
      <w:pPr>
        <w:pStyle w:val="246"/>
        <w:spacing w:line="360" w:lineRule="auto"/>
        <w:ind w:firstLine="420"/>
        <w:rPr>
          <w:rStyle w:val="248"/>
          <w:rFonts w:hint="eastAsia" w:ascii="宋体" w:hAnsi="宋体" w:eastAsia="宋体" w:cs="宋体"/>
          <w:color w:val="000000" w:themeColor="text1"/>
          <w:sz w:val="24"/>
          <w:szCs w:val="24"/>
          <w14:textFill>
            <w14:solidFill>
              <w14:schemeClr w14:val="tx1"/>
            </w14:solidFill>
          </w14:textFill>
        </w:rPr>
      </w:pPr>
      <w:r>
        <w:rPr>
          <w:rStyle w:val="44"/>
          <w:rFonts w:hint="eastAsia" w:ascii="宋体" w:hAnsi="宋体" w:eastAsia="宋体" w:cs="宋体"/>
          <w:color w:val="000000" w:themeColor="text1"/>
          <w:sz w:val="24"/>
          <w:szCs w:val="24"/>
          <w:u w:val="single"/>
          <w14:textFill>
            <w14:solidFill>
              <w14:schemeClr w14:val="tx1"/>
            </w14:solidFill>
          </w14:textFill>
        </w:rPr>
        <w:t>在承包人承包施工的范围、内容、项目属于承包人责任造成的工程质量问题，均由承包人承担保修责任</w:t>
      </w:r>
      <w:r>
        <w:rPr>
          <w:rStyle w:val="248"/>
          <w:rFonts w:hint="eastAsia" w:ascii="宋体" w:hAnsi="宋体" w:eastAsia="宋体" w:cs="宋体"/>
          <w:color w:val="000000" w:themeColor="text1"/>
          <w:sz w:val="24"/>
          <w:szCs w:val="24"/>
          <w:u w:val="single"/>
          <w14:textFill>
            <w14:solidFill>
              <w14:schemeClr w14:val="tx1"/>
            </w14:solidFill>
          </w14:textFill>
        </w:rPr>
        <w:t xml:space="preserve">   </w:t>
      </w:r>
      <w:r>
        <w:rPr>
          <w:rStyle w:val="248"/>
          <w:rFonts w:hint="eastAsia" w:ascii="宋体" w:hAnsi="宋体" w:eastAsia="宋体" w:cs="宋体"/>
          <w:color w:val="000000" w:themeColor="text1"/>
          <w:sz w:val="24"/>
          <w:szCs w:val="24"/>
          <w14:textFill>
            <w14:solidFill>
              <w14:schemeClr w14:val="tx1"/>
            </w14:solidFill>
          </w14:textFill>
        </w:rPr>
        <w:t>。</w:t>
      </w:r>
    </w:p>
    <w:p w14:paraId="091442A7">
      <w:pPr>
        <w:pStyle w:val="246"/>
        <w:spacing w:line="360" w:lineRule="auto"/>
        <w:ind w:firstLine="420"/>
        <w:rPr>
          <w:rStyle w:val="248"/>
          <w:rFonts w:hint="eastAsia" w:ascii="宋体" w:hAnsi="宋体" w:eastAsia="宋体" w:cs="宋体"/>
          <w:color w:val="000000" w:themeColor="text1"/>
          <w:sz w:val="24"/>
          <w:szCs w:val="24"/>
          <w14:textFill>
            <w14:solidFill>
              <w14:schemeClr w14:val="tx1"/>
            </w14:solidFill>
          </w14:textFill>
        </w:rPr>
      </w:pPr>
      <w:r>
        <w:rPr>
          <w:rStyle w:val="248"/>
          <w:rFonts w:hint="eastAsia" w:ascii="宋体" w:hAnsi="宋体" w:eastAsia="宋体" w:cs="宋体"/>
          <w:color w:val="000000" w:themeColor="text1"/>
          <w:sz w:val="24"/>
          <w:szCs w:val="24"/>
          <w14:textFill>
            <w14:solidFill>
              <w14:schemeClr w14:val="tx1"/>
            </w14:solidFill>
          </w14:textFill>
        </w:rPr>
        <w:t>二、质量保修期</w:t>
      </w:r>
    </w:p>
    <w:p w14:paraId="475BCF4B">
      <w:pPr>
        <w:pStyle w:val="246"/>
        <w:spacing w:line="360" w:lineRule="auto"/>
        <w:ind w:firstLine="420"/>
        <w:rPr>
          <w:rStyle w:val="248"/>
          <w:rFonts w:hint="eastAsia" w:ascii="宋体" w:hAnsi="宋体" w:eastAsia="宋体" w:cs="宋体"/>
          <w:color w:val="000000" w:themeColor="text1"/>
          <w:sz w:val="24"/>
          <w:szCs w:val="24"/>
          <w14:textFill>
            <w14:solidFill>
              <w14:schemeClr w14:val="tx1"/>
            </w14:solidFill>
          </w14:textFill>
        </w:rPr>
      </w:pPr>
      <w:r>
        <w:rPr>
          <w:rStyle w:val="248"/>
          <w:rFonts w:hint="eastAsia" w:ascii="宋体" w:hAnsi="宋体" w:eastAsia="宋体" w:cs="宋体"/>
          <w:color w:val="000000" w:themeColor="text1"/>
          <w:sz w:val="24"/>
          <w:szCs w:val="24"/>
          <w14:textFill>
            <w14:solidFill>
              <w14:schemeClr w14:val="tx1"/>
            </w14:solidFill>
          </w14:textFill>
        </w:rPr>
        <w:t>根据《建设工程质量管理条例》及有关规定，工程的质量保修期如下：</w:t>
      </w:r>
    </w:p>
    <w:p w14:paraId="083A4163">
      <w:pPr>
        <w:pStyle w:val="246"/>
        <w:spacing w:line="360" w:lineRule="auto"/>
        <w:ind w:firstLine="420"/>
        <w:rPr>
          <w:rStyle w:val="248"/>
          <w:rFonts w:hint="eastAsia" w:ascii="宋体" w:hAnsi="宋体" w:eastAsia="宋体" w:cs="宋体"/>
          <w:color w:val="000000" w:themeColor="text1"/>
          <w:sz w:val="24"/>
          <w:szCs w:val="24"/>
          <w14:textFill>
            <w14:solidFill>
              <w14:schemeClr w14:val="tx1"/>
            </w14:solidFill>
          </w14:textFill>
        </w:rPr>
      </w:pPr>
      <w:r>
        <w:rPr>
          <w:rStyle w:val="248"/>
          <w:rFonts w:hint="eastAsia" w:ascii="宋体" w:hAnsi="宋体" w:eastAsia="宋体" w:cs="宋体"/>
          <w:color w:val="000000" w:themeColor="text1"/>
          <w:sz w:val="24"/>
          <w:szCs w:val="24"/>
          <w14:textFill>
            <w14:solidFill>
              <w14:schemeClr w14:val="tx1"/>
            </w14:solidFill>
          </w14:textFill>
        </w:rPr>
        <w:t>1．地基基础工程和主体结构工程为设计文件规定的工程合理使用年限；</w:t>
      </w:r>
    </w:p>
    <w:p w14:paraId="0B0053D2">
      <w:pPr>
        <w:pStyle w:val="246"/>
        <w:spacing w:line="360" w:lineRule="auto"/>
        <w:ind w:firstLine="420"/>
        <w:rPr>
          <w:rStyle w:val="248"/>
          <w:rFonts w:hint="eastAsia" w:ascii="宋体" w:hAnsi="宋体" w:eastAsia="宋体" w:cs="宋体"/>
          <w:color w:val="000000" w:themeColor="text1"/>
          <w:sz w:val="24"/>
          <w:szCs w:val="24"/>
          <w14:textFill>
            <w14:solidFill>
              <w14:schemeClr w14:val="tx1"/>
            </w14:solidFill>
          </w14:textFill>
        </w:rPr>
      </w:pPr>
      <w:r>
        <w:rPr>
          <w:rStyle w:val="248"/>
          <w:rFonts w:hint="eastAsia" w:ascii="宋体" w:hAnsi="宋体" w:eastAsia="宋体" w:cs="宋体"/>
          <w:color w:val="000000" w:themeColor="text1"/>
          <w:sz w:val="24"/>
          <w:szCs w:val="24"/>
          <w14:textFill>
            <w14:solidFill>
              <w14:schemeClr w14:val="tx1"/>
            </w14:solidFill>
          </w14:textFill>
        </w:rPr>
        <w:t>2．屋面防水工程、有防水要求的卫生间、房间和外墙面的防渗为</w:t>
      </w:r>
      <w:r>
        <w:rPr>
          <w:rStyle w:val="248"/>
          <w:rFonts w:hint="eastAsia" w:ascii="宋体" w:hAnsi="宋体" w:eastAsia="宋体" w:cs="宋体"/>
          <w:color w:val="000000" w:themeColor="text1"/>
          <w:sz w:val="24"/>
          <w:szCs w:val="24"/>
          <w:u w:val="single"/>
          <w14:textFill>
            <w14:solidFill>
              <w14:schemeClr w14:val="tx1"/>
            </w14:solidFill>
          </w14:textFill>
        </w:rPr>
        <w:t xml:space="preserve">    5    </w:t>
      </w:r>
      <w:r>
        <w:rPr>
          <w:rStyle w:val="248"/>
          <w:rFonts w:hint="eastAsia" w:ascii="宋体" w:hAnsi="宋体" w:eastAsia="宋体" w:cs="宋体"/>
          <w:color w:val="000000" w:themeColor="text1"/>
          <w:sz w:val="24"/>
          <w:szCs w:val="24"/>
          <w14:textFill>
            <w14:solidFill>
              <w14:schemeClr w14:val="tx1"/>
            </w14:solidFill>
          </w14:textFill>
        </w:rPr>
        <w:t>年；</w:t>
      </w:r>
    </w:p>
    <w:p w14:paraId="19494113">
      <w:pPr>
        <w:pStyle w:val="246"/>
        <w:spacing w:line="360" w:lineRule="auto"/>
        <w:ind w:firstLine="420"/>
        <w:rPr>
          <w:rStyle w:val="248"/>
          <w:rFonts w:hint="eastAsia" w:ascii="宋体" w:hAnsi="宋体" w:eastAsia="宋体" w:cs="宋体"/>
          <w:color w:val="000000" w:themeColor="text1"/>
          <w:sz w:val="24"/>
          <w:szCs w:val="24"/>
          <w14:textFill>
            <w14:solidFill>
              <w14:schemeClr w14:val="tx1"/>
            </w14:solidFill>
          </w14:textFill>
        </w:rPr>
      </w:pPr>
      <w:r>
        <w:rPr>
          <w:rStyle w:val="248"/>
          <w:rFonts w:hint="eastAsia" w:ascii="宋体" w:hAnsi="宋体" w:eastAsia="宋体" w:cs="宋体"/>
          <w:color w:val="000000" w:themeColor="text1"/>
          <w:sz w:val="24"/>
          <w:szCs w:val="24"/>
          <w14:textFill>
            <w14:solidFill>
              <w14:schemeClr w14:val="tx1"/>
            </w14:solidFill>
          </w14:textFill>
        </w:rPr>
        <w:t>3．装修工程为</w:t>
      </w:r>
      <w:r>
        <w:rPr>
          <w:rStyle w:val="248"/>
          <w:rFonts w:hint="eastAsia" w:ascii="宋体" w:hAnsi="宋体" w:eastAsia="宋体" w:cs="宋体"/>
          <w:color w:val="000000" w:themeColor="text1"/>
          <w:sz w:val="24"/>
          <w:szCs w:val="24"/>
          <w:u w:val="single"/>
          <w14:textFill>
            <w14:solidFill>
              <w14:schemeClr w14:val="tx1"/>
            </w14:solidFill>
          </w14:textFill>
        </w:rPr>
        <w:t xml:space="preserve">    2     </w:t>
      </w:r>
      <w:r>
        <w:rPr>
          <w:rStyle w:val="248"/>
          <w:rFonts w:hint="eastAsia" w:ascii="宋体" w:hAnsi="宋体" w:eastAsia="宋体" w:cs="宋体"/>
          <w:color w:val="000000" w:themeColor="text1"/>
          <w:sz w:val="24"/>
          <w:szCs w:val="24"/>
          <w14:textFill>
            <w14:solidFill>
              <w14:schemeClr w14:val="tx1"/>
            </w14:solidFill>
          </w14:textFill>
        </w:rPr>
        <w:t>年；</w:t>
      </w:r>
    </w:p>
    <w:p w14:paraId="39DFEC48">
      <w:pPr>
        <w:pStyle w:val="246"/>
        <w:spacing w:line="360" w:lineRule="auto"/>
        <w:ind w:firstLine="420"/>
        <w:rPr>
          <w:rStyle w:val="248"/>
          <w:rFonts w:hint="eastAsia" w:ascii="宋体" w:hAnsi="宋体" w:eastAsia="宋体" w:cs="宋体"/>
          <w:color w:val="000000" w:themeColor="text1"/>
          <w:sz w:val="24"/>
          <w:szCs w:val="24"/>
          <w14:textFill>
            <w14:solidFill>
              <w14:schemeClr w14:val="tx1"/>
            </w14:solidFill>
          </w14:textFill>
        </w:rPr>
      </w:pPr>
      <w:r>
        <w:rPr>
          <w:rStyle w:val="248"/>
          <w:rFonts w:hint="eastAsia" w:ascii="宋体" w:hAnsi="宋体" w:eastAsia="宋体" w:cs="宋体"/>
          <w:color w:val="000000" w:themeColor="text1"/>
          <w:sz w:val="24"/>
          <w:szCs w:val="24"/>
          <w14:textFill>
            <w14:solidFill>
              <w14:schemeClr w14:val="tx1"/>
            </w14:solidFill>
          </w14:textFill>
        </w:rPr>
        <w:t>4．电气管线、给排水管道、设备安装工程为</w:t>
      </w:r>
      <w:r>
        <w:rPr>
          <w:rStyle w:val="248"/>
          <w:rFonts w:hint="eastAsia" w:ascii="宋体" w:hAnsi="宋体" w:eastAsia="宋体" w:cs="宋体"/>
          <w:color w:val="000000" w:themeColor="text1"/>
          <w:sz w:val="24"/>
          <w:szCs w:val="24"/>
          <w:u w:val="single"/>
          <w14:textFill>
            <w14:solidFill>
              <w14:schemeClr w14:val="tx1"/>
            </w14:solidFill>
          </w14:textFill>
        </w:rPr>
        <w:t xml:space="preserve">   2     </w:t>
      </w:r>
      <w:r>
        <w:rPr>
          <w:rStyle w:val="248"/>
          <w:rFonts w:hint="eastAsia" w:ascii="宋体" w:hAnsi="宋体" w:eastAsia="宋体" w:cs="宋体"/>
          <w:color w:val="000000" w:themeColor="text1"/>
          <w:sz w:val="24"/>
          <w:szCs w:val="24"/>
          <w14:textFill>
            <w14:solidFill>
              <w14:schemeClr w14:val="tx1"/>
            </w14:solidFill>
          </w14:textFill>
        </w:rPr>
        <w:t>年；</w:t>
      </w:r>
    </w:p>
    <w:p w14:paraId="21E06FF6">
      <w:pPr>
        <w:pStyle w:val="246"/>
        <w:spacing w:line="360" w:lineRule="auto"/>
        <w:ind w:firstLine="420"/>
        <w:rPr>
          <w:rStyle w:val="248"/>
          <w:rFonts w:hint="eastAsia" w:ascii="宋体" w:hAnsi="宋体" w:eastAsia="宋体" w:cs="宋体"/>
          <w:color w:val="000000" w:themeColor="text1"/>
          <w:sz w:val="24"/>
          <w:szCs w:val="24"/>
          <w14:textFill>
            <w14:solidFill>
              <w14:schemeClr w14:val="tx1"/>
            </w14:solidFill>
          </w14:textFill>
        </w:rPr>
      </w:pPr>
      <w:r>
        <w:rPr>
          <w:rStyle w:val="248"/>
          <w:rFonts w:hint="eastAsia" w:ascii="宋体" w:hAnsi="宋体" w:eastAsia="宋体" w:cs="宋体"/>
          <w:color w:val="000000" w:themeColor="text1"/>
          <w:sz w:val="24"/>
          <w:szCs w:val="24"/>
          <w14:textFill>
            <w14:solidFill>
              <w14:schemeClr w14:val="tx1"/>
            </w14:solidFill>
          </w14:textFill>
        </w:rPr>
        <w:t>5．供热与供冷系统为</w:t>
      </w:r>
      <w:r>
        <w:rPr>
          <w:rStyle w:val="248"/>
          <w:rFonts w:hint="eastAsia" w:ascii="宋体" w:hAnsi="宋体" w:eastAsia="宋体" w:cs="宋体"/>
          <w:color w:val="000000" w:themeColor="text1"/>
          <w:sz w:val="24"/>
          <w:szCs w:val="24"/>
          <w:u w:val="single"/>
          <w14:textFill>
            <w14:solidFill>
              <w14:schemeClr w14:val="tx1"/>
            </w14:solidFill>
          </w14:textFill>
        </w:rPr>
        <w:t xml:space="preserve">      2   </w:t>
      </w:r>
      <w:r>
        <w:rPr>
          <w:rStyle w:val="248"/>
          <w:rFonts w:hint="eastAsia" w:ascii="宋体" w:hAnsi="宋体" w:eastAsia="宋体" w:cs="宋体"/>
          <w:color w:val="000000" w:themeColor="text1"/>
          <w:sz w:val="24"/>
          <w:szCs w:val="24"/>
          <w14:textFill>
            <w14:solidFill>
              <w14:schemeClr w14:val="tx1"/>
            </w14:solidFill>
          </w14:textFill>
        </w:rPr>
        <w:t>个采暖期、供冷期；</w:t>
      </w:r>
    </w:p>
    <w:p w14:paraId="67AA414D">
      <w:pPr>
        <w:pStyle w:val="246"/>
        <w:spacing w:line="360" w:lineRule="auto"/>
        <w:ind w:firstLine="420"/>
        <w:rPr>
          <w:rStyle w:val="248"/>
          <w:rFonts w:hint="eastAsia" w:ascii="宋体" w:hAnsi="宋体" w:eastAsia="宋体" w:cs="宋体"/>
          <w:color w:val="000000" w:themeColor="text1"/>
          <w:sz w:val="24"/>
          <w:szCs w:val="24"/>
          <w14:textFill>
            <w14:solidFill>
              <w14:schemeClr w14:val="tx1"/>
            </w14:solidFill>
          </w14:textFill>
        </w:rPr>
      </w:pPr>
      <w:r>
        <w:rPr>
          <w:rStyle w:val="248"/>
          <w:rFonts w:hint="eastAsia" w:ascii="宋体" w:hAnsi="宋体" w:eastAsia="宋体" w:cs="宋体"/>
          <w:color w:val="000000" w:themeColor="text1"/>
          <w:sz w:val="24"/>
          <w:szCs w:val="24"/>
          <w14:textFill>
            <w14:solidFill>
              <w14:schemeClr w14:val="tx1"/>
            </w14:solidFill>
          </w14:textFill>
        </w:rPr>
        <w:t>6．住宅小区内的给排水设施、道路等配套工程为</w:t>
      </w:r>
      <w:r>
        <w:rPr>
          <w:rStyle w:val="248"/>
          <w:rFonts w:hint="eastAsia" w:ascii="宋体" w:hAnsi="宋体" w:eastAsia="宋体" w:cs="宋体"/>
          <w:color w:val="000000" w:themeColor="text1"/>
          <w:sz w:val="24"/>
          <w:szCs w:val="24"/>
          <w:u w:val="single"/>
          <w14:textFill>
            <w14:solidFill>
              <w14:schemeClr w14:val="tx1"/>
            </w14:solidFill>
          </w14:textFill>
        </w:rPr>
        <w:t xml:space="preserve">     2    </w:t>
      </w:r>
      <w:r>
        <w:rPr>
          <w:rStyle w:val="248"/>
          <w:rFonts w:hint="eastAsia" w:ascii="宋体" w:hAnsi="宋体" w:eastAsia="宋体" w:cs="宋体"/>
          <w:color w:val="000000" w:themeColor="text1"/>
          <w:sz w:val="24"/>
          <w:szCs w:val="24"/>
          <w14:textFill>
            <w14:solidFill>
              <w14:schemeClr w14:val="tx1"/>
            </w14:solidFill>
          </w14:textFill>
        </w:rPr>
        <w:t>年；</w:t>
      </w:r>
    </w:p>
    <w:p w14:paraId="121FCD83">
      <w:pPr>
        <w:pStyle w:val="246"/>
        <w:spacing w:line="360" w:lineRule="auto"/>
        <w:ind w:firstLine="420"/>
        <w:rPr>
          <w:rStyle w:val="248"/>
          <w:rFonts w:hint="eastAsia" w:ascii="宋体" w:hAnsi="宋体" w:eastAsia="宋体" w:cs="宋体"/>
          <w:color w:val="000000" w:themeColor="text1"/>
          <w:sz w:val="24"/>
          <w:szCs w:val="24"/>
          <w14:textFill>
            <w14:solidFill>
              <w14:schemeClr w14:val="tx1"/>
            </w14:solidFill>
          </w14:textFill>
        </w:rPr>
      </w:pPr>
      <w:r>
        <w:rPr>
          <w:rStyle w:val="248"/>
          <w:rFonts w:hint="eastAsia" w:ascii="宋体" w:hAnsi="宋体" w:eastAsia="宋体" w:cs="宋体"/>
          <w:color w:val="000000" w:themeColor="text1"/>
          <w:sz w:val="24"/>
          <w:szCs w:val="24"/>
          <w14:textFill>
            <w14:solidFill>
              <w14:schemeClr w14:val="tx1"/>
            </w14:solidFill>
          </w14:textFill>
        </w:rPr>
        <w:t>7．其他项目保修期限约定如下：</w:t>
      </w:r>
    </w:p>
    <w:p w14:paraId="3B89DD04">
      <w:pPr>
        <w:pStyle w:val="246"/>
        <w:spacing w:line="360" w:lineRule="auto"/>
        <w:ind w:firstLine="420"/>
        <w:rPr>
          <w:rStyle w:val="248"/>
          <w:rFonts w:hint="eastAsia" w:ascii="宋体" w:hAnsi="宋体" w:eastAsia="宋体" w:cs="宋体"/>
          <w:color w:val="000000" w:themeColor="text1"/>
          <w:sz w:val="24"/>
          <w:szCs w:val="24"/>
          <w14:textFill>
            <w14:solidFill>
              <w14:schemeClr w14:val="tx1"/>
            </w14:solidFill>
          </w14:textFill>
        </w:rPr>
      </w:pPr>
      <w:r>
        <w:rPr>
          <w:rStyle w:val="248"/>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b/>
          <w:bCs/>
          <w:color w:val="000000" w:themeColor="text1"/>
          <w:spacing w:val="1"/>
          <w:sz w:val="24"/>
          <w:szCs w:val="24"/>
          <w:highlight w:val="none"/>
          <w:u w:val="single"/>
          <w14:textFill>
            <w14:solidFill>
              <w14:schemeClr w14:val="tx1"/>
            </w14:solidFill>
          </w14:textFill>
        </w:rPr>
        <w:t>按国家有关规定执行</w:t>
      </w:r>
      <w:r>
        <w:rPr>
          <w:rStyle w:val="248"/>
          <w:rFonts w:hint="eastAsia" w:ascii="宋体" w:hAnsi="宋体" w:eastAsia="宋体" w:cs="宋体"/>
          <w:color w:val="000000" w:themeColor="text1"/>
          <w:sz w:val="24"/>
          <w:szCs w:val="24"/>
          <w:u w:val="single"/>
          <w14:textFill>
            <w14:solidFill>
              <w14:schemeClr w14:val="tx1"/>
            </w14:solidFill>
          </w14:textFill>
        </w:rPr>
        <w:t xml:space="preserve">       </w:t>
      </w:r>
      <w:r>
        <w:rPr>
          <w:rStyle w:val="248"/>
          <w:rFonts w:hint="eastAsia" w:ascii="宋体" w:hAnsi="宋体" w:eastAsia="宋体" w:cs="宋体"/>
          <w:color w:val="000000" w:themeColor="text1"/>
          <w:sz w:val="24"/>
          <w:szCs w:val="24"/>
          <w14:textFill>
            <w14:solidFill>
              <w14:schemeClr w14:val="tx1"/>
            </w14:solidFill>
          </w14:textFill>
        </w:rPr>
        <w:t>。</w:t>
      </w:r>
    </w:p>
    <w:p w14:paraId="6FA609BF">
      <w:pPr>
        <w:pStyle w:val="246"/>
        <w:spacing w:line="360" w:lineRule="auto"/>
        <w:ind w:firstLine="420"/>
        <w:rPr>
          <w:rStyle w:val="248"/>
          <w:rFonts w:hint="eastAsia" w:ascii="宋体" w:hAnsi="宋体" w:eastAsia="宋体" w:cs="宋体"/>
          <w:color w:val="000000" w:themeColor="text1"/>
          <w:sz w:val="24"/>
          <w:szCs w:val="24"/>
          <w14:textFill>
            <w14:solidFill>
              <w14:schemeClr w14:val="tx1"/>
            </w14:solidFill>
          </w14:textFill>
        </w:rPr>
      </w:pPr>
      <w:r>
        <w:rPr>
          <w:rStyle w:val="248"/>
          <w:rFonts w:hint="eastAsia" w:ascii="宋体" w:hAnsi="宋体" w:eastAsia="宋体" w:cs="宋体"/>
          <w:color w:val="000000" w:themeColor="text1"/>
          <w:sz w:val="24"/>
          <w:szCs w:val="24"/>
          <w14:textFill>
            <w14:solidFill>
              <w14:schemeClr w14:val="tx1"/>
            </w14:solidFill>
          </w14:textFill>
        </w:rPr>
        <w:t>质量保修期自工程竣工验收合格之日起计算。</w:t>
      </w:r>
    </w:p>
    <w:p w14:paraId="7DC76ACD">
      <w:pPr>
        <w:pStyle w:val="246"/>
        <w:spacing w:line="360" w:lineRule="auto"/>
        <w:ind w:firstLine="420"/>
        <w:rPr>
          <w:rStyle w:val="248"/>
          <w:rFonts w:hint="eastAsia" w:ascii="宋体" w:hAnsi="宋体" w:eastAsia="宋体" w:cs="宋体"/>
          <w:color w:val="000000" w:themeColor="text1"/>
          <w:sz w:val="24"/>
          <w:szCs w:val="24"/>
          <w14:textFill>
            <w14:solidFill>
              <w14:schemeClr w14:val="tx1"/>
            </w14:solidFill>
          </w14:textFill>
        </w:rPr>
      </w:pPr>
      <w:r>
        <w:rPr>
          <w:rStyle w:val="248"/>
          <w:rFonts w:hint="eastAsia" w:ascii="宋体" w:hAnsi="宋体" w:eastAsia="宋体" w:cs="宋体"/>
          <w:color w:val="000000" w:themeColor="text1"/>
          <w:sz w:val="24"/>
          <w:szCs w:val="24"/>
          <w14:textFill>
            <w14:solidFill>
              <w14:schemeClr w14:val="tx1"/>
            </w14:solidFill>
          </w14:textFill>
        </w:rPr>
        <w:t>三、缺陷责任期</w:t>
      </w:r>
    </w:p>
    <w:p w14:paraId="2079C998">
      <w:pPr>
        <w:pStyle w:val="246"/>
        <w:spacing w:line="360" w:lineRule="auto"/>
        <w:ind w:firstLine="420"/>
        <w:rPr>
          <w:rStyle w:val="248"/>
          <w:rFonts w:hint="eastAsia" w:ascii="宋体" w:hAnsi="宋体" w:eastAsia="宋体" w:cs="宋体"/>
          <w:color w:val="000000" w:themeColor="text1"/>
          <w:sz w:val="24"/>
          <w:szCs w:val="24"/>
          <w14:textFill>
            <w14:solidFill>
              <w14:schemeClr w14:val="tx1"/>
            </w14:solidFill>
          </w14:textFill>
        </w:rPr>
      </w:pPr>
      <w:r>
        <w:rPr>
          <w:rStyle w:val="248"/>
          <w:rFonts w:hint="eastAsia" w:ascii="宋体" w:hAnsi="宋体" w:eastAsia="宋体" w:cs="宋体"/>
          <w:color w:val="000000" w:themeColor="text1"/>
          <w:sz w:val="24"/>
          <w:szCs w:val="24"/>
          <w14:textFill>
            <w14:solidFill>
              <w14:schemeClr w14:val="tx1"/>
            </w14:solidFill>
          </w14:textFill>
        </w:rPr>
        <w:t>工程缺陷责任期为</w:t>
      </w:r>
      <w:r>
        <w:rPr>
          <w:rStyle w:val="248"/>
          <w:rFonts w:hint="eastAsia" w:ascii="宋体" w:hAnsi="宋体" w:eastAsia="宋体" w:cs="宋体"/>
          <w:color w:val="000000" w:themeColor="text1"/>
          <w:sz w:val="24"/>
          <w:szCs w:val="24"/>
          <w:u w:val="single"/>
          <w14:textFill>
            <w14:solidFill>
              <w14:schemeClr w14:val="tx1"/>
            </w14:solidFill>
          </w14:textFill>
        </w:rPr>
        <w:t xml:space="preserve">   </w:t>
      </w:r>
      <w:r>
        <w:rPr>
          <w:rStyle w:val="44"/>
          <w:rFonts w:hint="eastAsia" w:ascii="宋体" w:hAnsi="宋体" w:eastAsia="宋体" w:cs="宋体"/>
          <w:color w:val="000000" w:themeColor="text1"/>
          <w:sz w:val="24"/>
          <w:szCs w:val="24"/>
          <w:u w:val="single"/>
          <w:lang w:val="en-US" w:eastAsia="zh-CN"/>
          <w14:textFill>
            <w14:solidFill>
              <w14:schemeClr w14:val="tx1"/>
            </w14:solidFill>
          </w14:textFill>
        </w:rPr>
        <w:t>12</w:t>
      </w:r>
      <w:r>
        <w:rPr>
          <w:rStyle w:val="248"/>
          <w:rFonts w:hint="eastAsia" w:ascii="宋体" w:hAnsi="宋体" w:eastAsia="宋体" w:cs="宋体"/>
          <w:color w:val="000000" w:themeColor="text1"/>
          <w:sz w:val="24"/>
          <w:szCs w:val="24"/>
          <w:u w:val="single"/>
          <w14:textFill>
            <w14:solidFill>
              <w14:schemeClr w14:val="tx1"/>
            </w14:solidFill>
          </w14:textFill>
        </w:rPr>
        <w:t xml:space="preserve">  </w:t>
      </w:r>
      <w:r>
        <w:rPr>
          <w:rStyle w:val="248"/>
          <w:rFonts w:hint="eastAsia" w:ascii="宋体" w:hAnsi="宋体" w:eastAsia="宋体" w:cs="宋体"/>
          <w:color w:val="000000" w:themeColor="text1"/>
          <w:sz w:val="24"/>
          <w:szCs w:val="24"/>
          <w14:textFill>
            <w14:solidFill>
              <w14:schemeClr w14:val="tx1"/>
            </w14:solidFill>
          </w14:textFill>
        </w:rPr>
        <w:t>个月（最长不超过24个月），缺陷责任期自工程竣工验收合格之日起计算。单位工程先于全部工程进行验收，单位工程缺陷责任期自单位工程验收合格之日起算。</w:t>
      </w:r>
    </w:p>
    <w:p w14:paraId="0941C2F3">
      <w:pPr>
        <w:pStyle w:val="246"/>
        <w:spacing w:line="360" w:lineRule="auto"/>
        <w:ind w:firstLine="420"/>
        <w:rPr>
          <w:rStyle w:val="248"/>
          <w:rFonts w:hint="eastAsia" w:ascii="宋体" w:hAnsi="宋体" w:eastAsia="宋体" w:cs="宋体"/>
          <w:color w:val="000000" w:themeColor="text1"/>
          <w:sz w:val="24"/>
          <w:szCs w:val="24"/>
          <w14:textFill>
            <w14:solidFill>
              <w14:schemeClr w14:val="tx1"/>
            </w14:solidFill>
          </w14:textFill>
        </w:rPr>
      </w:pPr>
      <w:r>
        <w:rPr>
          <w:rStyle w:val="248"/>
          <w:rFonts w:hint="eastAsia" w:ascii="宋体" w:hAnsi="宋体" w:eastAsia="宋体" w:cs="宋体"/>
          <w:color w:val="000000" w:themeColor="text1"/>
          <w:sz w:val="24"/>
          <w:szCs w:val="24"/>
          <w14:textFill>
            <w14:solidFill>
              <w14:schemeClr w14:val="tx1"/>
            </w14:solidFill>
          </w14:textFill>
        </w:rPr>
        <w:t>缺陷责任期</w:t>
      </w:r>
      <w:r>
        <w:rPr>
          <w:rStyle w:val="248"/>
          <w:rFonts w:hint="eastAsia" w:ascii="宋体" w:hAnsi="宋体" w:eastAsia="宋体" w:cs="宋体"/>
          <w:color w:val="000000" w:themeColor="text1"/>
          <w:sz w:val="24"/>
          <w:szCs w:val="24"/>
          <w:u w:val="single"/>
          <w14:textFill>
            <w14:solidFill>
              <w14:schemeClr w14:val="tx1"/>
            </w14:solidFill>
          </w14:textFill>
        </w:rPr>
        <w:t>满</w:t>
      </w:r>
      <w:r>
        <w:rPr>
          <w:rStyle w:val="248"/>
          <w:rFonts w:hint="eastAsia" w:ascii="宋体" w:hAnsi="宋体" w:eastAsia="宋体" w:cs="宋体"/>
          <w:color w:val="000000" w:themeColor="text1"/>
          <w:sz w:val="24"/>
          <w:szCs w:val="24"/>
          <w14:textFill>
            <w14:solidFill>
              <w14:schemeClr w14:val="tx1"/>
            </w14:solidFill>
          </w14:textFill>
        </w:rPr>
        <w:t>之日起</w:t>
      </w:r>
      <w:r>
        <w:rPr>
          <w:rStyle w:val="248"/>
          <w:rFonts w:hint="eastAsia" w:ascii="宋体" w:hAnsi="宋体" w:eastAsia="宋体" w:cs="宋体"/>
          <w:color w:val="000000" w:themeColor="text1"/>
          <w:sz w:val="24"/>
          <w:szCs w:val="24"/>
          <w:u w:val="single"/>
          <w14:textFill>
            <w14:solidFill>
              <w14:schemeClr w14:val="tx1"/>
            </w14:solidFill>
          </w14:textFill>
        </w:rPr>
        <w:t xml:space="preserve"> 7   </w:t>
      </w:r>
      <w:r>
        <w:rPr>
          <w:rStyle w:val="248"/>
          <w:rFonts w:hint="eastAsia" w:ascii="宋体" w:hAnsi="宋体" w:eastAsia="宋体" w:cs="宋体"/>
          <w:color w:val="000000" w:themeColor="text1"/>
          <w:sz w:val="24"/>
          <w:szCs w:val="24"/>
          <w14:textFill>
            <w14:solidFill>
              <w14:schemeClr w14:val="tx1"/>
            </w14:solidFill>
          </w14:textFill>
        </w:rPr>
        <w:t>天</w:t>
      </w:r>
      <w:r>
        <w:rPr>
          <w:rStyle w:val="248"/>
          <w:rFonts w:hint="eastAsia" w:ascii="宋体" w:hAnsi="宋体" w:eastAsia="宋体" w:cs="宋体"/>
          <w:color w:val="000000" w:themeColor="text1"/>
          <w:sz w:val="24"/>
          <w:szCs w:val="24"/>
          <w:u w:val="single"/>
          <w14:textFill>
            <w14:solidFill>
              <w14:schemeClr w14:val="tx1"/>
            </w14:solidFill>
          </w14:textFill>
        </w:rPr>
        <w:t>（按合同约定期限），</w:t>
      </w:r>
      <w:r>
        <w:rPr>
          <w:rStyle w:val="248"/>
          <w:rFonts w:hint="eastAsia" w:ascii="宋体" w:hAnsi="宋体" w:eastAsia="宋体" w:cs="宋体"/>
          <w:color w:val="000000" w:themeColor="text1"/>
          <w:sz w:val="24"/>
          <w:szCs w:val="24"/>
          <w14:textFill>
            <w14:solidFill>
              <w14:schemeClr w14:val="tx1"/>
            </w14:solidFill>
          </w14:textFill>
        </w:rPr>
        <w:t>发包人应退还剩余的质量保证金。</w:t>
      </w:r>
    </w:p>
    <w:p w14:paraId="5F559B95">
      <w:pPr>
        <w:pStyle w:val="246"/>
        <w:spacing w:line="360" w:lineRule="auto"/>
        <w:ind w:firstLine="420"/>
        <w:rPr>
          <w:rStyle w:val="248"/>
          <w:rFonts w:hint="eastAsia" w:ascii="宋体" w:hAnsi="宋体" w:eastAsia="宋体" w:cs="宋体"/>
          <w:color w:val="000000" w:themeColor="text1"/>
          <w:sz w:val="24"/>
          <w:szCs w:val="24"/>
          <w14:textFill>
            <w14:solidFill>
              <w14:schemeClr w14:val="tx1"/>
            </w14:solidFill>
          </w14:textFill>
        </w:rPr>
      </w:pPr>
      <w:r>
        <w:rPr>
          <w:rStyle w:val="248"/>
          <w:rFonts w:hint="eastAsia" w:ascii="宋体" w:hAnsi="宋体" w:eastAsia="宋体" w:cs="宋体"/>
          <w:color w:val="000000" w:themeColor="text1"/>
          <w:sz w:val="24"/>
          <w:szCs w:val="24"/>
          <w14:textFill>
            <w14:solidFill>
              <w14:schemeClr w14:val="tx1"/>
            </w14:solidFill>
          </w14:textFill>
        </w:rPr>
        <w:t>四、质量保修责任</w:t>
      </w:r>
    </w:p>
    <w:p w14:paraId="45AF56ED">
      <w:pPr>
        <w:pStyle w:val="246"/>
        <w:spacing w:line="360" w:lineRule="auto"/>
        <w:ind w:left="105" w:leftChars="50" w:firstLine="491" w:firstLineChars="205"/>
        <w:rPr>
          <w:rStyle w:val="248"/>
          <w:rFonts w:hint="eastAsia" w:ascii="宋体" w:hAnsi="宋体" w:eastAsia="宋体" w:cs="宋体"/>
          <w:color w:val="000000" w:themeColor="text1"/>
          <w:sz w:val="24"/>
          <w:szCs w:val="24"/>
          <w14:textFill>
            <w14:solidFill>
              <w14:schemeClr w14:val="tx1"/>
            </w14:solidFill>
          </w14:textFill>
        </w:rPr>
      </w:pPr>
      <w:r>
        <w:rPr>
          <w:rStyle w:val="248"/>
          <w:rFonts w:hint="eastAsia" w:ascii="宋体" w:hAnsi="宋体" w:eastAsia="宋体" w:cs="宋体"/>
          <w:color w:val="000000" w:themeColor="text1"/>
          <w:sz w:val="24"/>
          <w:szCs w:val="24"/>
          <w14:textFill>
            <w14:solidFill>
              <w14:schemeClr w14:val="tx1"/>
            </w14:solidFill>
          </w14:textFill>
        </w:rPr>
        <w:t>1．属于保修范围、内容的项目，承包人应当在接到保修通知之日起</w:t>
      </w:r>
      <w:r>
        <w:rPr>
          <w:rStyle w:val="248"/>
          <w:rFonts w:hint="eastAsia" w:ascii="宋体" w:hAnsi="宋体" w:eastAsia="宋体" w:cs="宋体"/>
          <w:color w:val="000000" w:themeColor="text1"/>
          <w:sz w:val="24"/>
          <w:szCs w:val="24"/>
          <w:u w:val="single"/>
          <w14:textFill>
            <w14:solidFill>
              <w14:schemeClr w14:val="tx1"/>
            </w14:solidFill>
          </w14:textFill>
        </w:rPr>
        <w:t xml:space="preserve">  2  </w:t>
      </w:r>
      <w:r>
        <w:rPr>
          <w:rStyle w:val="248"/>
          <w:rFonts w:hint="eastAsia" w:ascii="宋体" w:hAnsi="宋体" w:eastAsia="宋体" w:cs="宋体"/>
          <w:color w:val="000000" w:themeColor="text1"/>
          <w:sz w:val="24"/>
          <w:szCs w:val="24"/>
          <w14:textFill>
            <w14:solidFill>
              <w14:schemeClr w14:val="tx1"/>
            </w14:solidFill>
          </w14:textFill>
        </w:rPr>
        <w:t>天内派人保修。承包人不在约定期限内派人保修的，发包人可以委托他人修理，修理费用从质量保证金内扣除。</w:t>
      </w:r>
    </w:p>
    <w:p w14:paraId="54476FA1">
      <w:pPr>
        <w:pStyle w:val="246"/>
        <w:spacing w:line="360" w:lineRule="auto"/>
        <w:ind w:firstLine="420"/>
        <w:rPr>
          <w:rStyle w:val="248"/>
          <w:rFonts w:hint="eastAsia" w:ascii="宋体" w:hAnsi="宋体" w:eastAsia="宋体" w:cs="宋体"/>
          <w:color w:val="000000" w:themeColor="text1"/>
          <w:sz w:val="24"/>
          <w:szCs w:val="24"/>
          <w14:textFill>
            <w14:solidFill>
              <w14:schemeClr w14:val="tx1"/>
            </w14:solidFill>
          </w14:textFill>
        </w:rPr>
      </w:pPr>
      <w:r>
        <w:rPr>
          <w:rStyle w:val="248"/>
          <w:rFonts w:hint="eastAsia" w:ascii="宋体" w:hAnsi="宋体" w:eastAsia="宋体" w:cs="宋体"/>
          <w:color w:val="000000" w:themeColor="text1"/>
          <w:sz w:val="24"/>
          <w:szCs w:val="24"/>
          <w14:textFill>
            <w14:solidFill>
              <w14:schemeClr w14:val="tx1"/>
            </w14:solidFill>
          </w14:textFill>
        </w:rPr>
        <w:t>2．发生紧急事故需抢修的，承包人在接到事故通知后，应当立即到达事故现场抢修。</w:t>
      </w:r>
    </w:p>
    <w:p w14:paraId="150A2314">
      <w:pPr>
        <w:pStyle w:val="246"/>
        <w:spacing w:line="360" w:lineRule="auto"/>
        <w:ind w:firstLine="420"/>
        <w:rPr>
          <w:rStyle w:val="248"/>
          <w:rFonts w:hint="eastAsia" w:ascii="宋体" w:hAnsi="宋体" w:eastAsia="宋体" w:cs="宋体"/>
          <w:color w:val="000000" w:themeColor="text1"/>
          <w:sz w:val="24"/>
          <w:szCs w:val="24"/>
          <w14:textFill>
            <w14:solidFill>
              <w14:schemeClr w14:val="tx1"/>
            </w14:solidFill>
          </w14:textFill>
        </w:rPr>
      </w:pPr>
      <w:r>
        <w:rPr>
          <w:rStyle w:val="248"/>
          <w:rFonts w:hint="eastAsia" w:ascii="宋体" w:hAnsi="宋体" w:eastAsia="宋体" w:cs="宋体"/>
          <w:color w:val="000000" w:themeColor="text1"/>
          <w:sz w:val="24"/>
          <w:szCs w:val="24"/>
          <w14:textFill>
            <w14:solidFill>
              <w14:schemeClr w14:val="tx1"/>
            </w14:solidFill>
          </w14:textFill>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235E91AF">
      <w:pPr>
        <w:pStyle w:val="246"/>
        <w:spacing w:line="360" w:lineRule="auto"/>
        <w:ind w:firstLine="420"/>
        <w:rPr>
          <w:rStyle w:val="248"/>
          <w:rFonts w:hint="eastAsia" w:ascii="宋体" w:hAnsi="宋体" w:eastAsia="宋体" w:cs="宋体"/>
          <w:color w:val="000000" w:themeColor="text1"/>
          <w:sz w:val="24"/>
          <w:szCs w:val="24"/>
          <w14:textFill>
            <w14:solidFill>
              <w14:schemeClr w14:val="tx1"/>
            </w14:solidFill>
          </w14:textFill>
        </w:rPr>
      </w:pPr>
      <w:r>
        <w:rPr>
          <w:rStyle w:val="248"/>
          <w:rFonts w:hint="eastAsia" w:ascii="宋体" w:hAnsi="宋体" w:eastAsia="宋体" w:cs="宋体"/>
          <w:color w:val="000000" w:themeColor="text1"/>
          <w:sz w:val="24"/>
          <w:szCs w:val="24"/>
          <w14:textFill>
            <w14:solidFill>
              <w14:schemeClr w14:val="tx1"/>
            </w14:solidFill>
          </w14:textFill>
        </w:rPr>
        <w:t>4．质量保修完成后，由发包人组织验收。</w:t>
      </w:r>
    </w:p>
    <w:p w14:paraId="635590DE">
      <w:pPr>
        <w:pStyle w:val="246"/>
        <w:spacing w:line="360" w:lineRule="auto"/>
        <w:ind w:firstLine="420"/>
        <w:rPr>
          <w:rStyle w:val="248"/>
          <w:rFonts w:hint="eastAsia" w:ascii="宋体" w:hAnsi="宋体" w:eastAsia="宋体" w:cs="宋体"/>
          <w:color w:val="000000" w:themeColor="text1"/>
          <w:sz w:val="24"/>
          <w:szCs w:val="24"/>
          <w14:textFill>
            <w14:solidFill>
              <w14:schemeClr w14:val="tx1"/>
            </w14:solidFill>
          </w14:textFill>
        </w:rPr>
      </w:pPr>
      <w:r>
        <w:rPr>
          <w:rStyle w:val="248"/>
          <w:rFonts w:hint="eastAsia" w:ascii="宋体" w:hAnsi="宋体" w:eastAsia="宋体" w:cs="宋体"/>
          <w:color w:val="000000" w:themeColor="text1"/>
          <w:sz w:val="24"/>
          <w:szCs w:val="24"/>
          <w14:textFill>
            <w14:solidFill>
              <w14:schemeClr w14:val="tx1"/>
            </w14:solidFill>
          </w14:textFill>
        </w:rPr>
        <w:t>五、保修费用</w:t>
      </w:r>
    </w:p>
    <w:p w14:paraId="4CB4ABAC">
      <w:pPr>
        <w:pStyle w:val="246"/>
        <w:spacing w:line="360" w:lineRule="auto"/>
        <w:ind w:firstLine="420"/>
        <w:rPr>
          <w:rStyle w:val="248"/>
          <w:rFonts w:hint="eastAsia" w:ascii="宋体" w:hAnsi="宋体" w:eastAsia="宋体" w:cs="宋体"/>
          <w:color w:val="000000" w:themeColor="text1"/>
          <w:sz w:val="24"/>
          <w:szCs w:val="24"/>
          <w14:textFill>
            <w14:solidFill>
              <w14:schemeClr w14:val="tx1"/>
            </w14:solidFill>
          </w14:textFill>
        </w:rPr>
      </w:pPr>
      <w:r>
        <w:rPr>
          <w:rStyle w:val="248"/>
          <w:rFonts w:hint="eastAsia" w:ascii="宋体" w:hAnsi="宋体" w:eastAsia="宋体" w:cs="宋体"/>
          <w:color w:val="000000" w:themeColor="text1"/>
          <w:sz w:val="24"/>
          <w:szCs w:val="24"/>
          <w14:textFill>
            <w14:solidFill>
              <w14:schemeClr w14:val="tx1"/>
            </w14:solidFill>
          </w14:textFill>
        </w:rPr>
        <w:t>保修费用由造成质量缺陷的责任方承担。</w:t>
      </w:r>
    </w:p>
    <w:p w14:paraId="5AC1797B">
      <w:pPr>
        <w:pStyle w:val="246"/>
        <w:spacing w:line="360" w:lineRule="auto"/>
        <w:ind w:firstLine="420"/>
        <w:rPr>
          <w:rStyle w:val="248"/>
          <w:rFonts w:hint="eastAsia" w:ascii="宋体" w:hAnsi="宋体" w:eastAsia="宋体" w:cs="宋体"/>
          <w:color w:val="000000" w:themeColor="text1"/>
          <w:sz w:val="24"/>
          <w:szCs w:val="24"/>
          <w14:textFill>
            <w14:solidFill>
              <w14:schemeClr w14:val="tx1"/>
            </w14:solidFill>
          </w14:textFill>
        </w:rPr>
      </w:pPr>
      <w:r>
        <w:rPr>
          <w:rStyle w:val="248"/>
          <w:rFonts w:hint="eastAsia" w:ascii="宋体" w:hAnsi="宋体" w:eastAsia="宋体" w:cs="宋体"/>
          <w:color w:val="000000" w:themeColor="text1"/>
          <w:sz w:val="24"/>
          <w:szCs w:val="24"/>
          <w14:textFill>
            <w14:solidFill>
              <w14:schemeClr w14:val="tx1"/>
            </w14:solidFill>
          </w14:textFill>
        </w:rPr>
        <w:t xml:space="preserve">六、双方约定的其他工程质量保修事项： </w:t>
      </w:r>
    </w:p>
    <w:p w14:paraId="6414F5BE">
      <w:pPr>
        <w:pStyle w:val="246"/>
        <w:spacing w:line="360" w:lineRule="auto"/>
        <w:ind w:firstLine="480" w:firstLineChars="200"/>
        <w:jc w:val="left"/>
        <w:rPr>
          <w:rStyle w:val="248"/>
          <w:rFonts w:hint="eastAsia" w:ascii="宋体" w:hAnsi="宋体" w:eastAsia="宋体" w:cs="宋体"/>
          <w:color w:val="000000" w:themeColor="text1"/>
          <w:sz w:val="24"/>
          <w:szCs w:val="24"/>
          <w14:textFill>
            <w14:solidFill>
              <w14:schemeClr w14:val="tx1"/>
            </w14:solidFill>
          </w14:textFill>
        </w:rPr>
      </w:pPr>
      <w:r>
        <w:rPr>
          <w:rStyle w:val="44"/>
          <w:rFonts w:hint="eastAsia" w:ascii="宋体" w:hAnsi="宋体" w:eastAsia="宋体" w:cs="宋体"/>
          <w:color w:val="000000" w:themeColor="text1"/>
          <w:sz w:val="24"/>
          <w:szCs w:val="24"/>
          <w:u w:val="single"/>
          <w14:textFill>
            <w14:solidFill>
              <w14:schemeClr w14:val="tx1"/>
            </w14:solidFill>
          </w14:textFill>
        </w:rPr>
        <w:t>承包人不在约定期限内派人保修的，发包人可以委托他人修理，修理费用从质量保修金内扣除，超出保修金额部分，向承包人发出缴费通知书，承包人在收到缴费通知书之日起7天内付清，否则按应缴款额的3%计罚，在工程竣工保修期满后，发包人将剩余的保修金退还给承包人</w:t>
      </w:r>
      <w:r>
        <w:rPr>
          <w:rStyle w:val="248"/>
          <w:rFonts w:hint="eastAsia" w:ascii="宋体" w:hAnsi="宋体" w:eastAsia="宋体" w:cs="宋体"/>
          <w:color w:val="000000" w:themeColor="text1"/>
          <w:sz w:val="24"/>
          <w:szCs w:val="24"/>
          <w:u w:val="single"/>
          <w14:textFill>
            <w14:solidFill>
              <w14:schemeClr w14:val="tx1"/>
            </w14:solidFill>
          </w14:textFill>
        </w:rPr>
        <w:t xml:space="preserve"> </w:t>
      </w:r>
      <w:r>
        <w:rPr>
          <w:rStyle w:val="248"/>
          <w:rFonts w:hint="eastAsia" w:ascii="宋体" w:hAnsi="宋体" w:eastAsia="宋体" w:cs="宋体"/>
          <w:color w:val="000000" w:themeColor="text1"/>
          <w:sz w:val="24"/>
          <w:szCs w:val="24"/>
          <w14:textFill>
            <w14:solidFill>
              <w14:schemeClr w14:val="tx1"/>
            </w14:solidFill>
          </w14:textFill>
        </w:rPr>
        <w:t>。</w:t>
      </w:r>
    </w:p>
    <w:p w14:paraId="22643DFC">
      <w:pPr>
        <w:pStyle w:val="246"/>
        <w:spacing w:line="360" w:lineRule="auto"/>
        <w:ind w:firstLine="456" w:firstLineChars="190"/>
        <w:rPr>
          <w:rStyle w:val="248"/>
          <w:rFonts w:hint="eastAsia" w:ascii="宋体" w:hAnsi="宋体" w:eastAsia="宋体" w:cs="宋体"/>
          <w:color w:val="000000" w:themeColor="text1"/>
          <w:sz w:val="24"/>
          <w:szCs w:val="24"/>
          <w14:textFill>
            <w14:solidFill>
              <w14:schemeClr w14:val="tx1"/>
            </w14:solidFill>
          </w14:textFill>
        </w:rPr>
      </w:pPr>
      <w:r>
        <w:rPr>
          <w:rStyle w:val="248"/>
          <w:rFonts w:hint="eastAsia" w:ascii="宋体" w:hAnsi="宋体" w:eastAsia="宋体" w:cs="宋体"/>
          <w:color w:val="000000" w:themeColor="text1"/>
          <w:sz w:val="24"/>
          <w:szCs w:val="24"/>
          <w14:textFill>
            <w14:solidFill>
              <w14:schemeClr w14:val="tx1"/>
            </w14:solidFill>
          </w14:textFill>
        </w:rPr>
        <w:t>工程质量保修书由发包人、承包人在工程竣工验收前共同签署，作为施工合同附件，其有效期限至保修期满。</w:t>
      </w:r>
    </w:p>
    <w:p w14:paraId="24209806">
      <w:pPr>
        <w:pStyle w:val="246"/>
        <w:spacing w:line="360" w:lineRule="auto"/>
        <w:ind w:firstLine="420"/>
        <w:rPr>
          <w:rStyle w:val="248"/>
          <w:rFonts w:hint="eastAsia" w:ascii="宋体" w:hAnsi="宋体" w:eastAsia="宋体" w:cs="宋体"/>
          <w:color w:val="000000" w:themeColor="text1"/>
          <w:sz w:val="24"/>
          <w:szCs w:val="24"/>
          <w14:textFill>
            <w14:solidFill>
              <w14:schemeClr w14:val="tx1"/>
            </w14:solidFill>
          </w14:textFill>
        </w:rPr>
      </w:pPr>
    </w:p>
    <w:p w14:paraId="2ADB4346">
      <w:pPr>
        <w:pStyle w:val="246"/>
        <w:spacing w:line="360" w:lineRule="auto"/>
        <w:ind w:left="6480" w:hanging="6480" w:hangingChars="2700"/>
        <w:rPr>
          <w:rStyle w:val="248"/>
          <w:rFonts w:hint="default" w:ascii="宋体" w:hAnsi="宋体" w:eastAsia="宋体" w:cs="宋体"/>
          <w:color w:val="000000" w:themeColor="text1"/>
          <w:sz w:val="24"/>
          <w:szCs w:val="24"/>
          <w:lang w:val="en-US" w:eastAsia="zh-CN"/>
          <w14:textFill>
            <w14:solidFill>
              <w14:schemeClr w14:val="tx1"/>
            </w14:solidFill>
          </w14:textFill>
        </w:rPr>
      </w:pPr>
      <w:r>
        <w:rPr>
          <w:rStyle w:val="248"/>
          <w:rFonts w:hint="eastAsia" w:ascii="宋体" w:hAnsi="宋体" w:eastAsia="宋体" w:cs="宋体"/>
          <w:color w:val="000000" w:themeColor="text1"/>
          <w:sz w:val="24"/>
          <w:szCs w:val="24"/>
          <w14:textFill>
            <w14:solidFill>
              <w14:schemeClr w14:val="tx1"/>
            </w14:solidFill>
          </w14:textFill>
        </w:rPr>
        <w:t>发包人（公章）：</w:t>
      </w:r>
      <w:r>
        <w:rPr>
          <w:rStyle w:val="248"/>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cs="仿宋"/>
          <w:b w:val="0"/>
          <w:bCs w:val="0"/>
          <w:color w:val="000000" w:themeColor="text1"/>
          <w:highlight w:val="none"/>
          <w:u w:val="single"/>
          <w:lang w:val="en-US" w:eastAsia="zh-CN"/>
          <w14:textFill>
            <w14:solidFill>
              <w14:schemeClr w14:val="tx1"/>
            </w14:solidFill>
          </w14:textFill>
        </w:rPr>
        <w:t xml:space="preserve">     </w:t>
      </w:r>
      <w:r>
        <w:rPr>
          <w:rStyle w:val="248"/>
          <w:rFonts w:hint="eastAsia" w:ascii="宋体" w:hAnsi="宋体" w:eastAsia="宋体" w:cs="宋体"/>
          <w:color w:val="000000" w:themeColor="text1"/>
          <w:sz w:val="24"/>
          <w:szCs w:val="24"/>
          <w:u w:val="single"/>
          <w14:textFill>
            <w14:solidFill>
              <w14:schemeClr w14:val="tx1"/>
            </w14:solidFill>
          </w14:textFill>
        </w:rPr>
        <w:t xml:space="preserve">  </w:t>
      </w:r>
      <w:r>
        <w:rPr>
          <w:rStyle w:val="248"/>
          <w:rFonts w:hint="eastAsia" w:ascii="宋体" w:hAnsi="宋体" w:eastAsia="宋体" w:cs="宋体"/>
          <w:color w:val="000000" w:themeColor="text1"/>
          <w:sz w:val="24"/>
          <w:szCs w:val="24"/>
          <w14:textFill>
            <w14:solidFill>
              <w14:schemeClr w14:val="tx1"/>
            </w14:solidFill>
          </w14:textFill>
        </w:rPr>
        <w:t>承包人（公章）：</w:t>
      </w:r>
      <w:r>
        <w:rPr>
          <w:rStyle w:val="248"/>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14:paraId="032A3A9A">
      <w:pPr>
        <w:spacing w:line="240" w:lineRule="auto"/>
        <w:ind w:firstLine="420"/>
        <w:rPr>
          <w:rFonts w:hint="eastAsia" w:ascii="宋体" w:hAnsi="宋体" w:eastAsia="宋体" w:cs="宋体"/>
          <w:color w:val="000000" w:themeColor="text1"/>
          <w:sz w:val="22"/>
          <w:szCs w:val="22"/>
          <w14:textFill>
            <w14:solidFill>
              <w14:schemeClr w14:val="tx1"/>
            </w14:solidFill>
          </w14:textFill>
        </w:rPr>
      </w:pPr>
    </w:p>
    <w:p w14:paraId="6D49EDB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4"/>
          <w:szCs w:val="24"/>
          <w:u w:val="single"/>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发包人（公章）：</w:t>
      </w:r>
      <w:r>
        <w:rPr>
          <w:rFonts w:hint="eastAsia" w:ascii="宋体" w:hAnsi="宋体" w:eastAsia="宋体" w:cs="宋体"/>
          <w:color w:val="000000" w:themeColor="text1"/>
          <w:sz w:val="24"/>
          <w:szCs w:val="24"/>
          <w:u w:val="single"/>
          <w14:textFill>
            <w14:solidFill>
              <w14:schemeClr w14:val="tx1"/>
            </w14:solidFill>
          </w14:textFill>
        </w:rPr>
        <w:t xml:space="preserve">         </w:t>
      </w:r>
      <w:r>
        <w:rPr>
          <w:rFonts w:hint="eastAsia" w:ascii="宋体" w:hAnsi="宋体" w:eastAsia="宋体" w:cs="宋体"/>
          <w:color w:val="000000" w:themeColor="text1"/>
          <w:sz w:val="24"/>
          <w:szCs w:val="24"/>
          <w14:textFill>
            <w14:solidFill>
              <w14:schemeClr w14:val="tx1"/>
            </w14:solidFill>
          </w14:textFill>
        </w:rPr>
        <w:t xml:space="preserve">          承包人（公章）：</w:t>
      </w:r>
      <w:r>
        <w:rPr>
          <w:rFonts w:hint="eastAsia" w:ascii="宋体" w:hAnsi="宋体" w:eastAsia="宋体" w:cs="宋体"/>
          <w:color w:val="000000" w:themeColor="text1"/>
          <w:sz w:val="24"/>
          <w:szCs w:val="24"/>
          <w:u w:val="single"/>
          <w14:textFill>
            <w14:solidFill>
              <w14:schemeClr w14:val="tx1"/>
            </w14:solidFill>
          </w14:textFill>
        </w:rPr>
        <w:t xml:space="preserve">       </w:t>
      </w:r>
    </w:p>
    <w:p w14:paraId="2A8BB26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组织机构代码：</w:t>
      </w:r>
      <w:r>
        <w:rPr>
          <w:rFonts w:hint="eastAsia" w:ascii="宋体" w:hAnsi="宋体" w:eastAsia="宋体" w:cs="宋体"/>
          <w:color w:val="000000" w:themeColor="text1"/>
          <w:sz w:val="22"/>
          <w:szCs w:val="22"/>
          <w:highlight w:val="none"/>
          <w:u w:val="single"/>
          <w14:textFill>
            <w14:solidFill>
              <w14:schemeClr w14:val="tx1"/>
            </w14:solidFill>
          </w14:textFill>
        </w:rPr>
        <w:t xml:space="preserve">       </w:t>
      </w:r>
      <w:r>
        <w:rPr>
          <w:rFonts w:hint="eastAsia" w:ascii="宋体" w:hAnsi="宋体" w:eastAsia="宋体" w:cs="宋体"/>
          <w:color w:val="000000" w:themeColor="text1"/>
          <w:sz w:val="22"/>
          <w:szCs w:val="22"/>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2"/>
          <w:szCs w:val="22"/>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2"/>
          <w:szCs w:val="22"/>
          <w:highlight w:val="none"/>
          <w14:textFill>
            <w14:solidFill>
              <w14:schemeClr w14:val="tx1"/>
            </w14:solidFill>
          </w14:textFill>
        </w:rPr>
        <w:t>组织机构代码：</w:t>
      </w:r>
      <w:r>
        <w:rPr>
          <w:rFonts w:hint="eastAsia" w:ascii="宋体" w:hAnsi="宋体" w:eastAsia="宋体" w:cs="宋体"/>
          <w:b w:val="0"/>
          <w:bCs w:val="0"/>
          <w:color w:val="000000" w:themeColor="text1"/>
          <w:sz w:val="28"/>
          <w:szCs w:val="28"/>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14:textFill>
            <w14:solidFill>
              <w14:schemeClr w14:val="tx1"/>
            </w14:solidFill>
          </w14:textFill>
        </w:rPr>
        <w:t xml:space="preserve">       </w:t>
      </w:r>
    </w:p>
    <w:p w14:paraId="50929F9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4"/>
          <w:szCs w:val="24"/>
          <w:u w:val="single"/>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  址：</w:t>
      </w:r>
      <w:r>
        <w:rPr>
          <w:rFonts w:hint="eastAsia" w:ascii="宋体" w:hAnsi="宋体" w:eastAsia="宋体" w:cs="宋体"/>
          <w:color w:val="000000" w:themeColor="text1"/>
          <w:sz w:val="24"/>
          <w:szCs w:val="24"/>
          <w:u w:val="single"/>
          <w14:textFill>
            <w14:solidFill>
              <w14:schemeClr w14:val="tx1"/>
            </w14:solidFill>
          </w14:textFill>
        </w:rPr>
        <w:t xml:space="preserve">       </w:t>
      </w:r>
      <w:r>
        <w:rPr>
          <w:rFonts w:hint="eastAsia" w:ascii="宋体" w:hAnsi="宋体" w:eastAsia="宋体" w:cs="宋体"/>
          <w:color w:val="000000" w:themeColor="text1"/>
          <w:sz w:val="24"/>
          <w:szCs w:val="24"/>
          <w14:textFill>
            <w14:solidFill>
              <w14:schemeClr w14:val="tx1"/>
            </w14:solidFill>
          </w14:textFill>
        </w:rPr>
        <w:t xml:space="preserve">            地  址</w:t>
      </w:r>
      <w:r>
        <w:rPr>
          <w:rFonts w:hint="eastAsia" w:ascii="宋体" w:hAnsi="宋体" w:eastAsia="宋体" w:cs="宋体"/>
          <w:b w:val="0"/>
          <w:bCs w:val="0"/>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u w:val="single"/>
          <w14:textFill>
            <w14:solidFill>
              <w14:schemeClr w14:val="tx1"/>
            </w14:solidFill>
          </w14:textFill>
        </w:rPr>
        <w:t xml:space="preserve">       </w:t>
      </w:r>
    </w:p>
    <w:p w14:paraId="0E850EE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法定代表人（签字）：</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法定代表人（签字）：</w:t>
      </w:r>
      <w:r>
        <w:rPr>
          <w:rFonts w:hint="eastAsia" w:ascii="宋体" w:hAnsi="宋体" w:eastAsia="宋体" w:cs="宋体"/>
          <w:color w:val="000000" w:themeColor="text1"/>
          <w:sz w:val="24"/>
          <w:szCs w:val="24"/>
          <w:u w:val="single"/>
          <w14:textFill>
            <w14:solidFill>
              <w14:schemeClr w14:val="tx1"/>
            </w14:solidFill>
          </w14:textFill>
        </w:rPr>
        <w:t>     </w:t>
      </w:r>
    </w:p>
    <w:p w14:paraId="2724CC0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电  话：</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电  话：</w:t>
      </w:r>
      <w:r>
        <w:rPr>
          <w:rFonts w:hint="eastAsia" w:ascii="宋体" w:hAnsi="宋体" w:eastAsia="宋体" w:cs="宋体"/>
          <w:color w:val="000000" w:themeColor="text1"/>
          <w:sz w:val="24"/>
          <w:szCs w:val="24"/>
          <w:u w:val="single"/>
          <w14:textFill>
            <w14:solidFill>
              <w14:schemeClr w14:val="tx1"/>
            </w14:solidFill>
          </w14:textFill>
        </w:rPr>
        <w:t xml:space="preserve">       </w:t>
      </w:r>
      <w:r>
        <w:rPr>
          <w:rFonts w:hint="eastAsia" w:ascii="宋体" w:hAnsi="宋体" w:eastAsia="宋体" w:cs="宋体"/>
          <w:b w:val="0"/>
          <w:bCs w:val="0"/>
          <w:color w:val="000000" w:themeColor="text1"/>
          <w:sz w:val="28"/>
          <w:szCs w:val="28"/>
          <w:u w:val="single"/>
          <w:lang w:val="en-US" w:eastAsia="zh-CN"/>
          <w14:textFill>
            <w14:solidFill>
              <w14:schemeClr w14:val="tx1"/>
            </w14:solidFill>
          </w14:textFill>
        </w:rPr>
        <w:t></w:t>
      </w:r>
    </w:p>
    <w:p w14:paraId="665609D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传  真：</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传  真：</w:t>
      </w:r>
      <w:r>
        <w:rPr>
          <w:rFonts w:hint="eastAsia" w:ascii="宋体" w:hAnsi="宋体" w:eastAsia="宋体" w:cs="宋体"/>
          <w:color w:val="000000" w:themeColor="text1"/>
          <w:sz w:val="24"/>
          <w:szCs w:val="24"/>
          <w:u w:val="single"/>
          <w14:textFill>
            <w14:solidFill>
              <w14:schemeClr w14:val="tx1"/>
            </w14:solidFill>
          </w14:textFill>
        </w:rPr>
        <w:t></w:t>
      </w:r>
      <w:r>
        <w:rPr>
          <w:rFonts w:hint="eastAsia" w:ascii="宋体" w:hAnsi="宋体" w:eastAsia="宋体" w:cs="宋体"/>
          <w:b w:val="0"/>
          <w:bCs w:val="0"/>
          <w:color w:val="000000" w:themeColor="text1"/>
          <w:sz w:val="28"/>
          <w:szCs w:val="28"/>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14:textFill>
            <w14:solidFill>
              <w14:schemeClr w14:val="tx1"/>
            </w14:solidFill>
          </w14:textFill>
        </w:rPr>
        <w:t xml:space="preserve">   </w:t>
      </w:r>
    </w:p>
    <w:p w14:paraId="382A277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开户银行：</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开户银行：</w:t>
      </w:r>
      <w:r>
        <w:rPr>
          <w:rFonts w:hint="eastAsia" w:ascii="宋体" w:hAnsi="宋体" w:eastAsia="宋体" w:cs="宋体"/>
          <w:color w:val="000000" w:themeColor="text1"/>
          <w:sz w:val="24"/>
          <w:szCs w:val="24"/>
          <w:u w:val="single"/>
          <w14:textFill>
            <w14:solidFill>
              <w14:schemeClr w14:val="tx1"/>
            </w14:solidFill>
          </w14:textFill>
        </w:rPr>
        <w:t xml:space="preserve">       </w:t>
      </w:r>
    </w:p>
    <w:p w14:paraId="277DF0B8">
      <w:pPr>
        <w:keepNext w:val="0"/>
        <w:keepLines w:val="0"/>
        <w:pageBreakBefore w:val="0"/>
        <w:widowControl w:val="0"/>
        <w:tabs>
          <w:tab w:val="left" w:pos="2880"/>
          <w:tab w:val="left" w:pos="3060"/>
          <w:tab w:val="left" w:pos="4500"/>
        </w:tabs>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账  号：</w:t>
      </w:r>
      <w:r>
        <w:rPr>
          <w:rFonts w:hint="eastAsia" w:ascii="宋体" w:hAnsi="宋体" w:eastAsia="宋体" w:cs="宋体"/>
          <w:color w:val="000000" w:themeColor="text1"/>
          <w:sz w:val="24"/>
          <w:szCs w:val="24"/>
          <w:u w:val="single"/>
          <w14:textFill>
            <w14:solidFill>
              <w14:schemeClr w14:val="tx1"/>
            </w14:solidFill>
          </w14:textFill>
        </w:rPr>
        <w:t xml:space="preserve">          </w:t>
      </w:r>
      <w:r>
        <w:rPr>
          <w:rFonts w:hint="eastAsia" w:ascii="宋体" w:hAnsi="宋体" w:eastAsia="宋体" w:cs="宋体"/>
          <w:color w:val="000000" w:themeColor="text1"/>
          <w:sz w:val="24"/>
          <w:szCs w:val="24"/>
          <w14:textFill>
            <w14:solidFill>
              <w14:schemeClr w14:val="tx1"/>
            </w14:solidFill>
          </w14:textFill>
        </w:rPr>
        <w:t xml:space="preserve">           账  号：</w:t>
      </w:r>
      <w:r>
        <w:rPr>
          <w:rFonts w:hint="eastAsia" w:ascii="宋体" w:hAnsi="宋体" w:eastAsia="宋体" w:cs="宋体"/>
          <w:color w:val="000000" w:themeColor="text1"/>
          <w:sz w:val="24"/>
          <w:szCs w:val="24"/>
          <w:u w:val="single"/>
          <w14:textFill>
            <w14:solidFill>
              <w14:schemeClr w14:val="tx1"/>
            </w14:solidFill>
          </w14:textFill>
        </w:rPr>
        <w:t xml:space="preserve">       </w:t>
      </w:r>
    </w:p>
    <w:p w14:paraId="516B791C">
      <w:pPr>
        <w:keepNext w:val="0"/>
        <w:keepLines w:val="0"/>
        <w:pageBreakBefore w:val="0"/>
        <w:widowControl w:val="0"/>
        <w:tabs>
          <w:tab w:val="left" w:pos="7200"/>
          <w:tab w:val="left" w:pos="7380"/>
          <w:tab w:val="left" w:pos="7560"/>
        </w:tabs>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邮政编码：</w:t>
      </w:r>
      <w:r>
        <w:rPr>
          <w:rFonts w:hint="eastAsia" w:ascii="宋体" w:hAnsi="宋体" w:eastAsia="宋体" w:cs="宋体"/>
          <w:color w:val="000000" w:themeColor="text1"/>
          <w:sz w:val="24"/>
          <w:szCs w:val="24"/>
          <w:u w:val="single"/>
          <w14:textFill>
            <w14:solidFill>
              <w14:schemeClr w14:val="tx1"/>
            </w14:solidFill>
          </w14:textFill>
        </w:rPr>
        <w:t xml:space="preserve">       </w:t>
      </w:r>
      <w:r>
        <w:rPr>
          <w:rFonts w:hint="eastAsia" w:ascii="宋体" w:hAnsi="宋体" w:eastAsia="宋体" w:cs="宋体"/>
          <w:color w:val="000000" w:themeColor="text1"/>
          <w:sz w:val="24"/>
          <w:szCs w:val="24"/>
          <w14:textFill>
            <w14:solidFill>
              <w14:schemeClr w14:val="tx1"/>
            </w14:solidFill>
          </w14:textFill>
        </w:rPr>
        <w:t xml:space="preserve">            邮政编码：</w:t>
      </w:r>
      <w:r>
        <w:rPr>
          <w:rFonts w:hint="eastAsia" w:ascii="宋体" w:hAnsi="宋体" w:eastAsia="宋体" w:cs="宋体"/>
          <w:color w:val="000000" w:themeColor="text1"/>
          <w:sz w:val="24"/>
          <w:szCs w:val="24"/>
          <w:u w:val="single"/>
          <w14:textFill>
            <w14:solidFill>
              <w14:schemeClr w14:val="tx1"/>
            </w14:solidFill>
          </w14:textFill>
        </w:rPr>
        <w:t xml:space="preserve">       </w:t>
      </w:r>
      <w:r>
        <w:rPr>
          <w:rFonts w:hint="eastAsia" w:ascii="宋体" w:hAnsi="宋体" w:eastAsia="宋体" w:cs="宋体"/>
          <w:b w:val="0"/>
          <w:bCs w:val="0"/>
          <w:color w:val="000000" w:themeColor="text1"/>
          <w:sz w:val="28"/>
          <w:szCs w:val="28"/>
          <w:u w:val="single"/>
          <w14:textFill>
            <w14:solidFill>
              <w14:schemeClr w14:val="tx1"/>
            </w14:solidFill>
          </w14:textFill>
        </w:rPr>
        <w:t xml:space="preserve"> </w:t>
      </w:r>
      <w:r>
        <w:rPr>
          <w:rFonts w:hint="eastAsia" w:ascii="宋体" w:hAnsi="宋体" w:eastAsia="宋体" w:cs="宋体"/>
          <w:color w:val="000000" w:themeColor="text1"/>
          <w:sz w:val="24"/>
          <w:szCs w:val="24"/>
          <w:u w:val="single"/>
          <w14:textFill>
            <w14:solidFill>
              <w14:schemeClr w14:val="tx1"/>
            </w14:solidFill>
          </w14:textFill>
        </w:rPr>
        <w:t></w:t>
      </w:r>
    </w:p>
    <w:p w14:paraId="49C9D44D">
      <w:pPr>
        <w:pStyle w:val="206"/>
        <w:rPr>
          <w:rFonts w:hint="eastAsia" w:ascii="宋体" w:hAnsi="宋体" w:eastAsia="宋体" w:cs="宋体"/>
          <w:color w:val="000000" w:themeColor="text1"/>
          <w:sz w:val="22"/>
          <w:szCs w:val="22"/>
          <w14:textFill>
            <w14:solidFill>
              <w14:schemeClr w14:val="tx1"/>
            </w14:solidFill>
          </w14:textFill>
        </w:rPr>
      </w:pPr>
    </w:p>
    <w:p w14:paraId="4DF2EEE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both"/>
        <w:textAlignment w:val="baseline"/>
        <w:rPr>
          <w:rFonts w:hint="eastAsia"/>
          <w:color w:val="000000" w:themeColor="text1"/>
          <w:sz w:val="21"/>
          <w:szCs w:val="21"/>
          <w:highlight w:val="none"/>
          <w14:textFill>
            <w14:solidFill>
              <w14:schemeClr w14:val="tx1"/>
            </w14:solidFill>
          </w14:textFill>
        </w:rPr>
      </w:pPr>
    </w:p>
    <w:p w14:paraId="1F4052C2">
      <w:pPr>
        <w:keepNext w:val="0"/>
        <w:keepLines w:val="0"/>
        <w:pageBreakBefore w:val="0"/>
        <w:widowControl/>
        <w:kinsoku w:val="0"/>
        <w:wordWrap/>
        <w:overflowPunct/>
        <w:topLinePunct w:val="0"/>
        <w:autoSpaceDE w:val="0"/>
        <w:autoSpaceDN w:val="0"/>
        <w:bidi w:val="0"/>
        <w:adjustRightInd w:val="0"/>
        <w:snapToGrid w:val="0"/>
        <w:ind w:left="0" w:right="0" w:firstLine="0" w:firstLineChars="0"/>
        <w:textAlignment w:val="baseline"/>
        <w:rPr>
          <w:color w:val="000000" w:themeColor="text1"/>
          <w:highlight w:val="none"/>
          <w14:textFill>
            <w14:solidFill>
              <w14:schemeClr w14:val="tx1"/>
            </w14:solidFill>
          </w14:textFill>
        </w:rPr>
      </w:pPr>
    </w:p>
    <w:p w14:paraId="1F67400E">
      <w:pPr>
        <w:rPr>
          <w:rFonts w:hint="eastAsia"/>
          <w:color w:val="000000" w:themeColor="text1"/>
          <w:sz w:val="21"/>
          <w:szCs w:val="21"/>
          <w:highlight w:val="none"/>
          <w14:textFill>
            <w14:solidFill>
              <w14:schemeClr w14:val="tx1"/>
            </w14:solidFill>
          </w14:textFill>
        </w:rPr>
      </w:pPr>
    </w:p>
    <w:sectPr>
      <w:footerReference r:id="rId8" w:type="first"/>
      <w:headerReference r:id="rId6" w:type="default"/>
      <w:footerReference r:id="rId7" w:type="default"/>
      <w:pgSz w:w="11905" w:h="16838"/>
      <w:pgMar w:top="1440" w:right="1080" w:bottom="1440" w:left="1080" w:header="850" w:footer="850"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Times New Roman)">
    <w:altName w:val="微软雅黑"/>
    <w:panose1 w:val="000000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宋体正文">
    <w:altName w:val="宋体"/>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宋体fal">
    <w:altName w:val="宋体"/>
    <w:panose1 w:val="00000000000000000000"/>
    <w:charset w:val="86"/>
    <w:family w:val="auto"/>
    <w:pitch w:val="default"/>
    <w:sig w:usb0="00000000" w:usb1="00000000" w:usb2="0000001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3D252">
    <w:pPr>
      <w:pStyle w:val="29"/>
      <w:tabs>
        <w:tab w:val="center" w:pos="443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0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6665A6"/>
                      </w:txbxContent>
                    </wps:txbx>
                    <wps:bodyPr wrap="none" lIns="0" tIns="0" rIns="0" bIns="0" upright="1">
                      <a:spAutoFit/>
                    </wps:bodyPr>
                  </wps:wsp>
                </a:graphicData>
              </a:graphic>
            </wp:anchor>
          </w:drawing>
        </mc:Choice>
        <mc:Fallback>
          <w:pict>
            <v:shape id="文本框 307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RvAeMsBAACcAwAADgAAAGRycy9lMm9Eb2MueG1srVPNjtMwEL4j8Q6W&#10;79RpkZYqaroCVYuQECAtPIDr2I0l/8njNukLwBtw4sKd5+pzMHaSLiyXPXBxxjPjb75vZrK5Hawh&#10;JxlBe9fQ5aKiRDrhW+0ODf3y+e7FmhJI3LXceCcbepZAb7fPn236UMuV77xpZSQI4qDuQ0O7lELN&#10;GIhOWg4LH6TDoPLR8oTXeGBt5D2iW8NWVXXDeh/bEL2QAOjdjUE6IcanAHqltJA7L45WujSiRml4&#10;QknQ6QB0W9gqJUX6qBTIRExDUWkqJxZBe59Ptt3w+hB56LSYKPCnUHikyXLtsOgVascTJ8eo/4Gy&#10;WkQPXqWF8JaNQkpHUMWyetSb+44HWbRgqyFcmw7/D1Z8OH2KRLcNXVHiuMWBX75/u/z4dfn5lbys&#10;Xt3kDvUBaky8D5iahjd+wL2Z/YDOLHxQ0eYvSiIYx/6er/2VQyIiP1qv1usKQwJj8wXx2cPzECG9&#10;ld6SbDQ04gBLX/npPaQxdU7J1Zy/08aUIRr3lwMxs4dl7iPHbKVhP0yC9r49o54eZ99Qh6tOiXnn&#10;sLV5TWYjzsZ+No4h6kOH1JaFF4TXx4QkCrdcYYSdCuPQirppwfJW/HkvWQ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DEbwHjLAQAAnAMAAA4AAAAAAAAAAQAgAAAAHgEAAGRycy9lMm9E&#10;b2MueG1sUEsFBgAAAAAGAAYAWQEAAFsFAAAAAA==&#10;">
              <v:fill on="f" focussize="0,0"/>
              <v:stroke on="f"/>
              <v:imagedata o:title=""/>
              <o:lock v:ext="edit" aspectratio="f"/>
              <v:textbox inset="0mm,0mm,0mm,0mm" style="mso-fit-shape-to-text:t;">
                <w:txbxContent>
                  <w:p w14:paraId="7B6665A6"/>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9095E">
    <w:pPr>
      <w:pStyle w:val="29"/>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8" name="文本框 2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B341F8">
                          <w:pPr>
                            <w:pStyle w:val="29"/>
                          </w:pPr>
                          <w:r>
                            <w:fldChar w:fldCharType="begin"/>
                          </w:r>
                          <w:r>
                            <w:instrText xml:space="preserve"> PAGE  \* MERGEFORMAT </w:instrText>
                          </w:r>
                          <w:r>
                            <w:fldChar w:fldCharType="separate"/>
                          </w:r>
                          <w:r>
                            <w:t>146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xoEsY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IWhTdMo+SnH99P&#10;Px9Ov76RdAiJGhdmiLx3iI3tO9uicYbzgMPEvK28Tl9wIvBD4ONFYNFGwtOl6WQ6zeHi8A0b4GeP&#10;150P8b2wmiSjoB4V7IRlh02IfegQkrIZu5ZKdVVUhjQFvXr9Ju8uXDwAVwY5Eon+scmK7bY9M9va&#10;8ghi3vbdERxfSyTfsBDvmEc74MEYmHiLpVIWSezZoqS2/uu/zlM8qgQvJQ3aq6AG00SJ+mBQPQDG&#10;wfCDsR0Ms9c3Fv06xiA63pm44KMazMpb/QVTtEw54GKGI1NB42DexL7FMYVcLJdd0N55uav7C+g9&#10;x+LG3Due0iQhg1vuI8TsNE4C9aqcdUP3dVU6T0pq7z/3XdTj32H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MaBLGNAIAAGUEAAAOAAAAAAAAAAEAIAAAAB8BAABkcnMvZTJvRG9jLnhtbFBL&#10;BQYAAAAABgAGAFkBAADFBQAAAAA=&#10;">
              <v:fill on="f" focussize="0,0"/>
              <v:stroke on="f" weight="0.5pt"/>
              <v:imagedata o:title=""/>
              <o:lock v:ext="edit" aspectratio="f"/>
              <v:textbox inset="0mm,0mm,0mm,0mm" style="mso-fit-shape-to-text:t;">
                <w:txbxContent>
                  <w:p w14:paraId="72B341F8">
                    <w:pPr>
                      <w:pStyle w:val="29"/>
                    </w:pPr>
                    <w:r>
                      <w:fldChar w:fldCharType="begin"/>
                    </w:r>
                    <w:r>
                      <w:instrText xml:space="preserve"> PAGE  \* MERGEFORMAT </w:instrText>
                    </w:r>
                    <w:r>
                      <w:fldChar w:fldCharType="separate"/>
                    </w:r>
                    <w:r>
                      <w:t>146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4F6EC">
    <w:pPr>
      <w:pStyle w:val="2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0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3DF00E">
                          <w:pPr>
                            <w:pStyle w:val="29"/>
                          </w:pPr>
                          <w:r>
                            <w:fldChar w:fldCharType="begin"/>
                          </w:r>
                          <w:r>
                            <w:instrText xml:space="preserve"> PAGE  \* MERGEFORMAT </w:instrText>
                          </w:r>
                          <w:r>
                            <w:fldChar w:fldCharType="separate"/>
                          </w:r>
                          <w:r>
                            <w:t>117</w:t>
                          </w:r>
                          <w:r>
                            <w:fldChar w:fldCharType="end"/>
                          </w:r>
                        </w:p>
                      </w:txbxContent>
                    </wps:txbx>
                    <wps:bodyPr wrap="none" lIns="0" tIns="0" rIns="0" bIns="0" upright="1">
                      <a:spAutoFit/>
                    </wps:bodyPr>
                  </wps:wsp>
                </a:graphicData>
              </a:graphic>
            </wp:anchor>
          </w:drawing>
        </mc:Choice>
        <mc:Fallback>
          <w:pict>
            <v:shape id="文本框 307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05PY8sBAACcAwAADgAAAGRycy9lMm9Eb2MueG1srVNNrtMwEN4jcQfL&#10;e+q0IKiipk+g6iEkBEgPDuA6dmPJf/K4TXoBuAErNuw5V8/B2En64LF5CzbJeGbyzfd9nmxuBmvI&#10;SUbQ3jV0uagokU74VrtDQ798vn22pgQSdy033smGniXQm+3TJ5s+1HLlO29aGQmCOKj70NAupVAz&#10;BqKTlsPCB+mwqHy0POExHlgbeY/o1rBVVb1kvY9tiF5IAMzuxiKdEONjAL1SWsidF0crXRpRozQ8&#10;oSTodAC6LWyVkiJ9VApkIqahqDSVJw7BeJ+fbLvh9SHy0GkxUeCPofBAk+Xa4dAr1I4nTo5R/wNl&#10;tYgevEoL4S0bhRRHUMWyeuDNXceDLFrQaghX0+H/wYoPp0+R6BY3gRLHLV745fu3y49fl59fyfPq&#10;1YvsUB+gxsa7gK1peOOH3D3lAZNZ+KCizW+URLCO/p6v/sohEZE/Wq/W6wpLAmvzAXHY/echQnor&#10;vSU5aGjECyy+8tN7SGPr3JKnOX+rjcE8r437K4GYOcMy95FjjtKwHybie9+eUU+Pd99Qh6tOiXnn&#10;0Nq8JnMQ52A/B8cQ9aFDasvCC8LrY0IShVueMMJOg/HSirppwfJW/HkuXfc/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C9OT2PLAQAAnAMAAA4AAAAAAAAAAQAgAAAAHgEAAGRycy9lMm9E&#10;b2MueG1sUEsFBgAAAAAGAAYAWQEAAFsFAAAAAA==&#10;">
              <v:fill on="f" focussize="0,0"/>
              <v:stroke on="f"/>
              <v:imagedata o:title=""/>
              <o:lock v:ext="edit" aspectratio="f"/>
              <v:textbox inset="0mm,0mm,0mm,0mm" style="mso-fit-shape-to-text:t;">
                <w:txbxContent>
                  <w:p w14:paraId="4F3DF00E">
                    <w:pPr>
                      <w:pStyle w:val="29"/>
                    </w:pPr>
                    <w:r>
                      <w:fldChar w:fldCharType="begin"/>
                    </w:r>
                    <w:r>
                      <w:instrText xml:space="preserve"> PAGE  \* MERGEFORMAT </w:instrText>
                    </w:r>
                    <w:r>
                      <w:fldChar w:fldCharType="separate"/>
                    </w:r>
                    <w:r>
                      <w:t>117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3A4A1">
    <w:pPr>
      <w:pStyle w:val="3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A8F3A">
    <w:pPr>
      <w:pStyle w:val="3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EE5DE">
    <w:pPr>
      <w:pStyle w:val="30"/>
      <w:pBdr>
        <w:bottom w:val="none" w:color="auto" w:sz="0" w:space="1"/>
      </w:pBdr>
      <w:jc w:val="center"/>
      <w:outlineLvl w:val="9"/>
      <w:rPr>
        <w:rFonts w:hint="default" w:eastAsia="宋体"/>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4499CC"/>
    <w:multiLevelType w:val="singleLevel"/>
    <w:tmpl w:val="324499CC"/>
    <w:lvl w:ilvl="0" w:tentative="0">
      <w:start w:val="2"/>
      <w:numFmt w:val="decimal"/>
      <w:suff w:val="nothing"/>
      <w:lvlText w:val="（%1）"/>
      <w:lvlJc w:val="left"/>
    </w:lvl>
  </w:abstractNum>
  <w:abstractNum w:abstractNumId="1">
    <w:nsid w:val="408860E8"/>
    <w:multiLevelType w:val="singleLevel"/>
    <w:tmpl w:val="408860E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abstractNum w:abstractNumId="2">
    <w:nsid w:val="6EDD6597"/>
    <w:multiLevelType w:val="singleLevel"/>
    <w:tmpl w:val="6EDD6597"/>
    <w:lvl w:ilvl="0" w:tentative="0">
      <w:start w:val="2"/>
      <w:numFmt w:val="decimal"/>
      <w:suff w:val="space"/>
      <w:lvlText w:val="%1."/>
      <w:lvlJc w:val="left"/>
      <w:pPr>
        <w:ind w:left="360"/>
      </w:pPr>
    </w:lvl>
  </w:abstractNum>
  <w:abstractNum w:abstractNumId="3">
    <w:nsid w:val="6EDD6598"/>
    <w:multiLevelType w:val="singleLevel"/>
    <w:tmpl w:val="6EDD6598"/>
    <w:lvl w:ilvl="0" w:tentative="0">
      <w:start w:val="2"/>
      <w:numFmt w:val="decimal"/>
      <w:suff w:val="nothing"/>
      <w:lvlText w:val="（%1）"/>
      <w:lvlJc w:val="left"/>
      <w:pPr>
        <w:ind w:left="525"/>
      </w:pPr>
    </w:lvl>
  </w:abstractNum>
  <w:abstractNum w:abstractNumId="4">
    <w:nsid w:val="6EDD6599"/>
    <w:multiLevelType w:val="multilevel"/>
    <w:tmpl w:val="6EDD6599"/>
    <w:lvl w:ilvl="0" w:tentative="0">
      <w:start w:val="11"/>
      <w:numFmt w:val="decimal"/>
      <w:suff w:val="space"/>
      <w:lvlText w:val="%1."/>
      <w:lvlJc w:val="left"/>
      <w:rPr>
        <w:rFonts w:hint="default" w:ascii="Times New Roman" w:hAnsi="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num>
  <w:num w:numId="3">
    <w:abstractNumId w:val="2"/>
  </w:num>
  <w:num w:numId="4">
    <w:abstractNumId w:val="3"/>
  </w:num>
  <w:num w:numId="5">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hideSpellingErrors/>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lY2U2ZDZiZGE4ZjQ2YjFkZTAwM2I5NTlkOTUwMjgifQ=="/>
  </w:docVars>
  <w:rsids>
    <w:rsidRoot w:val="00F34B14"/>
    <w:rsid w:val="000002E0"/>
    <w:rsid w:val="00000672"/>
    <w:rsid w:val="00000C53"/>
    <w:rsid w:val="00000E69"/>
    <w:rsid w:val="00000FD7"/>
    <w:rsid w:val="00001013"/>
    <w:rsid w:val="00001245"/>
    <w:rsid w:val="00001799"/>
    <w:rsid w:val="00001AF2"/>
    <w:rsid w:val="00001CA1"/>
    <w:rsid w:val="00001ECA"/>
    <w:rsid w:val="00002480"/>
    <w:rsid w:val="00002D29"/>
    <w:rsid w:val="0000347E"/>
    <w:rsid w:val="00003B93"/>
    <w:rsid w:val="0000474D"/>
    <w:rsid w:val="0000529E"/>
    <w:rsid w:val="000057F8"/>
    <w:rsid w:val="00005FDF"/>
    <w:rsid w:val="0000644A"/>
    <w:rsid w:val="00006D8A"/>
    <w:rsid w:val="00007081"/>
    <w:rsid w:val="000070B3"/>
    <w:rsid w:val="000076B8"/>
    <w:rsid w:val="00007AE6"/>
    <w:rsid w:val="0001010E"/>
    <w:rsid w:val="000109DC"/>
    <w:rsid w:val="00010D39"/>
    <w:rsid w:val="0001172C"/>
    <w:rsid w:val="00011BC9"/>
    <w:rsid w:val="00012854"/>
    <w:rsid w:val="00012D72"/>
    <w:rsid w:val="00012EA6"/>
    <w:rsid w:val="00013359"/>
    <w:rsid w:val="000139CF"/>
    <w:rsid w:val="00013AA4"/>
    <w:rsid w:val="00013DFE"/>
    <w:rsid w:val="000141EA"/>
    <w:rsid w:val="00015111"/>
    <w:rsid w:val="000151DB"/>
    <w:rsid w:val="00015239"/>
    <w:rsid w:val="00015C28"/>
    <w:rsid w:val="000163AB"/>
    <w:rsid w:val="0001657F"/>
    <w:rsid w:val="00016ABC"/>
    <w:rsid w:val="00016C68"/>
    <w:rsid w:val="000177DB"/>
    <w:rsid w:val="000179C9"/>
    <w:rsid w:val="00017CCC"/>
    <w:rsid w:val="00020227"/>
    <w:rsid w:val="00020263"/>
    <w:rsid w:val="000202AC"/>
    <w:rsid w:val="00020455"/>
    <w:rsid w:val="00020813"/>
    <w:rsid w:val="00020A9E"/>
    <w:rsid w:val="00020C36"/>
    <w:rsid w:val="0002117A"/>
    <w:rsid w:val="000215D0"/>
    <w:rsid w:val="00021F52"/>
    <w:rsid w:val="00021FCF"/>
    <w:rsid w:val="000220B2"/>
    <w:rsid w:val="0002264C"/>
    <w:rsid w:val="00022731"/>
    <w:rsid w:val="00022792"/>
    <w:rsid w:val="00023287"/>
    <w:rsid w:val="00023A6D"/>
    <w:rsid w:val="00024292"/>
    <w:rsid w:val="00024463"/>
    <w:rsid w:val="00025461"/>
    <w:rsid w:val="00025636"/>
    <w:rsid w:val="00025E36"/>
    <w:rsid w:val="000260F7"/>
    <w:rsid w:val="000260FF"/>
    <w:rsid w:val="00026855"/>
    <w:rsid w:val="00026886"/>
    <w:rsid w:val="000273DE"/>
    <w:rsid w:val="0002754F"/>
    <w:rsid w:val="0002785D"/>
    <w:rsid w:val="00030544"/>
    <w:rsid w:val="000307BE"/>
    <w:rsid w:val="000321AB"/>
    <w:rsid w:val="00032633"/>
    <w:rsid w:val="000329E0"/>
    <w:rsid w:val="00033086"/>
    <w:rsid w:val="000336D0"/>
    <w:rsid w:val="000351A2"/>
    <w:rsid w:val="000352E9"/>
    <w:rsid w:val="00035494"/>
    <w:rsid w:val="00035ECF"/>
    <w:rsid w:val="00036125"/>
    <w:rsid w:val="00036A07"/>
    <w:rsid w:val="0003780B"/>
    <w:rsid w:val="00037C41"/>
    <w:rsid w:val="00040571"/>
    <w:rsid w:val="00040973"/>
    <w:rsid w:val="0004156E"/>
    <w:rsid w:val="00041713"/>
    <w:rsid w:val="0004212E"/>
    <w:rsid w:val="00042A19"/>
    <w:rsid w:val="00042B32"/>
    <w:rsid w:val="00042EE8"/>
    <w:rsid w:val="000434FD"/>
    <w:rsid w:val="000439AA"/>
    <w:rsid w:val="0004440C"/>
    <w:rsid w:val="00046B5E"/>
    <w:rsid w:val="000470CB"/>
    <w:rsid w:val="000479D5"/>
    <w:rsid w:val="000501AA"/>
    <w:rsid w:val="000504A6"/>
    <w:rsid w:val="000506DE"/>
    <w:rsid w:val="000509D9"/>
    <w:rsid w:val="00051006"/>
    <w:rsid w:val="00051165"/>
    <w:rsid w:val="000512AF"/>
    <w:rsid w:val="000516F3"/>
    <w:rsid w:val="00051ACB"/>
    <w:rsid w:val="00052E40"/>
    <w:rsid w:val="000533E7"/>
    <w:rsid w:val="00053B29"/>
    <w:rsid w:val="00054B4B"/>
    <w:rsid w:val="000550E8"/>
    <w:rsid w:val="00055519"/>
    <w:rsid w:val="00055D41"/>
    <w:rsid w:val="000560DE"/>
    <w:rsid w:val="00056EF6"/>
    <w:rsid w:val="000575CF"/>
    <w:rsid w:val="00057CD6"/>
    <w:rsid w:val="00060D7F"/>
    <w:rsid w:val="00060DCE"/>
    <w:rsid w:val="000610E3"/>
    <w:rsid w:val="00061143"/>
    <w:rsid w:val="000614F3"/>
    <w:rsid w:val="00061A1B"/>
    <w:rsid w:val="00061EB4"/>
    <w:rsid w:val="000623B4"/>
    <w:rsid w:val="00062405"/>
    <w:rsid w:val="00062EC2"/>
    <w:rsid w:val="0006347E"/>
    <w:rsid w:val="000634A7"/>
    <w:rsid w:val="00063B0B"/>
    <w:rsid w:val="00063F81"/>
    <w:rsid w:val="00064847"/>
    <w:rsid w:val="00065E08"/>
    <w:rsid w:val="00065E2D"/>
    <w:rsid w:val="00066AD9"/>
    <w:rsid w:val="00066D2E"/>
    <w:rsid w:val="000673E2"/>
    <w:rsid w:val="00067EF1"/>
    <w:rsid w:val="00070378"/>
    <w:rsid w:val="0007037E"/>
    <w:rsid w:val="0007063F"/>
    <w:rsid w:val="000707FD"/>
    <w:rsid w:val="00070949"/>
    <w:rsid w:val="00070C0E"/>
    <w:rsid w:val="000711E4"/>
    <w:rsid w:val="00071E9B"/>
    <w:rsid w:val="000720A1"/>
    <w:rsid w:val="000724D9"/>
    <w:rsid w:val="00072AED"/>
    <w:rsid w:val="00073F47"/>
    <w:rsid w:val="0007492F"/>
    <w:rsid w:val="00074B5B"/>
    <w:rsid w:val="00074BC7"/>
    <w:rsid w:val="00074ED8"/>
    <w:rsid w:val="00075B7E"/>
    <w:rsid w:val="00076852"/>
    <w:rsid w:val="00076D70"/>
    <w:rsid w:val="00077ACA"/>
    <w:rsid w:val="00077C70"/>
    <w:rsid w:val="00080C87"/>
    <w:rsid w:val="00080CFB"/>
    <w:rsid w:val="000813B5"/>
    <w:rsid w:val="000813E7"/>
    <w:rsid w:val="0008191E"/>
    <w:rsid w:val="00081BA3"/>
    <w:rsid w:val="00081D2E"/>
    <w:rsid w:val="00081F89"/>
    <w:rsid w:val="00082619"/>
    <w:rsid w:val="00082D02"/>
    <w:rsid w:val="0008381A"/>
    <w:rsid w:val="00083871"/>
    <w:rsid w:val="00083B91"/>
    <w:rsid w:val="0008473C"/>
    <w:rsid w:val="00084E4F"/>
    <w:rsid w:val="00085193"/>
    <w:rsid w:val="0008520B"/>
    <w:rsid w:val="0008527B"/>
    <w:rsid w:val="000857DE"/>
    <w:rsid w:val="000860BD"/>
    <w:rsid w:val="000871B8"/>
    <w:rsid w:val="00087B0A"/>
    <w:rsid w:val="00090339"/>
    <w:rsid w:val="00091373"/>
    <w:rsid w:val="000916DA"/>
    <w:rsid w:val="00091AAB"/>
    <w:rsid w:val="00092442"/>
    <w:rsid w:val="000929EF"/>
    <w:rsid w:val="00092C26"/>
    <w:rsid w:val="00092EC0"/>
    <w:rsid w:val="000933BE"/>
    <w:rsid w:val="00094428"/>
    <w:rsid w:val="000944FC"/>
    <w:rsid w:val="00094F71"/>
    <w:rsid w:val="0009560F"/>
    <w:rsid w:val="0009588E"/>
    <w:rsid w:val="000959ED"/>
    <w:rsid w:val="000959EE"/>
    <w:rsid w:val="00096C2E"/>
    <w:rsid w:val="00096DB9"/>
    <w:rsid w:val="00097183"/>
    <w:rsid w:val="000972CB"/>
    <w:rsid w:val="00097608"/>
    <w:rsid w:val="000A0928"/>
    <w:rsid w:val="000A0B86"/>
    <w:rsid w:val="000A0DFC"/>
    <w:rsid w:val="000A0F35"/>
    <w:rsid w:val="000A1175"/>
    <w:rsid w:val="000A13F3"/>
    <w:rsid w:val="000A165B"/>
    <w:rsid w:val="000A1963"/>
    <w:rsid w:val="000A1C18"/>
    <w:rsid w:val="000A23B1"/>
    <w:rsid w:val="000A2818"/>
    <w:rsid w:val="000A2B0E"/>
    <w:rsid w:val="000A2D1D"/>
    <w:rsid w:val="000A3095"/>
    <w:rsid w:val="000A392D"/>
    <w:rsid w:val="000A398F"/>
    <w:rsid w:val="000A448C"/>
    <w:rsid w:val="000A4E26"/>
    <w:rsid w:val="000A509C"/>
    <w:rsid w:val="000A545A"/>
    <w:rsid w:val="000A54A7"/>
    <w:rsid w:val="000A5A17"/>
    <w:rsid w:val="000A5CC8"/>
    <w:rsid w:val="000A6007"/>
    <w:rsid w:val="000A6564"/>
    <w:rsid w:val="000A65A6"/>
    <w:rsid w:val="000A69C2"/>
    <w:rsid w:val="000A70E3"/>
    <w:rsid w:val="000A7275"/>
    <w:rsid w:val="000A7408"/>
    <w:rsid w:val="000A7A12"/>
    <w:rsid w:val="000A7A72"/>
    <w:rsid w:val="000A7DE5"/>
    <w:rsid w:val="000A7EEA"/>
    <w:rsid w:val="000B0FE0"/>
    <w:rsid w:val="000B1202"/>
    <w:rsid w:val="000B12FF"/>
    <w:rsid w:val="000B1801"/>
    <w:rsid w:val="000B187E"/>
    <w:rsid w:val="000B1D0C"/>
    <w:rsid w:val="000B2273"/>
    <w:rsid w:val="000B2563"/>
    <w:rsid w:val="000B2BC6"/>
    <w:rsid w:val="000B2D03"/>
    <w:rsid w:val="000B37F2"/>
    <w:rsid w:val="000B3815"/>
    <w:rsid w:val="000B3C7B"/>
    <w:rsid w:val="000B3E68"/>
    <w:rsid w:val="000B4321"/>
    <w:rsid w:val="000B544A"/>
    <w:rsid w:val="000B5CCB"/>
    <w:rsid w:val="000B5F6B"/>
    <w:rsid w:val="000B613A"/>
    <w:rsid w:val="000B6A6B"/>
    <w:rsid w:val="000B6C95"/>
    <w:rsid w:val="000B6F80"/>
    <w:rsid w:val="000B79FC"/>
    <w:rsid w:val="000B7E0A"/>
    <w:rsid w:val="000C0CF9"/>
    <w:rsid w:val="000C144E"/>
    <w:rsid w:val="000C1679"/>
    <w:rsid w:val="000C190E"/>
    <w:rsid w:val="000C1953"/>
    <w:rsid w:val="000C1BFE"/>
    <w:rsid w:val="000C1EE3"/>
    <w:rsid w:val="000C35D0"/>
    <w:rsid w:val="000C3AE5"/>
    <w:rsid w:val="000C3AE7"/>
    <w:rsid w:val="000C3CC9"/>
    <w:rsid w:val="000C3DBC"/>
    <w:rsid w:val="000C5823"/>
    <w:rsid w:val="000C59C6"/>
    <w:rsid w:val="000C67C7"/>
    <w:rsid w:val="000C6DE4"/>
    <w:rsid w:val="000C7202"/>
    <w:rsid w:val="000C7432"/>
    <w:rsid w:val="000C7926"/>
    <w:rsid w:val="000C7FC6"/>
    <w:rsid w:val="000D0A89"/>
    <w:rsid w:val="000D10F1"/>
    <w:rsid w:val="000D1389"/>
    <w:rsid w:val="000D1798"/>
    <w:rsid w:val="000D2626"/>
    <w:rsid w:val="000D264F"/>
    <w:rsid w:val="000D285A"/>
    <w:rsid w:val="000D2CD3"/>
    <w:rsid w:val="000D4016"/>
    <w:rsid w:val="000D411D"/>
    <w:rsid w:val="000D4589"/>
    <w:rsid w:val="000D4809"/>
    <w:rsid w:val="000D4FB6"/>
    <w:rsid w:val="000D5304"/>
    <w:rsid w:val="000D5C29"/>
    <w:rsid w:val="000D6C31"/>
    <w:rsid w:val="000D6F6B"/>
    <w:rsid w:val="000D73DD"/>
    <w:rsid w:val="000D7761"/>
    <w:rsid w:val="000E02E8"/>
    <w:rsid w:val="000E0C67"/>
    <w:rsid w:val="000E1C38"/>
    <w:rsid w:val="000E1C51"/>
    <w:rsid w:val="000E1CD0"/>
    <w:rsid w:val="000E1D3E"/>
    <w:rsid w:val="000E230A"/>
    <w:rsid w:val="000E28AB"/>
    <w:rsid w:val="000E2E3E"/>
    <w:rsid w:val="000E3583"/>
    <w:rsid w:val="000E3AF0"/>
    <w:rsid w:val="000E43EC"/>
    <w:rsid w:val="000E450F"/>
    <w:rsid w:val="000E4DC7"/>
    <w:rsid w:val="000E4E04"/>
    <w:rsid w:val="000E592E"/>
    <w:rsid w:val="000E5CCD"/>
    <w:rsid w:val="000E5D63"/>
    <w:rsid w:val="000E693B"/>
    <w:rsid w:val="000E6D5C"/>
    <w:rsid w:val="000E6DBC"/>
    <w:rsid w:val="000E6EC9"/>
    <w:rsid w:val="000E70B4"/>
    <w:rsid w:val="000E7B62"/>
    <w:rsid w:val="000E7EDC"/>
    <w:rsid w:val="000F0149"/>
    <w:rsid w:val="000F085D"/>
    <w:rsid w:val="000F0E1E"/>
    <w:rsid w:val="000F1129"/>
    <w:rsid w:val="000F1A1B"/>
    <w:rsid w:val="000F285F"/>
    <w:rsid w:val="000F2A95"/>
    <w:rsid w:val="000F2BB7"/>
    <w:rsid w:val="000F324A"/>
    <w:rsid w:val="000F3281"/>
    <w:rsid w:val="000F32FD"/>
    <w:rsid w:val="000F3733"/>
    <w:rsid w:val="000F3F1F"/>
    <w:rsid w:val="000F5B2B"/>
    <w:rsid w:val="000F5F8B"/>
    <w:rsid w:val="000F6153"/>
    <w:rsid w:val="000F649D"/>
    <w:rsid w:val="000F64AA"/>
    <w:rsid w:val="000F6C7B"/>
    <w:rsid w:val="000F7055"/>
    <w:rsid w:val="000F73AD"/>
    <w:rsid w:val="000F7AF4"/>
    <w:rsid w:val="000F7C33"/>
    <w:rsid w:val="000F7F0C"/>
    <w:rsid w:val="001004D6"/>
    <w:rsid w:val="0010176A"/>
    <w:rsid w:val="00101A30"/>
    <w:rsid w:val="00101D1B"/>
    <w:rsid w:val="00101E8E"/>
    <w:rsid w:val="00102676"/>
    <w:rsid w:val="00103646"/>
    <w:rsid w:val="00103918"/>
    <w:rsid w:val="00104897"/>
    <w:rsid w:val="00104EDE"/>
    <w:rsid w:val="00104F54"/>
    <w:rsid w:val="00105992"/>
    <w:rsid w:val="00105CDA"/>
    <w:rsid w:val="00105F97"/>
    <w:rsid w:val="00106BEE"/>
    <w:rsid w:val="0010711C"/>
    <w:rsid w:val="00107368"/>
    <w:rsid w:val="0010775D"/>
    <w:rsid w:val="001078E7"/>
    <w:rsid w:val="00107BDF"/>
    <w:rsid w:val="00107C74"/>
    <w:rsid w:val="0011091C"/>
    <w:rsid w:val="00111266"/>
    <w:rsid w:val="001112EB"/>
    <w:rsid w:val="00111FD1"/>
    <w:rsid w:val="00111FD7"/>
    <w:rsid w:val="0011220E"/>
    <w:rsid w:val="0011247D"/>
    <w:rsid w:val="0011351F"/>
    <w:rsid w:val="00113678"/>
    <w:rsid w:val="00113A7D"/>
    <w:rsid w:val="00113C3E"/>
    <w:rsid w:val="001142A8"/>
    <w:rsid w:val="00115375"/>
    <w:rsid w:val="001157F8"/>
    <w:rsid w:val="001159A5"/>
    <w:rsid w:val="00115E11"/>
    <w:rsid w:val="00115EEE"/>
    <w:rsid w:val="00115F56"/>
    <w:rsid w:val="001164ED"/>
    <w:rsid w:val="00116872"/>
    <w:rsid w:val="00116AF3"/>
    <w:rsid w:val="00116CA9"/>
    <w:rsid w:val="00116F38"/>
    <w:rsid w:val="001170A4"/>
    <w:rsid w:val="00117987"/>
    <w:rsid w:val="00117AE7"/>
    <w:rsid w:val="00117B85"/>
    <w:rsid w:val="00117CBD"/>
    <w:rsid w:val="0012006A"/>
    <w:rsid w:val="001217E7"/>
    <w:rsid w:val="00121979"/>
    <w:rsid w:val="00122064"/>
    <w:rsid w:val="0012277A"/>
    <w:rsid w:val="0012301B"/>
    <w:rsid w:val="00123428"/>
    <w:rsid w:val="00124341"/>
    <w:rsid w:val="00124492"/>
    <w:rsid w:val="00124B12"/>
    <w:rsid w:val="001250A0"/>
    <w:rsid w:val="0012535C"/>
    <w:rsid w:val="001263B8"/>
    <w:rsid w:val="001273C1"/>
    <w:rsid w:val="00127B1A"/>
    <w:rsid w:val="00127E3E"/>
    <w:rsid w:val="00130217"/>
    <w:rsid w:val="00130641"/>
    <w:rsid w:val="00130783"/>
    <w:rsid w:val="00130A47"/>
    <w:rsid w:val="00130FB0"/>
    <w:rsid w:val="00132B47"/>
    <w:rsid w:val="00132DDA"/>
    <w:rsid w:val="001331F1"/>
    <w:rsid w:val="0013346C"/>
    <w:rsid w:val="00133768"/>
    <w:rsid w:val="001337F8"/>
    <w:rsid w:val="001341B2"/>
    <w:rsid w:val="001348B4"/>
    <w:rsid w:val="001349F4"/>
    <w:rsid w:val="00134B1F"/>
    <w:rsid w:val="0013506E"/>
    <w:rsid w:val="001351CB"/>
    <w:rsid w:val="00135530"/>
    <w:rsid w:val="00135947"/>
    <w:rsid w:val="001359A2"/>
    <w:rsid w:val="00135F92"/>
    <w:rsid w:val="00136020"/>
    <w:rsid w:val="00136445"/>
    <w:rsid w:val="00136965"/>
    <w:rsid w:val="00136A9C"/>
    <w:rsid w:val="00136EA0"/>
    <w:rsid w:val="00137389"/>
    <w:rsid w:val="00140132"/>
    <w:rsid w:val="00141455"/>
    <w:rsid w:val="0014190C"/>
    <w:rsid w:val="00141C9C"/>
    <w:rsid w:val="0014277F"/>
    <w:rsid w:val="00142AD2"/>
    <w:rsid w:val="001434BE"/>
    <w:rsid w:val="00143AAD"/>
    <w:rsid w:val="00144050"/>
    <w:rsid w:val="00144369"/>
    <w:rsid w:val="0014438A"/>
    <w:rsid w:val="00144398"/>
    <w:rsid w:val="0014479F"/>
    <w:rsid w:val="00144806"/>
    <w:rsid w:val="001452B4"/>
    <w:rsid w:val="00145320"/>
    <w:rsid w:val="00145A8E"/>
    <w:rsid w:val="00145B3E"/>
    <w:rsid w:val="001476D3"/>
    <w:rsid w:val="00147999"/>
    <w:rsid w:val="00147D03"/>
    <w:rsid w:val="001505DA"/>
    <w:rsid w:val="001509CF"/>
    <w:rsid w:val="00150B99"/>
    <w:rsid w:val="00150D1D"/>
    <w:rsid w:val="0015119C"/>
    <w:rsid w:val="001525AA"/>
    <w:rsid w:val="00152A87"/>
    <w:rsid w:val="00152AC1"/>
    <w:rsid w:val="00153A84"/>
    <w:rsid w:val="00153BB5"/>
    <w:rsid w:val="00154518"/>
    <w:rsid w:val="0015567E"/>
    <w:rsid w:val="001556B8"/>
    <w:rsid w:val="00155944"/>
    <w:rsid w:val="00156320"/>
    <w:rsid w:val="00156359"/>
    <w:rsid w:val="00156DD6"/>
    <w:rsid w:val="00160238"/>
    <w:rsid w:val="0016086E"/>
    <w:rsid w:val="001609B9"/>
    <w:rsid w:val="00160D0C"/>
    <w:rsid w:val="00160DC9"/>
    <w:rsid w:val="00160DD1"/>
    <w:rsid w:val="00161172"/>
    <w:rsid w:val="00161998"/>
    <w:rsid w:val="00161E65"/>
    <w:rsid w:val="00161F0E"/>
    <w:rsid w:val="00162597"/>
    <w:rsid w:val="001629AF"/>
    <w:rsid w:val="001629FD"/>
    <w:rsid w:val="0016428A"/>
    <w:rsid w:val="001646D5"/>
    <w:rsid w:val="001647C9"/>
    <w:rsid w:val="00164C94"/>
    <w:rsid w:val="0016537E"/>
    <w:rsid w:val="00165627"/>
    <w:rsid w:val="001661A3"/>
    <w:rsid w:val="00166AD5"/>
    <w:rsid w:val="00166E81"/>
    <w:rsid w:val="00167226"/>
    <w:rsid w:val="0016782B"/>
    <w:rsid w:val="0016784D"/>
    <w:rsid w:val="00167853"/>
    <w:rsid w:val="00167887"/>
    <w:rsid w:val="00167AE7"/>
    <w:rsid w:val="00167CAA"/>
    <w:rsid w:val="00170613"/>
    <w:rsid w:val="00170F0C"/>
    <w:rsid w:val="00171319"/>
    <w:rsid w:val="0017131A"/>
    <w:rsid w:val="00171B8F"/>
    <w:rsid w:val="001721F8"/>
    <w:rsid w:val="0017267A"/>
    <w:rsid w:val="00172CA8"/>
    <w:rsid w:val="00173256"/>
    <w:rsid w:val="00173B0E"/>
    <w:rsid w:val="00173D86"/>
    <w:rsid w:val="00173E03"/>
    <w:rsid w:val="0017405A"/>
    <w:rsid w:val="001741C9"/>
    <w:rsid w:val="0017461E"/>
    <w:rsid w:val="00174704"/>
    <w:rsid w:val="0017512C"/>
    <w:rsid w:val="001756AF"/>
    <w:rsid w:val="0017586A"/>
    <w:rsid w:val="00175BA6"/>
    <w:rsid w:val="00175C6F"/>
    <w:rsid w:val="00176CA7"/>
    <w:rsid w:val="00176D0C"/>
    <w:rsid w:val="00176F8E"/>
    <w:rsid w:val="00177485"/>
    <w:rsid w:val="0017789A"/>
    <w:rsid w:val="001778C5"/>
    <w:rsid w:val="00177C07"/>
    <w:rsid w:val="00177E56"/>
    <w:rsid w:val="00177F0A"/>
    <w:rsid w:val="0018090D"/>
    <w:rsid w:val="00180DA0"/>
    <w:rsid w:val="00181813"/>
    <w:rsid w:val="00181EAD"/>
    <w:rsid w:val="00182862"/>
    <w:rsid w:val="00184F57"/>
    <w:rsid w:val="00185091"/>
    <w:rsid w:val="00185544"/>
    <w:rsid w:val="001855B2"/>
    <w:rsid w:val="00185617"/>
    <w:rsid w:val="00186FE1"/>
    <w:rsid w:val="00187A14"/>
    <w:rsid w:val="00190D50"/>
    <w:rsid w:val="00190E7C"/>
    <w:rsid w:val="00191177"/>
    <w:rsid w:val="001911A5"/>
    <w:rsid w:val="0019171E"/>
    <w:rsid w:val="00192368"/>
    <w:rsid w:val="001923A0"/>
    <w:rsid w:val="001924F9"/>
    <w:rsid w:val="0019270F"/>
    <w:rsid w:val="001928B1"/>
    <w:rsid w:val="00192C38"/>
    <w:rsid w:val="00192CA1"/>
    <w:rsid w:val="00193537"/>
    <w:rsid w:val="00193808"/>
    <w:rsid w:val="00193846"/>
    <w:rsid w:val="00193F6A"/>
    <w:rsid w:val="00195117"/>
    <w:rsid w:val="00195424"/>
    <w:rsid w:val="001955FF"/>
    <w:rsid w:val="001972F8"/>
    <w:rsid w:val="00197EDD"/>
    <w:rsid w:val="001A02B3"/>
    <w:rsid w:val="001A04BB"/>
    <w:rsid w:val="001A06CC"/>
    <w:rsid w:val="001A0889"/>
    <w:rsid w:val="001A08D0"/>
    <w:rsid w:val="001A17B2"/>
    <w:rsid w:val="001A18EA"/>
    <w:rsid w:val="001A1B39"/>
    <w:rsid w:val="001A1D4A"/>
    <w:rsid w:val="001A2120"/>
    <w:rsid w:val="001A21DD"/>
    <w:rsid w:val="001A28C6"/>
    <w:rsid w:val="001A2E69"/>
    <w:rsid w:val="001A3C34"/>
    <w:rsid w:val="001A3EDE"/>
    <w:rsid w:val="001A41CD"/>
    <w:rsid w:val="001A4222"/>
    <w:rsid w:val="001A4235"/>
    <w:rsid w:val="001A43BE"/>
    <w:rsid w:val="001A48B2"/>
    <w:rsid w:val="001A4CFA"/>
    <w:rsid w:val="001A50EA"/>
    <w:rsid w:val="001A55A9"/>
    <w:rsid w:val="001A5BAA"/>
    <w:rsid w:val="001A5E24"/>
    <w:rsid w:val="001A661D"/>
    <w:rsid w:val="001A6795"/>
    <w:rsid w:val="001A6B27"/>
    <w:rsid w:val="001A6D8B"/>
    <w:rsid w:val="001A6DAA"/>
    <w:rsid w:val="001A7717"/>
    <w:rsid w:val="001A793A"/>
    <w:rsid w:val="001B035E"/>
    <w:rsid w:val="001B0464"/>
    <w:rsid w:val="001B125A"/>
    <w:rsid w:val="001B1EBA"/>
    <w:rsid w:val="001B2142"/>
    <w:rsid w:val="001B2F2B"/>
    <w:rsid w:val="001B31C2"/>
    <w:rsid w:val="001B327A"/>
    <w:rsid w:val="001B3379"/>
    <w:rsid w:val="001B35DE"/>
    <w:rsid w:val="001B3A13"/>
    <w:rsid w:val="001B3F5C"/>
    <w:rsid w:val="001B57C9"/>
    <w:rsid w:val="001B59FF"/>
    <w:rsid w:val="001B5D13"/>
    <w:rsid w:val="001B6512"/>
    <w:rsid w:val="001B65D7"/>
    <w:rsid w:val="001B6752"/>
    <w:rsid w:val="001B6768"/>
    <w:rsid w:val="001B6B39"/>
    <w:rsid w:val="001B6F1F"/>
    <w:rsid w:val="001B7ECC"/>
    <w:rsid w:val="001C025B"/>
    <w:rsid w:val="001C059D"/>
    <w:rsid w:val="001C0DD4"/>
    <w:rsid w:val="001C115F"/>
    <w:rsid w:val="001C1B1C"/>
    <w:rsid w:val="001C1DED"/>
    <w:rsid w:val="001C1EAB"/>
    <w:rsid w:val="001C25A7"/>
    <w:rsid w:val="001C2775"/>
    <w:rsid w:val="001C2895"/>
    <w:rsid w:val="001C2A1D"/>
    <w:rsid w:val="001C2CC7"/>
    <w:rsid w:val="001C318C"/>
    <w:rsid w:val="001C35C4"/>
    <w:rsid w:val="001C4287"/>
    <w:rsid w:val="001C4479"/>
    <w:rsid w:val="001C4F79"/>
    <w:rsid w:val="001C5190"/>
    <w:rsid w:val="001C5951"/>
    <w:rsid w:val="001C5A1F"/>
    <w:rsid w:val="001C6081"/>
    <w:rsid w:val="001C7284"/>
    <w:rsid w:val="001C73EB"/>
    <w:rsid w:val="001C7781"/>
    <w:rsid w:val="001C7B48"/>
    <w:rsid w:val="001D0CFB"/>
    <w:rsid w:val="001D108A"/>
    <w:rsid w:val="001D16C5"/>
    <w:rsid w:val="001D1A0D"/>
    <w:rsid w:val="001D1DD1"/>
    <w:rsid w:val="001D22CB"/>
    <w:rsid w:val="001D23DA"/>
    <w:rsid w:val="001D266C"/>
    <w:rsid w:val="001D267C"/>
    <w:rsid w:val="001D2AB8"/>
    <w:rsid w:val="001D2F77"/>
    <w:rsid w:val="001D343C"/>
    <w:rsid w:val="001D56E2"/>
    <w:rsid w:val="001D58A1"/>
    <w:rsid w:val="001D58C2"/>
    <w:rsid w:val="001D5A8A"/>
    <w:rsid w:val="001D5B64"/>
    <w:rsid w:val="001D61CA"/>
    <w:rsid w:val="001D6210"/>
    <w:rsid w:val="001D62C9"/>
    <w:rsid w:val="001D654A"/>
    <w:rsid w:val="001D6E87"/>
    <w:rsid w:val="001D735E"/>
    <w:rsid w:val="001D73C8"/>
    <w:rsid w:val="001D7BC6"/>
    <w:rsid w:val="001D7CA4"/>
    <w:rsid w:val="001E0C72"/>
    <w:rsid w:val="001E129E"/>
    <w:rsid w:val="001E175C"/>
    <w:rsid w:val="001E1B0E"/>
    <w:rsid w:val="001E2A86"/>
    <w:rsid w:val="001E308A"/>
    <w:rsid w:val="001E38EC"/>
    <w:rsid w:val="001E3B63"/>
    <w:rsid w:val="001E4996"/>
    <w:rsid w:val="001E57B2"/>
    <w:rsid w:val="001E5A94"/>
    <w:rsid w:val="001E5CBB"/>
    <w:rsid w:val="001E5CDC"/>
    <w:rsid w:val="001E6B4B"/>
    <w:rsid w:val="001E6CE9"/>
    <w:rsid w:val="001F13FD"/>
    <w:rsid w:val="001F2A2E"/>
    <w:rsid w:val="001F3180"/>
    <w:rsid w:val="001F3356"/>
    <w:rsid w:val="001F3A99"/>
    <w:rsid w:val="001F3C63"/>
    <w:rsid w:val="001F3CBC"/>
    <w:rsid w:val="001F4141"/>
    <w:rsid w:val="001F4460"/>
    <w:rsid w:val="001F4833"/>
    <w:rsid w:val="001F5869"/>
    <w:rsid w:val="001F61A6"/>
    <w:rsid w:val="001F6398"/>
    <w:rsid w:val="001F6C96"/>
    <w:rsid w:val="001F711A"/>
    <w:rsid w:val="001F75B0"/>
    <w:rsid w:val="001F7CBE"/>
    <w:rsid w:val="0020057C"/>
    <w:rsid w:val="0020083C"/>
    <w:rsid w:val="00200CE5"/>
    <w:rsid w:val="00200F7C"/>
    <w:rsid w:val="002014DB"/>
    <w:rsid w:val="0020150B"/>
    <w:rsid w:val="00201815"/>
    <w:rsid w:val="00201D51"/>
    <w:rsid w:val="00201E12"/>
    <w:rsid w:val="00202295"/>
    <w:rsid w:val="002033B5"/>
    <w:rsid w:val="0020382C"/>
    <w:rsid w:val="0020390A"/>
    <w:rsid w:val="00203EDF"/>
    <w:rsid w:val="002042E9"/>
    <w:rsid w:val="0020437A"/>
    <w:rsid w:val="0020454C"/>
    <w:rsid w:val="00204740"/>
    <w:rsid w:val="00204942"/>
    <w:rsid w:val="00204A7B"/>
    <w:rsid w:val="00204C12"/>
    <w:rsid w:val="00205129"/>
    <w:rsid w:val="0020521F"/>
    <w:rsid w:val="0020532C"/>
    <w:rsid w:val="002065D6"/>
    <w:rsid w:val="00206AE8"/>
    <w:rsid w:val="002114C7"/>
    <w:rsid w:val="00211A7B"/>
    <w:rsid w:val="0021302C"/>
    <w:rsid w:val="002131AF"/>
    <w:rsid w:val="002139F1"/>
    <w:rsid w:val="00213B18"/>
    <w:rsid w:val="00213B1C"/>
    <w:rsid w:val="00213F1E"/>
    <w:rsid w:val="00214202"/>
    <w:rsid w:val="00214530"/>
    <w:rsid w:val="002148E3"/>
    <w:rsid w:val="002148E5"/>
    <w:rsid w:val="00214C1A"/>
    <w:rsid w:val="0021552D"/>
    <w:rsid w:val="002156AE"/>
    <w:rsid w:val="0021577B"/>
    <w:rsid w:val="00215DC7"/>
    <w:rsid w:val="00215E99"/>
    <w:rsid w:val="00217B07"/>
    <w:rsid w:val="00217C26"/>
    <w:rsid w:val="00220043"/>
    <w:rsid w:val="0022054D"/>
    <w:rsid w:val="0022107B"/>
    <w:rsid w:val="00221AFB"/>
    <w:rsid w:val="002223EB"/>
    <w:rsid w:val="002238DD"/>
    <w:rsid w:val="00223DDB"/>
    <w:rsid w:val="00223FA4"/>
    <w:rsid w:val="00223FB0"/>
    <w:rsid w:val="0022405A"/>
    <w:rsid w:val="00224067"/>
    <w:rsid w:val="0022421C"/>
    <w:rsid w:val="0022454F"/>
    <w:rsid w:val="002249D1"/>
    <w:rsid w:val="00224C4A"/>
    <w:rsid w:val="00224E83"/>
    <w:rsid w:val="00225664"/>
    <w:rsid w:val="00225F84"/>
    <w:rsid w:val="0022663D"/>
    <w:rsid w:val="00226995"/>
    <w:rsid w:val="0022755B"/>
    <w:rsid w:val="00227669"/>
    <w:rsid w:val="00227682"/>
    <w:rsid w:val="002276BA"/>
    <w:rsid w:val="00227896"/>
    <w:rsid w:val="00227C56"/>
    <w:rsid w:val="00227F2D"/>
    <w:rsid w:val="00227F52"/>
    <w:rsid w:val="00230EA4"/>
    <w:rsid w:val="00231851"/>
    <w:rsid w:val="002319FB"/>
    <w:rsid w:val="00231B89"/>
    <w:rsid w:val="00231F11"/>
    <w:rsid w:val="00231F5E"/>
    <w:rsid w:val="00232E5E"/>
    <w:rsid w:val="00233395"/>
    <w:rsid w:val="002346B4"/>
    <w:rsid w:val="00234CD9"/>
    <w:rsid w:val="00234F6E"/>
    <w:rsid w:val="002351FA"/>
    <w:rsid w:val="002355BE"/>
    <w:rsid w:val="002358EA"/>
    <w:rsid w:val="0023609B"/>
    <w:rsid w:val="00236578"/>
    <w:rsid w:val="00236A10"/>
    <w:rsid w:val="00236DE9"/>
    <w:rsid w:val="00237342"/>
    <w:rsid w:val="00237D5A"/>
    <w:rsid w:val="002401BC"/>
    <w:rsid w:val="002407BA"/>
    <w:rsid w:val="00240922"/>
    <w:rsid w:val="00240D75"/>
    <w:rsid w:val="00240F92"/>
    <w:rsid w:val="00241288"/>
    <w:rsid w:val="002412E4"/>
    <w:rsid w:val="002415AE"/>
    <w:rsid w:val="00241B38"/>
    <w:rsid w:val="00241BC7"/>
    <w:rsid w:val="00241D3C"/>
    <w:rsid w:val="00242109"/>
    <w:rsid w:val="00242B6B"/>
    <w:rsid w:val="00242F31"/>
    <w:rsid w:val="00243189"/>
    <w:rsid w:val="002439AB"/>
    <w:rsid w:val="00243C19"/>
    <w:rsid w:val="00244308"/>
    <w:rsid w:val="002448E7"/>
    <w:rsid w:val="00244AE8"/>
    <w:rsid w:val="00244DC9"/>
    <w:rsid w:val="00244EF3"/>
    <w:rsid w:val="0024531F"/>
    <w:rsid w:val="00245587"/>
    <w:rsid w:val="00245F2B"/>
    <w:rsid w:val="002460E2"/>
    <w:rsid w:val="002466CD"/>
    <w:rsid w:val="0024729B"/>
    <w:rsid w:val="00247F3A"/>
    <w:rsid w:val="00250122"/>
    <w:rsid w:val="0025024D"/>
    <w:rsid w:val="00250755"/>
    <w:rsid w:val="00251043"/>
    <w:rsid w:val="00251C4A"/>
    <w:rsid w:val="0025271C"/>
    <w:rsid w:val="0025277A"/>
    <w:rsid w:val="002533CD"/>
    <w:rsid w:val="002535EA"/>
    <w:rsid w:val="00253645"/>
    <w:rsid w:val="00253A8A"/>
    <w:rsid w:val="00254EAB"/>
    <w:rsid w:val="00255794"/>
    <w:rsid w:val="002557AF"/>
    <w:rsid w:val="0025589C"/>
    <w:rsid w:val="00255B62"/>
    <w:rsid w:val="002566B1"/>
    <w:rsid w:val="002575E3"/>
    <w:rsid w:val="00257A74"/>
    <w:rsid w:val="00257C5D"/>
    <w:rsid w:val="002603C1"/>
    <w:rsid w:val="002609A1"/>
    <w:rsid w:val="002612B1"/>
    <w:rsid w:val="00261997"/>
    <w:rsid w:val="00262B14"/>
    <w:rsid w:val="00264DF8"/>
    <w:rsid w:val="00265A12"/>
    <w:rsid w:val="00266165"/>
    <w:rsid w:val="00266A48"/>
    <w:rsid w:val="00266F2C"/>
    <w:rsid w:val="00267402"/>
    <w:rsid w:val="00267DAF"/>
    <w:rsid w:val="00270122"/>
    <w:rsid w:val="00270632"/>
    <w:rsid w:val="00270744"/>
    <w:rsid w:val="00270B87"/>
    <w:rsid w:val="0027125E"/>
    <w:rsid w:val="00271767"/>
    <w:rsid w:val="00272263"/>
    <w:rsid w:val="00272293"/>
    <w:rsid w:val="002723C8"/>
    <w:rsid w:val="00273633"/>
    <w:rsid w:val="00273C2A"/>
    <w:rsid w:val="00273CBE"/>
    <w:rsid w:val="002746B1"/>
    <w:rsid w:val="00274BAD"/>
    <w:rsid w:val="0027614E"/>
    <w:rsid w:val="002763A3"/>
    <w:rsid w:val="00276EB8"/>
    <w:rsid w:val="00277099"/>
    <w:rsid w:val="002775A6"/>
    <w:rsid w:val="002776FA"/>
    <w:rsid w:val="00277786"/>
    <w:rsid w:val="00277F6B"/>
    <w:rsid w:val="002807B0"/>
    <w:rsid w:val="00281B9B"/>
    <w:rsid w:val="00282446"/>
    <w:rsid w:val="002826C2"/>
    <w:rsid w:val="0028282C"/>
    <w:rsid w:val="00282D56"/>
    <w:rsid w:val="002835B0"/>
    <w:rsid w:val="00283C74"/>
    <w:rsid w:val="0028407E"/>
    <w:rsid w:val="0028410F"/>
    <w:rsid w:val="00284572"/>
    <w:rsid w:val="002850AA"/>
    <w:rsid w:val="00285221"/>
    <w:rsid w:val="002857F2"/>
    <w:rsid w:val="00285AB7"/>
    <w:rsid w:val="00285B31"/>
    <w:rsid w:val="00286FB5"/>
    <w:rsid w:val="00287640"/>
    <w:rsid w:val="00287763"/>
    <w:rsid w:val="00290456"/>
    <w:rsid w:val="0029047D"/>
    <w:rsid w:val="00290606"/>
    <w:rsid w:val="002908D0"/>
    <w:rsid w:val="002909B2"/>
    <w:rsid w:val="00291263"/>
    <w:rsid w:val="00291D6D"/>
    <w:rsid w:val="00291E2B"/>
    <w:rsid w:val="00291FF1"/>
    <w:rsid w:val="00292AA2"/>
    <w:rsid w:val="00293361"/>
    <w:rsid w:val="00294F10"/>
    <w:rsid w:val="002952B1"/>
    <w:rsid w:val="002956E5"/>
    <w:rsid w:val="00295D11"/>
    <w:rsid w:val="0029667A"/>
    <w:rsid w:val="00296839"/>
    <w:rsid w:val="00296F09"/>
    <w:rsid w:val="00296FB6"/>
    <w:rsid w:val="0029724C"/>
    <w:rsid w:val="00297FC7"/>
    <w:rsid w:val="002A0001"/>
    <w:rsid w:val="002A036C"/>
    <w:rsid w:val="002A09CC"/>
    <w:rsid w:val="002A0BD9"/>
    <w:rsid w:val="002A0BDB"/>
    <w:rsid w:val="002A0C3A"/>
    <w:rsid w:val="002A0DF8"/>
    <w:rsid w:val="002A0E0A"/>
    <w:rsid w:val="002A0F1C"/>
    <w:rsid w:val="002A1130"/>
    <w:rsid w:val="002A1557"/>
    <w:rsid w:val="002A1880"/>
    <w:rsid w:val="002A23B7"/>
    <w:rsid w:val="002A3950"/>
    <w:rsid w:val="002A3A57"/>
    <w:rsid w:val="002A4320"/>
    <w:rsid w:val="002A46D4"/>
    <w:rsid w:val="002A4B4F"/>
    <w:rsid w:val="002A57A8"/>
    <w:rsid w:val="002A5D75"/>
    <w:rsid w:val="002A6DEF"/>
    <w:rsid w:val="002A739E"/>
    <w:rsid w:val="002A770B"/>
    <w:rsid w:val="002A7893"/>
    <w:rsid w:val="002B013E"/>
    <w:rsid w:val="002B058D"/>
    <w:rsid w:val="002B0C16"/>
    <w:rsid w:val="002B1420"/>
    <w:rsid w:val="002B1E01"/>
    <w:rsid w:val="002B1F54"/>
    <w:rsid w:val="002B21BF"/>
    <w:rsid w:val="002B2456"/>
    <w:rsid w:val="002B2AC5"/>
    <w:rsid w:val="002B3528"/>
    <w:rsid w:val="002B3539"/>
    <w:rsid w:val="002B427F"/>
    <w:rsid w:val="002B4395"/>
    <w:rsid w:val="002B4532"/>
    <w:rsid w:val="002B4C9E"/>
    <w:rsid w:val="002B4DD9"/>
    <w:rsid w:val="002B5042"/>
    <w:rsid w:val="002B57C3"/>
    <w:rsid w:val="002B5832"/>
    <w:rsid w:val="002B612E"/>
    <w:rsid w:val="002B69CC"/>
    <w:rsid w:val="002B6D71"/>
    <w:rsid w:val="002B773F"/>
    <w:rsid w:val="002B7DC4"/>
    <w:rsid w:val="002C0389"/>
    <w:rsid w:val="002C03AE"/>
    <w:rsid w:val="002C0C1C"/>
    <w:rsid w:val="002C10A7"/>
    <w:rsid w:val="002C1190"/>
    <w:rsid w:val="002C2CC9"/>
    <w:rsid w:val="002C34F1"/>
    <w:rsid w:val="002C41BF"/>
    <w:rsid w:val="002C4B7E"/>
    <w:rsid w:val="002C5023"/>
    <w:rsid w:val="002C5424"/>
    <w:rsid w:val="002C54C2"/>
    <w:rsid w:val="002C5D34"/>
    <w:rsid w:val="002C60BB"/>
    <w:rsid w:val="002C661A"/>
    <w:rsid w:val="002D06EE"/>
    <w:rsid w:val="002D073E"/>
    <w:rsid w:val="002D0A40"/>
    <w:rsid w:val="002D0D6F"/>
    <w:rsid w:val="002D1E81"/>
    <w:rsid w:val="002D253D"/>
    <w:rsid w:val="002D25FC"/>
    <w:rsid w:val="002D3E71"/>
    <w:rsid w:val="002D4AC6"/>
    <w:rsid w:val="002D59BF"/>
    <w:rsid w:val="002D5B5A"/>
    <w:rsid w:val="002D5BF5"/>
    <w:rsid w:val="002D5C5C"/>
    <w:rsid w:val="002D5EE8"/>
    <w:rsid w:val="002D63F6"/>
    <w:rsid w:val="002D7360"/>
    <w:rsid w:val="002D750C"/>
    <w:rsid w:val="002D7648"/>
    <w:rsid w:val="002D7C80"/>
    <w:rsid w:val="002E0FCE"/>
    <w:rsid w:val="002E109C"/>
    <w:rsid w:val="002E1334"/>
    <w:rsid w:val="002E13FA"/>
    <w:rsid w:val="002E193E"/>
    <w:rsid w:val="002E1A94"/>
    <w:rsid w:val="002E1D55"/>
    <w:rsid w:val="002E25FB"/>
    <w:rsid w:val="002E26C4"/>
    <w:rsid w:val="002E2734"/>
    <w:rsid w:val="002E2AA6"/>
    <w:rsid w:val="002E306A"/>
    <w:rsid w:val="002E30A5"/>
    <w:rsid w:val="002E34EA"/>
    <w:rsid w:val="002E3B96"/>
    <w:rsid w:val="002E4114"/>
    <w:rsid w:val="002E47E4"/>
    <w:rsid w:val="002E4BF9"/>
    <w:rsid w:val="002E4D61"/>
    <w:rsid w:val="002E5045"/>
    <w:rsid w:val="002E68A7"/>
    <w:rsid w:val="002E6E6C"/>
    <w:rsid w:val="002F016E"/>
    <w:rsid w:val="002F020D"/>
    <w:rsid w:val="002F03FD"/>
    <w:rsid w:val="002F0522"/>
    <w:rsid w:val="002F16DD"/>
    <w:rsid w:val="002F199D"/>
    <w:rsid w:val="002F213C"/>
    <w:rsid w:val="002F2453"/>
    <w:rsid w:val="002F2607"/>
    <w:rsid w:val="002F33D2"/>
    <w:rsid w:val="002F352D"/>
    <w:rsid w:val="002F381E"/>
    <w:rsid w:val="002F3C58"/>
    <w:rsid w:val="002F4084"/>
    <w:rsid w:val="002F4A08"/>
    <w:rsid w:val="002F4ADB"/>
    <w:rsid w:val="002F531E"/>
    <w:rsid w:val="002F548D"/>
    <w:rsid w:val="002F54FB"/>
    <w:rsid w:val="002F5ACC"/>
    <w:rsid w:val="002F66F9"/>
    <w:rsid w:val="002F6B6C"/>
    <w:rsid w:val="002F704B"/>
    <w:rsid w:val="002F72C3"/>
    <w:rsid w:val="002F768C"/>
    <w:rsid w:val="002F7D1E"/>
    <w:rsid w:val="002F7E89"/>
    <w:rsid w:val="00300201"/>
    <w:rsid w:val="0030025A"/>
    <w:rsid w:val="0030052F"/>
    <w:rsid w:val="00300A58"/>
    <w:rsid w:val="00300BF2"/>
    <w:rsid w:val="00302467"/>
    <w:rsid w:val="00302493"/>
    <w:rsid w:val="00302991"/>
    <w:rsid w:val="00302EFC"/>
    <w:rsid w:val="00303243"/>
    <w:rsid w:val="00303BCC"/>
    <w:rsid w:val="00303BEF"/>
    <w:rsid w:val="00303F2B"/>
    <w:rsid w:val="00303F8D"/>
    <w:rsid w:val="00304ACB"/>
    <w:rsid w:val="0030572D"/>
    <w:rsid w:val="0030586A"/>
    <w:rsid w:val="00305A5E"/>
    <w:rsid w:val="0030622D"/>
    <w:rsid w:val="00306811"/>
    <w:rsid w:val="00306F32"/>
    <w:rsid w:val="003074C5"/>
    <w:rsid w:val="00307A3C"/>
    <w:rsid w:val="00307FA4"/>
    <w:rsid w:val="00310178"/>
    <w:rsid w:val="00310290"/>
    <w:rsid w:val="003103B1"/>
    <w:rsid w:val="00310948"/>
    <w:rsid w:val="00310CC1"/>
    <w:rsid w:val="003118A8"/>
    <w:rsid w:val="00312504"/>
    <w:rsid w:val="00312B89"/>
    <w:rsid w:val="00313026"/>
    <w:rsid w:val="0031312C"/>
    <w:rsid w:val="00313913"/>
    <w:rsid w:val="00313DAA"/>
    <w:rsid w:val="0031421F"/>
    <w:rsid w:val="0031466A"/>
    <w:rsid w:val="00314B31"/>
    <w:rsid w:val="003151F4"/>
    <w:rsid w:val="00315569"/>
    <w:rsid w:val="00315A65"/>
    <w:rsid w:val="003165D7"/>
    <w:rsid w:val="0031666B"/>
    <w:rsid w:val="00316ABE"/>
    <w:rsid w:val="00317601"/>
    <w:rsid w:val="003179CC"/>
    <w:rsid w:val="00317BA7"/>
    <w:rsid w:val="00317EB1"/>
    <w:rsid w:val="003204AE"/>
    <w:rsid w:val="00320BE2"/>
    <w:rsid w:val="00321886"/>
    <w:rsid w:val="00321956"/>
    <w:rsid w:val="00321EDC"/>
    <w:rsid w:val="003226AC"/>
    <w:rsid w:val="003231DC"/>
    <w:rsid w:val="00323694"/>
    <w:rsid w:val="00323BE7"/>
    <w:rsid w:val="00324B26"/>
    <w:rsid w:val="00324C3A"/>
    <w:rsid w:val="00324D63"/>
    <w:rsid w:val="0032547C"/>
    <w:rsid w:val="003255AF"/>
    <w:rsid w:val="003256EB"/>
    <w:rsid w:val="003259DB"/>
    <w:rsid w:val="0032795B"/>
    <w:rsid w:val="003303CD"/>
    <w:rsid w:val="003307BE"/>
    <w:rsid w:val="003314D9"/>
    <w:rsid w:val="00331653"/>
    <w:rsid w:val="00331A48"/>
    <w:rsid w:val="00331BCC"/>
    <w:rsid w:val="00332311"/>
    <w:rsid w:val="003330C9"/>
    <w:rsid w:val="0033364C"/>
    <w:rsid w:val="00334415"/>
    <w:rsid w:val="003345DA"/>
    <w:rsid w:val="00334972"/>
    <w:rsid w:val="00335C1B"/>
    <w:rsid w:val="00335EA1"/>
    <w:rsid w:val="0033691E"/>
    <w:rsid w:val="00336A6A"/>
    <w:rsid w:val="00336CCB"/>
    <w:rsid w:val="00340B4B"/>
    <w:rsid w:val="003411D1"/>
    <w:rsid w:val="003416BA"/>
    <w:rsid w:val="00342148"/>
    <w:rsid w:val="00342658"/>
    <w:rsid w:val="003427BE"/>
    <w:rsid w:val="00342F99"/>
    <w:rsid w:val="00343016"/>
    <w:rsid w:val="003432EE"/>
    <w:rsid w:val="00343749"/>
    <w:rsid w:val="00343AEA"/>
    <w:rsid w:val="003444BF"/>
    <w:rsid w:val="00344D99"/>
    <w:rsid w:val="0034575A"/>
    <w:rsid w:val="00345F1D"/>
    <w:rsid w:val="00345F57"/>
    <w:rsid w:val="003461A7"/>
    <w:rsid w:val="00346CC8"/>
    <w:rsid w:val="00350458"/>
    <w:rsid w:val="00350E6C"/>
    <w:rsid w:val="00350F55"/>
    <w:rsid w:val="0035153C"/>
    <w:rsid w:val="003518A6"/>
    <w:rsid w:val="00351E7F"/>
    <w:rsid w:val="00352953"/>
    <w:rsid w:val="00353D83"/>
    <w:rsid w:val="00353D91"/>
    <w:rsid w:val="00354062"/>
    <w:rsid w:val="0035459E"/>
    <w:rsid w:val="00354AE9"/>
    <w:rsid w:val="00355527"/>
    <w:rsid w:val="00355C0D"/>
    <w:rsid w:val="003560A6"/>
    <w:rsid w:val="003566A9"/>
    <w:rsid w:val="00356988"/>
    <w:rsid w:val="003569D3"/>
    <w:rsid w:val="00356CE9"/>
    <w:rsid w:val="003570BB"/>
    <w:rsid w:val="00357128"/>
    <w:rsid w:val="00357377"/>
    <w:rsid w:val="0035755E"/>
    <w:rsid w:val="00357A80"/>
    <w:rsid w:val="00360116"/>
    <w:rsid w:val="00361441"/>
    <w:rsid w:val="00361B8B"/>
    <w:rsid w:val="00363F39"/>
    <w:rsid w:val="003640FC"/>
    <w:rsid w:val="0036445C"/>
    <w:rsid w:val="00364627"/>
    <w:rsid w:val="00364AB0"/>
    <w:rsid w:val="00364B13"/>
    <w:rsid w:val="00364D71"/>
    <w:rsid w:val="00365D7A"/>
    <w:rsid w:val="003667B0"/>
    <w:rsid w:val="003667DD"/>
    <w:rsid w:val="00366B48"/>
    <w:rsid w:val="00366D71"/>
    <w:rsid w:val="003674FB"/>
    <w:rsid w:val="0036774D"/>
    <w:rsid w:val="00367764"/>
    <w:rsid w:val="003678D7"/>
    <w:rsid w:val="00370316"/>
    <w:rsid w:val="003704EC"/>
    <w:rsid w:val="00370DC7"/>
    <w:rsid w:val="003713D7"/>
    <w:rsid w:val="003714AC"/>
    <w:rsid w:val="00371CBD"/>
    <w:rsid w:val="00371F20"/>
    <w:rsid w:val="003721E3"/>
    <w:rsid w:val="00372B98"/>
    <w:rsid w:val="003732DC"/>
    <w:rsid w:val="003737B7"/>
    <w:rsid w:val="003740CC"/>
    <w:rsid w:val="003745F4"/>
    <w:rsid w:val="0037491A"/>
    <w:rsid w:val="00374E79"/>
    <w:rsid w:val="0037529A"/>
    <w:rsid w:val="00375388"/>
    <w:rsid w:val="00375496"/>
    <w:rsid w:val="00375559"/>
    <w:rsid w:val="00375FB9"/>
    <w:rsid w:val="00376170"/>
    <w:rsid w:val="003762F9"/>
    <w:rsid w:val="003766DE"/>
    <w:rsid w:val="00376851"/>
    <w:rsid w:val="00376FA2"/>
    <w:rsid w:val="00377133"/>
    <w:rsid w:val="00377A3B"/>
    <w:rsid w:val="00377B8B"/>
    <w:rsid w:val="00377E3C"/>
    <w:rsid w:val="00377F89"/>
    <w:rsid w:val="00380874"/>
    <w:rsid w:val="00380878"/>
    <w:rsid w:val="003809D4"/>
    <w:rsid w:val="00380BBE"/>
    <w:rsid w:val="00380EA3"/>
    <w:rsid w:val="00381243"/>
    <w:rsid w:val="00381B1B"/>
    <w:rsid w:val="00381D70"/>
    <w:rsid w:val="00382144"/>
    <w:rsid w:val="0038235E"/>
    <w:rsid w:val="0038260A"/>
    <w:rsid w:val="003826AC"/>
    <w:rsid w:val="003829D0"/>
    <w:rsid w:val="0038326A"/>
    <w:rsid w:val="0038444F"/>
    <w:rsid w:val="00384BB9"/>
    <w:rsid w:val="0038519A"/>
    <w:rsid w:val="003861F0"/>
    <w:rsid w:val="00386EE5"/>
    <w:rsid w:val="00387051"/>
    <w:rsid w:val="003876F0"/>
    <w:rsid w:val="00387ECF"/>
    <w:rsid w:val="003901EA"/>
    <w:rsid w:val="0039021B"/>
    <w:rsid w:val="00390353"/>
    <w:rsid w:val="00390429"/>
    <w:rsid w:val="003906A0"/>
    <w:rsid w:val="00390D91"/>
    <w:rsid w:val="00390DBB"/>
    <w:rsid w:val="00390F1A"/>
    <w:rsid w:val="00391413"/>
    <w:rsid w:val="00391A48"/>
    <w:rsid w:val="003923D5"/>
    <w:rsid w:val="00392AF4"/>
    <w:rsid w:val="00392D1F"/>
    <w:rsid w:val="00392D35"/>
    <w:rsid w:val="003931AF"/>
    <w:rsid w:val="0039338D"/>
    <w:rsid w:val="0039366C"/>
    <w:rsid w:val="00393C4C"/>
    <w:rsid w:val="00393EC8"/>
    <w:rsid w:val="00394EC7"/>
    <w:rsid w:val="003951CB"/>
    <w:rsid w:val="00395E42"/>
    <w:rsid w:val="00396409"/>
    <w:rsid w:val="00396A2D"/>
    <w:rsid w:val="00396FC3"/>
    <w:rsid w:val="003972F3"/>
    <w:rsid w:val="0039779B"/>
    <w:rsid w:val="003A0291"/>
    <w:rsid w:val="003A13E2"/>
    <w:rsid w:val="003A1431"/>
    <w:rsid w:val="003A1A94"/>
    <w:rsid w:val="003A1B38"/>
    <w:rsid w:val="003A1FF5"/>
    <w:rsid w:val="003A204E"/>
    <w:rsid w:val="003A2B19"/>
    <w:rsid w:val="003A2D25"/>
    <w:rsid w:val="003A2DB1"/>
    <w:rsid w:val="003A5101"/>
    <w:rsid w:val="003A5265"/>
    <w:rsid w:val="003A5715"/>
    <w:rsid w:val="003A5728"/>
    <w:rsid w:val="003A60E7"/>
    <w:rsid w:val="003A6AE2"/>
    <w:rsid w:val="003A7092"/>
    <w:rsid w:val="003A72A1"/>
    <w:rsid w:val="003A7302"/>
    <w:rsid w:val="003A7566"/>
    <w:rsid w:val="003A7611"/>
    <w:rsid w:val="003A7A46"/>
    <w:rsid w:val="003A7D1F"/>
    <w:rsid w:val="003B0A4E"/>
    <w:rsid w:val="003B0B6A"/>
    <w:rsid w:val="003B0C41"/>
    <w:rsid w:val="003B129D"/>
    <w:rsid w:val="003B1509"/>
    <w:rsid w:val="003B22F7"/>
    <w:rsid w:val="003B2518"/>
    <w:rsid w:val="003B29CF"/>
    <w:rsid w:val="003B2A86"/>
    <w:rsid w:val="003B3A90"/>
    <w:rsid w:val="003B3D01"/>
    <w:rsid w:val="003B4003"/>
    <w:rsid w:val="003B455A"/>
    <w:rsid w:val="003B534F"/>
    <w:rsid w:val="003B6C60"/>
    <w:rsid w:val="003B7A79"/>
    <w:rsid w:val="003C0FE1"/>
    <w:rsid w:val="003C1016"/>
    <w:rsid w:val="003C151A"/>
    <w:rsid w:val="003C17F0"/>
    <w:rsid w:val="003C1D27"/>
    <w:rsid w:val="003C2A23"/>
    <w:rsid w:val="003C33A0"/>
    <w:rsid w:val="003C350C"/>
    <w:rsid w:val="003C3733"/>
    <w:rsid w:val="003C3903"/>
    <w:rsid w:val="003C3BA0"/>
    <w:rsid w:val="003C4580"/>
    <w:rsid w:val="003C51C0"/>
    <w:rsid w:val="003C553C"/>
    <w:rsid w:val="003C5C5E"/>
    <w:rsid w:val="003C65C0"/>
    <w:rsid w:val="003C65D3"/>
    <w:rsid w:val="003C6692"/>
    <w:rsid w:val="003C6746"/>
    <w:rsid w:val="003C7555"/>
    <w:rsid w:val="003C7898"/>
    <w:rsid w:val="003C7A17"/>
    <w:rsid w:val="003D0FF5"/>
    <w:rsid w:val="003D11A3"/>
    <w:rsid w:val="003D1537"/>
    <w:rsid w:val="003D183C"/>
    <w:rsid w:val="003D2D1B"/>
    <w:rsid w:val="003D2F09"/>
    <w:rsid w:val="003D3558"/>
    <w:rsid w:val="003D36C0"/>
    <w:rsid w:val="003D40E5"/>
    <w:rsid w:val="003D48C7"/>
    <w:rsid w:val="003D4C27"/>
    <w:rsid w:val="003D572F"/>
    <w:rsid w:val="003D594C"/>
    <w:rsid w:val="003D6BEB"/>
    <w:rsid w:val="003D7109"/>
    <w:rsid w:val="003D71D7"/>
    <w:rsid w:val="003D7CE8"/>
    <w:rsid w:val="003E0514"/>
    <w:rsid w:val="003E0BAA"/>
    <w:rsid w:val="003E1032"/>
    <w:rsid w:val="003E1904"/>
    <w:rsid w:val="003E25B5"/>
    <w:rsid w:val="003E285E"/>
    <w:rsid w:val="003E2BD8"/>
    <w:rsid w:val="003E3124"/>
    <w:rsid w:val="003E3300"/>
    <w:rsid w:val="003E371E"/>
    <w:rsid w:val="003E3BC7"/>
    <w:rsid w:val="003E43D3"/>
    <w:rsid w:val="003E48E1"/>
    <w:rsid w:val="003E4F68"/>
    <w:rsid w:val="003E50F4"/>
    <w:rsid w:val="003E59BB"/>
    <w:rsid w:val="003E6225"/>
    <w:rsid w:val="003E65AC"/>
    <w:rsid w:val="003E66AE"/>
    <w:rsid w:val="003E6CFE"/>
    <w:rsid w:val="003E7160"/>
    <w:rsid w:val="003E72B9"/>
    <w:rsid w:val="003E7612"/>
    <w:rsid w:val="003E7ED4"/>
    <w:rsid w:val="003F0187"/>
    <w:rsid w:val="003F0CAA"/>
    <w:rsid w:val="003F0E52"/>
    <w:rsid w:val="003F0F6B"/>
    <w:rsid w:val="003F1DCD"/>
    <w:rsid w:val="003F1FC6"/>
    <w:rsid w:val="003F1FE3"/>
    <w:rsid w:val="003F2112"/>
    <w:rsid w:val="003F2359"/>
    <w:rsid w:val="003F2457"/>
    <w:rsid w:val="003F3232"/>
    <w:rsid w:val="003F3369"/>
    <w:rsid w:val="003F359A"/>
    <w:rsid w:val="003F3865"/>
    <w:rsid w:val="003F38AC"/>
    <w:rsid w:val="003F3D55"/>
    <w:rsid w:val="003F44E2"/>
    <w:rsid w:val="003F4632"/>
    <w:rsid w:val="003F47BA"/>
    <w:rsid w:val="003F49F3"/>
    <w:rsid w:val="003F4FE6"/>
    <w:rsid w:val="003F5638"/>
    <w:rsid w:val="003F5B7B"/>
    <w:rsid w:val="003F6617"/>
    <w:rsid w:val="003F7305"/>
    <w:rsid w:val="003F7F36"/>
    <w:rsid w:val="00400A58"/>
    <w:rsid w:val="00400E70"/>
    <w:rsid w:val="00402332"/>
    <w:rsid w:val="004025C2"/>
    <w:rsid w:val="00402887"/>
    <w:rsid w:val="00402FB7"/>
    <w:rsid w:val="00403195"/>
    <w:rsid w:val="004033A9"/>
    <w:rsid w:val="00403E55"/>
    <w:rsid w:val="0040407C"/>
    <w:rsid w:val="0040416C"/>
    <w:rsid w:val="004041CA"/>
    <w:rsid w:val="004044B4"/>
    <w:rsid w:val="00404681"/>
    <w:rsid w:val="004048F9"/>
    <w:rsid w:val="00404A80"/>
    <w:rsid w:val="00404B32"/>
    <w:rsid w:val="00405445"/>
    <w:rsid w:val="0040579D"/>
    <w:rsid w:val="00405AC1"/>
    <w:rsid w:val="0040675A"/>
    <w:rsid w:val="00406923"/>
    <w:rsid w:val="00406E1E"/>
    <w:rsid w:val="0040763D"/>
    <w:rsid w:val="0041038E"/>
    <w:rsid w:val="00410D17"/>
    <w:rsid w:val="0041183A"/>
    <w:rsid w:val="00412656"/>
    <w:rsid w:val="00412AA9"/>
    <w:rsid w:val="00413442"/>
    <w:rsid w:val="00413821"/>
    <w:rsid w:val="00413BA5"/>
    <w:rsid w:val="004141A3"/>
    <w:rsid w:val="00414909"/>
    <w:rsid w:val="0041582F"/>
    <w:rsid w:val="00415AC9"/>
    <w:rsid w:val="00415CF3"/>
    <w:rsid w:val="00416112"/>
    <w:rsid w:val="004167AD"/>
    <w:rsid w:val="0041716A"/>
    <w:rsid w:val="0041745E"/>
    <w:rsid w:val="00417A18"/>
    <w:rsid w:val="00417AE0"/>
    <w:rsid w:val="00417BAA"/>
    <w:rsid w:val="00417E8E"/>
    <w:rsid w:val="0042042B"/>
    <w:rsid w:val="00420B45"/>
    <w:rsid w:val="00420D7A"/>
    <w:rsid w:val="00421257"/>
    <w:rsid w:val="00421621"/>
    <w:rsid w:val="00422193"/>
    <w:rsid w:val="004223DE"/>
    <w:rsid w:val="00422645"/>
    <w:rsid w:val="00422A10"/>
    <w:rsid w:val="0042496A"/>
    <w:rsid w:val="00424D17"/>
    <w:rsid w:val="004259FC"/>
    <w:rsid w:val="00425DFD"/>
    <w:rsid w:val="00425EA9"/>
    <w:rsid w:val="004263A3"/>
    <w:rsid w:val="0042711B"/>
    <w:rsid w:val="00427713"/>
    <w:rsid w:val="00427C77"/>
    <w:rsid w:val="00427CCC"/>
    <w:rsid w:val="0043013A"/>
    <w:rsid w:val="00430421"/>
    <w:rsid w:val="00430A36"/>
    <w:rsid w:val="00430B4F"/>
    <w:rsid w:val="00431084"/>
    <w:rsid w:val="004310D7"/>
    <w:rsid w:val="0043180D"/>
    <w:rsid w:val="00431FF2"/>
    <w:rsid w:val="004322D6"/>
    <w:rsid w:val="0043254E"/>
    <w:rsid w:val="00432589"/>
    <w:rsid w:val="00432A94"/>
    <w:rsid w:val="00432C95"/>
    <w:rsid w:val="00433359"/>
    <w:rsid w:val="00433827"/>
    <w:rsid w:val="00433A40"/>
    <w:rsid w:val="00433AEA"/>
    <w:rsid w:val="00434B70"/>
    <w:rsid w:val="004355EF"/>
    <w:rsid w:val="004360C8"/>
    <w:rsid w:val="00436823"/>
    <w:rsid w:val="004371D5"/>
    <w:rsid w:val="0043773F"/>
    <w:rsid w:val="00437FBF"/>
    <w:rsid w:val="0044006B"/>
    <w:rsid w:val="0044033F"/>
    <w:rsid w:val="00440576"/>
    <w:rsid w:val="00440630"/>
    <w:rsid w:val="00440D6B"/>
    <w:rsid w:val="00440E07"/>
    <w:rsid w:val="0044142F"/>
    <w:rsid w:val="00441F0F"/>
    <w:rsid w:val="00442965"/>
    <w:rsid w:val="004432B6"/>
    <w:rsid w:val="00444081"/>
    <w:rsid w:val="00444157"/>
    <w:rsid w:val="0044417C"/>
    <w:rsid w:val="00444DB3"/>
    <w:rsid w:val="00445617"/>
    <w:rsid w:val="00445A2F"/>
    <w:rsid w:val="004463FF"/>
    <w:rsid w:val="0044648F"/>
    <w:rsid w:val="0044680A"/>
    <w:rsid w:val="0044684E"/>
    <w:rsid w:val="00446A4F"/>
    <w:rsid w:val="00446F22"/>
    <w:rsid w:val="00447C74"/>
    <w:rsid w:val="00447E41"/>
    <w:rsid w:val="0045019F"/>
    <w:rsid w:val="004503A4"/>
    <w:rsid w:val="00450555"/>
    <w:rsid w:val="004506FA"/>
    <w:rsid w:val="004507B6"/>
    <w:rsid w:val="00450BC8"/>
    <w:rsid w:val="00450DC6"/>
    <w:rsid w:val="004516A5"/>
    <w:rsid w:val="00451E9C"/>
    <w:rsid w:val="00452145"/>
    <w:rsid w:val="004522D0"/>
    <w:rsid w:val="0045280F"/>
    <w:rsid w:val="00452E73"/>
    <w:rsid w:val="004533F6"/>
    <w:rsid w:val="004535AE"/>
    <w:rsid w:val="004537F7"/>
    <w:rsid w:val="00453C53"/>
    <w:rsid w:val="0045444D"/>
    <w:rsid w:val="0045463A"/>
    <w:rsid w:val="00454AC9"/>
    <w:rsid w:val="00455050"/>
    <w:rsid w:val="004554A3"/>
    <w:rsid w:val="00455626"/>
    <w:rsid w:val="00455A6E"/>
    <w:rsid w:val="00455AC4"/>
    <w:rsid w:val="00455EAD"/>
    <w:rsid w:val="004578EB"/>
    <w:rsid w:val="00457F74"/>
    <w:rsid w:val="004604D5"/>
    <w:rsid w:val="004605C6"/>
    <w:rsid w:val="00460697"/>
    <w:rsid w:val="0046117B"/>
    <w:rsid w:val="004619A3"/>
    <w:rsid w:val="00461FC2"/>
    <w:rsid w:val="004632B9"/>
    <w:rsid w:val="004644A4"/>
    <w:rsid w:val="00464AB7"/>
    <w:rsid w:val="00465959"/>
    <w:rsid w:val="004659D0"/>
    <w:rsid w:val="00465DE5"/>
    <w:rsid w:val="00466103"/>
    <w:rsid w:val="004676DF"/>
    <w:rsid w:val="00467A83"/>
    <w:rsid w:val="00467EF8"/>
    <w:rsid w:val="00470006"/>
    <w:rsid w:val="00470611"/>
    <w:rsid w:val="00470848"/>
    <w:rsid w:val="00470CAB"/>
    <w:rsid w:val="00471796"/>
    <w:rsid w:val="00471AC3"/>
    <w:rsid w:val="00472429"/>
    <w:rsid w:val="004725E5"/>
    <w:rsid w:val="00472751"/>
    <w:rsid w:val="00473128"/>
    <w:rsid w:val="004748A5"/>
    <w:rsid w:val="00475078"/>
    <w:rsid w:val="00475767"/>
    <w:rsid w:val="00475A4F"/>
    <w:rsid w:val="0047611A"/>
    <w:rsid w:val="00476FC2"/>
    <w:rsid w:val="004779A0"/>
    <w:rsid w:val="00477F17"/>
    <w:rsid w:val="00480362"/>
    <w:rsid w:val="00480363"/>
    <w:rsid w:val="004808E3"/>
    <w:rsid w:val="00480B7E"/>
    <w:rsid w:val="00480CFE"/>
    <w:rsid w:val="00481016"/>
    <w:rsid w:val="0048124C"/>
    <w:rsid w:val="0048204C"/>
    <w:rsid w:val="004821BB"/>
    <w:rsid w:val="0048237A"/>
    <w:rsid w:val="004826FE"/>
    <w:rsid w:val="004827D5"/>
    <w:rsid w:val="00482AF2"/>
    <w:rsid w:val="004830C9"/>
    <w:rsid w:val="00483347"/>
    <w:rsid w:val="00483E2E"/>
    <w:rsid w:val="00484B69"/>
    <w:rsid w:val="0048529F"/>
    <w:rsid w:val="00485406"/>
    <w:rsid w:val="0048590F"/>
    <w:rsid w:val="004864D4"/>
    <w:rsid w:val="00486D60"/>
    <w:rsid w:val="00486DBC"/>
    <w:rsid w:val="00487180"/>
    <w:rsid w:val="00487BA1"/>
    <w:rsid w:val="0049155D"/>
    <w:rsid w:val="00491FA1"/>
    <w:rsid w:val="00492A25"/>
    <w:rsid w:val="004938A3"/>
    <w:rsid w:val="004950A6"/>
    <w:rsid w:val="0049558B"/>
    <w:rsid w:val="00496350"/>
    <w:rsid w:val="00496F9C"/>
    <w:rsid w:val="00497357"/>
    <w:rsid w:val="0049765E"/>
    <w:rsid w:val="00497843"/>
    <w:rsid w:val="0049797C"/>
    <w:rsid w:val="004A1405"/>
    <w:rsid w:val="004A15BD"/>
    <w:rsid w:val="004A1E28"/>
    <w:rsid w:val="004A1FC6"/>
    <w:rsid w:val="004A2E5F"/>
    <w:rsid w:val="004A38C2"/>
    <w:rsid w:val="004A3968"/>
    <w:rsid w:val="004A3C03"/>
    <w:rsid w:val="004A3DB7"/>
    <w:rsid w:val="004A463B"/>
    <w:rsid w:val="004A5088"/>
    <w:rsid w:val="004A50E5"/>
    <w:rsid w:val="004A5255"/>
    <w:rsid w:val="004A61CA"/>
    <w:rsid w:val="004A6B28"/>
    <w:rsid w:val="004A6CB0"/>
    <w:rsid w:val="004A70FF"/>
    <w:rsid w:val="004A76C3"/>
    <w:rsid w:val="004A77B5"/>
    <w:rsid w:val="004A7EDE"/>
    <w:rsid w:val="004B0283"/>
    <w:rsid w:val="004B0D93"/>
    <w:rsid w:val="004B19C8"/>
    <w:rsid w:val="004B1FA4"/>
    <w:rsid w:val="004B29AC"/>
    <w:rsid w:val="004B2AD4"/>
    <w:rsid w:val="004B35DF"/>
    <w:rsid w:val="004B3627"/>
    <w:rsid w:val="004B3837"/>
    <w:rsid w:val="004B3EEA"/>
    <w:rsid w:val="004B4922"/>
    <w:rsid w:val="004B52E0"/>
    <w:rsid w:val="004B57DF"/>
    <w:rsid w:val="004B5976"/>
    <w:rsid w:val="004B6E54"/>
    <w:rsid w:val="004B722E"/>
    <w:rsid w:val="004B72E8"/>
    <w:rsid w:val="004B7661"/>
    <w:rsid w:val="004B771A"/>
    <w:rsid w:val="004C01A5"/>
    <w:rsid w:val="004C0412"/>
    <w:rsid w:val="004C0882"/>
    <w:rsid w:val="004C2138"/>
    <w:rsid w:val="004C2B69"/>
    <w:rsid w:val="004C302E"/>
    <w:rsid w:val="004C3940"/>
    <w:rsid w:val="004C51FD"/>
    <w:rsid w:val="004C5ED7"/>
    <w:rsid w:val="004C64B8"/>
    <w:rsid w:val="004C65A8"/>
    <w:rsid w:val="004C6689"/>
    <w:rsid w:val="004C6BF3"/>
    <w:rsid w:val="004C7408"/>
    <w:rsid w:val="004C7850"/>
    <w:rsid w:val="004D0479"/>
    <w:rsid w:val="004D139A"/>
    <w:rsid w:val="004D14DC"/>
    <w:rsid w:val="004D17C6"/>
    <w:rsid w:val="004D1FB2"/>
    <w:rsid w:val="004D2858"/>
    <w:rsid w:val="004D2E49"/>
    <w:rsid w:val="004D35BA"/>
    <w:rsid w:val="004D36FC"/>
    <w:rsid w:val="004D38E5"/>
    <w:rsid w:val="004D3A48"/>
    <w:rsid w:val="004D3C5A"/>
    <w:rsid w:val="004D449A"/>
    <w:rsid w:val="004D4701"/>
    <w:rsid w:val="004D47C7"/>
    <w:rsid w:val="004D4B2B"/>
    <w:rsid w:val="004D4F35"/>
    <w:rsid w:val="004D51EE"/>
    <w:rsid w:val="004D5C03"/>
    <w:rsid w:val="004D5D45"/>
    <w:rsid w:val="004D618D"/>
    <w:rsid w:val="004D62A9"/>
    <w:rsid w:val="004D6FC3"/>
    <w:rsid w:val="004D7476"/>
    <w:rsid w:val="004D7716"/>
    <w:rsid w:val="004E0167"/>
    <w:rsid w:val="004E0306"/>
    <w:rsid w:val="004E0572"/>
    <w:rsid w:val="004E07BD"/>
    <w:rsid w:val="004E086D"/>
    <w:rsid w:val="004E1641"/>
    <w:rsid w:val="004E1818"/>
    <w:rsid w:val="004E1990"/>
    <w:rsid w:val="004E2186"/>
    <w:rsid w:val="004E25A8"/>
    <w:rsid w:val="004E299B"/>
    <w:rsid w:val="004E29E6"/>
    <w:rsid w:val="004E2A77"/>
    <w:rsid w:val="004E2B53"/>
    <w:rsid w:val="004E3672"/>
    <w:rsid w:val="004E3930"/>
    <w:rsid w:val="004E3A23"/>
    <w:rsid w:val="004E3ED9"/>
    <w:rsid w:val="004E4961"/>
    <w:rsid w:val="004E5866"/>
    <w:rsid w:val="004E6097"/>
    <w:rsid w:val="004E61EF"/>
    <w:rsid w:val="004E63C6"/>
    <w:rsid w:val="004E6805"/>
    <w:rsid w:val="004E76A7"/>
    <w:rsid w:val="004E7B03"/>
    <w:rsid w:val="004E7F95"/>
    <w:rsid w:val="004F0064"/>
    <w:rsid w:val="004F06AC"/>
    <w:rsid w:val="004F0E50"/>
    <w:rsid w:val="004F1D2A"/>
    <w:rsid w:val="004F243F"/>
    <w:rsid w:val="004F252C"/>
    <w:rsid w:val="004F36A3"/>
    <w:rsid w:val="004F3E0C"/>
    <w:rsid w:val="004F4036"/>
    <w:rsid w:val="004F4308"/>
    <w:rsid w:val="004F4892"/>
    <w:rsid w:val="004F4D2C"/>
    <w:rsid w:val="004F5C3B"/>
    <w:rsid w:val="004F5DA0"/>
    <w:rsid w:val="004F7160"/>
    <w:rsid w:val="00500258"/>
    <w:rsid w:val="00500B2D"/>
    <w:rsid w:val="00500EC6"/>
    <w:rsid w:val="0050130B"/>
    <w:rsid w:val="00501A99"/>
    <w:rsid w:val="00501F1D"/>
    <w:rsid w:val="005021EB"/>
    <w:rsid w:val="005021F2"/>
    <w:rsid w:val="00502219"/>
    <w:rsid w:val="00502456"/>
    <w:rsid w:val="00503180"/>
    <w:rsid w:val="0050336B"/>
    <w:rsid w:val="005038A4"/>
    <w:rsid w:val="00503DC4"/>
    <w:rsid w:val="00504AF6"/>
    <w:rsid w:val="00504C56"/>
    <w:rsid w:val="00504CD4"/>
    <w:rsid w:val="0050524B"/>
    <w:rsid w:val="00505450"/>
    <w:rsid w:val="00505FC6"/>
    <w:rsid w:val="00506DA6"/>
    <w:rsid w:val="00507170"/>
    <w:rsid w:val="005100B7"/>
    <w:rsid w:val="005105DE"/>
    <w:rsid w:val="005113C9"/>
    <w:rsid w:val="00511ACD"/>
    <w:rsid w:val="00512050"/>
    <w:rsid w:val="00512055"/>
    <w:rsid w:val="0051280C"/>
    <w:rsid w:val="00512842"/>
    <w:rsid w:val="005128BE"/>
    <w:rsid w:val="0051356F"/>
    <w:rsid w:val="00513DEC"/>
    <w:rsid w:val="00513E7C"/>
    <w:rsid w:val="005140BB"/>
    <w:rsid w:val="00514FBE"/>
    <w:rsid w:val="00514FD9"/>
    <w:rsid w:val="005154BB"/>
    <w:rsid w:val="0051550A"/>
    <w:rsid w:val="00515B92"/>
    <w:rsid w:val="00515E31"/>
    <w:rsid w:val="0051608F"/>
    <w:rsid w:val="00516480"/>
    <w:rsid w:val="005171F4"/>
    <w:rsid w:val="005173D3"/>
    <w:rsid w:val="00517A4E"/>
    <w:rsid w:val="00520EF8"/>
    <w:rsid w:val="005210F7"/>
    <w:rsid w:val="00521753"/>
    <w:rsid w:val="00521C64"/>
    <w:rsid w:val="00522083"/>
    <w:rsid w:val="0052239D"/>
    <w:rsid w:val="005224EE"/>
    <w:rsid w:val="00522879"/>
    <w:rsid w:val="005229AD"/>
    <w:rsid w:val="00522FFE"/>
    <w:rsid w:val="0052363A"/>
    <w:rsid w:val="00523BB1"/>
    <w:rsid w:val="005241A0"/>
    <w:rsid w:val="00524B23"/>
    <w:rsid w:val="0052511C"/>
    <w:rsid w:val="00525235"/>
    <w:rsid w:val="0052570E"/>
    <w:rsid w:val="005260CD"/>
    <w:rsid w:val="00526265"/>
    <w:rsid w:val="00526332"/>
    <w:rsid w:val="0052655D"/>
    <w:rsid w:val="005265E0"/>
    <w:rsid w:val="00526BC3"/>
    <w:rsid w:val="00530064"/>
    <w:rsid w:val="00530440"/>
    <w:rsid w:val="005305D2"/>
    <w:rsid w:val="00530691"/>
    <w:rsid w:val="0053085C"/>
    <w:rsid w:val="00530FF0"/>
    <w:rsid w:val="005313CA"/>
    <w:rsid w:val="00531761"/>
    <w:rsid w:val="0053248F"/>
    <w:rsid w:val="005327AB"/>
    <w:rsid w:val="00532F9C"/>
    <w:rsid w:val="00533055"/>
    <w:rsid w:val="0053332A"/>
    <w:rsid w:val="0053358A"/>
    <w:rsid w:val="005344A5"/>
    <w:rsid w:val="00534668"/>
    <w:rsid w:val="005348CA"/>
    <w:rsid w:val="00534B28"/>
    <w:rsid w:val="00534DDD"/>
    <w:rsid w:val="00535291"/>
    <w:rsid w:val="00535A94"/>
    <w:rsid w:val="00536A40"/>
    <w:rsid w:val="00537874"/>
    <w:rsid w:val="0053795F"/>
    <w:rsid w:val="00537D3D"/>
    <w:rsid w:val="00540511"/>
    <w:rsid w:val="00540578"/>
    <w:rsid w:val="00540808"/>
    <w:rsid w:val="0054080E"/>
    <w:rsid w:val="00540D1A"/>
    <w:rsid w:val="00540DE5"/>
    <w:rsid w:val="00540EA1"/>
    <w:rsid w:val="00541E5A"/>
    <w:rsid w:val="00542769"/>
    <w:rsid w:val="0054277D"/>
    <w:rsid w:val="0054298C"/>
    <w:rsid w:val="00543066"/>
    <w:rsid w:val="0054358E"/>
    <w:rsid w:val="00543AF4"/>
    <w:rsid w:val="00543CD2"/>
    <w:rsid w:val="00543F53"/>
    <w:rsid w:val="00544191"/>
    <w:rsid w:val="0054440C"/>
    <w:rsid w:val="005448EC"/>
    <w:rsid w:val="00544C0A"/>
    <w:rsid w:val="00544F39"/>
    <w:rsid w:val="005452DC"/>
    <w:rsid w:val="005457FB"/>
    <w:rsid w:val="00545C5B"/>
    <w:rsid w:val="00546B96"/>
    <w:rsid w:val="00546F90"/>
    <w:rsid w:val="005477F7"/>
    <w:rsid w:val="00547EFB"/>
    <w:rsid w:val="00550186"/>
    <w:rsid w:val="00550192"/>
    <w:rsid w:val="0055037E"/>
    <w:rsid w:val="00550BD9"/>
    <w:rsid w:val="005522F2"/>
    <w:rsid w:val="005531DF"/>
    <w:rsid w:val="00553874"/>
    <w:rsid w:val="00553DCE"/>
    <w:rsid w:val="00553F4B"/>
    <w:rsid w:val="005541E0"/>
    <w:rsid w:val="005543B3"/>
    <w:rsid w:val="00554577"/>
    <w:rsid w:val="005545A1"/>
    <w:rsid w:val="00554AD8"/>
    <w:rsid w:val="00554F78"/>
    <w:rsid w:val="00555DA1"/>
    <w:rsid w:val="005562FB"/>
    <w:rsid w:val="00556731"/>
    <w:rsid w:val="00556BF7"/>
    <w:rsid w:val="00556C70"/>
    <w:rsid w:val="00556E53"/>
    <w:rsid w:val="00556FF1"/>
    <w:rsid w:val="0055745C"/>
    <w:rsid w:val="00557F60"/>
    <w:rsid w:val="00560D81"/>
    <w:rsid w:val="00561730"/>
    <w:rsid w:val="00561913"/>
    <w:rsid w:val="00561B97"/>
    <w:rsid w:val="00562149"/>
    <w:rsid w:val="00562285"/>
    <w:rsid w:val="0056248C"/>
    <w:rsid w:val="005640EB"/>
    <w:rsid w:val="00565559"/>
    <w:rsid w:val="005666A4"/>
    <w:rsid w:val="00567B5D"/>
    <w:rsid w:val="00570593"/>
    <w:rsid w:val="00570757"/>
    <w:rsid w:val="0057257D"/>
    <w:rsid w:val="00572DBE"/>
    <w:rsid w:val="00573293"/>
    <w:rsid w:val="00573733"/>
    <w:rsid w:val="00573DBC"/>
    <w:rsid w:val="00573E08"/>
    <w:rsid w:val="00573F8B"/>
    <w:rsid w:val="005743E0"/>
    <w:rsid w:val="00574554"/>
    <w:rsid w:val="00574E06"/>
    <w:rsid w:val="005751BB"/>
    <w:rsid w:val="00575713"/>
    <w:rsid w:val="00575837"/>
    <w:rsid w:val="00576089"/>
    <w:rsid w:val="0057619F"/>
    <w:rsid w:val="005764B1"/>
    <w:rsid w:val="00576852"/>
    <w:rsid w:val="00576D06"/>
    <w:rsid w:val="005779E4"/>
    <w:rsid w:val="00577E82"/>
    <w:rsid w:val="00580B89"/>
    <w:rsid w:val="00580EC7"/>
    <w:rsid w:val="00581EA9"/>
    <w:rsid w:val="005826D2"/>
    <w:rsid w:val="0058289C"/>
    <w:rsid w:val="005836C7"/>
    <w:rsid w:val="00583A83"/>
    <w:rsid w:val="0058408E"/>
    <w:rsid w:val="005844C3"/>
    <w:rsid w:val="005847D9"/>
    <w:rsid w:val="00584909"/>
    <w:rsid w:val="00585374"/>
    <w:rsid w:val="005854CA"/>
    <w:rsid w:val="00585FAB"/>
    <w:rsid w:val="0058607D"/>
    <w:rsid w:val="00590B77"/>
    <w:rsid w:val="00590D9A"/>
    <w:rsid w:val="005913A3"/>
    <w:rsid w:val="005919E6"/>
    <w:rsid w:val="00591A5A"/>
    <w:rsid w:val="005929D8"/>
    <w:rsid w:val="00592C40"/>
    <w:rsid w:val="00593B28"/>
    <w:rsid w:val="00593C06"/>
    <w:rsid w:val="005940D4"/>
    <w:rsid w:val="00594A7B"/>
    <w:rsid w:val="0059580E"/>
    <w:rsid w:val="00595D90"/>
    <w:rsid w:val="00596A6F"/>
    <w:rsid w:val="00596D11"/>
    <w:rsid w:val="00596FCE"/>
    <w:rsid w:val="00597A4D"/>
    <w:rsid w:val="005A0300"/>
    <w:rsid w:val="005A11BC"/>
    <w:rsid w:val="005A1525"/>
    <w:rsid w:val="005A16F6"/>
    <w:rsid w:val="005A188D"/>
    <w:rsid w:val="005A1A61"/>
    <w:rsid w:val="005A1E17"/>
    <w:rsid w:val="005A252B"/>
    <w:rsid w:val="005A2A8F"/>
    <w:rsid w:val="005A3008"/>
    <w:rsid w:val="005A3204"/>
    <w:rsid w:val="005A3341"/>
    <w:rsid w:val="005A3C3D"/>
    <w:rsid w:val="005A46EC"/>
    <w:rsid w:val="005A5EAE"/>
    <w:rsid w:val="005A5EB8"/>
    <w:rsid w:val="005A6407"/>
    <w:rsid w:val="005A726C"/>
    <w:rsid w:val="005A79CF"/>
    <w:rsid w:val="005A7DDF"/>
    <w:rsid w:val="005B05D8"/>
    <w:rsid w:val="005B07EC"/>
    <w:rsid w:val="005B21B0"/>
    <w:rsid w:val="005B2899"/>
    <w:rsid w:val="005B2B11"/>
    <w:rsid w:val="005B32A4"/>
    <w:rsid w:val="005B3371"/>
    <w:rsid w:val="005B338D"/>
    <w:rsid w:val="005B33A1"/>
    <w:rsid w:val="005B3852"/>
    <w:rsid w:val="005B3BAF"/>
    <w:rsid w:val="005B43D5"/>
    <w:rsid w:val="005B4470"/>
    <w:rsid w:val="005B479B"/>
    <w:rsid w:val="005B4DA3"/>
    <w:rsid w:val="005B4E69"/>
    <w:rsid w:val="005B536A"/>
    <w:rsid w:val="005B5BEE"/>
    <w:rsid w:val="005B6AA9"/>
    <w:rsid w:val="005B6FD1"/>
    <w:rsid w:val="005B77D2"/>
    <w:rsid w:val="005B7BDA"/>
    <w:rsid w:val="005C0195"/>
    <w:rsid w:val="005C019B"/>
    <w:rsid w:val="005C08D0"/>
    <w:rsid w:val="005C14A0"/>
    <w:rsid w:val="005C15A1"/>
    <w:rsid w:val="005C1AED"/>
    <w:rsid w:val="005C1FCB"/>
    <w:rsid w:val="005C2136"/>
    <w:rsid w:val="005C290E"/>
    <w:rsid w:val="005C30F5"/>
    <w:rsid w:val="005C3571"/>
    <w:rsid w:val="005C3840"/>
    <w:rsid w:val="005C3AD8"/>
    <w:rsid w:val="005C426B"/>
    <w:rsid w:val="005C519C"/>
    <w:rsid w:val="005C51A5"/>
    <w:rsid w:val="005C557A"/>
    <w:rsid w:val="005C566F"/>
    <w:rsid w:val="005C5B5C"/>
    <w:rsid w:val="005C5BF5"/>
    <w:rsid w:val="005C5C47"/>
    <w:rsid w:val="005C5D2D"/>
    <w:rsid w:val="005C5EFA"/>
    <w:rsid w:val="005C61DD"/>
    <w:rsid w:val="005C6438"/>
    <w:rsid w:val="005C66AC"/>
    <w:rsid w:val="005C6B8B"/>
    <w:rsid w:val="005C6E67"/>
    <w:rsid w:val="005C727F"/>
    <w:rsid w:val="005C7B0E"/>
    <w:rsid w:val="005C7B20"/>
    <w:rsid w:val="005D02E3"/>
    <w:rsid w:val="005D1419"/>
    <w:rsid w:val="005D1F34"/>
    <w:rsid w:val="005D251B"/>
    <w:rsid w:val="005D284B"/>
    <w:rsid w:val="005D2C1F"/>
    <w:rsid w:val="005D34B2"/>
    <w:rsid w:val="005D3B54"/>
    <w:rsid w:val="005D3BB3"/>
    <w:rsid w:val="005D3E28"/>
    <w:rsid w:val="005D40CD"/>
    <w:rsid w:val="005D6B59"/>
    <w:rsid w:val="005D71C3"/>
    <w:rsid w:val="005D74D2"/>
    <w:rsid w:val="005D784B"/>
    <w:rsid w:val="005D7B90"/>
    <w:rsid w:val="005E00AF"/>
    <w:rsid w:val="005E03E4"/>
    <w:rsid w:val="005E0454"/>
    <w:rsid w:val="005E05F6"/>
    <w:rsid w:val="005E19CF"/>
    <w:rsid w:val="005E1B9D"/>
    <w:rsid w:val="005E1BDA"/>
    <w:rsid w:val="005E1FCB"/>
    <w:rsid w:val="005E1FE5"/>
    <w:rsid w:val="005E2442"/>
    <w:rsid w:val="005E2768"/>
    <w:rsid w:val="005E3111"/>
    <w:rsid w:val="005E3B1C"/>
    <w:rsid w:val="005E3CA0"/>
    <w:rsid w:val="005E3D11"/>
    <w:rsid w:val="005E3D25"/>
    <w:rsid w:val="005E3F85"/>
    <w:rsid w:val="005E4A5F"/>
    <w:rsid w:val="005E4D86"/>
    <w:rsid w:val="005E4F8C"/>
    <w:rsid w:val="005E516A"/>
    <w:rsid w:val="005E52F5"/>
    <w:rsid w:val="005E57B0"/>
    <w:rsid w:val="005E5A0F"/>
    <w:rsid w:val="005E5B01"/>
    <w:rsid w:val="005E648D"/>
    <w:rsid w:val="005E6D3B"/>
    <w:rsid w:val="005E7EDD"/>
    <w:rsid w:val="005F009E"/>
    <w:rsid w:val="005F06A3"/>
    <w:rsid w:val="005F0BF9"/>
    <w:rsid w:val="005F0DF1"/>
    <w:rsid w:val="005F1516"/>
    <w:rsid w:val="005F1A6F"/>
    <w:rsid w:val="005F229E"/>
    <w:rsid w:val="005F2564"/>
    <w:rsid w:val="005F3822"/>
    <w:rsid w:val="005F4635"/>
    <w:rsid w:val="005F46B7"/>
    <w:rsid w:val="005F4900"/>
    <w:rsid w:val="005F4B6B"/>
    <w:rsid w:val="005F4E52"/>
    <w:rsid w:val="005F4F34"/>
    <w:rsid w:val="005F5466"/>
    <w:rsid w:val="005F6D58"/>
    <w:rsid w:val="005F7060"/>
    <w:rsid w:val="005F7383"/>
    <w:rsid w:val="005F76BD"/>
    <w:rsid w:val="005F7858"/>
    <w:rsid w:val="005F7A58"/>
    <w:rsid w:val="0060058E"/>
    <w:rsid w:val="00602A3C"/>
    <w:rsid w:val="00602A54"/>
    <w:rsid w:val="00602A60"/>
    <w:rsid w:val="0060377B"/>
    <w:rsid w:val="00603B89"/>
    <w:rsid w:val="00603EFD"/>
    <w:rsid w:val="0060475B"/>
    <w:rsid w:val="00604BED"/>
    <w:rsid w:val="00604FB6"/>
    <w:rsid w:val="00605387"/>
    <w:rsid w:val="00606302"/>
    <w:rsid w:val="006076FD"/>
    <w:rsid w:val="0061036A"/>
    <w:rsid w:val="00610470"/>
    <w:rsid w:val="006107B1"/>
    <w:rsid w:val="00610811"/>
    <w:rsid w:val="0061143F"/>
    <w:rsid w:val="006114D8"/>
    <w:rsid w:val="00611800"/>
    <w:rsid w:val="00612685"/>
    <w:rsid w:val="00613553"/>
    <w:rsid w:val="00613601"/>
    <w:rsid w:val="00613791"/>
    <w:rsid w:val="006143F9"/>
    <w:rsid w:val="00614CD4"/>
    <w:rsid w:val="006150D6"/>
    <w:rsid w:val="00615245"/>
    <w:rsid w:val="0061525A"/>
    <w:rsid w:val="0061526D"/>
    <w:rsid w:val="00615788"/>
    <w:rsid w:val="0061590D"/>
    <w:rsid w:val="00615C84"/>
    <w:rsid w:val="00617EEE"/>
    <w:rsid w:val="00620A1F"/>
    <w:rsid w:val="0062169D"/>
    <w:rsid w:val="00621737"/>
    <w:rsid w:val="0062181E"/>
    <w:rsid w:val="0062197C"/>
    <w:rsid w:val="0062211B"/>
    <w:rsid w:val="0062227E"/>
    <w:rsid w:val="00622827"/>
    <w:rsid w:val="006228D3"/>
    <w:rsid w:val="00622BB7"/>
    <w:rsid w:val="00622C1E"/>
    <w:rsid w:val="00623389"/>
    <w:rsid w:val="00623DAA"/>
    <w:rsid w:val="00623FAF"/>
    <w:rsid w:val="0062460C"/>
    <w:rsid w:val="00624B3E"/>
    <w:rsid w:val="00624D82"/>
    <w:rsid w:val="00625337"/>
    <w:rsid w:val="0062578C"/>
    <w:rsid w:val="006259B6"/>
    <w:rsid w:val="00625A24"/>
    <w:rsid w:val="006265C4"/>
    <w:rsid w:val="0062678A"/>
    <w:rsid w:val="00626AF1"/>
    <w:rsid w:val="00626FCA"/>
    <w:rsid w:val="006270AF"/>
    <w:rsid w:val="00627237"/>
    <w:rsid w:val="00631184"/>
    <w:rsid w:val="00631864"/>
    <w:rsid w:val="00632F83"/>
    <w:rsid w:val="00634367"/>
    <w:rsid w:val="006360AD"/>
    <w:rsid w:val="006364D7"/>
    <w:rsid w:val="00636554"/>
    <w:rsid w:val="006367E9"/>
    <w:rsid w:val="00636CE3"/>
    <w:rsid w:val="00640082"/>
    <w:rsid w:val="00640291"/>
    <w:rsid w:val="0064058C"/>
    <w:rsid w:val="00640EFE"/>
    <w:rsid w:val="00641D6D"/>
    <w:rsid w:val="00641E5B"/>
    <w:rsid w:val="00641FAC"/>
    <w:rsid w:val="00643664"/>
    <w:rsid w:val="006437ED"/>
    <w:rsid w:val="00643A99"/>
    <w:rsid w:val="00643CAA"/>
    <w:rsid w:val="00644F16"/>
    <w:rsid w:val="006455EB"/>
    <w:rsid w:val="006456C2"/>
    <w:rsid w:val="00645A65"/>
    <w:rsid w:val="00646959"/>
    <w:rsid w:val="006477F0"/>
    <w:rsid w:val="006478E4"/>
    <w:rsid w:val="00647FD1"/>
    <w:rsid w:val="006509EA"/>
    <w:rsid w:val="0065164D"/>
    <w:rsid w:val="0065171A"/>
    <w:rsid w:val="00652680"/>
    <w:rsid w:val="00653CDE"/>
    <w:rsid w:val="00653EDB"/>
    <w:rsid w:val="00654585"/>
    <w:rsid w:val="006548E4"/>
    <w:rsid w:val="00654AC8"/>
    <w:rsid w:val="0065566E"/>
    <w:rsid w:val="00655999"/>
    <w:rsid w:val="00655AB6"/>
    <w:rsid w:val="00655C67"/>
    <w:rsid w:val="00655E2B"/>
    <w:rsid w:val="00655EFA"/>
    <w:rsid w:val="00656061"/>
    <w:rsid w:val="00656281"/>
    <w:rsid w:val="0065636A"/>
    <w:rsid w:val="00656BFC"/>
    <w:rsid w:val="00657003"/>
    <w:rsid w:val="00657428"/>
    <w:rsid w:val="00657CE2"/>
    <w:rsid w:val="00660238"/>
    <w:rsid w:val="006602EF"/>
    <w:rsid w:val="00661277"/>
    <w:rsid w:val="006619E0"/>
    <w:rsid w:val="00662CC3"/>
    <w:rsid w:val="00663FEA"/>
    <w:rsid w:val="00664050"/>
    <w:rsid w:val="00664803"/>
    <w:rsid w:val="00664934"/>
    <w:rsid w:val="00664D53"/>
    <w:rsid w:val="00664EB7"/>
    <w:rsid w:val="006657C5"/>
    <w:rsid w:val="00665874"/>
    <w:rsid w:val="00665D75"/>
    <w:rsid w:val="00666186"/>
    <w:rsid w:val="006661A4"/>
    <w:rsid w:val="00666433"/>
    <w:rsid w:val="00666AC0"/>
    <w:rsid w:val="006670E0"/>
    <w:rsid w:val="006671B8"/>
    <w:rsid w:val="00667275"/>
    <w:rsid w:val="00667532"/>
    <w:rsid w:val="0066783E"/>
    <w:rsid w:val="00667E53"/>
    <w:rsid w:val="006704DF"/>
    <w:rsid w:val="00670A64"/>
    <w:rsid w:val="00670D03"/>
    <w:rsid w:val="006711C4"/>
    <w:rsid w:val="006713AB"/>
    <w:rsid w:val="00672680"/>
    <w:rsid w:val="00672A3A"/>
    <w:rsid w:val="00672CA5"/>
    <w:rsid w:val="00673711"/>
    <w:rsid w:val="00673CDA"/>
    <w:rsid w:val="00673F82"/>
    <w:rsid w:val="00674F74"/>
    <w:rsid w:val="0067508F"/>
    <w:rsid w:val="006752B2"/>
    <w:rsid w:val="00676B25"/>
    <w:rsid w:val="00676B3E"/>
    <w:rsid w:val="0067704E"/>
    <w:rsid w:val="00677576"/>
    <w:rsid w:val="0068051E"/>
    <w:rsid w:val="00680B9D"/>
    <w:rsid w:val="00680DF1"/>
    <w:rsid w:val="00681F13"/>
    <w:rsid w:val="0068231C"/>
    <w:rsid w:val="00682344"/>
    <w:rsid w:val="00682C87"/>
    <w:rsid w:val="00682F28"/>
    <w:rsid w:val="006834F9"/>
    <w:rsid w:val="00683515"/>
    <w:rsid w:val="00683AB2"/>
    <w:rsid w:val="00684842"/>
    <w:rsid w:val="006856CA"/>
    <w:rsid w:val="00685789"/>
    <w:rsid w:val="006859AA"/>
    <w:rsid w:val="00685BD6"/>
    <w:rsid w:val="00686A20"/>
    <w:rsid w:val="00687116"/>
    <w:rsid w:val="006872D2"/>
    <w:rsid w:val="006878A6"/>
    <w:rsid w:val="00687D5F"/>
    <w:rsid w:val="00687F2E"/>
    <w:rsid w:val="00690437"/>
    <w:rsid w:val="00690623"/>
    <w:rsid w:val="00690DC3"/>
    <w:rsid w:val="00690E65"/>
    <w:rsid w:val="006911B7"/>
    <w:rsid w:val="00691387"/>
    <w:rsid w:val="006915C2"/>
    <w:rsid w:val="0069188E"/>
    <w:rsid w:val="00691974"/>
    <w:rsid w:val="00692584"/>
    <w:rsid w:val="00692BF6"/>
    <w:rsid w:val="00692C92"/>
    <w:rsid w:val="00692CA6"/>
    <w:rsid w:val="00692CE6"/>
    <w:rsid w:val="00693186"/>
    <w:rsid w:val="00693381"/>
    <w:rsid w:val="006936E4"/>
    <w:rsid w:val="00693B6C"/>
    <w:rsid w:val="006942AE"/>
    <w:rsid w:val="0069464B"/>
    <w:rsid w:val="006947A1"/>
    <w:rsid w:val="00695421"/>
    <w:rsid w:val="00696A9C"/>
    <w:rsid w:val="00697BD3"/>
    <w:rsid w:val="00697DFA"/>
    <w:rsid w:val="006A12BA"/>
    <w:rsid w:val="006A16D5"/>
    <w:rsid w:val="006A1772"/>
    <w:rsid w:val="006A1780"/>
    <w:rsid w:val="006A1851"/>
    <w:rsid w:val="006A21DD"/>
    <w:rsid w:val="006A234F"/>
    <w:rsid w:val="006A26C6"/>
    <w:rsid w:val="006A2DCC"/>
    <w:rsid w:val="006A3302"/>
    <w:rsid w:val="006A34AF"/>
    <w:rsid w:val="006A38DA"/>
    <w:rsid w:val="006A3B28"/>
    <w:rsid w:val="006A47DC"/>
    <w:rsid w:val="006A4868"/>
    <w:rsid w:val="006A4A4B"/>
    <w:rsid w:val="006A4FEE"/>
    <w:rsid w:val="006A5522"/>
    <w:rsid w:val="006A5549"/>
    <w:rsid w:val="006A59CC"/>
    <w:rsid w:val="006A6182"/>
    <w:rsid w:val="006A6574"/>
    <w:rsid w:val="006A703E"/>
    <w:rsid w:val="006A7BE3"/>
    <w:rsid w:val="006A7D32"/>
    <w:rsid w:val="006A7E1A"/>
    <w:rsid w:val="006B01D1"/>
    <w:rsid w:val="006B0C04"/>
    <w:rsid w:val="006B0DF4"/>
    <w:rsid w:val="006B1214"/>
    <w:rsid w:val="006B16EA"/>
    <w:rsid w:val="006B1780"/>
    <w:rsid w:val="006B186B"/>
    <w:rsid w:val="006B1B60"/>
    <w:rsid w:val="006B1C80"/>
    <w:rsid w:val="006B21DC"/>
    <w:rsid w:val="006B224E"/>
    <w:rsid w:val="006B2349"/>
    <w:rsid w:val="006B25FA"/>
    <w:rsid w:val="006B2943"/>
    <w:rsid w:val="006B2C00"/>
    <w:rsid w:val="006B351F"/>
    <w:rsid w:val="006B376E"/>
    <w:rsid w:val="006B4128"/>
    <w:rsid w:val="006B4589"/>
    <w:rsid w:val="006B4CFA"/>
    <w:rsid w:val="006B5157"/>
    <w:rsid w:val="006B5E49"/>
    <w:rsid w:val="006B610E"/>
    <w:rsid w:val="006B6805"/>
    <w:rsid w:val="006B6C07"/>
    <w:rsid w:val="006B6DE0"/>
    <w:rsid w:val="006B723D"/>
    <w:rsid w:val="006B7DEE"/>
    <w:rsid w:val="006C1337"/>
    <w:rsid w:val="006C16C3"/>
    <w:rsid w:val="006C1FA6"/>
    <w:rsid w:val="006C2187"/>
    <w:rsid w:val="006C2588"/>
    <w:rsid w:val="006C27D9"/>
    <w:rsid w:val="006C32F4"/>
    <w:rsid w:val="006C3C54"/>
    <w:rsid w:val="006C3CA5"/>
    <w:rsid w:val="006C3CAA"/>
    <w:rsid w:val="006C4B6B"/>
    <w:rsid w:val="006C4CE1"/>
    <w:rsid w:val="006C4F9F"/>
    <w:rsid w:val="006C54B1"/>
    <w:rsid w:val="006C71A2"/>
    <w:rsid w:val="006C73EC"/>
    <w:rsid w:val="006D0997"/>
    <w:rsid w:val="006D0C1D"/>
    <w:rsid w:val="006D1BB1"/>
    <w:rsid w:val="006D2519"/>
    <w:rsid w:val="006D28F3"/>
    <w:rsid w:val="006D2E9D"/>
    <w:rsid w:val="006D3B48"/>
    <w:rsid w:val="006D4305"/>
    <w:rsid w:val="006D4A4E"/>
    <w:rsid w:val="006D4C42"/>
    <w:rsid w:val="006D4CF3"/>
    <w:rsid w:val="006D5067"/>
    <w:rsid w:val="006D5389"/>
    <w:rsid w:val="006D53A2"/>
    <w:rsid w:val="006D5809"/>
    <w:rsid w:val="006D607E"/>
    <w:rsid w:val="006D6E12"/>
    <w:rsid w:val="006D70CB"/>
    <w:rsid w:val="006D715C"/>
    <w:rsid w:val="006D7363"/>
    <w:rsid w:val="006D774E"/>
    <w:rsid w:val="006D7F08"/>
    <w:rsid w:val="006E0754"/>
    <w:rsid w:val="006E1481"/>
    <w:rsid w:val="006E19A4"/>
    <w:rsid w:val="006E1D1D"/>
    <w:rsid w:val="006E2668"/>
    <w:rsid w:val="006E2C88"/>
    <w:rsid w:val="006E2D39"/>
    <w:rsid w:val="006E2FE9"/>
    <w:rsid w:val="006E30A2"/>
    <w:rsid w:val="006E32B0"/>
    <w:rsid w:val="006E348E"/>
    <w:rsid w:val="006E396A"/>
    <w:rsid w:val="006E3D63"/>
    <w:rsid w:val="006E445C"/>
    <w:rsid w:val="006E4632"/>
    <w:rsid w:val="006E4998"/>
    <w:rsid w:val="006E4B31"/>
    <w:rsid w:val="006E58BF"/>
    <w:rsid w:val="006E5CE6"/>
    <w:rsid w:val="006E5DD8"/>
    <w:rsid w:val="006E5EA1"/>
    <w:rsid w:val="006E6BE5"/>
    <w:rsid w:val="006E6DEE"/>
    <w:rsid w:val="006E6F44"/>
    <w:rsid w:val="006E7D4B"/>
    <w:rsid w:val="006E7F32"/>
    <w:rsid w:val="006F018A"/>
    <w:rsid w:val="006F0760"/>
    <w:rsid w:val="006F0D30"/>
    <w:rsid w:val="006F11E2"/>
    <w:rsid w:val="006F1A50"/>
    <w:rsid w:val="006F1A67"/>
    <w:rsid w:val="006F2574"/>
    <w:rsid w:val="006F292D"/>
    <w:rsid w:val="006F3231"/>
    <w:rsid w:val="006F3DE3"/>
    <w:rsid w:val="006F4787"/>
    <w:rsid w:val="006F4B8F"/>
    <w:rsid w:val="006F57E6"/>
    <w:rsid w:val="006F5E2E"/>
    <w:rsid w:val="006F61D8"/>
    <w:rsid w:val="006F62B7"/>
    <w:rsid w:val="006F63E7"/>
    <w:rsid w:val="006F70BC"/>
    <w:rsid w:val="006F726C"/>
    <w:rsid w:val="006F7A22"/>
    <w:rsid w:val="006F7E7C"/>
    <w:rsid w:val="006F7FEA"/>
    <w:rsid w:val="00700C5B"/>
    <w:rsid w:val="0070101F"/>
    <w:rsid w:val="00701329"/>
    <w:rsid w:val="0070174E"/>
    <w:rsid w:val="007018DB"/>
    <w:rsid w:val="00701DE6"/>
    <w:rsid w:val="00702740"/>
    <w:rsid w:val="007028E3"/>
    <w:rsid w:val="00703407"/>
    <w:rsid w:val="0070381B"/>
    <w:rsid w:val="00703F81"/>
    <w:rsid w:val="007041BC"/>
    <w:rsid w:val="00704CC8"/>
    <w:rsid w:val="00706759"/>
    <w:rsid w:val="0070796C"/>
    <w:rsid w:val="007109BB"/>
    <w:rsid w:val="00710B2D"/>
    <w:rsid w:val="00710EBF"/>
    <w:rsid w:val="007110B8"/>
    <w:rsid w:val="00711A7A"/>
    <w:rsid w:val="00711CD1"/>
    <w:rsid w:val="0071209F"/>
    <w:rsid w:val="007123F0"/>
    <w:rsid w:val="007125A2"/>
    <w:rsid w:val="00712A68"/>
    <w:rsid w:val="00713DD9"/>
    <w:rsid w:val="00713F79"/>
    <w:rsid w:val="0071477B"/>
    <w:rsid w:val="007148A8"/>
    <w:rsid w:val="00714A29"/>
    <w:rsid w:val="00715C70"/>
    <w:rsid w:val="00715E44"/>
    <w:rsid w:val="007164B0"/>
    <w:rsid w:val="00716AC8"/>
    <w:rsid w:val="00716E54"/>
    <w:rsid w:val="00717280"/>
    <w:rsid w:val="007202D2"/>
    <w:rsid w:val="0072033C"/>
    <w:rsid w:val="00720B1B"/>
    <w:rsid w:val="00721062"/>
    <w:rsid w:val="00721366"/>
    <w:rsid w:val="00721454"/>
    <w:rsid w:val="00721D3D"/>
    <w:rsid w:val="00721E5D"/>
    <w:rsid w:val="007229D4"/>
    <w:rsid w:val="00722C42"/>
    <w:rsid w:val="00722E35"/>
    <w:rsid w:val="007230F8"/>
    <w:rsid w:val="007233F4"/>
    <w:rsid w:val="007235E3"/>
    <w:rsid w:val="0072381D"/>
    <w:rsid w:val="00724044"/>
    <w:rsid w:val="007240DB"/>
    <w:rsid w:val="00724120"/>
    <w:rsid w:val="007243F2"/>
    <w:rsid w:val="007248D3"/>
    <w:rsid w:val="00724B75"/>
    <w:rsid w:val="00724DF8"/>
    <w:rsid w:val="00725137"/>
    <w:rsid w:val="00725378"/>
    <w:rsid w:val="00725C31"/>
    <w:rsid w:val="00727795"/>
    <w:rsid w:val="00727A43"/>
    <w:rsid w:val="00727DBF"/>
    <w:rsid w:val="00727FF2"/>
    <w:rsid w:val="00727FFD"/>
    <w:rsid w:val="00730550"/>
    <w:rsid w:val="00730C2A"/>
    <w:rsid w:val="00730DF1"/>
    <w:rsid w:val="00731125"/>
    <w:rsid w:val="00731434"/>
    <w:rsid w:val="0073165D"/>
    <w:rsid w:val="00731E59"/>
    <w:rsid w:val="007323E0"/>
    <w:rsid w:val="00732911"/>
    <w:rsid w:val="00733721"/>
    <w:rsid w:val="00733965"/>
    <w:rsid w:val="00733DE2"/>
    <w:rsid w:val="00734142"/>
    <w:rsid w:val="00734358"/>
    <w:rsid w:val="007352AB"/>
    <w:rsid w:val="007352EA"/>
    <w:rsid w:val="007362CC"/>
    <w:rsid w:val="0073792F"/>
    <w:rsid w:val="00737CB3"/>
    <w:rsid w:val="00740C81"/>
    <w:rsid w:val="00740DA6"/>
    <w:rsid w:val="0074197B"/>
    <w:rsid w:val="00741B4B"/>
    <w:rsid w:val="00741D1E"/>
    <w:rsid w:val="00741DD6"/>
    <w:rsid w:val="00741EE2"/>
    <w:rsid w:val="0074207F"/>
    <w:rsid w:val="00742118"/>
    <w:rsid w:val="00742367"/>
    <w:rsid w:val="00742CBD"/>
    <w:rsid w:val="00742EAA"/>
    <w:rsid w:val="00743360"/>
    <w:rsid w:val="00743818"/>
    <w:rsid w:val="00743857"/>
    <w:rsid w:val="0074411D"/>
    <w:rsid w:val="007441FB"/>
    <w:rsid w:val="007444D7"/>
    <w:rsid w:val="00744517"/>
    <w:rsid w:val="0074522A"/>
    <w:rsid w:val="00745D90"/>
    <w:rsid w:val="007465D3"/>
    <w:rsid w:val="00746AED"/>
    <w:rsid w:val="00747295"/>
    <w:rsid w:val="00747346"/>
    <w:rsid w:val="00747829"/>
    <w:rsid w:val="0074789C"/>
    <w:rsid w:val="00747D46"/>
    <w:rsid w:val="00747DE2"/>
    <w:rsid w:val="00747E6D"/>
    <w:rsid w:val="007502D0"/>
    <w:rsid w:val="007504BF"/>
    <w:rsid w:val="007506CD"/>
    <w:rsid w:val="0075267F"/>
    <w:rsid w:val="007526EC"/>
    <w:rsid w:val="00753B8A"/>
    <w:rsid w:val="00753C48"/>
    <w:rsid w:val="00754250"/>
    <w:rsid w:val="00754FE4"/>
    <w:rsid w:val="00755216"/>
    <w:rsid w:val="00756236"/>
    <w:rsid w:val="00756271"/>
    <w:rsid w:val="00756348"/>
    <w:rsid w:val="00756521"/>
    <w:rsid w:val="00756AB7"/>
    <w:rsid w:val="00757975"/>
    <w:rsid w:val="00760B3A"/>
    <w:rsid w:val="0076106D"/>
    <w:rsid w:val="007610DA"/>
    <w:rsid w:val="007623FB"/>
    <w:rsid w:val="00762517"/>
    <w:rsid w:val="0076289C"/>
    <w:rsid w:val="00763191"/>
    <w:rsid w:val="00763240"/>
    <w:rsid w:val="0076376A"/>
    <w:rsid w:val="0076413A"/>
    <w:rsid w:val="007643A1"/>
    <w:rsid w:val="007648AD"/>
    <w:rsid w:val="0076504E"/>
    <w:rsid w:val="00765E8F"/>
    <w:rsid w:val="0076767E"/>
    <w:rsid w:val="00767BFD"/>
    <w:rsid w:val="00767EA0"/>
    <w:rsid w:val="0077068F"/>
    <w:rsid w:val="00771C16"/>
    <w:rsid w:val="00771CB0"/>
    <w:rsid w:val="00771EDF"/>
    <w:rsid w:val="00772530"/>
    <w:rsid w:val="00772A90"/>
    <w:rsid w:val="00772F8D"/>
    <w:rsid w:val="0077408D"/>
    <w:rsid w:val="00774270"/>
    <w:rsid w:val="007743F6"/>
    <w:rsid w:val="00775679"/>
    <w:rsid w:val="0077574F"/>
    <w:rsid w:val="00775823"/>
    <w:rsid w:val="00775AB0"/>
    <w:rsid w:val="00775B63"/>
    <w:rsid w:val="00776206"/>
    <w:rsid w:val="00777153"/>
    <w:rsid w:val="007777CC"/>
    <w:rsid w:val="00777B32"/>
    <w:rsid w:val="0078010C"/>
    <w:rsid w:val="00780250"/>
    <w:rsid w:val="0078051E"/>
    <w:rsid w:val="00780A3E"/>
    <w:rsid w:val="00781089"/>
    <w:rsid w:val="007814DD"/>
    <w:rsid w:val="00781AC3"/>
    <w:rsid w:val="00781CB6"/>
    <w:rsid w:val="00782715"/>
    <w:rsid w:val="007838F3"/>
    <w:rsid w:val="0078419B"/>
    <w:rsid w:val="007853D6"/>
    <w:rsid w:val="00785612"/>
    <w:rsid w:val="007856FE"/>
    <w:rsid w:val="00785A15"/>
    <w:rsid w:val="00785F46"/>
    <w:rsid w:val="007865F4"/>
    <w:rsid w:val="00786D5C"/>
    <w:rsid w:val="00786E96"/>
    <w:rsid w:val="00787BB6"/>
    <w:rsid w:val="00787DFF"/>
    <w:rsid w:val="00787F17"/>
    <w:rsid w:val="00787F93"/>
    <w:rsid w:val="00791E6D"/>
    <w:rsid w:val="00791EB5"/>
    <w:rsid w:val="00792377"/>
    <w:rsid w:val="0079343F"/>
    <w:rsid w:val="00793696"/>
    <w:rsid w:val="00793B8C"/>
    <w:rsid w:val="00793F13"/>
    <w:rsid w:val="007955DA"/>
    <w:rsid w:val="0079676B"/>
    <w:rsid w:val="00796A49"/>
    <w:rsid w:val="00796F65"/>
    <w:rsid w:val="007A11C2"/>
    <w:rsid w:val="007A1781"/>
    <w:rsid w:val="007A18BB"/>
    <w:rsid w:val="007A23CC"/>
    <w:rsid w:val="007A2489"/>
    <w:rsid w:val="007A27DD"/>
    <w:rsid w:val="007A2D2A"/>
    <w:rsid w:val="007A3C3F"/>
    <w:rsid w:val="007A41BF"/>
    <w:rsid w:val="007A490A"/>
    <w:rsid w:val="007A4F24"/>
    <w:rsid w:val="007A549E"/>
    <w:rsid w:val="007A54DC"/>
    <w:rsid w:val="007A5D50"/>
    <w:rsid w:val="007A6811"/>
    <w:rsid w:val="007A7289"/>
    <w:rsid w:val="007A7A78"/>
    <w:rsid w:val="007A7B95"/>
    <w:rsid w:val="007B0297"/>
    <w:rsid w:val="007B02FA"/>
    <w:rsid w:val="007B0F53"/>
    <w:rsid w:val="007B110A"/>
    <w:rsid w:val="007B1A4D"/>
    <w:rsid w:val="007B2027"/>
    <w:rsid w:val="007B21AE"/>
    <w:rsid w:val="007B2570"/>
    <w:rsid w:val="007B3113"/>
    <w:rsid w:val="007B3304"/>
    <w:rsid w:val="007B3BF0"/>
    <w:rsid w:val="007B6927"/>
    <w:rsid w:val="007B6B18"/>
    <w:rsid w:val="007B6D80"/>
    <w:rsid w:val="007B7490"/>
    <w:rsid w:val="007B7C17"/>
    <w:rsid w:val="007B7C61"/>
    <w:rsid w:val="007C00B9"/>
    <w:rsid w:val="007C0525"/>
    <w:rsid w:val="007C06DB"/>
    <w:rsid w:val="007C13F7"/>
    <w:rsid w:val="007C1D77"/>
    <w:rsid w:val="007C218D"/>
    <w:rsid w:val="007C2590"/>
    <w:rsid w:val="007C2C5B"/>
    <w:rsid w:val="007C2D28"/>
    <w:rsid w:val="007C3875"/>
    <w:rsid w:val="007C3E22"/>
    <w:rsid w:val="007C58C1"/>
    <w:rsid w:val="007C5B39"/>
    <w:rsid w:val="007C6218"/>
    <w:rsid w:val="007C6484"/>
    <w:rsid w:val="007C67C6"/>
    <w:rsid w:val="007C7356"/>
    <w:rsid w:val="007C78BE"/>
    <w:rsid w:val="007C7A5D"/>
    <w:rsid w:val="007C7E59"/>
    <w:rsid w:val="007D0476"/>
    <w:rsid w:val="007D0B91"/>
    <w:rsid w:val="007D0F24"/>
    <w:rsid w:val="007D0FE7"/>
    <w:rsid w:val="007D1197"/>
    <w:rsid w:val="007D1452"/>
    <w:rsid w:val="007D1563"/>
    <w:rsid w:val="007D1FC6"/>
    <w:rsid w:val="007D26DC"/>
    <w:rsid w:val="007D2BFE"/>
    <w:rsid w:val="007D3983"/>
    <w:rsid w:val="007D3DCB"/>
    <w:rsid w:val="007D4601"/>
    <w:rsid w:val="007D460C"/>
    <w:rsid w:val="007D4996"/>
    <w:rsid w:val="007D4AD3"/>
    <w:rsid w:val="007D4E63"/>
    <w:rsid w:val="007D5C58"/>
    <w:rsid w:val="007D5D19"/>
    <w:rsid w:val="007D5FDC"/>
    <w:rsid w:val="007D6176"/>
    <w:rsid w:val="007D641C"/>
    <w:rsid w:val="007D69CD"/>
    <w:rsid w:val="007D6D68"/>
    <w:rsid w:val="007D715E"/>
    <w:rsid w:val="007D7A0D"/>
    <w:rsid w:val="007E03B4"/>
    <w:rsid w:val="007E066C"/>
    <w:rsid w:val="007E194F"/>
    <w:rsid w:val="007E201B"/>
    <w:rsid w:val="007E250B"/>
    <w:rsid w:val="007E2724"/>
    <w:rsid w:val="007E2EE9"/>
    <w:rsid w:val="007E32DA"/>
    <w:rsid w:val="007E3B12"/>
    <w:rsid w:val="007E3B29"/>
    <w:rsid w:val="007E3B6D"/>
    <w:rsid w:val="007E4998"/>
    <w:rsid w:val="007E4A9C"/>
    <w:rsid w:val="007E4B9D"/>
    <w:rsid w:val="007E5248"/>
    <w:rsid w:val="007E5C4F"/>
    <w:rsid w:val="007E6914"/>
    <w:rsid w:val="007E70FD"/>
    <w:rsid w:val="007E7F78"/>
    <w:rsid w:val="007F0179"/>
    <w:rsid w:val="007F0FF8"/>
    <w:rsid w:val="007F148A"/>
    <w:rsid w:val="007F159F"/>
    <w:rsid w:val="007F2640"/>
    <w:rsid w:val="007F2C13"/>
    <w:rsid w:val="007F2CEC"/>
    <w:rsid w:val="007F2ED1"/>
    <w:rsid w:val="007F3435"/>
    <w:rsid w:val="007F4D57"/>
    <w:rsid w:val="007F503A"/>
    <w:rsid w:val="007F505D"/>
    <w:rsid w:val="007F531B"/>
    <w:rsid w:val="007F54CF"/>
    <w:rsid w:val="007F55DE"/>
    <w:rsid w:val="007F5BAC"/>
    <w:rsid w:val="007F6153"/>
    <w:rsid w:val="007F6ACC"/>
    <w:rsid w:val="007F718F"/>
    <w:rsid w:val="007F762D"/>
    <w:rsid w:val="007F78B8"/>
    <w:rsid w:val="007F78F0"/>
    <w:rsid w:val="007F78FF"/>
    <w:rsid w:val="007F79EC"/>
    <w:rsid w:val="008001C5"/>
    <w:rsid w:val="00800F6C"/>
    <w:rsid w:val="00801065"/>
    <w:rsid w:val="008024CA"/>
    <w:rsid w:val="00802C0B"/>
    <w:rsid w:val="00802D83"/>
    <w:rsid w:val="0080319D"/>
    <w:rsid w:val="00803ADF"/>
    <w:rsid w:val="00804206"/>
    <w:rsid w:val="0080425E"/>
    <w:rsid w:val="00805040"/>
    <w:rsid w:val="008051FC"/>
    <w:rsid w:val="008055A9"/>
    <w:rsid w:val="008056C4"/>
    <w:rsid w:val="008057FD"/>
    <w:rsid w:val="00805D8B"/>
    <w:rsid w:val="008064CF"/>
    <w:rsid w:val="00806C33"/>
    <w:rsid w:val="00806F21"/>
    <w:rsid w:val="00807BF7"/>
    <w:rsid w:val="0081010F"/>
    <w:rsid w:val="00810BB6"/>
    <w:rsid w:val="00810E8E"/>
    <w:rsid w:val="00812C44"/>
    <w:rsid w:val="008135E1"/>
    <w:rsid w:val="00813779"/>
    <w:rsid w:val="00813792"/>
    <w:rsid w:val="00813AA2"/>
    <w:rsid w:val="00813E26"/>
    <w:rsid w:val="00813EAD"/>
    <w:rsid w:val="00814321"/>
    <w:rsid w:val="0081481D"/>
    <w:rsid w:val="00814B60"/>
    <w:rsid w:val="00814BE8"/>
    <w:rsid w:val="00814D94"/>
    <w:rsid w:val="00814F6E"/>
    <w:rsid w:val="00815B84"/>
    <w:rsid w:val="00816342"/>
    <w:rsid w:val="008166F6"/>
    <w:rsid w:val="00816897"/>
    <w:rsid w:val="00816BE9"/>
    <w:rsid w:val="00817A39"/>
    <w:rsid w:val="00817D10"/>
    <w:rsid w:val="00821191"/>
    <w:rsid w:val="00822518"/>
    <w:rsid w:val="008226F5"/>
    <w:rsid w:val="00823FC6"/>
    <w:rsid w:val="00824306"/>
    <w:rsid w:val="00824B1F"/>
    <w:rsid w:val="00825C74"/>
    <w:rsid w:val="00825CFA"/>
    <w:rsid w:val="00825F10"/>
    <w:rsid w:val="00826AB9"/>
    <w:rsid w:val="00826E0E"/>
    <w:rsid w:val="00826EB7"/>
    <w:rsid w:val="00827D11"/>
    <w:rsid w:val="00827E0F"/>
    <w:rsid w:val="00827F6E"/>
    <w:rsid w:val="0083077E"/>
    <w:rsid w:val="00830E66"/>
    <w:rsid w:val="00831758"/>
    <w:rsid w:val="008317D9"/>
    <w:rsid w:val="00831AEC"/>
    <w:rsid w:val="0083279F"/>
    <w:rsid w:val="00832CE9"/>
    <w:rsid w:val="008334DB"/>
    <w:rsid w:val="00833B7F"/>
    <w:rsid w:val="00833B82"/>
    <w:rsid w:val="00833E8E"/>
    <w:rsid w:val="0083407B"/>
    <w:rsid w:val="00834906"/>
    <w:rsid w:val="00835202"/>
    <w:rsid w:val="00836075"/>
    <w:rsid w:val="00836417"/>
    <w:rsid w:val="00836BC6"/>
    <w:rsid w:val="00836D47"/>
    <w:rsid w:val="008373B7"/>
    <w:rsid w:val="00837526"/>
    <w:rsid w:val="00837BB1"/>
    <w:rsid w:val="008407A7"/>
    <w:rsid w:val="00842275"/>
    <w:rsid w:val="0084322B"/>
    <w:rsid w:val="008433A0"/>
    <w:rsid w:val="00843F81"/>
    <w:rsid w:val="00844087"/>
    <w:rsid w:val="008448F1"/>
    <w:rsid w:val="00844A56"/>
    <w:rsid w:val="0084519E"/>
    <w:rsid w:val="00845CAE"/>
    <w:rsid w:val="008462C5"/>
    <w:rsid w:val="008462FA"/>
    <w:rsid w:val="00846370"/>
    <w:rsid w:val="00846873"/>
    <w:rsid w:val="00846D33"/>
    <w:rsid w:val="00847366"/>
    <w:rsid w:val="008474A6"/>
    <w:rsid w:val="00847544"/>
    <w:rsid w:val="008477E7"/>
    <w:rsid w:val="00847C2B"/>
    <w:rsid w:val="0085020C"/>
    <w:rsid w:val="00850272"/>
    <w:rsid w:val="008506B9"/>
    <w:rsid w:val="0085086F"/>
    <w:rsid w:val="00850B42"/>
    <w:rsid w:val="00851822"/>
    <w:rsid w:val="00851C16"/>
    <w:rsid w:val="00851E20"/>
    <w:rsid w:val="00852744"/>
    <w:rsid w:val="008532BF"/>
    <w:rsid w:val="008539B2"/>
    <w:rsid w:val="00853BF4"/>
    <w:rsid w:val="00853F94"/>
    <w:rsid w:val="00854294"/>
    <w:rsid w:val="00854295"/>
    <w:rsid w:val="008545CE"/>
    <w:rsid w:val="0085572E"/>
    <w:rsid w:val="008577C8"/>
    <w:rsid w:val="0085788B"/>
    <w:rsid w:val="00857A9E"/>
    <w:rsid w:val="00857D1F"/>
    <w:rsid w:val="00857DE2"/>
    <w:rsid w:val="00857EEE"/>
    <w:rsid w:val="00857F1A"/>
    <w:rsid w:val="0086003D"/>
    <w:rsid w:val="00861D63"/>
    <w:rsid w:val="0086358C"/>
    <w:rsid w:val="00863A8E"/>
    <w:rsid w:val="0086407F"/>
    <w:rsid w:val="008640BE"/>
    <w:rsid w:val="008644DD"/>
    <w:rsid w:val="008645E3"/>
    <w:rsid w:val="0086486A"/>
    <w:rsid w:val="008648B2"/>
    <w:rsid w:val="00864E79"/>
    <w:rsid w:val="00864EC0"/>
    <w:rsid w:val="0086542D"/>
    <w:rsid w:val="0086572B"/>
    <w:rsid w:val="008665BF"/>
    <w:rsid w:val="00866615"/>
    <w:rsid w:val="0086661F"/>
    <w:rsid w:val="00866A0D"/>
    <w:rsid w:val="00866DB5"/>
    <w:rsid w:val="0086701D"/>
    <w:rsid w:val="0086702B"/>
    <w:rsid w:val="008672E2"/>
    <w:rsid w:val="0086784E"/>
    <w:rsid w:val="0087110C"/>
    <w:rsid w:val="0087121C"/>
    <w:rsid w:val="00871225"/>
    <w:rsid w:val="00871EB0"/>
    <w:rsid w:val="00871FD2"/>
    <w:rsid w:val="00872084"/>
    <w:rsid w:val="00872827"/>
    <w:rsid w:val="00872A32"/>
    <w:rsid w:val="0087321D"/>
    <w:rsid w:val="00873653"/>
    <w:rsid w:val="00873D25"/>
    <w:rsid w:val="00873E90"/>
    <w:rsid w:val="00874911"/>
    <w:rsid w:val="008754E4"/>
    <w:rsid w:val="00876EAE"/>
    <w:rsid w:val="00877305"/>
    <w:rsid w:val="0087778B"/>
    <w:rsid w:val="00877983"/>
    <w:rsid w:val="00877A02"/>
    <w:rsid w:val="00880106"/>
    <w:rsid w:val="00880F95"/>
    <w:rsid w:val="00881EE2"/>
    <w:rsid w:val="00882910"/>
    <w:rsid w:val="00882B44"/>
    <w:rsid w:val="008838AD"/>
    <w:rsid w:val="008841D3"/>
    <w:rsid w:val="008847DB"/>
    <w:rsid w:val="00884940"/>
    <w:rsid w:val="00885381"/>
    <w:rsid w:val="0088572B"/>
    <w:rsid w:val="00885BC9"/>
    <w:rsid w:val="008864B3"/>
    <w:rsid w:val="008865E5"/>
    <w:rsid w:val="0088682F"/>
    <w:rsid w:val="008871B0"/>
    <w:rsid w:val="00887A0B"/>
    <w:rsid w:val="008905A6"/>
    <w:rsid w:val="00890B57"/>
    <w:rsid w:val="008916BA"/>
    <w:rsid w:val="0089217C"/>
    <w:rsid w:val="00892476"/>
    <w:rsid w:val="00892790"/>
    <w:rsid w:val="00893671"/>
    <w:rsid w:val="0089445B"/>
    <w:rsid w:val="008945B9"/>
    <w:rsid w:val="0089493F"/>
    <w:rsid w:val="00894979"/>
    <w:rsid w:val="00895838"/>
    <w:rsid w:val="00895A1E"/>
    <w:rsid w:val="00895A72"/>
    <w:rsid w:val="00895CDF"/>
    <w:rsid w:val="00895EE3"/>
    <w:rsid w:val="00896046"/>
    <w:rsid w:val="00896679"/>
    <w:rsid w:val="00896D8C"/>
    <w:rsid w:val="00897184"/>
    <w:rsid w:val="008A0717"/>
    <w:rsid w:val="008A0FAC"/>
    <w:rsid w:val="008A0FC9"/>
    <w:rsid w:val="008A14C8"/>
    <w:rsid w:val="008A1956"/>
    <w:rsid w:val="008A1A7C"/>
    <w:rsid w:val="008A2CE2"/>
    <w:rsid w:val="008A3F0C"/>
    <w:rsid w:val="008A40D3"/>
    <w:rsid w:val="008A413F"/>
    <w:rsid w:val="008A451F"/>
    <w:rsid w:val="008A469C"/>
    <w:rsid w:val="008A50FB"/>
    <w:rsid w:val="008A51D1"/>
    <w:rsid w:val="008A5C90"/>
    <w:rsid w:val="008A5DCE"/>
    <w:rsid w:val="008A75D3"/>
    <w:rsid w:val="008A7F09"/>
    <w:rsid w:val="008B00D6"/>
    <w:rsid w:val="008B05DD"/>
    <w:rsid w:val="008B062C"/>
    <w:rsid w:val="008B07B8"/>
    <w:rsid w:val="008B17E8"/>
    <w:rsid w:val="008B1D32"/>
    <w:rsid w:val="008B2C45"/>
    <w:rsid w:val="008B2E7C"/>
    <w:rsid w:val="008B399A"/>
    <w:rsid w:val="008B3C16"/>
    <w:rsid w:val="008B45F0"/>
    <w:rsid w:val="008B4A70"/>
    <w:rsid w:val="008B502F"/>
    <w:rsid w:val="008B54FD"/>
    <w:rsid w:val="008B5692"/>
    <w:rsid w:val="008B5F31"/>
    <w:rsid w:val="008B6CE5"/>
    <w:rsid w:val="008B6DFC"/>
    <w:rsid w:val="008B7227"/>
    <w:rsid w:val="008C02FB"/>
    <w:rsid w:val="008C04E0"/>
    <w:rsid w:val="008C191C"/>
    <w:rsid w:val="008C1DA4"/>
    <w:rsid w:val="008C2138"/>
    <w:rsid w:val="008C2608"/>
    <w:rsid w:val="008C29B0"/>
    <w:rsid w:val="008C2CD5"/>
    <w:rsid w:val="008C33AE"/>
    <w:rsid w:val="008C3618"/>
    <w:rsid w:val="008C39E7"/>
    <w:rsid w:val="008C43AD"/>
    <w:rsid w:val="008C49A3"/>
    <w:rsid w:val="008C4C1E"/>
    <w:rsid w:val="008C5A63"/>
    <w:rsid w:val="008C602A"/>
    <w:rsid w:val="008C6118"/>
    <w:rsid w:val="008C6341"/>
    <w:rsid w:val="008C653D"/>
    <w:rsid w:val="008C731F"/>
    <w:rsid w:val="008C74D9"/>
    <w:rsid w:val="008C7569"/>
    <w:rsid w:val="008C7726"/>
    <w:rsid w:val="008D06EC"/>
    <w:rsid w:val="008D2050"/>
    <w:rsid w:val="008D21DD"/>
    <w:rsid w:val="008D2D79"/>
    <w:rsid w:val="008D35CA"/>
    <w:rsid w:val="008D3B2D"/>
    <w:rsid w:val="008D5433"/>
    <w:rsid w:val="008D58D9"/>
    <w:rsid w:val="008D5AD4"/>
    <w:rsid w:val="008D5E4E"/>
    <w:rsid w:val="008D5E9D"/>
    <w:rsid w:val="008D5F65"/>
    <w:rsid w:val="008D62B3"/>
    <w:rsid w:val="008D695E"/>
    <w:rsid w:val="008D6DD5"/>
    <w:rsid w:val="008D6E59"/>
    <w:rsid w:val="008D7155"/>
    <w:rsid w:val="008D76E0"/>
    <w:rsid w:val="008E03A3"/>
    <w:rsid w:val="008E079C"/>
    <w:rsid w:val="008E0B29"/>
    <w:rsid w:val="008E141A"/>
    <w:rsid w:val="008E1810"/>
    <w:rsid w:val="008E1A44"/>
    <w:rsid w:val="008E1EED"/>
    <w:rsid w:val="008E244B"/>
    <w:rsid w:val="008E26CA"/>
    <w:rsid w:val="008E2859"/>
    <w:rsid w:val="008E28E6"/>
    <w:rsid w:val="008E2C57"/>
    <w:rsid w:val="008E3232"/>
    <w:rsid w:val="008E3674"/>
    <w:rsid w:val="008E3B6C"/>
    <w:rsid w:val="008E3DE7"/>
    <w:rsid w:val="008E5227"/>
    <w:rsid w:val="008E562C"/>
    <w:rsid w:val="008E5FB9"/>
    <w:rsid w:val="008E611D"/>
    <w:rsid w:val="008E6540"/>
    <w:rsid w:val="008E6758"/>
    <w:rsid w:val="008E6A1C"/>
    <w:rsid w:val="008E6FBE"/>
    <w:rsid w:val="008E77D4"/>
    <w:rsid w:val="008E7ADD"/>
    <w:rsid w:val="008F091F"/>
    <w:rsid w:val="008F1548"/>
    <w:rsid w:val="008F17B2"/>
    <w:rsid w:val="008F22B3"/>
    <w:rsid w:val="008F241E"/>
    <w:rsid w:val="008F2F1F"/>
    <w:rsid w:val="008F312B"/>
    <w:rsid w:val="008F357B"/>
    <w:rsid w:val="008F366E"/>
    <w:rsid w:val="008F36DE"/>
    <w:rsid w:val="008F3B56"/>
    <w:rsid w:val="008F44CA"/>
    <w:rsid w:val="008F4547"/>
    <w:rsid w:val="008F49D3"/>
    <w:rsid w:val="008F51D3"/>
    <w:rsid w:val="008F5B69"/>
    <w:rsid w:val="008F6519"/>
    <w:rsid w:val="008F68C5"/>
    <w:rsid w:val="008F694F"/>
    <w:rsid w:val="008F6AC1"/>
    <w:rsid w:val="008F6B67"/>
    <w:rsid w:val="008F6F4C"/>
    <w:rsid w:val="008F7012"/>
    <w:rsid w:val="008F7576"/>
    <w:rsid w:val="008F7ADA"/>
    <w:rsid w:val="008F7B17"/>
    <w:rsid w:val="00900042"/>
    <w:rsid w:val="0090034B"/>
    <w:rsid w:val="009005D7"/>
    <w:rsid w:val="0090087C"/>
    <w:rsid w:val="00900B87"/>
    <w:rsid w:val="00900D2F"/>
    <w:rsid w:val="00901121"/>
    <w:rsid w:val="00901B50"/>
    <w:rsid w:val="00902623"/>
    <w:rsid w:val="009029CF"/>
    <w:rsid w:val="00902A67"/>
    <w:rsid w:val="00902C5E"/>
    <w:rsid w:val="009032F7"/>
    <w:rsid w:val="009035FA"/>
    <w:rsid w:val="00904BE4"/>
    <w:rsid w:val="0090504A"/>
    <w:rsid w:val="009051F5"/>
    <w:rsid w:val="00905221"/>
    <w:rsid w:val="0090530B"/>
    <w:rsid w:val="00905664"/>
    <w:rsid w:val="009058FC"/>
    <w:rsid w:val="00905A7C"/>
    <w:rsid w:val="00905D7E"/>
    <w:rsid w:val="00907037"/>
    <w:rsid w:val="00907259"/>
    <w:rsid w:val="00907929"/>
    <w:rsid w:val="00910577"/>
    <w:rsid w:val="00910C5D"/>
    <w:rsid w:val="0091112C"/>
    <w:rsid w:val="009113F2"/>
    <w:rsid w:val="0091160A"/>
    <w:rsid w:val="00911A41"/>
    <w:rsid w:val="00912A06"/>
    <w:rsid w:val="00912E04"/>
    <w:rsid w:val="00913258"/>
    <w:rsid w:val="00913851"/>
    <w:rsid w:val="00913BB0"/>
    <w:rsid w:val="0091456C"/>
    <w:rsid w:val="009145DE"/>
    <w:rsid w:val="00914C58"/>
    <w:rsid w:val="00914D78"/>
    <w:rsid w:val="009151FC"/>
    <w:rsid w:val="009153D3"/>
    <w:rsid w:val="0091564D"/>
    <w:rsid w:val="009156DA"/>
    <w:rsid w:val="00915774"/>
    <w:rsid w:val="00916BC5"/>
    <w:rsid w:val="0091726A"/>
    <w:rsid w:val="0091733B"/>
    <w:rsid w:val="00917C01"/>
    <w:rsid w:val="00920184"/>
    <w:rsid w:val="00920421"/>
    <w:rsid w:val="00920EA4"/>
    <w:rsid w:val="00921792"/>
    <w:rsid w:val="00921BEA"/>
    <w:rsid w:val="009227BE"/>
    <w:rsid w:val="00922C83"/>
    <w:rsid w:val="009238FD"/>
    <w:rsid w:val="00923998"/>
    <w:rsid w:val="00923DB4"/>
    <w:rsid w:val="0092420B"/>
    <w:rsid w:val="0092430E"/>
    <w:rsid w:val="00924451"/>
    <w:rsid w:val="00926112"/>
    <w:rsid w:val="0092625F"/>
    <w:rsid w:val="00926B28"/>
    <w:rsid w:val="00926D9C"/>
    <w:rsid w:val="00927028"/>
    <w:rsid w:val="0092708F"/>
    <w:rsid w:val="0092734A"/>
    <w:rsid w:val="00927763"/>
    <w:rsid w:val="0092798A"/>
    <w:rsid w:val="00927A2D"/>
    <w:rsid w:val="00927B37"/>
    <w:rsid w:val="009307CD"/>
    <w:rsid w:val="00930CC5"/>
    <w:rsid w:val="009314B1"/>
    <w:rsid w:val="009321B1"/>
    <w:rsid w:val="0093236E"/>
    <w:rsid w:val="009327F0"/>
    <w:rsid w:val="00932A42"/>
    <w:rsid w:val="00932ECE"/>
    <w:rsid w:val="00932ED7"/>
    <w:rsid w:val="00933278"/>
    <w:rsid w:val="00933E30"/>
    <w:rsid w:val="0093422D"/>
    <w:rsid w:val="0093483B"/>
    <w:rsid w:val="00934CF9"/>
    <w:rsid w:val="00934DD7"/>
    <w:rsid w:val="00934F9C"/>
    <w:rsid w:val="00934FEB"/>
    <w:rsid w:val="009357C9"/>
    <w:rsid w:val="00935CB2"/>
    <w:rsid w:val="00936898"/>
    <w:rsid w:val="009369A9"/>
    <w:rsid w:val="00936CF7"/>
    <w:rsid w:val="00937783"/>
    <w:rsid w:val="00937EAD"/>
    <w:rsid w:val="00937F28"/>
    <w:rsid w:val="009401F5"/>
    <w:rsid w:val="00940FE1"/>
    <w:rsid w:val="0094117A"/>
    <w:rsid w:val="00941474"/>
    <w:rsid w:val="00942306"/>
    <w:rsid w:val="009424B8"/>
    <w:rsid w:val="0094286B"/>
    <w:rsid w:val="009432E2"/>
    <w:rsid w:val="009440DD"/>
    <w:rsid w:val="00944668"/>
    <w:rsid w:val="00944DC6"/>
    <w:rsid w:val="00945829"/>
    <w:rsid w:val="009458B0"/>
    <w:rsid w:val="00945B52"/>
    <w:rsid w:val="00945B7A"/>
    <w:rsid w:val="00945F05"/>
    <w:rsid w:val="00945FE0"/>
    <w:rsid w:val="00946348"/>
    <w:rsid w:val="00946B10"/>
    <w:rsid w:val="0094708D"/>
    <w:rsid w:val="009471C2"/>
    <w:rsid w:val="00947224"/>
    <w:rsid w:val="00947797"/>
    <w:rsid w:val="009478A2"/>
    <w:rsid w:val="00947942"/>
    <w:rsid w:val="00950181"/>
    <w:rsid w:val="00950402"/>
    <w:rsid w:val="00950865"/>
    <w:rsid w:val="009533BD"/>
    <w:rsid w:val="00953557"/>
    <w:rsid w:val="009536FB"/>
    <w:rsid w:val="00953808"/>
    <w:rsid w:val="009539A6"/>
    <w:rsid w:val="00953C3A"/>
    <w:rsid w:val="00954032"/>
    <w:rsid w:val="00954537"/>
    <w:rsid w:val="0095472D"/>
    <w:rsid w:val="00954F0F"/>
    <w:rsid w:val="00955342"/>
    <w:rsid w:val="00955D57"/>
    <w:rsid w:val="00955FBB"/>
    <w:rsid w:val="00956705"/>
    <w:rsid w:val="0095694B"/>
    <w:rsid w:val="00956BD5"/>
    <w:rsid w:val="00956D84"/>
    <w:rsid w:val="00956F1E"/>
    <w:rsid w:val="009577B5"/>
    <w:rsid w:val="00957D66"/>
    <w:rsid w:val="00960491"/>
    <w:rsid w:val="009608E6"/>
    <w:rsid w:val="00960F57"/>
    <w:rsid w:val="00961669"/>
    <w:rsid w:val="009618AF"/>
    <w:rsid w:val="00961C90"/>
    <w:rsid w:val="00962A26"/>
    <w:rsid w:val="00965186"/>
    <w:rsid w:val="00965443"/>
    <w:rsid w:val="00965954"/>
    <w:rsid w:val="00965A21"/>
    <w:rsid w:val="00965C3A"/>
    <w:rsid w:val="00965E55"/>
    <w:rsid w:val="0096608E"/>
    <w:rsid w:val="00966522"/>
    <w:rsid w:val="00966926"/>
    <w:rsid w:val="00966C33"/>
    <w:rsid w:val="00967288"/>
    <w:rsid w:val="009678D3"/>
    <w:rsid w:val="00970F18"/>
    <w:rsid w:val="00971CF1"/>
    <w:rsid w:val="00971F5D"/>
    <w:rsid w:val="009721E9"/>
    <w:rsid w:val="009722B5"/>
    <w:rsid w:val="00972C2E"/>
    <w:rsid w:val="00973330"/>
    <w:rsid w:val="009733D3"/>
    <w:rsid w:val="00973772"/>
    <w:rsid w:val="00974240"/>
    <w:rsid w:val="00974610"/>
    <w:rsid w:val="00975499"/>
    <w:rsid w:val="0097560A"/>
    <w:rsid w:val="0097598F"/>
    <w:rsid w:val="00975E1E"/>
    <w:rsid w:val="00975E70"/>
    <w:rsid w:val="009761DE"/>
    <w:rsid w:val="009766D4"/>
    <w:rsid w:val="009766FA"/>
    <w:rsid w:val="00976E80"/>
    <w:rsid w:val="00977714"/>
    <w:rsid w:val="00977944"/>
    <w:rsid w:val="00977CD6"/>
    <w:rsid w:val="009803E3"/>
    <w:rsid w:val="0098048B"/>
    <w:rsid w:val="00980908"/>
    <w:rsid w:val="00980DF9"/>
    <w:rsid w:val="00981CD8"/>
    <w:rsid w:val="0098243D"/>
    <w:rsid w:val="009825EF"/>
    <w:rsid w:val="00982C19"/>
    <w:rsid w:val="00982D26"/>
    <w:rsid w:val="00983B6E"/>
    <w:rsid w:val="00983FE5"/>
    <w:rsid w:val="00984544"/>
    <w:rsid w:val="009849E9"/>
    <w:rsid w:val="00984AFF"/>
    <w:rsid w:val="00985048"/>
    <w:rsid w:val="009855AC"/>
    <w:rsid w:val="009859E4"/>
    <w:rsid w:val="00985D7F"/>
    <w:rsid w:val="00987812"/>
    <w:rsid w:val="00987A48"/>
    <w:rsid w:val="00987B39"/>
    <w:rsid w:val="009900FE"/>
    <w:rsid w:val="00990225"/>
    <w:rsid w:val="00990678"/>
    <w:rsid w:val="00991307"/>
    <w:rsid w:val="0099157D"/>
    <w:rsid w:val="00991FAA"/>
    <w:rsid w:val="00991FD2"/>
    <w:rsid w:val="00992A13"/>
    <w:rsid w:val="00993DB1"/>
    <w:rsid w:val="00994AAD"/>
    <w:rsid w:val="00995150"/>
    <w:rsid w:val="009957A6"/>
    <w:rsid w:val="00995D67"/>
    <w:rsid w:val="009968C5"/>
    <w:rsid w:val="00997613"/>
    <w:rsid w:val="009A013B"/>
    <w:rsid w:val="009A02F4"/>
    <w:rsid w:val="009A0617"/>
    <w:rsid w:val="009A06BF"/>
    <w:rsid w:val="009A09C5"/>
    <w:rsid w:val="009A0D17"/>
    <w:rsid w:val="009A12C8"/>
    <w:rsid w:val="009A2494"/>
    <w:rsid w:val="009A32B1"/>
    <w:rsid w:val="009A33A3"/>
    <w:rsid w:val="009A36F2"/>
    <w:rsid w:val="009A40C3"/>
    <w:rsid w:val="009A40D5"/>
    <w:rsid w:val="009A5268"/>
    <w:rsid w:val="009A57D0"/>
    <w:rsid w:val="009A6559"/>
    <w:rsid w:val="009A68FC"/>
    <w:rsid w:val="009A6AE6"/>
    <w:rsid w:val="009A6CE4"/>
    <w:rsid w:val="009A7514"/>
    <w:rsid w:val="009A7665"/>
    <w:rsid w:val="009A7E7A"/>
    <w:rsid w:val="009B021B"/>
    <w:rsid w:val="009B0925"/>
    <w:rsid w:val="009B1584"/>
    <w:rsid w:val="009B18F0"/>
    <w:rsid w:val="009B194E"/>
    <w:rsid w:val="009B1F4C"/>
    <w:rsid w:val="009B2203"/>
    <w:rsid w:val="009B2471"/>
    <w:rsid w:val="009B314F"/>
    <w:rsid w:val="009B439C"/>
    <w:rsid w:val="009B49A1"/>
    <w:rsid w:val="009B4A6C"/>
    <w:rsid w:val="009B4DA8"/>
    <w:rsid w:val="009B4FA6"/>
    <w:rsid w:val="009B519A"/>
    <w:rsid w:val="009B53E6"/>
    <w:rsid w:val="009B620C"/>
    <w:rsid w:val="009B6454"/>
    <w:rsid w:val="009B64CC"/>
    <w:rsid w:val="009B6753"/>
    <w:rsid w:val="009B676C"/>
    <w:rsid w:val="009B6A26"/>
    <w:rsid w:val="009C079D"/>
    <w:rsid w:val="009C0C12"/>
    <w:rsid w:val="009C0D70"/>
    <w:rsid w:val="009C1282"/>
    <w:rsid w:val="009C13D1"/>
    <w:rsid w:val="009C14A3"/>
    <w:rsid w:val="009C2913"/>
    <w:rsid w:val="009C2BD4"/>
    <w:rsid w:val="009C32F0"/>
    <w:rsid w:val="009C334C"/>
    <w:rsid w:val="009C3EED"/>
    <w:rsid w:val="009C4596"/>
    <w:rsid w:val="009C52FB"/>
    <w:rsid w:val="009C5314"/>
    <w:rsid w:val="009C5AFE"/>
    <w:rsid w:val="009C6606"/>
    <w:rsid w:val="009C6CE5"/>
    <w:rsid w:val="009C6D50"/>
    <w:rsid w:val="009C72B2"/>
    <w:rsid w:val="009C7547"/>
    <w:rsid w:val="009D05EC"/>
    <w:rsid w:val="009D18D4"/>
    <w:rsid w:val="009D1E82"/>
    <w:rsid w:val="009D1FCF"/>
    <w:rsid w:val="009D2F60"/>
    <w:rsid w:val="009D3A2E"/>
    <w:rsid w:val="009D3E61"/>
    <w:rsid w:val="009D4C2E"/>
    <w:rsid w:val="009D53C0"/>
    <w:rsid w:val="009D5912"/>
    <w:rsid w:val="009D5ADE"/>
    <w:rsid w:val="009D5BAC"/>
    <w:rsid w:val="009D5C56"/>
    <w:rsid w:val="009D6265"/>
    <w:rsid w:val="009D64BD"/>
    <w:rsid w:val="009D6CB1"/>
    <w:rsid w:val="009D799C"/>
    <w:rsid w:val="009E0286"/>
    <w:rsid w:val="009E0A4B"/>
    <w:rsid w:val="009E153F"/>
    <w:rsid w:val="009E18C5"/>
    <w:rsid w:val="009E2758"/>
    <w:rsid w:val="009E2B98"/>
    <w:rsid w:val="009E322A"/>
    <w:rsid w:val="009E32F4"/>
    <w:rsid w:val="009E3483"/>
    <w:rsid w:val="009E393E"/>
    <w:rsid w:val="009E42FD"/>
    <w:rsid w:val="009E444E"/>
    <w:rsid w:val="009E454D"/>
    <w:rsid w:val="009E4968"/>
    <w:rsid w:val="009E4E01"/>
    <w:rsid w:val="009E5676"/>
    <w:rsid w:val="009E663C"/>
    <w:rsid w:val="009E684A"/>
    <w:rsid w:val="009E6BB1"/>
    <w:rsid w:val="009E6E14"/>
    <w:rsid w:val="009E794A"/>
    <w:rsid w:val="009E7B26"/>
    <w:rsid w:val="009E7C14"/>
    <w:rsid w:val="009F0494"/>
    <w:rsid w:val="009F0CD9"/>
    <w:rsid w:val="009F1A79"/>
    <w:rsid w:val="009F1F57"/>
    <w:rsid w:val="009F249F"/>
    <w:rsid w:val="009F2DDD"/>
    <w:rsid w:val="009F32B4"/>
    <w:rsid w:val="009F3447"/>
    <w:rsid w:val="009F5847"/>
    <w:rsid w:val="009F65F4"/>
    <w:rsid w:val="009F6763"/>
    <w:rsid w:val="009F676B"/>
    <w:rsid w:val="009F6D2D"/>
    <w:rsid w:val="009F6D54"/>
    <w:rsid w:val="00A004DF"/>
    <w:rsid w:val="00A00A52"/>
    <w:rsid w:val="00A00EE6"/>
    <w:rsid w:val="00A00FD5"/>
    <w:rsid w:val="00A012C0"/>
    <w:rsid w:val="00A019A8"/>
    <w:rsid w:val="00A01B03"/>
    <w:rsid w:val="00A01B89"/>
    <w:rsid w:val="00A02C66"/>
    <w:rsid w:val="00A02C84"/>
    <w:rsid w:val="00A035E1"/>
    <w:rsid w:val="00A03842"/>
    <w:rsid w:val="00A04394"/>
    <w:rsid w:val="00A0464C"/>
    <w:rsid w:val="00A04F3F"/>
    <w:rsid w:val="00A050BB"/>
    <w:rsid w:val="00A05128"/>
    <w:rsid w:val="00A0521B"/>
    <w:rsid w:val="00A05262"/>
    <w:rsid w:val="00A054E0"/>
    <w:rsid w:val="00A05D91"/>
    <w:rsid w:val="00A06972"/>
    <w:rsid w:val="00A0734B"/>
    <w:rsid w:val="00A0740B"/>
    <w:rsid w:val="00A07ED3"/>
    <w:rsid w:val="00A10162"/>
    <w:rsid w:val="00A10CA8"/>
    <w:rsid w:val="00A10D5A"/>
    <w:rsid w:val="00A11042"/>
    <w:rsid w:val="00A12579"/>
    <w:rsid w:val="00A12CDC"/>
    <w:rsid w:val="00A12E1D"/>
    <w:rsid w:val="00A1304B"/>
    <w:rsid w:val="00A133D8"/>
    <w:rsid w:val="00A13464"/>
    <w:rsid w:val="00A13553"/>
    <w:rsid w:val="00A13F58"/>
    <w:rsid w:val="00A14382"/>
    <w:rsid w:val="00A15480"/>
    <w:rsid w:val="00A15655"/>
    <w:rsid w:val="00A160B0"/>
    <w:rsid w:val="00A1740C"/>
    <w:rsid w:val="00A17904"/>
    <w:rsid w:val="00A20069"/>
    <w:rsid w:val="00A2244D"/>
    <w:rsid w:val="00A2253D"/>
    <w:rsid w:val="00A2267F"/>
    <w:rsid w:val="00A22CDB"/>
    <w:rsid w:val="00A22D95"/>
    <w:rsid w:val="00A247B8"/>
    <w:rsid w:val="00A24914"/>
    <w:rsid w:val="00A2495A"/>
    <w:rsid w:val="00A24C7A"/>
    <w:rsid w:val="00A24D8F"/>
    <w:rsid w:val="00A25366"/>
    <w:rsid w:val="00A25B8B"/>
    <w:rsid w:val="00A2689F"/>
    <w:rsid w:val="00A26ECA"/>
    <w:rsid w:val="00A272C6"/>
    <w:rsid w:val="00A2734E"/>
    <w:rsid w:val="00A27461"/>
    <w:rsid w:val="00A27837"/>
    <w:rsid w:val="00A27AE5"/>
    <w:rsid w:val="00A27D67"/>
    <w:rsid w:val="00A27EE9"/>
    <w:rsid w:val="00A27F23"/>
    <w:rsid w:val="00A30ABC"/>
    <w:rsid w:val="00A30D1F"/>
    <w:rsid w:val="00A310FB"/>
    <w:rsid w:val="00A320F4"/>
    <w:rsid w:val="00A3267D"/>
    <w:rsid w:val="00A3354D"/>
    <w:rsid w:val="00A33B74"/>
    <w:rsid w:val="00A3467F"/>
    <w:rsid w:val="00A34B4C"/>
    <w:rsid w:val="00A35030"/>
    <w:rsid w:val="00A3551A"/>
    <w:rsid w:val="00A3588F"/>
    <w:rsid w:val="00A36015"/>
    <w:rsid w:val="00A366A0"/>
    <w:rsid w:val="00A36952"/>
    <w:rsid w:val="00A37196"/>
    <w:rsid w:val="00A37209"/>
    <w:rsid w:val="00A37381"/>
    <w:rsid w:val="00A37584"/>
    <w:rsid w:val="00A376E8"/>
    <w:rsid w:val="00A37F8E"/>
    <w:rsid w:val="00A4103C"/>
    <w:rsid w:val="00A411DA"/>
    <w:rsid w:val="00A41537"/>
    <w:rsid w:val="00A41678"/>
    <w:rsid w:val="00A41737"/>
    <w:rsid w:val="00A42AD4"/>
    <w:rsid w:val="00A42B8F"/>
    <w:rsid w:val="00A42D8E"/>
    <w:rsid w:val="00A43254"/>
    <w:rsid w:val="00A43896"/>
    <w:rsid w:val="00A43951"/>
    <w:rsid w:val="00A43A26"/>
    <w:rsid w:val="00A4429D"/>
    <w:rsid w:val="00A447A0"/>
    <w:rsid w:val="00A4505E"/>
    <w:rsid w:val="00A459F5"/>
    <w:rsid w:val="00A45FC0"/>
    <w:rsid w:val="00A467AF"/>
    <w:rsid w:val="00A468C7"/>
    <w:rsid w:val="00A46B74"/>
    <w:rsid w:val="00A47BF7"/>
    <w:rsid w:val="00A47ECC"/>
    <w:rsid w:val="00A50171"/>
    <w:rsid w:val="00A50418"/>
    <w:rsid w:val="00A504FA"/>
    <w:rsid w:val="00A50E40"/>
    <w:rsid w:val="00A5102E"/>
    <w:rsid w:val="00A5132E"/>
    <w:rsid w:val="00A51375"/>
    <w:rsid w:val="00A51533"/>
    <w:rsid w:val="00A516D4"/>
    <w:rsid w:val="00A51F1A"/>
    <w:rsid w:val="00A52E32"/>
    <w:rsid w:val="00A531D4"/>
    <w:rsid w:val="00A53622"/>
    <w:rsid w:val="00A53736"/>
    <w:rsid w:val="00A53C42"/>
    <w:rsid w:val="00A54572"/>
    <w:rsid w:val="00A559D8"/>
    <w:rsid w:val="00A575B8"/>
    <w:rsid w:val="00A6020A"/>
    <w:rsid w:val="00A60CE7"/>
    <w:rsid w:val="00A60CF8"/>
    <w:rsid w:val="00A619BB"/>
    <w:rsid w:val="00A61C60"/>
    <w:rsid w:val="00A61ECB"/>
    <w:rsid w:val="00A63D58"/>
    <w:rsid w:val="00A63FE9"/>
    <w:rsid w:val="00A6410C"/>
    <w:rsid w:val="00A647B1"/>
    <w:rsid w:val="00A64DEF"/>
    <w:rsid w:val="00A65311"/>
    <w:rsid w:val="00A654D2"/>
    <w:rsid w:val="00A665DF"/>
    <w:rsid w:val="00A67331"/>
    <w:rsid w:val="00A673F1"/>
    <w:rsid w:val="00A674DB"/>
    <w:rsid w:val="00A67625"/>
    <w:rsid w:val="00A67FCC"/>
    <w:rsid w:val="00A702C3"/>
    <w:rsid w:val="00A70AA5"/>
    <w:rsid w:val="00A70C03"/>
    <w:rsid w:val="00A70C34"/>
    <w:rsid w:val="00A71256"/>
    <w:rsid w:val="00A7147C"/>
    <w:rsid w:val="00A71CB8"/>
    <w:rsid w:val="00A72172"/>
    <w:rsid w:val="00A7217B"/>
    <w:rsid w:val="00A722D7"/>
    <w:rsid w:val="00A723A3"/>
    <w:rsid w:val="00A73861"/>
    <w:rsid w:val="00A738EE"/>
    <w:rsid w:val="00A739A6"/>
    <w:rsid w:val="00A73C97"/>
    <w:rsid w:val="00A740ED"/>
    <w:rsid w:val="00A74229"/>
    <w:rsid w:val="00A746C7"/>
    <w:rsid w:val="00A74C29"/>
    <w:rsid w:val="00A74C62"/>
    <w:rsid w:val="00A75A70"/>
    <w:rsid w:val="00A75EF9"/>
    <w:rsid w:val="00A7642C"/>
    <w:rsid w:val="00A7657C"/>
    <w:rsid w:val="00A76B5E"/>
    <w:rsid w:val="00A76BD8"/>
    <w:rsid w:val="00A76E4E"/>
    <w:rsid w:val="00A7744F"/>
    <w:rsid w:val="00A80018"/>
    <w:rsid w:val="00A80A5D"/>
    <w:rsid w:val="00A81E9C"/>
    <w:rsid w:val="00A81ECA"/>
    <w:rsid w:val="00A821D4"/>
    <w:rsid w:val="00A82764"/>
    <w:rsid w:val="00A8311C"/>
    <w:rsid w:val="00A835D0"/>
    <w:rsid w:val="00A83821"/>
    <w:rsid w:val="00A84150"/>
    <w:rsid w:val="00A84761"/>
    <w:rsid w:val="00A84C5F"/>
    <w:rsid w:val="00A85240"/>
    <w:rsid w:val="00A85930"/>
    <w:rsid w:val="00A86116"/>
    <w:rsid w:val="00A863F7"/>
    <w:rsid w:val="00A86604"/>
    <w:rsid w:val="00A86ACC"/>
    <w:rsid w:val="00A87519"/>
    <w:rsid w:val="00A90213"/>
    <w:rsid w:val="00A90870"/>
    <w:rsid w:val="00A90C73"/>
    <w:rsid w:val="00A914DA"/>
    <w:rsid w:val="00A91E71"/>
    <w:rsid w:val="00A9246D"/>
    <w:rsid w:val="00A92C64"/>
    <w:rsid w:val="00A92CCA"/>
    <w:rsid w:val="00A93BD0"/>
    <w:rsid w:val="00A93CC2"/>
    <w:rsid w:val="00A9451D"/>
    <w:rsid w:val="00A94D4B"/>
    <w:rsid w:val="00A951EE"/>
    <w:rsid w:val="00A95320"/>
    <w:rsid w:val="00A956AC"/>
    <w:rsid w:val="00A9592C"/>
    <w:rsid w:val="00A95A90"/>
    <w:rsid w:val="00A974CC"/>
    <w:rsid w:val="00A97EE7"/>
    <w:rsid w:val="00A97FC3"/>
    <w:rsid w:val="00AA0A68"/>
    <w:rsid w:val="00AA1F34"/>
    <w:rsid w:val="00AA2001"/>
    <w:rsid w:val="00AA217C"/>
    <w:rsid w:val="00AA2B5C"/>
    <w:rsid w:val="00AA32D2"/>
    <w:rsid w:val="00AA33AA"/>
    <w:rsid w:val="00AA3A5C"/>
    <w:rsid w:val="00AA3AA4"/>
    <w:rsid w:val="00AA3B8B"/>
    <w:rsid w:val="00AA4016"/>
    <w:rsid w:val="00AA416D"/>
    <w:rsid w:val="00AA4976"/>
    <w:rsid w:val="00AA4C1F"/>
    <w:rsid w:val="00AA4F0C"/>
    <w:rsid w:val="00AA5328"/>
    <w:rsid w:val="00AA5393"/>
    <w:rsid w:val="00AA5881"/>
    <w:rsid w:val="00AA63D4"/>
    <w:rsid w:val="00AA7931"/>
    <w:rsid w:val="00AA7BE1"/>
    <w:rsid w:val="00AB03FD"/>
    <w:rsid w:val="00AB09B8"/>
    <w:rsid w:val="00AB1678"/>
    <w:rsid w:val="00AB199F"/>
    <w:rsid w:val="00AB1C40"/>
    <w:rsid w:val="00AB2000"/>
    <w:rsid w:val="00AB21CC"/>
    <w:rsid w:val="00AB2C06"/>
    <w:rsid w:val="00AB38CB"/>
    <w:rsid w:val="00AB3BEC"/>
    <w:rsid w:val="00AB4080"/>
    <w:rsid w:val="00AB44E4"/>
    <w:rsid w:val="00AB46D1"/>
    <w:rsid w:val="00AB4AEB"/>
    <w:rsid w:val="00AB4E5F"/>
    <w:rsid w:val="00AB5352"/>
    <w:rsid w:val="00AB56AE"/>
    <w:rsid w:val="00AB62D5"/>
    <w:rsid w:val="00AB65B5"/>
    <w:rsid w:val="00AB6DCD"/>
    <w:rsid w:val="00AB6EE0"/>
    <w:rsid w:val="00AB7240"/>
    <w:rsid w:val="00AB780C"/>
    <w:rsid w:val="00AB7D43"/>
    <w:rsid w:val="00AB7ECC"/>
    <w:rsid w:val="00AC1325"/>
    <w:rsid w:val="00AC17A2"/>
    <w:rsid w:val="00AC3096"/>
    <w:rsid w:val="00AC33F3"/>
    <w:rsid w:val="00AC40B7"/>
    <w:rsid w:val="00AC49E2"/>
    <w:rsid w:val="00AC4EAC"/>
    <w:rsid w:val="00AC531F"/>
    <w:rsid w:val="00AC5448"/>
    <w:rsid w:val="00AC5459"/>
    <w:rsid w:val="00AC5B36"/>
    <w:rsid w:val="00AC5FFE"/>
    <w:rsid w:val="00AC6377"/>
    <w:rsid w:val="00AC651A"/>
    <w:rsid w:val="00AC66A4"/>
    <w:rsid w:val="00AC6CB1"/>
    <w:rsid w:val="00AC75E9"/>
    <w:rsid w:val="00AC7965"/>
    <w:rsid w:val="00AC7D6D"/>
    <w:rsid w:val="00AC7D76"/>
    <w:rsid w:val="00AD0091"/>
    <w:rsid w:val="00AD046F"/>
    <w:rsid w:val="00AD04C1"/>
    <w:rsid w:val="00AD1119"/>
    <w:rsid w:val="00AD1315"/>
    <w:rsid w:val="00AD21D4"/>
    <w:rsid w:val="00AD23EF"/>
    <w:rsid w:val="00AD2662"/>
    <w:rsid w:val="00AD307B"/>
    <w:rsid w:val="00AD355F"/>
    <w:rsid w:val="00AD36D2"/>
    <w:rsid w:val="00AD3992"/>
    <w:rsid w:val="00AD4014"/>
    <w:rsid w:val="00AD41B3"/>
    <w:rsid w:val="00AD5721"/>
    <w:rsid w:val="00AD69F0"/>
    <w:rsid w:val="00AD7127"/>
    <w:rsid w:val="00AD730C"/>
    <w:rsid w:val="00AE04FD"/>
    <w:rsid w:val="00AE0F90"/>
    <w:rsid w:val="00AE123A"/>
    <w:rsid w:val="00AE1539"/>
    <w:rsid w:val="00AE1FB8"/>
    <w:rsid w:val="00AE28A7"/>
    <w:rsid w:val="00AE2A98"/>
    <w:rsid w:val="00AE2CF2"/>
    <w:rsid w:val="00AE2F19"/>
    <w:rsid w:val="00AE3012"/>
    <w:rsid w:val="00AE3297"/>
    <w:rsid w:val="00AE33A6"/>
    <w:rsid w:val="00AE34EE"/>
    <w:rsid w:val="00AE3513"/>
    <w:rsid w:val="00AE3729"/>
    <w:rsid w:val="00AE3C81"/>
    <w:rsid w:val="00AE4A3E"/>
    <w:rsid w:val="00AE4CCE"/>
    <w:rsid w:val="00AE59DB"/>
    <w:rsid w:val="00AE5C6A"/>
    <w:rsid w:val="00AE6358"/>
    <w:rsid w:val="00AE7058"/>
    <w:rsid w:val="00AE7280"/>
    <w:rsid w:val="00AE7B5F"/>
    <w:rsid w:val="00AF01FA"/>
    <w:rsid w:val="00AF033A"/>
    <w:rsid w:val="00AF0D26"/>
    <w:rsid w:val="00AF118E"/>
    <w:rsid w:val="00AF1658"/>
    <w:rsid w:val="00AF1699"/>
    <w:rsid w:val="00AF18D1"/>
    <w:rsid w:val="00AF1BA4"/>
    <w:rsid w:val="00AF1FD3"/>
    <w:rsid w:val="00AF2910"/>
    <w:rsid w:val="00AF34B8"/>
    <w:rsid w:val="00AF3896"/>
    <w:rsid w:val="00AF39C9"/>
    <w:rsid w:val="00AF3F97"/>
    <w:rsid w:val="00AF3FC2"/>
    <w:rsid w:val="00AF4DEC"/>
    <w:rsid w:val="00AF62F0"/>
    <w:rsid w:val="00AF6B57"/>
    <w:rsid w:val="00AF6BB9"/>
    <w:rsid w:val="00B003FF"/>
    <w:rsid w:val="00B0098A"/>
    <w:rsid w:val="00B00A5F"/>
    <w:rsid w:val="00B0116A"/>
    <w:rsid w:val="00B0139C"/>
    <w:rsid w:val="00B029B8"/>
    <w:rsid w:val="00B02F60"/>
    <w:rsid w:val="00B02F94"/>
    <w:rsid w:val="00B032B8"/>
    <w:rsid w:val="00B0396A"/>
    <w:rsid w:val="00B04074"/>
    <w:rsid w:val="00B04721"/>
    <w:rsid w:val="00B04B15"/>
    <w:rsid w:val="00B04B46"/>
    <w:rsid w:val="00B0534D"/>
    <w:rsid w:val="00B05685"/>
    <w:rsid w:val="00B05F9F"/>
    <w:rsid w:val="00B06070"/>
    <w:rsid w:val="00B062BE"/>
    <w:rsid w:val="00B06368"/>
    <w:rsid w:val="00B065EB"/>
    <w:rsid w:val="00B068DA"/>
    <w:rsid w:val="00B06A00"/>
    <w:rsid w:val="00B06FC6"/>
    <w:rsid w:val="00B0710D"/>
    <w:rsid w:val="00B074C9"/>
    <w:rsid w:val="00B07A70"/>
    <w:rsid w:val="00B07D9D"/>
    <w:rsid w:val="00B11AE5"/>
    <w:rsid w:val="00B12263"/>
    <w:rsid w:val="00B12ECA"/>
    <w:rsid w:val="00B12FE6"/>
    <w:rsid w:val="00B1303F"/>
    <w:rsid w:val="00B1364A"/>
    <w:rsid w:val="00B13859"/>
    <w:rsid w:val="00B13EC9"/>
    <w:rsid w:val="00B14319"/>
    <w:rsid w:val="00B14A06"/>
    <w:rsid w:val="00B14CF8"/>
    <w:rsid w:val="00B158E1"/>
    <w:rsid w:val="00B1599B"/>
    <w:rsid w:val="00B15C0E"/>
    <w:rsid w:val="00B15CCD"/>
    <w:rsid w:val="00B16715"/>
    <w:rsid w:val="00B16FFA"/>
    <w:rsid w:val="00B1768E"/>
    <w:rsid w:val="00B17910"/>
    <w:rsid w:val="00B20F18"/>
    <w:rsid w:val="00B20FB7"/>
    <w:rsid w:val="00B21516"/>
    <w:rsid w:val="00B21723"/>
    <w:rsid w:val="00B219D9"/>
    <w:rsid w:val="00B21A37"/>
    <w:rsid w:val="00B21D23"/>
    <w:rsid w:val="00B21F62"/>
    <w:rsid w:val="00B223A4"/>
    <w:rsid w:val="00B22CE0"/>
    <w:rsid w:val="00B22F2E"/>
    <w:rsid w:val="00B232BF"/>
    <w:rsid w:val="00B23738"/>
    <w:rsid w:val="00B23BEF"/>
    <w:rsid w:val="00B247BB"/>
    <w:rsid w:val="00B2504A"/>
    <w:rsid w:val="00B25EE6"/>
    <w:rsid w:val="00B27365"/>
    <w:rsid w:val="00B3043F"/>
    <w:rsid w:val="00B3115A"/>
    <w:rsid w:val="00B3178B"/>
    <w:rsid w:val="00B31825"/>
    <w:rsid w:val="00B31A5C"/>
    <w:rsid w:val="00B32265"/>
    <w:rsid w:val="00B325CC"/>
    <w:rsid w:val="00B3276D"/>
    <w:rsid w:val="00B33331"/>
    <w:rsid w:val="00B333C8"/>
    <w:rsid w:val="00B336A3"/>
    <w:rsid w:val="00B33B06"/>
    <w:rsid w:val="00B33C19"/>
    <w:rsid w:val="00B33E0B"/>
    <w:rsid w:val="00B3462E"/>
    <w:rsid w:val="00B353A7"/>
    <w:rsid w:val="00B35A15"/>
    <w:rsid w:val="00B35B45"/>
    <w:rsid w:val="00B36165"/>
    <w:rsid w:val="00B36A99"/>
    <w:rsid w:val="00B37395"/>
    <w:rsid w:val="00B40385"/>
    <w:rsid w:val="00B40C29"/>
    <w:rsid w:val="00B42264"/>
    <w:rsid w:val="00B434B2"/>
    <w:rsid w:val="00B43B9E"/>
    <w:rsid w:val="00B43CA0"/>
    <w:rsid w:val="00B43D45"/>
    <w:rsid w:val="00B448C4"/>
    <w:rsid w:val="00B459AF"/>
    <w:rsid w:val="00B468F2"/>
    <w:rsid w:val="00B469DE"/>
    <w:rsid w:val="00B47286"/>
    <w:rsid w:val="00B4772A"/>
    <w:rsid w:val="00B47EB4"/>
    <w:rsid w:val="00B50234"/>
    <w:rsid w:val="00B5052F"/>
    <w:rsid w:val="00B51641"/>
    <w:rsid w:val="00B51BF4"/>
    <w:rsid w:val="00B521A2"/>
    <w:rsid w:val="00B52279"/>
    <w:rsid w:val="00B522D7"/>
    <w:rsid w:val="00B5235E"/>
    <w:rsid w:val="00B527AD"/>
    <w:rsid w:val="00B52C68"/>
    <w:rsid w:val="00B5324B"/>
    <w:rsid w:val="00B5372B"/>
    <w:rsid w:val="00B542FE"/>
    <w:rsid w:val="00B54360"/>
    <w:rsid w:val="00B546D2"/>
    <w:rsid w:val="00B5525E"/>
    <w:rsid w:val="00B55A1B"/>
    <w:rsid w:val="00B561DB"/>
    <w:rsid w:val="00B5645C"/>
    <w:rsid w:val="00B568A1"/>
    <w:rsid w:val="00B56DF9"/>
    <w:rsid w:val="00B56E80"/>
    <w:rsid w:val="00B570EC"/>
    <w:rsid w:val="00B571F1"/>
    <w:rsid w:val="00B5770A"/>
    <w:rsid w:val="00B600BD"/>
    <w:rsid w:val="00B60CB4"/>
    <w:rsid w:val="00B60E4E"/>
    <w:rsid w:val="00B61274"/>
    <w:rsid w:val="00B613F6"/>
    <w:rsid w:val="00B6141E"/>
    <w:rsid w:val="00B61DCE"/>
    <w:rsid w:val="00B62188"/>
    <w:rsid w:val="00B621D6"/>
    <w:rsid w:val="00B622E3"/>
    <w:rsid w:val="00B62F79"/>
    <w:rsid w:val="00B62F82"/>
    <w:rsid w:val="00B63028"/>
    <w:rsid w:val="00B6306A"/>
    <w:rsid w:val="00B635E3"/>
    <w:rsid w:val="00B64388"/>
    <w:rsid w:val="00B64B9A"/>
    <w:rsid w:val="00B662FF"/>
    <w:rsid w:val="00B665B8"/>
    <w:rsid w:val="00B665F6"/>
    <w:rsid w:val="00B66679"/>
    <w:rsid w:val="00B66C87"/>
    <w:rsid w:val="00B70139"/>
    <w:rsid w:val="00B70145"/>
    <w:rsid w:val="00B701C9"/>
    <w:rsid w:val="00B7035F"/>
    <w:rsid w:val="00B710AD"/>
    <w:rsid w:val="00B71A92"/>
    <w:rsid w:val="00B721D8"/>
    <w:rsid w:val="00B730CA"/>
    <w:rsid w:val="00B732EA"/>
    <w:rsid w:val="00B73747"/>
    <w:rsid w:val="00B747C5"/>
    <w:rsid w:val="00B74F2F"/>
    <w:rsid w:val="00B753ED"/>
    <w:rsid w:val="00B75C6D"/>
    <w:rsid w:val="00B7665F"/>
    <w:rsid w:val="00B769BC"/>
    <w:rsid w:val="00B770F7"/>
    <w:rsid w:val="00B77349"/>
    <w:rsid w:val="00B7761E"/>
    <w:rsid w:val="00B8020C"/>
    <w:rsid w:val="00B80A3D"/>
    <w:rsid w:val="00B80B04"/>
    <w:rsid w:val="00B821E4"/>
    <w:rsid w:val="00B823E0"/>
    <w:rsid w:val="00B8260D"/>
    <w:rsid w:val="00B82694"/>
    <w:rsid w:val="00B8286F"/>
    <w:rsid w:val="00B82B78"/>
    <w:rsid w:val="00B82FD9"/>
    <w:rsid w:val="00B845A8"/>
    <w:rsid w:val="00B845B4"/>
    <w:rsid w:val="00B84662"/>
    <w:rsid w:val="00B84C74"/>
    <w:rsid w:val="00B84CE9"/>
    <w:rsid w:val="00B84F6E"/>
    <w:rsid w:val="00B85191"/>
    <w:rsid w:val="00B85412"/>
    <w:rsid w:val="00B858A1"/>
    <w:rsid w:val="00B85FEC"/>
    <w:rsid w:val="00B864A3"/>
    <w:rsid w:val="00B867B8"/>
    <w:rsid w:val="00B86C2A"/>
    <w:rsid w:val="00B87575"/>
    <w:rsid w:val="00B902A5"/>
    <w:rsid w:val="00B90420"/>
    <w:rsid w:val="00B90848"/>
    <w:rsid w:val="00B91146"/>
    <w:rsid w:val="00B913E4"/>
    <w:rsid w:val="00B91DB9"/>
    <w:rsid w:val="00B91FF3"/>
    <w:rsid w:val="00B925F8"/>
    <w:rsid w:val="00B9330A"/>
    <w:rsid w:val="00B93EFE"/>
    <w:rsid w:val="00B944B9"/>
    <w:rsid w:val="00B94602"/>
    <w:rsid w:val="00B94956"/>
    <w:rsid w:val="00B94C7F"/>
    <w:rsid w:val="00B94E93"/>
    <w:rsid w:val="00B956B5"/>
    <w:rsid w:val="00B95956"/>
    <w:rsid w:val="00B96DF2"/>
    <w:rsid w:val="00B96E18"/>
    <w:rsid w:val="00B96F5A"/>
    <w:rsid w:val="00B97AF7"/>
    <w:rsid w:val="00BA02CF"/>
    <w:rsid w:val="00BA0A69"/>
    <w:rsid w:val="00BA0B39"/>
    <w:rsid w:val="00BA0CB2"/>
    <w:rsid w:val="00BA0E26"/>
    <w:rsid w:val="00BA138B"/>
    <w:rsid w:val="00BA207E"/>
    <w:rsid w:val="00BA238F"/>
    <w:rsid w:val="00BA2471"/>
    <w:rsid w:val="00BA305B"/>
    <w:rsid w:val="00BA31BF"/>
    <w:rsid w:val="00BA3C0F"/>
    <w:rsid w:val="00BA3FC7"/>
    <w:rsid w:val="00BA478B"/>
    <w:rsid w:val="00BA5224"/>
    <w:rsid w:val="00BA575E"/>
    <w:rsid w:val="00BA67B1"/>
    <w:rsid w:val="00BA69D5"/>
    <w:rsid w:val="00BA7524"/>
    <w:rsid w:val="00BA756D"/>
    <w:rsid w:val="00BA76B7"/>
    <w:rsid w:val="00BA7E3B"/>
    <w:rsid w:val="00BB078D"/>
    <w:rsid w:val="00BB079C"/>
    <w:rsid w:val="00BB0C0D"/>
    <w:rsid w:val="00BB0D7A"/>
    <w:rsid w:val="00BB10E1"/>
    <w:rsid w:val="00BB23BF"/>
    <w:rsid w:val="00BB2471"/>
    <w:rsid w:val="00BB3035"/>
    <w:rsid w:val="00BB39C1"/>
    <w:rsid w:val="00BB3DF5"/>
    <w:rsid w:val="00BB3EA7"/>
    <w:rsid w:val="00BB45BC"/>
    <w:rsid w:val="00BB4653"/>
    <w:rsid w:val="00BB5D16"/>
    <w:rsid w:val="00BB5E55"/>
    <w:rsid w:val="00BB6180"/>
    <w:rsid w:val="00BB6290"/>
    <w:rsid w:val="00BB69DC"/>
    <w:rsid w:val="00BB69E6"/>
    <w:rsid w:val="00BB7323"/>
    <w:rsid w:val="00BB73CA"/>
    <w:rsid w:val="00BB7BE5"/>
    <w:rsid w:val="00BB7C6D"/>
    <w:rsid w:val="00BC08BD"/>
    <w:rsid w:val="00BC1002"/>
    <w:rsid w:val="00BC11E8"/>
    <w:rsid w:val="00BC1418"/>
    <w:rsid w:val="00BC1B7A"/>
    <w:rsid w:val="00BC2C17"/>
    <w:rsid w:val="00BC3149"/>
    <w:rsid w:val="00BC3ACD"/>
    <w:rsid w:val="00BC3B20"/>
    <w:rsid w:val="00BC3EE4"/>
    <w:rsid w:val="00BC4A6C"/>
    <w:rsid w:val="00BC577D"/>
    <w:rsid w:val="00BC588C"/>
    <w:rsid w:val="00BC6E73"/>
    <w:rsid w:val="00BC74D3"/>
    <w:rsid w:val="00BC7ACA"/>
    <w:rsid w:val="00BC7E6E"/>
    <w:rsid w:val="00BD0014"/>
    <w:rsid w:val="00BD01D8"/>
    <w:rsid w:val="00BD1C96"/>
    <w:rsid w:val="00BD1E3A"/>
    <w:rsid w:val="00BD1F36"/>
    <w:rsid w:val="00BD255F"/>
    <w:rsid w:val="00BD2895"/>
    <w:rsid w:val="00BD4236"/>
    <w:rsid w:val="00BD4400"/>
    <w:rsid w:val="00BD483B"/>
    <w:rsid w:val="00BD4FBA"/>
    <w:rsid w:val="00BD51F9"/>
    <w:rsid w:val="00BD5BD8"/>
    <w:rsid w:val="00BD5CD4"/>
    <w:rsid w:val="00BD65D9"/>
    <w:rsid w:val="00BD6922"/>
    <w:rsid w:val="00BD6DF3"/>
    <w:rsid w:val="00BD6E09"/>
    <w:rsid w:val="00BD6EF9"/>
    <w:rsid w:val="00BE045C"/>
    <w:rsid w:val="00BE0ACB"/>
    <w:rsid w:val="00BE11F3"/>
    <w:rsid w:val="00BE1843"/>
    <w:rsid w:val="00BE2260"/>
    <w:rsid w:val="00BE25DA"/>
    <w:rsid w:val="00BE2826"/>
    <w:rsid w:val="00BE2D95"/>
    <w:rsid w:val="00BE2F75"/>
    <w:rsid w:val="00BE3917"/>
    <w:rsid w:val="00BE3D7E"/>
    <w:rsid w:val="00BE4A76"/>
    <w:rsid w:val="00BE4E87"/>
    <w:rsid w:val="00BE50FD"/>
    <w:rsid w:val="00BE51CA"/>
    <w:rsid w:val="00BE537F"/>
    <w:rsid w:val="00BE5B73"/>
    <w:rsid w:val="00BE5D77"/>
    <w:rsid w:val="00BE630A"/>
    <w:rsid w:val="00BE638C"/>
    <w:rsid w:val="00BE6914"/>
    <w:rsid w:val="00BE6BA1"/>
    <w:rsid w:val="00BE6D47"/>
    <w:rsid w:val="00BE6F9B"/>
    <w:rsid w:val="00BE6FBF"/>
    <w:rsid w:val="00BE7032"/>
    <w:rsid w:val="00BE7330"/>
    <w:rsid w:val="00BE77A7"/>
    <w:rsid w:val="00BE7AB5"/>
    <w:rsid w:val="00BF01C5"/>
    <w:rsid w:val="00BF061A"/>
    <w:rsid w:val="00BF066A"/>
    <w:rsid w:val="00BF0771"/>
    <w:rsid w:val="00BF0EDE"/>
    <w:rsid w:val="00BF14CC"/>
    <w:rsid w:val="00BF1821"/>
    <w:rsid w:val="00BF214F"/>
    <w:rsid w:val="00BF22E9"/>
    <w:rsid w:val="00BF3FE4"/>
    <w:rsid w:val="00BF4342"/>
    <w:rsid w:val="00BF4704"/>
    <w:rsid w:val="00BF4FFC"/>
    <w:rsid w:val="00BF5050"/>
    <w:rsid w:val="00BF50D1"/>
    <w:rsid w:val="00BF5422"/>
    <w:rsid w:val="00BF59B1"/>
    <w:rsid w:val="00BF5C4D"/>
    <w:rsid w:val="00BF6625"/>
    <w:rsid w:val="00BF6A78"/>
    <w:rsid w:val="00BF6B3F"/>
    <w:rsid w:val="00BF7118"/>
    <w:rsid w:val="00BF7695"/>
    <w:rsid w:val="00BF775D"/>
    <w:rsid w:val="00BF79B4"/>
    <w:rsid w:val="00BF7C61"/>
    <w:rsid w:val="00C00366"/>
    <w:rsid w:val="00C00686"/>
    <w:rsid w:val="00C013AC"/>
    <w:rsid w:val="00C01427"/>
    <w:rsid w:val="00C014C7"/>
    <w:rsid w:val="00C031CF"/>
    <w:rsid w:val="00C04172"/>
    <w:rsid w:val="00C047AB"/>
    <w:rsid w:val="00C053CF"/>
    <w:rsid w:val="00C058AF"/>
    <w:rsid w:val="00C069E5"/>
    <w:rsid w:val="00C06EAB"/>
    <w:rsid w:val="00C0709D"/>
    <w:rsid w:val="00C07136"/>
    <w:rsid w:val="00C075B6"/>
    <w:rsid w:val="00C10027"/>
    <w:rsid w:val="00C1118B"/>
    <w:rsid w:val="00C124C1"/>
    <w:rsid w:val="00C128AE"/>
    <w:rsid w:val="00C12BA8"/>
    <w:rsid w:val="00C13094"/>
    <w:rsid w:val="00C1359F"/>
    <w:rsid w:val="00C136D6"/>
    <w:rsid w:val="00C13D5B"/>
    <w:rsid w:val="00C141D7"/>
    <w:rsid w:val="00C16074"/>
    <w:rsid w:val="00C16F9E"/>
    <w:rsid w:val="00C1711B"/>
    <w:rsid w:val="00C17526"/>
    <w:rsid w:val="00C17AE2"/>
    <w:rsid w:val="00C20140"/>
    <w:rsid w:val="00C20CD6"/>
    <w:rsid w:val="00C20F27"/>
    <w:rsid w:val="00C215CF"/>
    <w:rsid w:val="00C21A89"/>
    <w:rsid w:val="00C21C6D"/>
    <w:rsid w:val="00C2244B"/>
    <w:rsid w:val="00C22711"/>
    <w:rsid w:val="00C2280A"/>
    <w:rsid w:val="00C22B0D"/>
    <w:rsid w:val="00C22BFF"/>
    <w:rsid w:val="00C23522"/>
    <w:rsid w:val="00C23581"/>
    <w:rsid w:val="00C23E71"/>
    <w:rsid w:val="00C24015"/>
    <w:rsid w:val="00C240C1"/>
    <w:rsid w:val="00C241CD"/>
    <w:rsid w:val="00C244A1"/>
    <w:rsid w:val="00C24AED"/>
    <w:rsid w:val="00C250D0"/>
    <w:rsid w:val="00C252AC"/>
    <w:rsid w:val="00C25C0F"/>
    <w:rsid w:val="00C26567"/>
    <w:rsid w:val="00C26923"/>
    <w:rsid w:val="00C271C9"/>
    <w:rsid w:val="00C27214"/>
    <w:rsid w:val="00C27597"/>
    <w:rsid w:val="00C27E5E"/>
    <w:rsid w:val="00C30382"/>
    <w:rsid w:val="00C30772"/>
    <w:rsid w:val="00C30D6F"/>
    <w:rsid w:val="00C31063"/>
    <w:rsid w:val="00C311E7"/>
    <w:rsid w:val="00C31492"/>
    <w:rsid w:val="00C31B7E"/>
    <w:rsid w:val="00C320D1"/>
    <w:rsid w:val="00C320E8"/>
    <w:rsid w:val="00C322D1"/>
    <w:rsid w:val="00C323E6"/>
    <w:rsid w:val="00C3242A"/>
    <w:rsid w:val="00C33201"/>
    <w:rsid w:val="00C3328B"/>
    <w:rsid w:val="00C33A39"/>
    <w:rsid w:val="00C33F55"/>
    <w:rsid w:val="00C34619"/>
    <w:rsid w:val="00C348D9"/>
    <w:rsid w:val="00C35D01"/>
    <w:rsid w:val="00C360B3"/>
    <w:rsid w:val="00C36451"/>
    <w:rsid w:val="00C365EA"/>
    <w:rsid w:val="00C367F0"/>
    <w:rsid w:val="00C37027"/>
    <w:rsid w:val="00C373BF"/>
    <w:rsid w:val="00C37B15"/>
    <w:rsid w:val="00C37B19"/>
    <w:rsid w:val="00C37B38"/>
    <w:rsid w:val="00C40B87"/>
    <w:rsid w:val="00C41318"/>
    <w:rsid w:val="00C41349"/>
    <w:rsid w:val="00C413CB"/>
    <w:rsid w:val="00C41429"/>
    <w:rsid w:val="00C41558"/>
    <w:rsid w:val="00C41F9F"/>
    <w:rsid w:val="00C42752"/>
    <w:rsid w:val="00C42973"/>
    <w:rsid w:val="00C43426"/>
    <w:rsid w:val="00C45267"/>
    <w:rsid w:val="00C4542D"/>
    <w:rsid w:val="00C46A3D"/>
    <w:rsid w:val="00C46B95"/>
    <w:rsid w:val="00C4712A"/>
    <w:rsid w:val="00C476B5"/>
    <w:rsid w:val="00C478F8"/>
    <w:rsid w:val="00C47E99"/>
    <w:rsid w:val="00C5001E"/>
    <w:rsid w:val="00C5034F"/>
    <w:rsid w:val="00C505D2"/>
    <w:rsid w:val="00C50830"/>
    <w:rsid w:val="00C52436"/>
    <w:rsid w:val="00C52479"/>
    <w:rsid w:val="00C5266E"/>
    <w:rsid w:val="00C52C59"/>
    <w:rsid w:val="00C5349E"/>
    <w:rsid w:val="00C539FF"/>
    <w:rsid w:val="00C54215"/>
    <w:rsid w:val="00C544BD"/>
    <w:rsid w:val="00C54D3D"/>
    <w:rsid w:val="00C55A30"/>
    <w:rsid w:val="00C55E1C"/>
    <w:rsid w:val="00C56076"/>
    <w:rsid w:val="00C561FB"/>
    <w:rsid w:val="00C56384"/>
    <w:rsid w:val="00C567E9"/>
    <w:rsid w:val="00C56ED2"/>
    <w:rsid w:val="00C5715A"/>
    <w:rsid w:val="00C60F8C"/>
    <w:rsid w:val="00C61424"/>
    <w:rsid w:val="00C61794"/>
    <w:rsid w:val="00C617AE"/>
    <w:rsid w:val="00C623E3"/>
    <w:rsid w:val="00C62A48"/>
    <w:rsid w:val="00C62AC4"/>
    <w:rsid w:val="00C62B59"/>
    <w:rsid w:val="00C62F96"/>
    <w:rsid w:val="00C631E1"/>
    <w:rsid w:val="00C638D8"/>
    <w:rsid w:val="00C63A43"/>
    <w:rsid w:val="00C63AE7"/>
    <w:rsid w:val="00C63D26"/>
    <w:rsid w:val="00C64127"/>
    <w:rsid w:val="00C6540A"/>
    <w:rsid w:val="00C65CF7"/>
    <w:rsid w:val="00C668A1"/>
    <w:rsid w:val="00C67223"/>
    <w:rsid w:val="00C67F42"/>
    <w:rsid w:val="00C707B8"/>
    <w:rsid w:val="00C712AC"/>
    <w:rsid w:val="00C7158C"/>
    <w:rsid w:val="00C71C15"/>
    <w:rsid w:val="00C71F3D"/>
    <w:rsid w:val="00C72767"/>
    <w:rsid w:val="00C72AA4"/>
    <w:rsid w:val="00C72F53"/>
    <w:rsid w:val="00C74035"/>
    <w:rsid w:val="00C748EA"/>
    <w:rsid w:val="00C74921"/>
    <w:rsid w:val="00C76FB0"/>
    <w:rsid w:val="00C77818"/>
    <w:rsid w:val="00C8063F"/>
    <w:rsid w:val="00C808BE"/>
    <w:rsid w:val="00C8121A"/>
    <w:rsid w:val="00C81282"/>
    <w:rsid w:val="00C8155F"/>
    <w:rsid w:val="00C8198D"/>
    <w:rsid w:val="00C82167"/>
    <w:rsid w:val="00C827B4"/>
    <w:rsid w:val="00C83214"/>
    <w:rsid w:val="00C8329F"/>
    <w:rsid w:val="00C84E65"/>
    <w:rsid w:val="00C84F8A"/>
    <w:rsid w:val="00C85743"/>
    <w:rsid w:val="00C85846"/>
    <w:rsid w:val="00C85BA4"/>
    <w:rsid w:val="00C8618F"/>
    <w:rsid w:val="00C8625D"/>
    <w:rsid w:val="00C863FA"/>
    <w:rsid w:val="00C865AD"/>
    <w:rsid w:val="00C86612"/>
    <w:rsid w:val="00C87402"/>
    <w:rsid w:val="00C90372"/>
    <w:rsid w:val="00C9041F"/>
    <w:rsid w:val="00C9166B"/>
    <w:rsid w:val="00C91945"/>
    <w:rsid w:val="00C91A45"/>
    <w:rsid w:val="00C91BA5"/>
    <w:rsid w:val="00C91FB4"/>
    <w:rsid w:val="00C92150"/>
    <w:rsid w:val="00C92328"/>
    <w:rsid w:val="00C928D6"/>
    <w:rsid w:val="00C9292F"/>
    <w:rsid w:val="00C92D42"/>
    <w:rsid w:val="00C938C2"/>
    <w:rsid w:val="00C9397B"/>
    <w:rsid w:val="00C93F8A"/>
    <w:rsid w:val="00C942C2"/>
    <w:rsid w:val="00C94EA1"/>
    <w:rsid w:val="00C95745"/>
    <w:rsid w:val="00C95813"/>
    <w:rsid w:val="00C95902"/>
    <w:rsid w:val="00C95999"/>
    <w:rsid w:val="00C95CCD"/>
    <w:rsid w:val="00C962E3"/>
    <w:rsid w:val="00C968C9"/>
    <w:rsid w:val="00C978E2"/>
    <w:rsid w:val="00C97997"/>
    <w:rsid w:val="00CA10A2"/>
    <w:rsid w:val="00CA1D83"/>
    <w:rsid w:val="00CA1FEB"/>
    <w:rsid w:val="00CA25C0"/>
    <w:rsid w:val="00CA2BFB"/>
    <w:rsid w:val="00CA3451"/>
    <w:rsid w:val="00CA35C6"/>
    <w:rsid w:val="00CA475F"/>
    <w:rsid w:val="00CA4948"/>
    <w:rsid w:val="00CA52F9"/>
    <w:rsid w:val="00CA5368"/>
    <w:rsid w:val="00CA547B"/>
    <w:rsid w:val="00CA568B"/>
    <w:rsid w:val="00CA573A"/>
    <w:rsid w:val="00CA58E0"/>
    <w:rsid w:val="00CA5C58"/>
    <w:rsid w:val="00CA68B2"/>
    <w:rsid w:val="00CA73A1"/>
    <w:rsid w:val="00CA7656"/>
    <w:rsid w:val="00CA7FB0"/>
    <w:rsid w:val="00CB0CC1"/>
    <w:rsid w:val="00CB160B"/>
    <w:rsid w:val="00CB17D8"/>
    <w:rsid w:val="00CB19D7"/>
    <w:rsid w:val="00CB19FE"/>
    <w:rsid w:val="00CB1AAE"/>
    <w:rsid w:val="00CB1C3F"/>
    <w:rsid w:val="00CB1FCA"/>
    <w:rsid w:val="00CB2364"/>
    <w:rsid w:val="00CB24C5"/>
    <w:rsid w:val="00CB2FEE"/>
    <w:rsid w:val="00CB304C"/>
    <w:rsid w:val="00CB3933"/>
    <w:rsid w:val="00CB5010"/>
    <w:rsid w:val="00CB53E8"/>
    <w:rsid w:val="00CB594A"/>
    <w:rsid w:val="00CB5CB2"/>
    <w:rsid w:val="00CB6979"/>
    <w:rsid w:val="00CB7A04"/>
    <w:rsid w:val="00CB7DDE"/>
    <w:rsid w:val="00CB7F55"/>
    <w:rsid w:val="00CC01D8"/>
    <w:rsid w:val="00CC043E"/>
    <w:rsid w:val="00CC04F2"/>
    <w:rsid w:val="00CC0A3D"/>
    <w:rsid w:val="00CC22B8"/>
    <w:rsid w:val="00CC2FF0"/>
    <w:rsid w:val="00CC33B8"/>
    <w:rsid w:val="00CC3A84"/>
    <w:rsid w:val="00CC3C53"/>
    <w:rsid w:val="00CC3D24"/>
    <w:rsid w:val="00CC3F91"/>
    <w:rsid w:val="00CC405D"/>
    <w:rsid w:val="00CC47EE"/>
    <w:rsid w:val="00CC4ACD"/>
    <w:rsid w:val="00CC4B0A"/>
    <w:rsid w:val="00CC5387"/>
    <w:rsid w:val="00CC544A"/>
    <w:rsid w:val="00CC57EA"/>
    <w:rsid w:val="00CC5954"/>
    <w:rsid w:val="00CC5CF8"/>
    <w:rsid w:val="00CC5F4B"/>
    <w:rsid w:val="00CC629B"/>
    <w:rsid w:val="00CC66A2"/>
    <w:rsid w:val="00CC6C4E"/>
    <w:rsid w:val="00CC7709"/>
    <w:rsid w:val="00CC770A"/>
    <w:rsid w:val="00CC7B1F"/>
    <w:rsid w:val="00CD009D"/>
    <w:rsid w:val="00CD05A2"/>
    <w:rsid w:val="00CD1049"/>
    <w:rsid w:val="00CD29D4"/>
    <w:rsid w:val="00CD2B5C"/>
    <w:rsid w:val="00CD2FF3"/>
    <w:rsid w:val="00CD3323"/>
    <w:rsid w:val="00CD3324"/>
    <w:rsid w:val="00CD356A"/>
    <w:rsid w:val="00CD37AE"/>
    <w:rsid w:val="00CD38F5"/>
    <w:rsid w:val="00CD3BF2"/>
    <w:rsid w:val="00CD437E"/>
    <w:rsid w:val="00CD4AAF"/>
    <w:rsid w:val="00CD5DAD"/>
    <w:rsid w:val="00CD5FFB"/>
    <w:rsid w:val="00CD72C5"/>
    <w:rsid w:val="00CD74E3"/>
    <w:rsid w:val="00CD79A7"/>
    <w:rsid w:val="00CD7B44"/>
    <w:rsid w:val="00CD7FAD"/>
    <w:rsid w:val="00CE074B"/>
    <w:rsid w:val="00CE0789"/>
    <w:rsid w:val="00CE0E8D"/>
    <w:rsid w:val="00CE1A03"/>
    <w:rsid w:val="00CE233E"/>
    <w:rsid w:val="00CE2346"/>
    <w:rsid w:val="00CE25B2"/>
    <w:rsid w:val="00CE312F"/>
    <w:rsid w:val="00CE3529"/>
    <w:rsid w:val="00CE35C8"/>
    <w:rsid w:val="00CE3962"/>
    <w:rsid w:val="00CE43FA"/>
    <w:rsid w:val="00CE4D0A"/>
    <w:rsid w:val="00CE4D1A"/>
    <w:rsid w:val="00CE4E8A"/>
    <w:rsid w:val="00CE5105"/>
    <w:rsid w:val="00CE5525"/>
    <w:rsid w:val="00CE56BD"/>
    <w:rsid w:val="00CE5EC0"/>
    <w:rsid w:val="00CE68AD"/>
    <w:rsid w:val="00CE6BA5"/>
    <w:rsid w:val="00CE6EA4"/>
    <w:rsid w:val="00CE6F15"/>
    <w:rsid w:val="00CE6F9F"/>
    <w:rsid w:val="00CE781A"/>
    <w:rsid w:val="00CE7B08"/>
    <w:rsid w:val="00CE7B7A"/>
    <w:rsid w:val="00CE7CF1"/>
    <w:rsid w:val="00CE7D52"/>
    <w:rsid w:val="00CF0AAA"/>
    <w:rsid w:val="00CF0AB7"/>
    <w:rsid w:val="00CF1D74"/>
    <w:rsid w:val="00CF1F8D"/>
    <w:rsid w:val="00CF2BE2"/>
    <w:rsid w:val="00CF371A"/>
    <w:rsid w:val="00CF37C2"/>
    <w:rsid w:val="00CF3DE4"/>
    <w:rsid w:val="00CF3DEB"/>
    <w:rsid w:val="00CF42C9"/>
    <w:rsid w:val="00CF4363"/>
    <w:rsid w:val="00CF4626"/>
    <w:rsid w:val="00CF55F9"/>
    <w:rsid w:val="00CF578D"/>
    <w:rsid w:val="00CF7074"/>
    <w:rsid w:val="00CF7495"/>
    <w:rsid w:val="00CF76D6"/>
    <w:rsid w:val="00D01CF9"/>
    <w:rsid w:val="00D01F93"/>
    <w:rsid w:val="00D021E8"/>
    <w:rsid w:val="00D0334D"/>
    <w:rsid w:val="00D0374D"/>
    <w:rsid w:val="00D0411B"/>
    <w:rsid w:val="00D05614"/>
    <w:rsid w:val="00D06312"/>
    <w:rsid w:val="00D06B62"/>
    <w:rsid w:val="00D06D7B"/>
    <w:rsid w:val="00D06DA5"/>
    <w:rsid w:val="00D07191"/>
    <w:rsid w:val="00D07319"/>
    <w:rsid w:val="00D07813"/>
    <w:rsid w:val="00D07F1D"/>
    <w:rsid w:val="00D10558"/>
    <w:rsid w:val="00D10AA3"/>
    <w:rsid w:val="00D10EE8"/>
    <w:rsid w:val="00D11140"/>
    <w:rsid w:val="00D11739"/>
    <w:rsid w:val="00D119A6"/>
    <w:rsid w:val="00D11D4D"/>
    <w:rsid w:val="00D11DB1"/>
    <w:rsid w:val="00D126DC"/>
    <w:rsid w:val="00D12B03"/>
    <w:rsid w:val="00D13E70"/>
    <w:rsid w:val="00D13EE7"/>
    <w:rsid w:val="00D147BE"/>
    <w:rsid w:val="00D148A0"/>
    <w:rsid w:val="00D158D5"/>
    <w:rsid w:val="00D15ECD"/>
    <w:rsid w:val="00D15FCD"/>
    <w:rsid w:val="00D16C58"/>
    <w:rsid w:val="00D17019"/>
    <w:rsid w:val="00D1705A"/>
    <w:rsid w:val="00D17ABA"/>
    <w:rsid w:val="00D17D34"/>
    <w:rsid w:val="00D17FC8"/>
    <w:rsid w:val="00D2015B"/>
    <w:rsid w:val="00D202B2"/>
    <w:rsid w:val="00D207E7"/>
    <w:rsid w:val="00D20B44"/>
    <w:rsid w:val="00D21168"/>
    <w:rsid w:val="00D21A90"/>
    <w:rsid w:val="00D21C3A"/>
    <w:rsid w:val="00D2224A"/>
    <w:rsid w:val="00D22700"/>
    <w:rsid w:val="00D2385D"/>
    <w:rsid w:val="00D23AAD"/>
    <w:rsid w:val="00D23FF4"/>
    <w:rsid w:val="00D2438C"/>
    <w:rsid w:val="00D247E0"/>
    <w:rsid w:val="00D2585A"/>
    <w:rsid w:val="00D25920"/>
    <w:rsid w:val="00D259B0"/>
    <w:rsid w:val="00D259C2"/>
    <w:rsid w:val="00D26586"/>
    <w:rsid w:val="00D26C3F"/>
    <w:rsid w:val="00D27185"/>
    <w:rsid w:val="00D3028A"/>
    <w:rsid w:val="00D30E98"/>
    <w:rsid w:val="00D3125C"/>
    <w:rsid w:val="00D3214D"/>
    <w:rsid w:val="00D32A92"/>
    <w:rsid w:val="00D32CF5"/>
    <w:rsid w:val="00D33488"/>
    <w:rsid w:val="00D33AB3"/>
    <w:rsid w:val="00D33F24"/>
    <w:rsid w:val="00D34160"/>
    <w:rsid w:val="00D343BA"/>
    <w:rsid w:val="00D346B8"/>
    <w:rsid w:val="00D34DCA"/>
    <w:rsid w:val="00D35AC8"/>
    <w:rsid w:val="00D36F05"/>
    <w:rsid w:val="00D36F87"/>
    <w:rsid w:val="00D37DF9"/>
    <w:rsid w:val="00D37E4E"/>
    <w:rsid w:val="00D40672"/>
    <w:rsid w:val="00D417D8"/>
    <w:rsid w:val="00D41F78"/>
    <w:rsid w:val="00D42687"/>
    <w:rsid w:val="00D42ABC"/>
    <w:rsid w:val="00D42E6C"/>
    <w:rsid w:val="00D430A5"/>
    <w:rsid w:val="00D4351C"/>
    <w:rsid w:val="00D43B80"/>
    <w:rsid w:val="00D44348"/>
    <w:rsid w:val="00D4485C"/>
    <w:rsid w:val="00D44988"/>
    <w:rsid w:val="00D45828"/>
    <w:rsid w:val="00D45B4C"/>
    <w:rsid w:val="00D45BA4"/>
    <w:rsid w:val="00D45C8D"/>
    <w:rsid w:val="00D471AF"/>
    <w:rsid w:val="00D471E2"/>
    <w:rsid w:val="00D4724F"/>
    <w:rsid w:val="00D47A34"/>
    <w:rsid w:val="00D50252"/>
    <w:rsid w:val="00D50519"/>
    <w:rsid w:val="00D50702"/>
    <w:rsid w:val="00D50779"/>
    <w:rsid w:val="00D50D4C"/>
    <w:rsid w:val="00D51601"/>
    <w:rsid w:val="00D51EC3"/>
    <w:rsid w:val="00D51ECB"/>
    <w:rsid w:val="00D520DE"/>
    <w:rsid w:val="00D5264C"/>
    <w:rsid w:val="00D52BBC"/>
    <w:rsid w:val="00D537FE"/>
    <w:rsid w:val="00D53CC9"/>
    <w:rsid w:val="00D54A6A"/>
    <w:rsid w:val="00D54B8F"/>
    <w:rsid w:val="00D55848"/>
    <w:rsid w:val="00D55951"/>
    <w:rsid w:val="00D559F0"/>
    <w:rsid w:val="00D56455"/>
    <w:rsid w:val="00D5650F"/>
    <w:rsid w:val="00D56594"/>
    <w:rsid w:val="00D576A4"/>
    <w:rsid w:val="00D57EB6"/>
    <w:rsid w:val="00D608C0"/>
    <w:rsid w:val="00D60D6D"/>
    <w:rsid w:val="00D6128C"/>
    <w:rsid w:val="00D63B22"/>
    <w:rsid w:val="00D63DF9"/>
    <w:rsid w:val="00D66009"/>
    <w:rsid w:val="00D66A9F"/>
    <w:rsid w:val="00D66D8B"/>
    <w:rsid w:val="00D66F72"/>
    <w:rsid w:val="00D671B2"/>
    <w:rsid w:val="00D674BE"/>
    <w:rsid w:val="00D67863"/>
    <w:rsid w:val="00D70849"/>
    <w:rsid w:val="00D70DFA"/>
    <w:rsid w:val="00D72297"/>
    <w:rsid w:val="00D72A1C"/>
    <w:rsid w:val="00D72CC0"/>
    <w:rsid w:val="00D7308F"/>
    <w:rsid w:val="00D7313E"/>
    <w:rsid w:val="00D73396"/>
    <w:rsid w:val="00D73580"/>
    <w:rsid w:val="00D73802"/>
    <w:rsid w:val="00D73883"/>
    <w:rsid w:val="00D73C2C"/>
    <w:rsid w:val="00D73D52"/>
    <w:rsid w:val="00D73E70"/>
    <w:rsid w:val="00D745E7"/>
    <w:rsid w:val="00D74C25"/>
    <w:rsid w:val="00D75296"/>
    <w:rsid w:val="00D75FDA"/>
    <w:rsid w:val="00D774ED"/>
    <w:rsid w:val="00D776AD"/>
    <w:rsid w:val="00D777C3"/>
    <w:rsid w:val="00D7797C"/>
    <w:rsid w:val="00D77C44"/>
    <w:rsid w:val="00D77F88"/>
    <w:rsid w:val="00D8131B"/>
    <w:rsid w:val="00D81AFA"/>
    <w:rsid w:val="00D81EAA"/>
    <w:rsid w:val="00D81FE2"/>
    <w:rsid w:val="00D8259F"/>
    <w:rsid w:val="00D825F2"/>
    <w:rsid w:val="00D8285C"/>
    <w:rsid w:val="00D828B1"/>
    <w:rsid w:val="00D82A55"/>
    <w:rsid w:val="00D830F8"/>
    <w:rsid w:val="00D83174"/>
    <w:rsid w:val="00D83D49"/>
    <w:rsid w:val="00D84181"/>
    <w:rsid w:val="00D846AD"/>
    <w:rsid w:val="00D84754"/>
    <w:rsid w:val="00D84F27"/>
    <w:rsid w:val="00D853F0"/>
    <w:rsid w:val="00D85862"/>
    <w:rsid w:val="00D85892"/>
    <w:rsid w:val="00D85B03"/>
    <w:rsid w:val="00D86D47"/>
    <w:rsid w:val="00D8710C"/>
    <w:rsid w:val="00D871CE"/>
    <w:rsid w:val="00D873C6"/>
    <w:rsid w:val="00D87819"/>
    <w:rsid w:val="00D878A3"/>
    <w:rsid w:val="00D87FA5"/>
    <w:rsid w:val="00D9074A"/>
    <w:rsid w:val="00D9099E"/>
    <w:rsid w:val="00D9193A"/>
    <w:rsid w:val="00D91D05"/>
    <w:rsid w:val="00D923B2"/>
    <w:rsid w:val="00D92463"/>
    <w:rsid w:val="00D924E7"/>
    <w:rsid w:val="00D927B5"/>
    <w:rsid w:val="00D92981"/>
    <w:rsid w:val="00D92C81"/>
    <w:rsid w:val="00D93037"/>
    <w:rsid w:val="00D93E64"/>
    <w:rsid w:val="00D93F64"/>
    <w:rsid w:val="00D94CA4"/>
    <w:rsid w:val="00D95E99"/>
    <w:rsid w:val="00D965D5"/>
    <w:rsid w:val="00D96F7C"/>
    <w:rsid w:val="00D9714B"/>
    <w:rsid w:val="00D97DA2"/>
    <w:rsid w:val="00DA0485"/>
    <w:rsid w:val="00DA1A3A"/>
    <w:rsid w:val="00DA1FC3"/>
    <w:rsid w:val="00DA2351"/>
    <w:rsid w:val="00DA249E"/>
    <w:rsid w:val="00DA2D3D"/>
    <w:rsid w:val="00DA35D9"/>
    <w:rsid w:val="00DA3855"/>
    <w:rsid w:val="00DA39BA"/>
    <w:rsid w:val="00DA4C30"/>
    <w:rsid w:val="00DA52B3"/>
    <w:rsid w:val="00DA538E"/>
    <w:rsid w:val="00DA5FB3"/>
    <w:rsid w:val="00DA6980"/>
    <w:rsid w:val="00DA6A44"/>
    <w:rsid w:val="00DA7A3C"/>
    <w:rsid w:val="00DB145E"/>
    <w:rsid w:val="00DB1A94"/>
    <w:rsid w:val="00DB1D52"/>
    <w:rsid w:val="00DB1E2B"/>
    <w:rsid w:val="00DB1F62"/>
    <w:rsid w:val="00DB21E7"/>
    <w:rsid w:val="00DB2E03"/>
    <w:rsid w:val="00DB3742"/>
    <w:rsid w:val="00DB38F2"/>
    <w:rsid w:val="00DB3C5A"/>
    <w:rsid w:val="00DB3E9B"/>
    <w:rsid w:val="00DB3F4B"/>
    <w:rsid w:val="00DB495F"/>
    <w:rsid w:val="00DB4A80"/>
    <w:rsid w:val="00DB5375"/>
    <w:rsid w:val="00DB6003"/>
    <w:rsid w:val="00DB6103"/>
    <w:rsid w:val="00DB6769"/>
    <w:rsid w:val="00DB67C1"/>
    <w:rsid w:val="00DB6C0B"/>
    <w:rsid w:val="00DB70F4"/>
    <w:rsid w:val="00DB748A"/>
    <w:rsid w:val="00DB7CB7"/>
    <w:rsid w:val="00DC1056"/>
    <w:rsid w:val="00DC1442"/>
    <w:rsid w:val="00DC1781"/>
    <w:rsid w:val="00DC21D8"/>
    <w:rsid w:val="00DC282A"/>
    <w:rsid w:val="00DC2DE8"/>
    <w:rsid w:val="00DC3054"/>
    <w:rsid w:val="00DC34DC"/>
    <w:rsid w:val="00DC3780"/>
    <w:rsid w:val="00DC3ADA"/>
    <w:rsid w:val="00DC3CC6"/>
    <w:rsid w:val="00DC3F55"/>
    <w:rsid w:val="00DC4782"/>
    <w:rsid w:val="00DC4B02"/>
    <w:rsid w:val="00DC514A"/>
    <w:rsid w:val="00DC5610"/>
    <w:rsid w:val="00DC67B1"/>
    <w:rsid w:val="00DC7EAE"/>
    <w:rsid w:val="00DC7FBC"/>
    <w:rsid w:val="00DD0019"/>
    <w:rsid w:val="00DD132B"/>
    <w:rsid w:val="00DD1571"/>
    <w:rsid w:val="00DD1725"/>
    <w:rsid w:val="00DD2159"/>
    <w:rsid w:val="00DD218B"/>
    <w:rsid w:val="00DD28BA"/>
    <w:rsid w:val="00DD2A18"/>
    <w:rsid w:val="00DD3044"/>
    <w:rsid w:val="00DD33D1"/>
    <w:rsid w:val="00DD360C"/>
    <w:rsid w:val="00DD3985"/>
    <w:rsid w:val="00DD5A55"/>
    <w:rsid w:val="00DD61E8"/>
    <w:rsid w:val="00DD62C0"/>
    <w:rsid w:val="00DD63F8"/>
    <w:rsid w:val="00DD64DE"/>
    <w:rsid w:val="00DD66DE"/>
    <w:rsid w:val="00DD7197"/>
    <w:rsid w:val="00DD76DA"/>
    <w:rsid w:val="00DD7859"/>
    <w:rsid w:val="00DD7B41"/>
    <w:rsid w:val="00DE0784"/>
    <w:rsid w:val="00DE0A1D"/>
    <w:rsid w:val="00DE1584"/>
    <w:rsid w:val="00DE15B2"/>
    <w:rsid w:val="00DE1A9A"/>
    <w:rsid w:val="00DE3D2C"/>
    <w:rsid w:val="00DE57D0"/>
    <w:rsid w:val="00DE5E82"/>
    <w:rsid w:val="00DE5EC5"/>
    <w:rsid w:val="00DE5F7F"/>
    <w:rsid w:val="00DE5FA6"/>
    <w:rsid w:val="00DE5FC9"/>
    <w:rsid w:val="00DE6792"/>
    <w:rsid w:val="00DE6AA1"/>
    <w:rsid w:val="00DE77A3"/>
    <w:rsid w:val="00DE7EF7"/>
    <w:rsid w:val="00DF015B"/>
    <w:rsid w:val="00DF023D"/>
    <w:rsid w:val="00DF02EC"/>
    <w:rsid w:val="00DF10FC"/>
    <w:rsid w:val="00DF1185"/>
    <w:rsid w:val="00DF1299"/>
    <w:rsid w:val="00DF132C"/>
    <w:rsid w:val="00DF1620"/>
    <w:rsid w:val="00DF1A70"/>
    <w:rsid w:val="00DF1E5F"/>
    <w:rsid w:val="00DF224B"/>
    <w:rsid w:val="00DF23A8"/>
    <w:rsid w:val="00DF2EE1"/>
    <w:rsid w:val="00DF2F27"/>
    <w:rsid w:val="00DF36B6"/>
    <w:rsid w:val="00DF4296"/>
    <w:rsid w:val="00DF4E8F"/>
    <w:rsid w:val="00DF5267"/>
    <w:rsid w:val="00DF53F0"/>
    <w:rsid w:val="00DF5700"/>
    <w:rsid w:val="00DF5F38"/>
    <w:rsid w:val="00DF604C"/>
    <w:rsid w:val="00DF6075"/>
    <w:rsid w:val="00DF6608"/>
    <w:rsid w:val="00DF6CCC"/>
    <w:rsid w:val="00DF6D0C"/>
    <w:rsid w:val="00DF6F64"/>
    <w:rsid w:val="00DF721E"/>
    <w:rsid w:val="00DF72F3"/>
    <w:rsid w:val="00DF73CD"/>
    <w:rsid w:val="00DF7549"/>
    <w:rsid w:val="00DF78D0"/>
    <w:rsid w:val="00DF7B8A"/>
    <w:rsid w:val="00DF7C87"/>
    <w:rsid w:val="00E009B0"/>
    <w:rsid w:val="00E00A12"/>
    <w:rsid w:val="00E00B39"/>
    <w:rsid w:val="00E00C49"/>
    <w:rsid w:val="00E01C9C"/>
    <w:rsid w:val="00E01D7A"/>
    <w:rsid w:val="00E01FF4"/>
    <w:rsid w:val="00E0219D"/>
    <w:rsid w:val="00E030D1"/>
    <w:rsid w:val="00E032D9"/>
    <w:rsid w:val="00E03D4C"/>
    <w:rsid w:val="00E04482"/>
    <w:rsid w:val="00E04C0F"/>
    <w:rsid w:val="00E05510"/>
    <w:rsid w:val="00E0570B"/>
    <w:rsid w:val="00E05B1D"/>
    <w:rsid w:val="00E069C5"/>
    <w:rsid w:val="00E102E1"/>
    <w:rsid w:val="00E1065D"/>
    <w:rsid w:val="00E10913"/>
    <w:rsid w:val="00E10B87"/>
    <w:rsid w:val="00E121CE"/>
    <w:rsid w:val="00E12209"/>
    <w:rsid w:val="00E12FE9"/>
    <w:rsid w:val="00E1362E"/>
    <w:rsid w:val="00E144C4"/>
    <w:rsid w:val="00E14585"/>
    <w:rsid w:val="00E1478B"/>
    <w:rsid w:val="00E14FAC"/>
    <w:rsid w:val="00E15007"/>
    <w:rsid w:val="00E15102"/>
    <w:rsid w:val="00E15DC6"/>
    <w:rsid w:val="00E16277"/>
    <w:rsid w:val="00E16EC7"/>
    <w:rsid w:val="00E17DCC"/>
    <w:rsid w:val="00E20627"/>
    <w:rsid w:val="00E219CE"/>
    <w:rsid w:val="00E21D93"/>
    <w:rsid w:val="00E22A86"/>
    <w:rsid w:val="00E22D2A"/>
    <w:rsid w:val="00E24071"/>
    <w:rsid w:val="00E24142"/>
    <w:rsid w:val="00E24DCA"/>
    <w:rsid w:val="00E24EBC"/>
    <w:rsid w:val="00E2522C"/>
    <w:rsid w:val="00E2552F"/>
    <w:rsid w:val="00E2599B"/>
    <w:rsid w:val="00E2656E"/>
    <w:rsid w:val="00E2710C"/>
    <w:rsid w:val="00E272BD"/>
    <w:rsid w:val="00E27428"/>
    <w:rsid w:val="00E305B4"/>
    <w:rsid w:val="00E305DE"/>
    <w:rsid w:val="00E31AFA"/>
    <w:rsid w:val="00E31CB7"/>
    <w:rsid w:val="00E32463"/>
    <w:rsid w:val="00E324EE"/>
    <w:rsid w:val="00E3367B"/>
    <w:rsid w:val="00E34D2F"/>
    <w:rsid w:val="00E34DB1"/>
    <w:rsid w:val="00E35931"/>
    <w:rsid w:val="00E359FF"/>
    <w:rsid w:val="00E36337"/>
    <w:rsid w:val="00E3699A"/>
    <w:rsid w:val="00E371E1"/>
    <w:rsid w:val="00E37BFE"/>
    <w:rsid w:val="00E402C5"/>
    <w:rsid w:val="00E402F4"/>
    <w:rsid w:val="00E405F1"/>
    <w:rsid w:val="00E4076D"/>
    <w:rsid w:val="00E40913"/>
    <w:rsid w:val="00E417DB"/>
    <w:rsid w:val="00E41998"/>
    <w:rsid w:val="00E423C5"/>
    <w:rsid w:val="00E427A0"/>
    <w:rsid w:val="00E43054"/>
    <w:rsid w:val="00E432D1"/>
    <w:rsid w:val="00E433B4"/>
    <w:rsid w:val="00E43655"/>
    <w:rsid w:val="00E44440"/>
    <w:rsid w:val="00E44A8B"/>
    <w:rsid w:val="00E45958"/>
    <w:rsid w:val="00E46013"/>
    <w:rsid w:val="00E4673F"/>
    <w:rsid w:val="00E46839"/>
    <w:rsid w:val="00E46DAD"/>
    <w:rsid w:val="00E47099"/>
    <w:rsid w:val="00E47284"/>
    <w:rsid w:val="00E477C3"/>
    <w:rsid w:val="00E5017E"/>
    <w:rsid w:val="00E50734"/>
    <w:rsid w:val="00E5140B"/>
    <w:rsid w:val="00E51E16"/>
    <w:rsid w:val="00E52990"/>
    <w:rsid w:val="00E52DED"/>
    <w:rsid w:val="00E53593"/>
    <w:rsid w:val="00E53730"/>
    <w:rsid w:val="00E5410A"/>
    <w:rsid w:val="00E5438D"/>
    <w:rsid w:val="00E54511"/>
    <w:rsid w:val="00E54E50"/>
    <w:rsid w:val="00E55288"/>
    <w:rsid w:val="00E56429"/>
    <w:rsid w:val="00E5682A"/>
    <w:rsid w:val="00E57577"/>
    <w:rsid w:val="00E57CDA"/>
    <w:rsid w:val="00E600E5"/>
    <w:rsid w:val="00E60F05"/>
    <w:rsid w:val="00E62043"/>
    <w:rsid w:val="00E626B9"/>
    <w:rsid w:val="00E627C9"/>
    <w:rsid w:val="00E630F3"/>
    <w:rsid w:val="00E6332F"/>
    <w:rsid w:val="00E637A5"/>
    <w:rsid w:val="00E637C9"/>
    <w:rsid w:val="00E6402D"/>
    <w:rsid w:val="00E64322"/>
    <w:rsid w:val="00E64A19"/>
    <w:rsid w:val="00E6680A"/>
    <w:rsid w:val="00E66960"/>
    <w:rsid w:val="00E669E3"/>
    <w:rsid w:val="00E66D44"/>
    <w:rsid w:val="00E66F0D"/>
    <w:rsid w:val="00E679F6"/>
    <w:rsid w:val="00E67BFA"/>
    <w:rsid w:val="00E7004F"/>
    <w:rsid w:val="00E70615"/>
    <w:rsid w:val="00E7159E"/>
    <w:rsid w:val="00E7161E"/>
    <w:rsid w:val="00E71BE3"/>
    <w:rsid w:val="00E72004"/>
    <w:rsid w:val="00E7207B"/>
    <w:rsid w:val="00E722CF"/>
    <w:rsid w:val="00E72880"/>
    <w:rsid w:val="00E7347A"/>
    <w:rsid w:val="00E73798"/>
    <w:rsid w:val="00E7384D"/>
    <w:rsid w:val="00E75A47"/>
    <w:rsid w:val="00E75BB6"/>
    <w:rsid w:val="00E75C2B"/>
    <w:rsid w:val="00E75D8C"/>
    <w:rsid w:val="00E7719C"/>
    <w:rsid w:val="00E7757E"/>
    <w:rsid w:val="00E777F2"/>
    <w:rsid w:val="00E802C9"/>
    <w:rsid w:val="00E80BFB"/>
    <w:rsid w:val="00E80EC2"/>
    <w:rsid w:val="00E80F0A"/>
    <w:rsid w:val="00E81334"/>
    <w:rsid w:val="00E815D4"/>
    <w:rsid w:val="00E818FD"/>
    <w:rsid w:val="00E819BA"/>
    <w:rsid w:val="00E8291B"/>
    <w:rsid w:val="00E82E70"/>
    <w:rsid w:val="00E82F92"/>
    <w:rsid w:val="00E8395F"/>
    <w:rsid w:val="00E83C3D"/>
    <w:rsid w:val="00E83ECB"/>
    <w:rsid w:val="00E8408E"/>
    <w:rsid w:val="00E8410F"/>
    <w:rsid w:val="00E84358"/>
    <w:rsid w:val="00E84650"/>
    <w:rsid w:val="00E849D7"/>
    <w:rsid w:val="00E8559B"/>
    <w:rsid w:val="00E85868"/>
    <w:rsid w:val="00E85E41"/>
    <w:rsid w:val="00E85EA1"/>
    <w:rsid w:val="00E86703"/>
    <w:rsid w:val="00E86C01"/>
    <w:rsid w:val="00E87F57"/>
    <w:rsid w:val="00E900DA"/>
    <w:rsid w:val="00E91044"/>
    <w:rsid w:val="00E910D3"/>
    <w:rsid w:val="00E91CBA"/>
    <w:rsid w:val="00E92097"/>
    <w:rsid w:val="00E92154"/>
    <w:rsid w:val="00E923CF"/>
    <w:rsid w:val="00E93685"/>
    <w:rsid w:val="00E93B65"/>
    <w:rsid w:val="00E93C8C"/>
    <w:rsid w:val="00E93FED"/>
    <w:rsid w:val="00E944AB"/>
    <w:rsid w:val="00E95111"/>
    <w:rsid w:val="00E95D57"/>
    <w:rsid w:val="00E95FDF"/>
    <w:rsid w:val="00E960AD"/>
    <w:rsid w:val="00E9677F"/>
    <w:rsid w:val="00E96898"/>
    <w:rsid w:val="00E97043"/>
    <w:rsid w:val="00E97A16"/>
    <w:rsid w:val="00EA0185"/>
    <w:rsid w:val="00EA02A8"/>
    <w:rsid w:val="00EA14C8"/>
    <w:rsid w:val="00EA2110"/>
    <w:rsid w:val="00EA24AF"/>
    <w:rsid w:val="00EA283A"/>
    <w:rsid w:val="00EA2C90"/>
    <w:rsid w:val="00EA2E07"/>
    <w:rsid w:val="00EA383B"/>
    <w:rsid w:val="00EA44ED"/>
    <w:rsid w:val="00EA48F3"/>
    <w:rsid w:val="00EA4D46"/>
    <w:rsid w:val="00EA526B"/>
    <w:rsid w:val="00EA60BF"/>
    <w:rsid w:val="00EA6C71"/>
    <w:rsid w:val="00EA71B5"/>
    <w:rsid w:val="00EA7365"/>
    <w:rsid w:val="00EA763F"/>
    <w:rsid w:val="00EA77E9"/>
    <w:rsid w:val="00EA7BBA"/>
    <w:rsid w:val="00EA7E61"/>
    <w:rsid w:val="00EB0548"/>
    <w:rsid w:val="00EB05D0"/>
    <w:rsid w:val="00EB1151"/>
    <w:rsid w:val="00EB1D49"/>
    <w:rsid w:val="00EB23D9"/>
    <w:rsid w:val="00EB39A0"/>
    <w:rsid w:val="00EB430A"/>
    <w:rsid w:val="00EB4CB9"/>
    <w:rsid w:val="00EB4EF7"/>
    <w:rsid w:val="00EB559F"/>
    <w:rsid w:val="00EB566C"/>
    <w:rsid w:val="00EB5A18"/>
    <w:rsid w:val="00EB5D09"/>
    <w:rsid w:val="00EB5F3D"/>
    <w:rsid w:val="00EB6C97"/>
    <w:rsid w:val="00EB7E87"/>
    <w:rsid w:val="00EC0317"/>
    <w:rsid w:val="00EC1CEB"/>
    <w:rsid w:val="00EC1DC0"/>
    <w:rsid w:val="00EC1DC2"/>
    <w:rsid w:val="00EC1E09"/>
    <w:rsid w:val="00EC210E"/>
    <w:rsid w:val="00EC21EC"/>
    <w:rsid w:val="00EC24B8"/>
    <w:rsid w:val="00EC268C"/>
    <w:rsid w:val="00EC3753"/>
    <w:rsid w:val="00EC3FB6"/>
    <w:rsid w:val="00EC4E71"/>
    <w:rsid w:val="00EC5409"/>
    <w:rsid w:val="00EC5B29"/>
    <w:rsid w:val="00EC5BC4"/>
    <w:rsid w:val="00EC5F1C"/>
    <w:rsid w:val="00EC7AEB"/>
    <w:rsid w:val="00ED0365"/>
    <w:rsid w:val="00ED0512"/>
    <w:rsid w:val="00ED0865"/>
    <w:rsid w:val="00ED0C1C"/>
    <w:rsid w:val="00ED1353"/>
    <w:rsid w:val="00ED1C60"/>
    <w:rsid w:val="00ED2EB9"/>
    <w:rsid w:val="00ED3722"/>
    <w:rsid w:val="00ED3A31"/>
    <w:rsid w:val="00ED4214"/>
    <w:rsid w:val="00ED4469"/>
    <w:rsid w:val="00ED5424"/>
    <w:rsid w:val="00ED5F23"/>
    <w:rsid w:val="00ED6DC0"/>
    <w:rsid w:val="00ED7A7A"/>
    <w:rsid w:val="00ED7F9C"/>
    <w:rsid w:val="00EE0327"/>
    <w:rsid w:val="00EE038C"/>
    <w:rsid w:val="00EE060A"/>
    <w:rsid w:val="00EE105A"/>
    <w:rsid w:val="00EE187A"/>
    <w:rsid w:val="00EE1D00"/>
    <w:rsid w:val="00EE1F23"/>
    <w:rsid w:val="00EE21F9"/>
    <w:rsid w:val="00EE259E"/>
    <w:rsid w:val="00EE25C8"/>
    <w:rsid w:val="00EE28C5"/>
    <w:rsid w:val="00EE2F09"/>
    <w:rsid w:val="00EE3244"/>
    <w:rsid w:val="00EE3FB2"/>
    <w:rsid w:val="00EE47C5"/>
    <w:rsid w:val="00EE490C"/>
    <w:rsid w:val="00EE4E57"/>
    <w:rsid w:val="00EE5738"/>
    <w:rsid w:val="00EE58BD"/>
    <w:rsid w:val="00EE5DDB"/>
    <w:rsid w:val="00EE5E59"/>
    <w:rsid w:val="00EE6108"/>
    <w:rsid w:val="00EE73D0"/>
    <w:rsid w:val="00EE7CB0"/>
    <w:rsid w:val="00EE7CD1"/>
    <w:rsid w:val="00EF08A8"/>
    <w:rsid w:val="00EF167B"/>
    <w:rsid w:val="00EF1C90"/>
    <w:rsid w:val="00EF2496"/>
    <w:rsid w:val="00EF2647"/>
    <w:rsid w:val="00EF270A"/>
    <w:rsid w:val="00EF41A8"/>
    <w:rsid w:val="00EF44FB"/>
    <w:rsid w:val="00EF474F"/>
    <w:rsid w:val="00EF5122"/>
    <w:rsid w:val="00EF5554"/>
    <w:rsid w:val="00EF5AD8"/>
    <w:rsid w:val="00EF687F"/>
    <w:rsid w:val="00EF6B90"/>
    <w:rsid w:val="00EF70C9"/>
    <w:rsid w:val="00EF741E"/>
    <w:rsid w:val="00EF7807"/>
    <w:rsid w:val="00EF79F7"/>
    <w:rsid w:val="00F006C0"/>
    <w:rsid w:val="00F00EB1"/>
    <w:rsid w:val="00F0125F"/>
    <w:rsid w:val="00F0176A"/>
    <w:rsid w:val="00F019AA"/>
    <w:rsid w:val="00F01C1B"/>
    <w:rsid w:val="00F0267E"/>
    <w:rsid w:val="00F02686"/>
    <w:rsid w:val="00F030C0"/>
    <w:rsid w:val="00F03114"/>
    <w:rsid w:val="00F03291"/>
    <w:rsid w:val="00F03A85"/>
    <w:rsid w:val="00F04052"/>
    <w:rsid w:val="00F04314"/>
    <w:rsid w:val="00F0459B"/>
    <w:rsid w:val="00F04E15"/>
    <w:rsid w:val="00F056EC"/>
    <w:rsid w:val="00F05DF3"/>
    <w:rsid w:val="00F06829"/>
    <w:rsid w:val="00F069EA"/>
    <w:rsid w:val="00F06A4B"/>
    <w:rsid w:val="00F06A69"/>
    <w:rsid w:val="00F070E5"/>
    <w:rsid w:val="00F07D5E"/>
    <w:rsid w:val="00F07DDE"/>
    <w:rsid w:val="00F10396"/>
    <w:rsid w:val="00F10F30"/>
    <w:rsid w:val="00F11675"/>
    <w:rsid w:val="00F123DA"/>
    <w:rsid w:val="00F12557"/>
    <w:rsid w:val="00F1268D"/>
    <w:rsid w:val="00F127C8"/>
    <w:rsid w:val="00F12881"/>
    <w:rsid w:val="00F12C62"/>
    <w:rsid w:val="00F13321"/>
    <w:rsid w:val="00F134BA"/>
    <w:rsid w:val="00F13599"/>
    <w:rsid w:val="00F13A71"/>
    <w:rsid w:val="00F13B28"/>
    <w:rsid w:val="00F14DCD"/>
    <w:rsid w:val="00F151AB"/>
    <w:rsid w:val="00F156A0"/>
    <w:rsid w:val="00F15730"/>
    <w:rsid w:val="00F15AB9"/>
    <w:rsid w:val="00F16B7A"/>
    <w:rsid w:val="00F16CE3"/>
    <w:rsid w:val="00F176A6"/>
    <w:rsid w:val="00F17A24"/>
    <w:rsid w:val="00F202C2"/>
    <w:rsid w:val="00F204B3"/>
    <w:rsid w:val="00F20C3D"/>
    <w:rsid w:val="00F2124C"/>
    <w:rsid w:val="00F212F6"/>
    <w:rsid w:val="00F217F8"/>
    <w:rsid w:val="00F2190F"/>
    <w:rsid w:val="00F22756"/>
    <w:rsid w:val="00F23248"/>
    <w:rsid w:val="00F23700"/>
    <w:rsid w:val="00F23890"/>
    <w:rsid w:val="00F249A1"/>
    <w:rsid w:val="00F24FBA"/>
    <w:rsid w:val="00F2504D"/>
    <w:rsid w:val="00F2595D"/>
    <w:rsid w:val="00F25B26"/>
    <w:rsid w:val="00F2637F"/>
    <w:rsid w:val="00F268F7"/>
    <w:rsid w:val="00F30B83"/>
    <w:rsid w:val="00F30BDB"/>
    <w:rsid w:val="00F30CF8"/>
    <w:rsid w:val="00F31402"/>
    <w:rsid w:val="00F31EDF"/>
    <w:rsid w:val="00F32507"/>
    <w:rsid w:val="00F327D9"/>
    <w:rsid w:val="00F32CDE"/>
    <w:rsid w:val="00F32D4C"/>
    <w:rsid w:val="00F3327E"/>
    <w:rsid w:val="00F338C3"/>
    <w:rsid w:val="00F3401D"/>
    <w:rsid w:val="00F34B14"/>
    <w:rsid w:val="00F34CF1"/>
    <w:rsid w:val="00F34E35"/>
    <w:rsid w:val="00F34F58"/>
    <w:rsid w:val="00F3572F"/>
    <w:rsid w:val="00F35750"/>
    <w:rsid w:val="00F35DA7"/>
    <w:rsid w:val="00F35E35"/>
    <w:rsid w:val="00F36A6A"/>
    <w:rsid w:val="00F40101"/>
    <w:rsid w:val="00F404F7"/>
    <w:rsid w:val="00F40CCA"/>
    <w:rsid w:val="00F41968"/>
    <w:rsid w:val="00F41E02"/>
    <w:rsid w:val="00F42AA4"/>
    <w:rsid w:val="00F42D97"/>
    <w:rsid w:val="00F42F0E"/>
    <w:rsid w:val="00F42FCF"/>
    <w:rsid w:val="00F436B2"/>
    <w:rsid w:val="00F43813"/>
    <w:rsid w:val="00F43FEE"/>
    <w:rsid w:val="00F440B0"/>
    <w:rsid w:val="00F44114"/>
    <w:rsid w:val="00F4492F"/>
    <w:rsid w:val="00F44D46"/>
    <w:rsid w:val="00F45030"/>
    <w:rsid w:val="00F45A72"/>
    <w:rsid w:val="00F46723"/>
    <w:rsid w:val="00F46A81"/>
    <w:rsid w:val="00F4706D"/>
    <w:rsid w:val="00F47309"/>
    <w:rsid w:val="00F476E1"/>
    <w:rsid w:val="00F47855"/>
    <w:rsid w:val="00F47D1D"/>
    <w:rsid w:val="00F47F29"/>
    <w:rsid w:val="00F50016"/>
    <w:rsid w:val="00F5118A"/>
    <w:rsid w:val="00F515F3"/>
    <w:rsid w:val="00F51A21"/>
    <w:rsid w:val="00F51A35"/>
    <w:rsid w:val="00F523B9"/>
    <w:rsid w:val="00F52614"/>
    <w:rsid w:val="00F5276E"/>
    <w:rsid w:val="00F52E9F"/>
    <w:rsid w:val="00F532B2"/>
    <w:rsid w:val="00F53304"/>
    <w:rsid w:val="00F534C0"/>
    <w:rsid w:val="00F53B81"/>
    <w:rsid w:val="00F53C15"/>
    <w:rsid w:val="00F540FE"/>
    <w:rsid w:val="00F542F3"/>
    <w:rsid w:val="00F5459A"/>
    <w:rsid w:val="00F556FF"/>
    <w:rsid w:val="00F55D12"/>
    <w:rsid w:val="00F56836"/>
    <w:rsid w:val="00F5687F"/>
    <w:rsid w:val="00F56A02"/>
    <w:rsid w:val="00F56D3F"/>
    <w:rsid w:val="00F571AD"/>
    <w:rsid w:val="00F5725B"/>
    <w:rsid w:val="00F575C7"/>
    <w:rsid w:val="00F57CC1"/>
    <w:rsid w:val="00F57DF7"/>
    <w:rsid w:val="00F57FD0"/>
    <w:rsid w:val="00F60305"/>
    <w:rsid w:val="00F61B12"/>
    <w:rsid w:val="00F61C70"/>
    <w:rsid w:val="00F627D8"/>
    <w:rsid w:val="00F62869"/>
    <w:rsid w:val="00F62ED4"/>
    <w:rsid w:val="00F63264"/>
    <w:rsid w:val="00F634E4"/>
    <w:rsid w:val="00F6379E"/>
    <w:rsid w:val="00F64047"/>
    <w:rsid w:val="00F65171"/>
    <w:rsid w:val="00F6533A"/>
    <w:rsid w:val="00F6560D"/>
    <w:rsid w:val="00F669BD"/>
    <w:rsid w:val="00F67844"/>
    <w:rsid w:val="00F67B09"/>
    <w:rsid w:val="00F70221"/>
    <w:rsid w:val="00F705F6"/>
    <w:rsid w:val="00F70795"/>
    <w:rsid w:val="00F70799"/>
    <w:rsid w:val="00F709BA"/>
    <w:rsid w:val="00F70A8B"/>
    <w:rsid w:val="00F70B8D"/>
    <w:rsid w:val="00F70F0F"/>
    <w:rsid w:val="00F71936"/>
    <w:rsid w:val="00F71F81"/>
    <w:rsid w:val="00F724FB"/>
    <w:rsid w:val="00F726B8"/>
    <w:rsid w:val="00F72A26"/>
    <w:rsid w:val="00F733C3"/>
    <w:rsid w:val="00F73E15"/>
    <w:rsid w:val="00F746A1"/>
    <w:rsid w:val="00F74820"/>
    <w:rsid w:val="00F74F08"/>
    <w:rsid w:val="00F7506D"/>
    <w:rsid w:val="00F755DD"/>
    <w:rsid w:val="00F756DD"/>
    <w:rsid w:val="00F77F4E"/>
    <w:rsid w:val="00F80047"/>
    <w:rsid w:val="00F800C7"/>
    <w:rsid w:val="00F8010B"/>
    <w:rsid w:val="00F80361"/>
    <w:rsid w:val="00F8104D"/>
    <w:rsid w:val="00F8153F"/>
    <w:rsid w:val="00F81587"/>
    <w:rsid w:val="00F819C3"/>
    <w:rsid w:val="00F81B2A"/>
    <w:rsid w:val="00F81B4C"/>
    <w:rsid w:val="00F81C12"/>
    <w:rsid w:val="00F81D9A"/>
    <w:rsid w:val="00F81DE7"/>
    <w:rsid w:val="00F8263C"/>
    <w:rsid w:val="00F8288F"/>
    <w:rsid w:val="00F82DD3"/>
    <w:rsid w:val="00F8376E"/>
    <w:rsid w:val="00F83C52"/>
    <w:rsid w:val="00F840EC"/>
    <w:rsid w:val="00F84802"/>
    <w:rsid w:val="00F84B25"/>
    <w:rsid w:val="00F85B72"/>
    <w:rsid w:val="00F86540"/>
    <w:rsid w:val="00F865CE"/>
    <w:rsid w:val="00F8690D"/>
    <w:rsid w:val="00F8766F"/>
    <w:rsid w:val="00F901B3"/>
    <w:rsid w:val="00F90282"/>
    <w:rsid w:val="00F90BC8"/>
    <w:rsid w:val="00F91082"/>
    <w:rsid w:val="00F9116D"/>
    <w:rsid w:val="00F91171"/>
    <w:rsid w:val="00F91342"/>
    <w:rsid w:val="00F91A9A"/>
    <w:rsid w:val="00F923AF"/>
    <w:rsid w:val="00F92634"/>
    <w:rsid w:val="00F933F3"/>
    <w:rsid w:val="00F93ABB"/>
    <w:rsid w:val="00F93D75"/>
    <w:rsid w:val="00F94D79"/>
    <w:rsid w:val="00F95AEF"/>
    <w:rsid w:val="00F9658C"/>
    <w:rsid w:val="00F96EEB"/>
    <w:rsid w:val="00F9775D"/>
    <w:rsid w:val="00F97A7F"/>
    <w:rsid w:val="00F97CD0"/>
    <w:rsid w:val="00F97D7A"/>
    <w:rsid w:val="00FA0152"/>
    <w:rsid w:val="00FA0889"/>
    <w:rsid w:val="00FA16E7"/>
    <w:rsid w:val="00FA1D69"/>
    <w:rsid w:val="00FA2897"/>
    <w:rsid w:val="00FA31C7"/>
    <w:rsid w:val="00FA4394"/>
    <w:rsid w:val="00FA472D"/>
    <w:rsid w:val="00FA4A82"/>
    <w:rsid w:val="00FA5A92"/>
    <w:rsid w:val="00FA681F"/>
    <w:rsid w:val="00FA7373"/>
    <w:rsid w:val="00FB0261"/>
    <w:rsid w:val="00FB0CBF"/>
    <w:rsid w:val="00FB18F6"/>
    <w:rsid w:val="00FB2A52"/>
    <w:rsid w:val="00FB3961"/>
    <w:rsid w:val="00FB39E0"/>
    <w:rsid w:val="00FB3F92"/>
    <w:rsid w:val="00FB52C7"/>
    <w:rsid w:val="00FB57DC"/>
    <w:rsid w:val="00FB5915"/>
    <w:rsid w:val="00FB6E19"/>
    <w:rsid w:val="00FB71F6"/>
    <w:rsid w:val="00FB74F1"/>
    <w:rsid w:val="00FC0670"/>
    <w:rsid w:val="00FC07AF"/>
    <w:rsid w:val="00FC0AF8"/>
    <w:rsid w:val="00FC0B69"/>
    <w:rsid w:val="00FC1055"/>
    <w:rsid w:val="00FC1238"/>
    <w:rsid w:val="00FC1483"/>
    <w:rsid w:val="00FC1BEF"/>
    <w:rsid w:val="00FC1C47"/>
    <w:rsid w:val="00FC1EA7"/>
    <w:rsid w:val="00FC26DB"/>
    <w:rsid w:val="00FC2866"/>
    <w:rsid w:val="00FC2869"/>
    <w:rsid w:val="00FC2F9E"/>
    <w:rsid w:val="00FC3102"/>
    <w:rsid w:val="00FC3848"/>
    <w:rsid w:val="00FC39ED"/>
    <w:rsid w:val="00FC3D40"/>
    <w:rsid w:val="00FC4419"/>
    <w:rsid w:val="00FC47E2"/>
    <w:rsid w:val="00FC4AA5"/>
    <w:rsid w:val="00FC4B88"/>
    <w:rsid w:val="00FC4BB8"/>
    <w:rsid w:val="00FC4DD8"/>
    <w:rsid w:val="00FC5148"/>
    <w:rsid w:val="00FC56F0"/>
    <w:rsid w:val="00FC6524"/>
    <w:rsid w:val="00FC6B58"/>
    <w:rsid w:val="00FC6DE3"/>
    <w:rsid w:val="00FC711D"/>
    <w:rsid w:val="00FC75AC"/>
    <w:rsid w:val="00FC7984"/>
    <w:rsid w:val="00FD01BF"/>
    <w:rsid w:val="00FD0525"/>
    <w:rsid w:val="00FD0AB7"/>
    <w:rsid w:val="00FD1000"/>
    <w:rsid w:val="00FD15F8"/>
    <w:rsid w:val="00FD297D"/>
    <w:rsid w:val="00FD29A8"/>
    <w:rsid w:val="00FD2D13"/>
    <w:rsid w:val="00FD374D"/>
    <w:rsid w:val="00FD40F7"/>
    <w:rsid w:val="00FD4D2A"/>
    <w:rsid w:val="00FD5FA5"/>
    <w:rsid w:val="00FD6071"/>
    <w:rsid w:val="00FD633B"/>
    <w:rsid w:val="00FD66ED"/>
    <w:rsid w:val="00FD6ABA"/>
    <w:rsid w:val="00FD7AAD"/>
    <w:rsid w:val="00FE0794"/>
    <w:rsid w:val="00FE1041"/>
    <w:rsid w:val="00FE1614"/>
    <w:rsid w:val="00FE1D32"/>
    <w:rsid w:val="00FE24CB"/>
    <w:rsid w:val="00FE323F"/>
    <w:rsid w:val="00FE3473"/>
    <w:rsid w:val="00FE38E5"/>
    <w:rsid w:val="00FE4049"/>
    <w:rsid w:val="00FE4794"/>
    <w:rsid w:val="00FE480F"/>
    <w:rsid w:val="00FE4998"/>
    <w:rsid w:val="00FE4CA2"/>
    <w:rsid w:val="00FE5382"/>
    <w:rsid w:val="00FE57DE"/>
    <w:rsid w:val="00FE6715"/>
    <w:rsid w:val="00FE719F"/>
    <w:rsid w:val="00FE795F"/>
    <w:rsid w:val="00FE7A68"/>
    <w:rsid w:val="00FF00A3"/>
    <w:rsid w:val="00FF0231"/>
    <w:rsid w:val="00FF056D"/>
    <w:rsid w:val="00FF0F87"/>
    <w:rsid w:val="00FF1C9B"/>
    <w:rsid w:val="00FF1D49"/>
    <w:rsid w:val="00FF203B"/>
    <w:rsid w:val="00FF204D"/>
    <w:rsid w:val="00FF2562"/>
    <w:rsid w:val="00FF3A41"/>
    <w:rsid w:val="00FF3E5B"/>
    <w:rsid w:val="00FF5183"/>
    <w:rsid w:val="00FF57E4"/>
    <w:rsid w:val="00FF5E26"/>
    <w:rsid w:val="00FF5ECD"/>
    <w:rsid w:val="00FF6D57"/>
    <w:rsid w:val="00FF78E5"/>
    <w:rsid w:val="011E3D92"/>
    <w:rsid w:val="012C5FAF"/>
    <w:rsid w:val="0194674A"/>
    <w:rsid w:val="01AF3D99"/>
    <w:rsid w:val="01C26D98"/>
    <w:rsid w:val="02493090"/>
    <w:rsid w:val="02511F9D"/>
    <w:rsid w:val="0270686F"/>
    <w:rsid w:val="027475EC"/>
    <w:rsid w:val="02A66735"/>
    <w:rsid w:val="03800D34"/>
    <w:rsid w:val="03A314B8"/>
    <w:rsid w:val="03D42E2E"/>
    <w:rsid w:val="03D8291E"/>
    <w:rsid w:val="03D82B98"/>
    <w:rsid w:val="03F83E8B"/>
    <w:rsid w:val="0422003D"/>
    <w:rsid w:val="04F02940"/>
    <w:rsid w:val="055C151F"/>
    <w:rsid w:val="05600E1D"/>
    <w:rsid w:val="05C56868"/>
    <w:rsid w:val="0620235A"/>
    <w:rsid w:val="06F913D7"/>
    <w:rsid w:val="0753050D"/>
    <w:rsid w:val="07691ADF"/>
    <w:rsid w:val="07A539BD"/>
    <w:rsid w:val="07B72767"/>
    <w:rsid w:val="08077E72"/>
    <w:rsid w:val="08882DD0"/>
    <w:rsid w:val="088D77E3"/>
    <w:rsid w:val="09063A89"/>
    <w:rsid w:val="093700E7"/>
    <w:rsid w:val="09442803"/>
    <w:rsid w:val="09816C5A"/>
    <w:rsid w:val="09CC2AAC"/>
    <w:rsid w:val="0A652D3E"/>
    <w:rsid w:val="0A73514E"/>
    <w:rsid w:val="0A7809B7"/>
    <w:rsid w:val="0B326F2A"/>
    <w:rsid w:val="0B42794F"/>
    <w:rsid w:val="0C1E2888"/>
    <w:rsid w:val="0C3B6140"/>
    <w:rsid w:val="0C6573B1"/>
    <w:rsid w:val="0C7B478E"/>
    <w:rsid w:val="0C92213C"/>
    <w:rsid w:val="0CC2027E"/>
    <w:rsid w:val="0CD36378"/>
    <w:rsid w:val="0D84032B"/>
    <w:rsid w:val="0DD8176C"/>
    <w:rsid w:val="0DDF0D4D"/>
    <w:rsid w:val="0E4A08BC"/>
    <w:rsid w:val="0ECD6DF7"/>
    <w:rsid w:val="0F1F58A5"/>
    <w:rsid w:val="0F2A74C4"/>
    <w:rsid w:val="0F7B02CB"/>
    <w:rsid w:val="10056D2C"/>
    <w:rsid w:val="10466E61"/>
    <w:rsid w:val="10A27F31"/>
    <w:rsid w:val="10BB15FD"/>
    <w:rsid w:val="110F1949"/>
    <w:rsid w:val="11927058"/>
    <w:rsid w:val="12040D82"/>
    <w:rsid w:val="120E171E"/>
    <w:rsid w:val="12977E48"/>
    <w:rsid w:val="131E40C5"/>
    <w:rsid w:val="135E2714"/>
    <w:rsid w:val="136655EA"/>
    <w:rsid w:val="13AF4F03"/>
    <w:rsid w:val="13F310AE"/>
    <w:rsid w:val="142D4720"/>
    <w:rsid w:val="14736E66"/>
    <w:rsid w:val="147F458F"/>
    <w:rsid w:val="15096931"/>
    <w:rsid w:val="1534169A"/>
    <w:rsid w:val="153F4BDA"/>
    <w:rsid w:val="156F59E5"/>
    <w:rsid w:val="157B135B"/>
    <w:rsid w:val="15C03E03"/>
    <w:rsid w:val="1606156C"/>
    <w:rsid w:val="162A25EB"/>
    <w:rsid w:val="16353C00"/>
    <w:rsid w:val="16735895"/>
    <w:rsid w:val="169A7F07"/>
    <w:rsid w:val="16FD2A55"/>
    <w:rsid w:val="17067C1A"/>
    <w:rsid w:val="170D5EAB"/>
    <w:rsid w:val="17366761"/>
    <w:rsid w:val="177C01F0"/>
    <w:rsid w:val="179E3EFA"/>
    <w:rsid w:val="17BC20AA"/>
    <w:rsid w:val="17CE6630"/>
    <w:rsid w:val="17CF598E"/>
    <w:rsid w:val="18F27B86"/>
    <w:rsid w:val="194A1770"/>
    <w:rsid w:val="1A7A6085"/>
    <w:rsid w:val="1A903AFB"/>
    <w:rsid w:val="1AFF0AFE"/>
    <w:rsid w:val="1B324BB2"/>
    <w:rsid w:val="1B4F19F8"/>
    <w:rsid w:val="1BA710FC"/>
    <w:rsid w:val="1C23644B"/>
    <w:rsid w:val="1C697D05"/>
    <w:rsid w:val="1CAB69CA"/>
    <w:rsid w:val="1D4378AF"/>
    <w:rsid w:val="1DCB4E4A"/>
    <w:rsid w:val="1E785FC6"/>
    <w:rsid w:val="1E94348E"/>
    <w:rsid w:val="1ECC44FA"/>
    <w:rsid w:val="1ED805F3"/>
    <w:rsid w:val="1EDD4E34"/>
    <w:rsid w:val="1F063325"/>
    <w:rsid w:val="1F166646"/>
    <w:rsid w:val="1F2B3DF2"/>
    <w:rsid w:val="1F52137F"/>
    <w:rsid w:val="1F6115C2"/>
    <w:rsid w:val="1F86727A"/>
    <w:rsid w:val="1FBC5DF5"/>
    <w:rsid w:val="1FF90588"/>
    <w:rsid w:val="20140D2A"/>
    <w:rsid w:val="2079293B"/>
    <w:rsid w:val="20AE6A88"/>
    <w:rsid w:val="20C3623F"/>
    <w:rsid w:val="20C6076D"/>
    <w:rsid w:val="21781212"/>
    <w:rsid w:val="21AB746C"/>
    <w:rsid w:val="21B83F86"/>
    <w:rsid w:val="21BE719F"/>
    <w:rsid w:val="2208666C"/>
    <w:rsid w:val="221178A8"/>
    <w:rsid w:val="221213CF"/>
    <w:rsid w:val="22327A92"/>
    <w:rsid w:val="22F83FEB"/>
    <w:rsid w:val="231D53A2"/>
    <w:rsid w:val="232272BA"/>
    <w:rsid w:val="23244DE0"/>
    <w:rsid w:val="235F22BC"/>
    <w:rsid w:val="236D4D3A"/>
    <w:rsid w:val="236D5383"/>
    <w:rsid w:val="23B7504C"/>
    <w:rsid w:val="24264B88"/>
    <w:rsid w:val="24571307"/>
    <w:rsid w:val="24AC3078"/>
    <w:rsid w:val="25110A2A"/>
    <w:rsid w:val="251F1A3C"/>
    <w:rsid w:val="253F23A5"/>
    <w:rsid w:val="256C0944"/>
    <w:rsid w:val="25C72513"/>
    <w:rsid w:val="25D41F96"/>
    <w:rsid w:val="26446DE3"/>
    <w:rsid w:val="265274BF"/>
    <w:rsid w:val="26877DFE"/>
    <w:rsid w:val="269669E7"/>
    <w:rsid w:val="26A270C1"/>
    <w:rsid w:val="26B91CE3"/>
    <w:rsid w:val="26B97F35"/>
    <w:rsid w:val="26D7699F"/>
    <w:rsid w:val="27B64475"/>
    <w:rsid w:val="27FA25B3"/>
    <w:rsid w:val="28377363"/>
    <w:rsid w:val="28B46C06"/>
    <w:rsid w:val="28DC43AF"/>
    <w:rsid w:val="28E13773"/>
    <w:rsid w:val="28F74D45"/>
    <w:rsid w:val="29A273A6"/>
    <w:rsid w:val="29D75F7F"/>
    <w:rsid w:val="2AFA0B1C"/>
    <w:rsid w:val="2B774624"/>
    <w:rsid w:val="2C1C3440"/>
    <w:rsid w:val="2C3F60D6"/>
    <w:rsid w:val="2C7A72BE"/>
    <w:rsid w:val="2C9A7D75"/>
    <w:rsid w:val="2CC17412"/>
    <w:rsid w:val="2D7C1E99"/>
    <w:rsid w:val="2DB640F0"/>
    <w:rsid w:val="2E026666"/>
    <w:rsid w:val="2E0917A2"/>
    <w:rsid w:val="2E2B796A"/>
    <w:rsid w:val="2E9976CE"/>
    <w:rsid w:val="2EF01DEE"/>
    <w:rsid w:val="2EFF6701"/>
    <w:rsid w:val="2F401D3C"/>
    <w:rsid w:val="2F5B24E1"/>
    <w:rsid w:val="2F860BD0"/>
    <w:rsid w:val="2FA95C88"/>
    <w:rsid w:val="2FF13F61"/>
    <w:rsid w:val="3041370F"/>
    <w:rsid w:val="30B87FED"/>
    <w:rsid w:val="31280191"/>
    <w:rsid w:val="312B50A3"/>
    <w:rsid w:val="31813D45"/>
    <w:rsid w:val="31894FD2"/>
    <w:rsid w:val="32453A27"/>
    <w:rsid w:val="3263064A"/>
    <w:rsid w:val="326A6587"/>
    <w:rsid w:val="32A43132"/>
    <w:rsid w:val="32AC0C06"/>
    <w:rsid w:val="331A1D5C"/>
    <w:rsid w:val="33344EF5"/>
    <w:rsid w:val="33641229"/>
    <w:rsid w:val="33730173"/>
    <w:rsid w:val="345C4444"/>
    <w:rsid w:val="34CA77B1"/>
    <w:rsid w:val="34D646B8"/>
    <w:rsid w:val="35020CF9"/>
    <w:rsid w:val="3537750C"/>
    <w:rsid w:val="3537798C"/>
    <w:rsid w:val="35C13FC9"/>
    <w:rsid w:val="35FF41CE"/>
    <w:rsid w:val="36213401"/>
    <w:rsid w:val="36372B05"/>
    <w:rsid w:val="364257B6"/>
    <w:rsid w:val="364D2448"/>
    <w:rsid w:val="375F2433"/>
    <w:rsid w:val="37A70CCC"/>
    <w:rsid w:val="37EA5922"/>
    <w:rsid w:val="38276B93"/>
    <w:rsid w:val="382E58B8"/>
    <w:rsid w:val="386C660B"/>
    <w:rsid w:val="38AC3431"/>
    <w:rsid w:val="38B21B83"/>
    <w:rsid w:val="392F2E16"/>
    <w:rsid w:val="39E00529"/>
    <w:rsid w:val="3A0B64A7"/>
    <w:rsid w:val="3A4D4CA5"/>
    <w:rsid w:val="3A4F3E03"/>
    <w:rsid w:val="3A574DDA"/>
    <w:rsid w:val="3ACD1DA9"/>
    <w:rsid w:val="3AD3075A"/>
    <w:rsid w:val="3AEA64B7"/>
    <w:rsid w:val="3AF74C02"/>
    <w:rsid w:val="3B146A06"/>
    <w:rsid w:val="3B581673"/>
    <w:rsid w:val="3C0059A5"/>
    <w:rsid w:val="3C134E78"/>
    <w:rsid w:val="3C406CD7"/>
    <w:rsid w:val="3D583BAC"/>
    <w:rsid w:val="3D5E2B26"/>
    <w:rsid w:val="3D6407A3"/>
    <w:rsid w:val="3D7057DE"/>
    <w:rsid w:val="3DA0781E"/>
    <w:rsid w:val="3DF6345D"/>
    <w:rsid w:val="3E2B5515"/>
    <w:rsid w:val="3E4D4F28"/>
    <w:rsid w:val="3EA11583"/>
    <w:rsid w:val="3EB2586B"/>
    <w:rsid w:val="3ED92EC4"/>
    <w:rsid w:val="3EE13701"/>
    <w:rsid w:val="3EED6576"/>
    <w:rsid w:val="3F174BBC"/>
    <w:rsid w:val="3F1A4BB3"/>
    <w:rsid w:val="3F766FD9"/>
    <w:rsid w:val="40192BA6"/>
    <w:rsid w:val="40E35E83"/>
    <w:rsid w:val="40EB4D37"/>
    <w:rsid w:val="41766EA9"/>
    <w:rsid w:val="41870F04"/>
    <w:rsid w:val="4194717D"/>
    <w:rsid w:val="422229DB"/>
    <w:rsid w:val="42550A18"/>
    <w:rsid w:val="429D496A"/>
    <w:rsid w:val="42BF46CD"/>
    <w:rsid w:val="42F473A1"/>
    <w:rsid w:val="437217EA"/>
    <w:rsid w:val="43803E5D"/>
    <w:rsid w:val="43AB7156"/>
    <w:rsid w:val="43E12A1B"/>
    <w:rsid w:val="43FF60DE"/>
    <w:rsid w:val="441E62C0"/>
    <w:rsid w:val="44F40AAD"/>
    <w:rsid w:val="450D1720"/>
    <w:rsid w:val="45325D14"/>
    <w:rsid w:val="45575091"/>
    <w:rsid w:val="45811C7C"/>
    <w:rsid w:val="45906116"/>
    <w:rsid w:val="45931B8C"/>
    <w:rsid w:val="45DB42AF"/>
    <w:rsid w:val="45EF2552"/>
    <w:rsid w:val="468B3EFB"/>
    <w:rsid w:val="46D06EA9"/>
    <w:rsid w:val="470A6193"/>
    <w:rsid w:val="47385210"/>
    <w:rsid w:val="475510F8"/>
    <w:rsid w:val="476615BC"/>
    <w:rsid w:val="47DC4F5C"/>
    <w:rsid w:val="47E30E5E"/>
    <w:rsid w:val="48B40671"/>
    <w:rsid w:val="48EC137A"/>
    <w:rsid w:val="48EC789E"/>
    <w:rsid w:val="499B5738"/>
    <w:rsid w:val="499F244D"/>
    <w:rsid w:val="4A4349AF"/>
    <w:rsid w:val="4A973F3F"/>
    <w:rsid w:val="4AF96BC7"/>
    <w:rsid w:val="4B315A3D"/>
    <w:rsid w:val="4B62209A"/>
    <w:rsid w:val="4B7A5635"/>
    <w:rsid w:val="4B7C315C"/>
    <w:rsid w:val="4B862A85"/>
    <w:rsid w:val="4B8D35BB"/>
    <w:rsid w:val="4C312198"/>
    <w:rsid w:val="4C683B50"/>
    <w:rsid w:val="4CEF36E2"/>
    <w:rsid w:val="4CEF4DC5"/>
    <w:rsid w:val="4D137AF0"/>
    <w:rsid w:val="4D21045F"/>
    <w:rsid w:val="4D673998"/>
    <w:rsid w:val="4D6D78F9"/>
    <w:rsid w:val="4E257655"/>
    <w:rsid w:val="4F0C5D1C"/>
    <w:rsid w:val="4F2A1121"/>
    <w:rsid w:val="4F372380"/>
    <w:rsid w:val="4F372FFB"/>
    <w:rsid w:val="4F7473AD"/>
    <w:rsid w:val="4FB1539E"/>
    <w:rsid w:val="4FDA66A3"/>
    <w:rsid w:val="5025116D"/>
    <w:rsid w:val="50F47C38"/>
    <w:rsid w:val="515661FD"/>
    <w:rsid w:val="51C92E73"/>
    <w:rsid w:val="52232583"/>
    <w:rsid w:val="52395ECD"/>
    <w:rsid w:val="52642BB2"/>
    <w:rsid w:val="526D7CA2"/>
    <w:rsid w:val="52A31394"/>
    <w:rsid w:val="52C10D75"/>
    <w:rsid w:val="52D02457"/>
    <w:rsid w:val="53C27FF8"/>
    <w:rsid w:val="54806794"/>
    <w:rsid w:val="5492579E"/>
    <w:rsid w:val="549E1A80"/>
    <w:rsid w:val="549E2766"/>
    <w:rsid w:val="54C658F4"/>
    <w:rsid w:val="54DC2EBD"/>
    <w:rsid w:val="54FA3343"/>
    <w:rsid w:val="550C4BD7"/>
    <w:rsid w:val="554C1D56"/>
    <w:rsid w:val="55564A1D"/>
    <w:rsid w:val="55572986"/>
    <w:rsid w:val="55B135EB"/>
    <w:rsid w:val="55CC4CE0"/>
    <w:rsid w:val="562C577E"/>
    <w:rsid w:val="565340FA"/>
    <w:rsid w:val="568C573A"/>
    <w:rsid w:val="569C6DA8"/>
    <w:rsid w:val="56AD5F59"/>
    <w:rsid w:val="56C60774"/>
    <w:rsid w:val="56E542AB"/>
    <w:rsid w:val="57346FE0"/>
    <w:rsid w:val="573D4D40"/>
    <w:rsid w:val="57772F85"/>
    <w:rsid w:val="57B12A52"/>
    <w:rsid w:val="580544D9"/>
    <w:rsid w:val="58136BF6"/>
    <w:rsid w:val="587A60BF"/>
    <w:rsid w:val="58931AE5"/>
    <w:rsid w:val="58C3686E"/>
    <w:rsid w:val="5963770A"/>
    <w:rsid w:val="59EE16C8"/>
    <w:rsid w:val="5A2F2CC8"/>
    <w:rsid w:val="5AF26F96"/>
    <w:rsid w:val="5BD55477"/>
    <w:rsid w:val="5C05719D"/>
    <w:rsid w:val="5C10702D"/>
    <w:rsid w:val="5C152601"/>
    <w:rsid w:val="5C3A7307"/>
    <w:rsid w:val="5C591F03"/>
    <w:rsid w:val="5C8A1B2F"/>
    <w:rsid w:val="5D4B0BE0"/>
    <w:rsid w:val="5E08087F"/>
    <w:rsid w:val="5E14191A"/>
    <w:rsid w:val="5E341674"/>
    <w:rsid w:val="5F427DC1"/>
    <w:rsid w:val="5F561B72"/>
    <w:rsid w:val="5F9279F3"/>
    <w:rsid w:val="606007BB"/>
    <w:rsid w:val="60AA0313"/>
    <w:rsid w:val="60AC7F66"/>
    <w:rsid w:val="61BF10D9"/>
    <w:rsid w:val="62261C1B"/>
    <w:rsid w:val="626C1660"/>
    <w:rsid w:val="62774225"/>
    <w:rsid w:val="628726BA"/>
    <w:rsid w:val="62AC22DC"/>
    <w:rsid w:val="62B40FD5"/>
    <w:rsid w:val="62BF00A6"/>
    <w:rsid w:val="62DE6052"/>
    <w:rsid w:val="63464323"/>
    <w:rsid w:val="63666773"/>
    <w:rsid w:val="63A22BFD"/>
    <w:rsid w:val="63EF7AD3"/>
    <w:rsid w:val="641066DF"/>
    <w:rsid w:val="641461CF"/>
    <w:rsid w:val="641F5CF2"/>
    <w:rsid w:val="64356146"/>
    <w:rsid w:val="64DD1E43"/>
    <w:rsid w:val="64E45CD4"/>
    <w:rsid w:val="64E45EF7"/>
    <w:rsid w:val="65DF280D"/>
    <w:rsid w:val="65E816C2"/>
    <w:rsid w:val="667F3EFA"/>
    <w:rsid w:val="66803B32"/>
    <w:rsid w:val="668562FE"/>
    <w:rsid w:val="6691014E"/>
    <w:rsid w:val="66C87CCE"/>
    <w:rsid w:val="677435B2"/>
    <w:rsid w:val="677F6056"/>
    <w:rsid w:val="67C223E6"/>
    <w:rsid w:val="67E439E2"/>
    <w:rsid w:val="67EF75F1"/>
    <w:rsid w:val="683E7CBF"/>
    <w:rsid w:val="684F4F11"/>
    <w:rsid w:val="68F06629"/>
    <w:rsid w:val="69124F16"/>
    <w:rsid w:val="69CD5C14"/>
    <w:rsid w:val="69CF0D33"/>
    <w:rsid w:val="6A4F7413"/>
    <w:rsid w:val="6A966423"/>
    <w:rsid w:val="6AC47BFE"/>
    <w:rsid w:val="6B3158B9"/>
    <w:rsid w:val="6B3C600C"/>
    <w:rsid w:val="6B9946B3"/>
    <w:rsid w:val="6BB42357"/>
    <w:rsid w:val="6BE518DA"/>
    <w:rsid w:val="6C276F3A"/>
    <w:rsid w:val="6C6B4DFB"/>
    <w:rsid w:val="6C7007C7"/>
    <w:rsid w:val="6C9500F5"/>
    <w:rsid w:val="6D723F67"/>
    <w:rsid w:val="6DD469CF"/>
    <w:rsid w:val="6DE76850"/>
    <w:rsid w:val="6DEA7FA1"/>
    <w:rsid w:val="6E122E65"/>
    <w:rsid w:val="6E870A7C"/>
    <w:rsid w:val="6EF52990"/>
    <w:rsid w:val="6F9C351D"/>
    <w:rsid w:val="6FB20BD4"/>
    <w:rsid w:val="6FBA59BE"/>
    <w:rsid w:val="70296B3E"/>
    <w:rsid w:val="7047792D"/>
    <w:rsid w:val="70611204"/>
    <w:rsid w:val="70BB1A3F"/>
    <w:rsid w:val="70E4517B"/>
    <w:rsid w:val="7165620F"/>
    <w:rsid w:val="717039F8"/>
    <w:rsid w:val="729D3834"/>
    <w:rsid w:val="739509AF"/>
    <w:rsid w:val="739534EB"/>
    <w:rsid w:val="739F35DC"/>
    <w:rsid w:val="745D771F"/>
    <w:rsid w:val="745F3497"/>
    <w:rsid w:val="74D13AD5"/>
    <w:rsid w:val="74FA2C30"/>
    <w:rsid w:val="75134281"/>
    <w:rsid w:val="754D5C4B"/>
    <w:rsid w:val="758331B5"/>
    <w:rsid w:val="76C240A7"/>
    <w:rsid w:val="76DA416A"/>
    <w:rsid w:val="76EE28B0"/>
    <w:rsid w:val="7725204A"/>
    <w:rsid w:val="775246B7"/>
    <w:rsid w:val="7793209D"/>
    <w:rsid w:val="779C67B0"/>
    <w:rsid w:val="77A967D7"/>
    <w:rsid w:val="77AB1D36"/>
    <w:rsid w:val="781E69D1"/>
    <w:rsid w:val="78857244"/>
    <w:rsid w:val="789631FF"/>
    <w:rsid w:val="78C338C8"/>
    <w:rsid w:val="78CF04BF"/>
    <w:rsid w:val="78EA354B"/>
    <w:rsid w:val="78FD502C"/>
    <w:rsid w:val="7901747F"/>
    <w:rsid w:val="791B4953"/>
    <w:rsid w:val="79C30024"/>
    <w:rsid w:val="7A263B6B"/>
    <w:rsid w:val="7A2A00A3"/>
    <w:rsid w:val="7A323738"/>
    <w:rsid w:val="7AA7104C"/>
    <w:rsid w:val="7AF46346"/>
    <w:rsid w:val="7B0F5EBF"/>
    <w:rsid w:val="7B130FB9"/>
    <w:rsid w:val="7BD71E38"/>
    <w:rsid w:val="7BF64EDE"/>
    <w:rsid w:val="7C400C1E"/>
    <w:rsid w:val="7C8B6DF3"/>
    <w:rsid w:val="7CE17A52"/>
    <w:rsid w:val="7D1105AE"/>
    <w:rsid w:val="7D6C741B"/>
    <w:rsid w:val="7DBF6D54"/>
    <w:rsid w:val="7DD11708"/>
    <w:rsid w:val="7DEE4A4F"/>
    <w:rsid w:val="7E1D4C4C"/>
    <w:rsid w:val="7E2B6198"/>
    <w:rsid w:val="7E4A745B"/>
    <w:rsid w:val="7E521976"/>
    <w:rsid w:val="7EAE6230"/>
    <w:rsid w:val="7EBD579E"/>
    <w:rsid w:val="7EC167BD"/>
    <w:rsid w:val="7F272D9E"/>
    <w:rsid w:val="7F477001"/>
    <w:rsid w:val="7F530CFC"/>
    <w:rsid w:val="7F645E05"/>
    <w:rsid w:val="7F78125E"/>
    <w:rsid w:val="979F7D2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qFormat="1" w:unhideWhenUsed="0"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99" w:semiHidden="0"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qFormat="1" w:uiPriority="0" w:semiHidden="0" w:name="footnote reference"/>
    <w:lsdException w:qFormat="1" w:unhideWhenUsed="0" w:uiPriority="0" w:semiHidden="0" w:name="annotation reference"/>
    <w:lsdException w:uiPriority="99" w:name="line number"/>
    <w:lsdException w:qFormat="1" w:unhideWhenUsed="0" w:uiPriority="99"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qFormat="1" w:unhideWhenUsed="0"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99" w:semiHidden="0" w:name="Emphasis"/>
    <w:lsdException w:qFormat="1" w:unhideWhenUsed="0" w:uiPriority="99" w:semiHidden="0" w:name="Document Map"/>
    <w:lsdException w:qFormat="1" w:unhideWhenUsed="0" w:uiPriority="0" w:semiHidden="0" w:name="Plain Text"/>
    <w:lsdException w:uiPriority="99" w:name="E-mail Signature"/>
    <w:lsdException w:qFormat="1"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iPriority="99" w:semiHidden="0" w:name="HTML Preformatted"/>
    <w:lsdException w:qFormat="1" w:uiPriority="99" w:semiHidden="0" w:name="HTML Sample"/>
    <w:lsdException w:qFormat="1" w:uiPriority="99" w:semiHidden="0" w:name="HTML Typewriter"/>
    <w:lsdException w:qFormat="1" w:uiPriority="99" w:semiHidden="0"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iPriority="99"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5"/>
    <w:autoRedefine/>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66"/>
    <w:autoRedefine/>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67"/>
    <w:autoRedefine/>
    <w:qFormat/>
    <w:uiPriority w:val="99"/>
    <w:pPr>
      <w:keepNext/>
      <w:keepLines/>
      <w:spacing w:before="260" w:after="260" w:line="416" w:lineRule="auto"/>
      <w:outlineLvl w:val="2"/>
    </w:pPr>
    <w:rPr>
      <w:b/>
      <w:bCs/>
      <w:sz w:val="32"/>
      <w:szCs w:val="32"/>
    </w:rPr>
  </w:style>
  <w:style w:type="paragraph" w:styleId="5">
    <w:name w:val="heading 4"/>
    <w:basedOn w:val="1"/>
    <w:next w:val="1"/>
    <w:link w:val="68"/>
    <w:autoRedefine/>
    <w:qFormat/>
    <w:uiPriority w:val="99"/>
    <w:pPr>
      <w:keepNext/>
      <w:keepLines/>
      <w:spacing w:line="360" w:lineRule="auto"/>
      <w:outlineLvl w:val="3"/>
    </w:pPr>
    <w:rPr>
      <w:rFonts w:ascii="Arial" w:hAnsi="Arial"/>
      <w:b/>
      <w:bCs/>
      <w:sz w:val="28"/>
      <w:szCs w:val="28"/>
    </w:rPr>
  </w:style>
  <w:style w:type="paragraph" w:styleId="6">
    <w:name w:val="heading 5"/>
    <w:basedOn w:val="1"/>
    <w:next w:val="7"/>
    <w:link w:val="69"/>
    <w:autoRedefine/>
    <w:qFormat/>
    <w:uiPriority w:val="99"/>
    <w:pPr>
      <w:keepNext/>
      <w:keepLines/>
      <w:spacing w:before="280" w:after="290" w:line="376" w:lineRule="auto"/>
      <w:outlineLvl w:val="4"/>
    </w:pPr>
    <w:rPr>
      <w:b/>
      <w:bCs/>
      <w:sz w:val="28"/>
      <w:szCs w:val="28"/>
    </w:rPr>
  </w:style>
  <w:style w:type="paragraph" w:styleId="8">
    <w:name w:val="heading 6"/>
    <w:basedOn w:val="1"/>
    <w:next w:val="1"/>
    <w:link w:val="71"/>
    <w:autoRedefine/>
    <w:qFormat/>
    <w:uiPriority w:val="9"/>
    <w:pPr>
      <w:keepNext/>
      <w:keepLines/>
      <w:spacing w:before="240" w:after="64" w:line="317" w:lineRule="auto"/>
      <w:outlineLvl w:val="5"/>
    </w:pPr>
    <w:rPr>
      <w:rFonts w:ascii="Cambria" w:hAnsi="Cambria"/>
      <w:b/>
      <w:bCs/>
      <w:kern w:val="0"/>
      <w:sz w:val="24"/>
    </w:rPr>
  </w:style>
  <w:style w:type="paragraph" w:styleId="9">
    <w:name w:val="heading 7"/>
    <w:basedOn w:val="1"/>
    <w:next w:val="1"/>
    <w:link w:val="72"/>
    <w:autoRedefine/>
    <w:qFormat/>
    <w:uiPriority w:val="9"/>
    <w:pPr>
      <w:keepNext/>
      <w:keepLines/>
      <w:spacing w:before="240" w:after="64" w:line="317" w:lineRule="auto"/>
      <w:outlineLvl w:val="6"/>
    </w:pPr>
    <w:rPr>
      <w:b/>
      <w:bCs/>
      <w:kern w:val="0"/>
      <w:sz w:val="24"/>
    </w:rPr>
  </w:style>
  <w:style w:type="paragraph" w:styleId="10">
    <w:name w:val="heading 8"/>
    <w:basedOn w:val="1"/>
    <w:next w:val="1"/>
    <w:link w:val="73"/>
    <w:autoRedefine/>
    <w:qFormat/>
    <w:uiPriority w:val="9"/>
    <w:pPr>
      <w:keepNext/>
      <w:keepLines/>
      <w:spacing w:before="240" w:after="64" w:line="320" w:lineRule="auto"/>
      <w:outlineLvl w:val="7"/>
    </w:pPr>
    <w:rPr>
      <w:rFonts w:ascii="等线 Light" w:hAnsi="等线 Light" w:eastAsia="等线 Light"/>
      <w:sz w:val="24"/>
    </w:rPr>
  </w:style>
  <w:style w:type="paragraph" w:styleId="11">
    <w:name w:val="heading 9"/>
    <w:basedOn w:val="1"/>
    <w:next w:val="1"/>
    <w:link w:val="74"/>
    <w:autoRedefine/>
    <w:qFormat/>
    <w:uiPriority w:val="9"/>
    <w:pPr>
      <w:keepNext/>
      <w:keepLines/>
      <w:spacing w:before="240" w:after="64" w:line="317" w:lineRule="auto"/>
      <w:outlineLvl w:val="8"/>
    </w:pPr>
    <w:rPr>
      <w:rFonts w:ascii="Cambria" w:hAnsi="Cambria"/>
      <w:kern w:val="0"/>
      <w:sz w:val="20"/>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70"/>
    <w:autoRedefine/>
    <w:qFormat/>
    <w:uiPriority w:val="99"/>
    <w:pPr>
      <w:ind w:firstLine="420"/>
    </w:pPr>
    <w:rPr>
      <w:szCs w:val="20"/>
    </w:rPr>
  </w:style>
  <w:style w:type="paragraph" w:styleId="12">
    <w:name w:val="toc 7"/>
    <w:basedOn w:val="1"/>
    <w:next w:val="1"/>
    <w:autoRedefine/>
    <w:qFormat/>
    <w:uiPriority w:val="39"/>
    <w:pPr>
      <w:ind w:left="2520" w:leftChars="1200"/>
    </w:pPr>
    <w:rPr>
      <w:rFonts w:ascii="Calibri" w:hAnsi="Calibri" w:cs="Calibri"/>
      <w:szCs w:val="21"/>
    </w:rPr>
  </w:style>
  <w:style w:type="paragraph" w:styleId="13">
    <w:name w:val="List Number"/>
    <w:basedOn w:val="1"/>
    <w:autoRedefine/>
    <w:qFormat/>
    <w:uiPriority w:val="0"/>
    <w:pPr>
      <w:widowControl/>
      <w:tabs>
        <w:tab w:val="left" w:pos="454"/>
        <w:tab w:val="left" w:pos="720"/>
        <w:tab w:val="left" w:pos="840"/>
      </w:tabs>
      <w:spacing w:afterLines="50"/>
      <w:ind w:left="454" w:hanging="284"/>
      <w:jc w:val="left"/>
    </w:pPr>
    <w:rPr>
      <w:kern w:val="0"/>
      <w:sz w:val="24"/>
      <w:szCs w:val="20"/>
    </w:rPr>
  </w:style>
  <w:style w:type="paragraph" w:styleId="14">
    <w:name w:val="caption"/>
    <w:basedOn w:val="1"/>
    <w:next w:val="1"/>
    <w:autoRedefine/>
    <w:qFormat/>
    <w:uiPriority w:val="99"/>
    <w:rPr>
      <w:rFonts w:ascii="Cambria" w:hAnsi="Cambria" w:eastAsia="黑体" w:cs="Cambria"/>
      <w:sz w:val="20"/>
      <w:szCs w:val="20"/>
    </w:rPr>
  </w:style>
  <w:style w:type="paragraph" w:styleId="15">
    <w:name w:val="Document Map"/>
    <w:basedOn w:val="1"/>
    <w:link w:val="75"/>
    <w:autoRedefine/>
    <w:qFormat/>
    <w:uiPriority w:val="99"/>
    <w:pPr>
      <w:shd w:val="clear" w:color="auto" w:fill="000080"/>
    </w:pPr>
    <w:rPr>
      <w:sz w:val="24"/>
      <w:shd w:val="clear" w:color="auto" w:fill="000080"/>
    </w:rPr>
  </w:style>
  <w:style w:type="paragraph" w:styleId="16">
    <w:name w:val="annotation text"/>
    <w:basedOn w:val="1"/>
    <w:link w:val="76"/>
    <w:autoRedefine/>
    <w:qFormat/>
    <w:uiPriority w:val="0"/>
    <w:pPr>
      <w:jc w:val="left"/>
    </w:pPr>
  </w:style>
  <w:style w:type="paragraph" w:styleId="17">
    <w:name w:val="Body Text 3"/>
    <w:basedOn w:val="1"/>
    <w:link w:val="77"/>
    <w:autoRedefine/>
    <w:unhideWhenUsed/>
    <w:qFormat/>
    <w:uiPriority w:val="99"/>
    <w:pPr>
      <w:spacing w:after="120"/>
    </w:pPr>
    <w:rPr>
      <w:sz w:val="16"/>
      <w:szCs w:val="16"/>
    </w:rPr>
  </w:style>
  <w:style w:type="paragraph" w:styleId="18">
    <w:name w:val="Body Text"/>
    <w:basedOn w:val="1"/>
    <w:link w:val="78"/>
    <w:autoRedefine/>
    <w:unhideWhenUsed/>
    <w:qFormat/>
    <w:uiPriority w:val="99"/>
    <w:pPr>
      <w:spacing w:after="120"/>
    </w:pPr>
  </w:style>
  <w:style w:type="paragraph" w:styleId="19">
    <w:name w:val="Body Text Indent"/>
    <w:basedOn w:val="1"/>
    <w:link w:val="79"/>
    <w:autoRedefine/>
    <w:qFormat/>
    <w:uiPriority w:val="99"/>
    <w:pPr>
      <w:ind w:firstLine="830" w:firstLineChars="352"/>
    </w:pPr>
    <w:rPr>
      <w:rFonts w:ascii="仿宋_GB2312" w:eastAsia="仿宋_GB2312"/>
      <w:kern w:val="0"/>
      <w:sz w:val="32"/>
      <w:szCs w:val="20"/>
    </w:rPr>
  </w:style>
  <w:style w:type="paragraph" w:styleId="20">
    <w:name w:val="List 2"/>
    <w:basedOn w:val="1"/>
    <w:autoRedefine/>
    <w:unhideWhenUsed/>
    <w:qFormat/>
    <w:uiPriority w:val="99"/>
    <w:pPr>
      <w:ind w:left="100" w:leftChars="200" w:hanging="200" w:hangingChars="200"/>
      <w:contextualSpacing/>
    </w:pPr>
  </w:style>
  <w:style w:type="paragraph" w:styleId="21">
    <w:name w:val="index 4"/>
    <w:basedOn w:val="1"/>
    <w:next w:val="1"/>
    <w:autoRedefine/>
    <w:semiHidden/>
    <w:qFormat/>
    <w:uiPriority w:val="99"/>
    <w:pPr>
      <w:ind w:left="600" w:leftChars="600"/>
    </w:pPr>
    <w:rPr>
      <w:szCs w:val="21"/>
    </w:rPr>
  </w:style>
  <w:style w:type="paragraph" w:styleId="22">
    <w:name w:val="toc 5"/>
    <w:basedOn w:val="1"/>
    <w:next w:val="1"/>
    <w:autoRedefine/>
    <w:qFormat/>
    <w:uiPriority w:val="39"/>
    <w:pPr>
      <w:ind w:left="1680" w:leftChars="800"/>
    </w:pPr>
    <w:rPr>
      <w:rFonts w:ascii="Calibri" w:hAnsi="Calibri" w:cs="Calibri"/>
      <w:szCs w:val="21"/>
    </w:rPr>
  </w:style>
  <w:style w:type="paragraph" w:styleId="23">
    <w:name w:val="toc 3"/>
    <w:basedOn w:val="1"/>
    <w:next w:val="1"/>
    <w:autoRedefine/>
    <w:qFormat/>
    <w:uiPriority w:val="39"/>
    <w:pPr>
      <w:ind w:left="840" w:leftChars="400"/>
    </w:pPr>
    <w:rPr>
      <w:szCs w:val="21"/>
    </w:rPr>
  </w:style>
  <w:style w:type="paragraph" w:styleId="24">
    <w:name w:val="Plain Text"/>
    <w:basedOn w:val="1"/>
    <w:next w:val="1"/>
    <w:link w:val="80"/>
    <w:autoRedefine/>
    <w:qFormat/>
    <w:uiPriority w:val="0"/>
    <w:rPr>
      <w:rFonts w:ascii="宋体" w:hAnsi="Courier New"/>
      <w:kern w:val="0"/>
      <w:sz w:val="20"/>
      <w:szCs w:val="21"/>
    </w:rPr>
  </w:style>
  <w:style w:type="paragraph" w:styleId="25">
    <w:name w:val="toc 8"/>
    <w:basedOn w:val="1"/>
    <w:next w:val="1"/>
    <w:autoRedefine/>
    <w:qFormat/>
    <w:uiPriority w:val="39"/>
    <w:pPr>
      <w:ind w:left="2940" w:leftChars="1400"/>
    </w:pPr>
    <w:rPr>
      <w:rFonts w:ascii="Calibri" w:hAnsi="Calibri" w:cs="Calibri"/>
      <w:szCs w:val="21"/>
    </w:rPr>
  </w:style>
  <w:style w:type="paragraph" w:styleId="26">
    <w:name w:val="Date"/>
    <w:basedOn w:val="1"/>
    <w:next w:val="1"/>
    <w:link w:val="81"/>
    <w:autoRedefine/>
    <w:unhideWhenUsed/>
    <w:qFormat/>
    <w:uiPriority w:val="99"/>
    <w:pPr>
      <w:ind w:left="100" w:leftChars="2500"/>
    </w:pPr>
  </w:style>
  <w:style w:type="paragraph" w:styleId="27">
    <w:name w:val="Body Text Indent 2"/>
    <w:basedOn w:val="1"/>
    <w:link w:val="82"/>
    <w:autoRedefine/>
    <w:qFormat/>
    <w:uiPriority w:val="99"/>
    <w:pPr>
      <w:spacing w:after="120" w:line="480" w:lineRule="auto"/>
      <w:ind w:left="420" w:leftChars="200"/>
    </w:pPr>
    <w:rPr>
      <w:sz w:val="24"/>
    </w:rPr>
  </w:style>
  <w:style w:type="paragraph" w:styleId="28">
    <w:name w:val="Balloon Text"/>
    <w:basedOn w:val="1"/>
    <w:link w:val="83"/>
    <w:autoRedefine/>
    <w:qFormat/>
    <w:uiPriority w:val="99"/>
    <w:rPr>
      <w:sz w:val="18"/>
      <w:szCs w:val="18"/>
    </w:rPr>
  </w:style>
  <w:style w:type="paragraph" w:styleId="29">
    <w:name w:val="footer"/>
    <w:basedOn w:val="1"/>
    <w:next w:val="1"/>
    <w:link w:val="84"/>
    <w:autoRedefine/>
    <w:unhideWhenUsed/>
    <w:qFormat/>
    <w:uiPriority w:val="99"/>
    <w:pPr>
      <w:tabs>
        <w:tab w:val="center" w:pos="4153"/>
        <w:tab w:val="right" w:pos="8306"/>
      </w:tabs>
      <w:snapToGrid w:val="0"/>
      <w:jc w:val="left"/>
    </w:pPr>
    <w:rPr>
      <w:kern w:val="0"/>
      <w:sz w:val="18"/>
      <w:szCs w:val="18"/>
    </w:rPr>
  </w:style>
  <w:style w:type="paragraph" w:styleId="30">
    <w:name w:val="header"/>
    <w:basedOn w:val="1"/>
    <w:link w:val="85"/>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1">
    <w:name w:val="toc 1"/>
    <w:basedOn w:val="1"/>
    <w:next w:val="1"/>
    <w:autoRedefine/>
    <w:unhideWhenUsed/>
    <w:qFormat/>
    <w:uiPriority w:val="39"/>
  </w:style>
  <w:style w:type="paragraph" w:styleId="32">
    <w:name w:val="toc 4"/>
    <w:basedOn w:val="1"/>
    <w:next w:val="1"/>
    <w:autoRedefine/>
    <w:qFormat/>
    <w:uiPriority w:val="39"/>
    <w:pPr>
      <w:ind w:left="1260" w:leftChars="600"/>
    </w:pPr>
    <w:rPr>
      <w:rFonts w:ascii="Calibri" w:hAnsi="Calibri" w:cs="Calibri"/>
      <w:szCs w:val="21"/>
    </w:rPr>
  </w:style>
  <w:style w:type="paragraph" w:styleId="33">
    <w:name w:val="Subtitle"/>
    <w:basedOn w:val="1"/>
    <w:next w:val="1"/>
    <w:link w:val="86"/>
    <w:autoRedefine/>
    <w:qFormat/>
    <w:uiPriority w:val="11"/>
    <w:pPr>
      <w:spacing w:before="240" w:after="60" w:line="312" w:lineRule="auto"/>
      <w:jc w:val="center"/>
      <w:outlineLvl w:val="1"/>
    </w:pPr>
    <w:rPr>
      <w:rFonts w:ascii="Cambria" w:hAnsi="Cambria"/>
      <w:b/>
      <w:bCs/>
      <w:kern w:val="28"/>
      <w:sz w:val="32"/>
      <w:szCs w:val="32"/>
    </w:rPr>
  </w:style>
  <w:style w:type="paragraph" w:styleId="34">
    <w:name w:val="footnote text"/>
    <w:basedOn w:val="1"/>
    <w:link w:val="87"/>
    <w:autoRedefine/>
    <w:qFormat/>
    <w:uiPriority w:val="99"/>
    <w:pPr>
      <w:adjustRightInd w:val="0"/>
      <w:spacing w:line="312" w:lineRule="atLeast"/>
      <w:jc w:val="left"/>
      <w:textAlignment w:val="baseline"/>
    </w:pPr>
    <w:rPr>
      <w:kern w:val="0"/>
      <w:sz w:val="18"/>
      <w:szCs w:val="18"/>
    </w:rPr>
  </w:style>
  <w:style w:type="paragraph" w:styleId="35">
    <w:name w:val="toc 6"/>
    <w:basedOn w:val="1"/>
    <w:next w:val="1"/>
    <w:autoRedefine/>
    <w:qFormat/>
    <w:uiPriority w:val="39"/>
    <w:pPr>
      <w:ind w:left="2100" w:leftChars="1000"/>
    </w:pPr>
    <w:rPr>
      <w:rFonts w:ascii="Calibri" w:hAnsi="Calibri" w:cs="Calibri"/>
      <w:szCs w:val="21"/>
    </w:rPr>
  </w:style>
  <w:style w:type="paragraph" w:styleId="36">
    <w:name w:val="toc 2"/>
    <w:basedOn w:val="1"/>
    <w:next w:val="1"/>
    <w:autoRedefine/>
    <w:unhideWhenUsed/>
    <w:qFormat/>
    <w:uiPriority w:val="39"/>
    <w:pPr>
      <w:tabs>
        <w:tab w:val="right" w:leader="dot" w:pos="8296"/>
      </w:tabs>
      <w:ind w:left="420" w:leftChars="200"/>
    </w:pPr>
  </w:style>
  <w:style w:type="paragraph" w:styleId="37">
    <w:name w:val="toc 9"/>
    <w:basedOn w:val="1"/>
    <w:next w:val="1"/>
    <w:autoRedefine/>
    <w:qFormat/>
    <w:uiPriority w:val="39"/>
    <w:pPr>
      <w:ind w:left="3360" w:leftChars="1600"/>
    </w:pPr>
    <w:rPr>
      <w:rFonts w:ascii="Calibri" w:hAnsi="Calibri" w:cs="Calibri"/>
      <w:szCs w:val="21"/>
    </w:rPr>
  </w:style>
  <w:style w:type="paragraph" w:styleId="38">
    <w:name w:val="HTML Preformatted"/>
    <w:basedOn w:val="1"/>
    <w:link w:val="88"/>
    <w:autoRedefine/>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39">
    <w:name w:val="Normal (Web)"/>
    <w:basedOn w:val="1"/>
    <w:autoRedefine/>
    <w:unhideWhenUsed/>
    <w:qFormat/>
    <w:uiPriority w:val="0"/>
    <w:rPr>
      <w:rFonts w:ascii="Calibri" w:hAnsi="Calibri"/>
      <w:kern w:val="0"/>
      <w:sz w:val="24"/>
    </w:rPr>
  </w:style>
  <w:style w:type="paragraph" w:styleId="40">
    <w:name w:val="Title"/>
    <w:basedOn w:val="1"/>
    <w:next w:val="1"/>
    <w:link w:val="89"/>
    <w:autoRedefine/>
    <w:qFormat/>
    <w:uiPriority w:val="99"/>
    <w:pPr>
      <w:spacing w:before="240" w:after="60"/>
      <w:jc w:val="center"/>
      <w:outlineLvl w:val="0"/>
    </w:pPr>
    <w:rPr>
      <w:rFonts w:ascii="Cambria" w:hAnsi="Cambria"/>
      <w:b/>
      <w:bCs/>
      <w:sz w:val="32"/>
      <w:szCs w:val="32"/>
    </w:rPr>
  </w:style>
  <w:style w:type="paragraph" w:styleId="41">
    <w:name w:val="annotation subject"/>
    <w:basedOn w:val="16"/>
    <w:next w:val="16"/>
    <w:link w:val="90"/>
    <w:autoRedefine/>
    <w:qFormat/>
    <w:uiPriority w:val="99"/>
    <w:rPr>
      <w:b/>
      <w:bCs/>
    </w:rPr>
  </w:style>
  <w:style w:type="table" w:styleId="43">
    <w:name w:val="Table Grid"/>
    <w:basedOn w:val="42"/>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5">
    <w:name w:val="Strong"/>
    <w:autoRedefine/>
    <w:qFormat/>
    <w:uiPriority w:val="22"/>
    <w:rPr>
      <w:b/>
      <w:bCs/>
    </w:rPr>
  </w:style>
  <w:style w:type="character" w:styleId="46">
    <w:name w:val="endnote reference"/>
    <w:autoRedefine/>
    <w:unhideWhenUsed/>
    <w:qFormat/>
    <w:uiPriority w:val="99"/>
    <w:rPr>
      <w:vertAlign w:val="superscript"/>
    </w:rPr>
  </w:style>
  <w:style w:type="character" w:styleId="47">
    <w:name w:val="page number"/>
    <w:autoRedefine/>
    <w:qFormat/>
    <w:uiPriority w:val="99"/>
  </w:style>
  <w:style w:type="character" w:styleId="48">
    <w:name w:val="Emphasis"/>
    <w:autoRedefine/>
    <w:qFormat/>
    <w:uiPriority w:val="99"/>
    <w:rPr>
      <w:i/>
      <w:iCs/>
    </w:rPr>
  </w:style>
  <w:style w:type="character" w:styleId="49">
    <w:name w:val="HTML Definition"/>
    <w:basedOn w:val="44"/>
    <w:autoRedefine/>
    <w:unhideWhenUsed/>
    <w:qFormat/>
    <w:uiPriority w:val="99"/>
  </w:style>
  <w:style w:type="character" w:styleId="50">
    <w:name w:val="HTML Typewriter"/>
    <w:basedOn w:val="44"/>
    <w:autoRedefine/>
    <w:unhideWhenUsed/>
    <w:qFormat/>
    <w:uiPriority w:val="99"/>
    <w:rPr>
      <w:rFonts w:hint="default" w:ascii="monospace" w:hAnsi="monospace" w:eastAsia="monospace" w:cs="monospace"/>
      <w:sz w:val="20"/>
    </w:rPr>
  </w:style>
  <w:style w:type="character" w:styleId="51">
    <w:name w:val="HTML Acronym"/>
    <w:basedOn w:val="44"/>
    <w:autoRedefine/>
    <w:unhideWhenUsed/>
    <w:qFormat/>
    <w:uiPriority w:val="99"/>
  </w:style>
  <w:style w:type="character" w:styleId="52">
    <w:name w:val="HTML Variable"/>
    <w:basedOn w:val="44"/>
    <w:autoRedefine/>
    <w:unhideWhenUsed/>
    <w:qFormat/>
    <w:uiPriority w:val="99"/>
  </w:style>
  <w:style w:type="character" w:styleId="53">
    <w:name w:val="Hyperlink"/>
    <w:autoRedefine/>
    <w:unhideWhenUsed/>
    <w:qFormat/>
    <w:uiPriority w:val="99"/>
    <w:rPr>
      <w:color w:val="0000FF"/>
      <w:u w:val="single"/>
    </w:rPr>
  </w:style>
  <w:style w:type="character" w:styleId="54">
    <w:name w:val="HTML Code"/>
    <w:basedOn w:val="44"/>
    <w:autoRedefine/>
    <w:unhideWhenUsed/>
    <w:qFormat/>
    <w:uiPriority w:val="99"/>
    <w:rPr>
      <w:rFonts w:hint="default" w:ascii="monospace" w:hAnsi="monospace" w:eastAsia="monospace" w:cs="monospace"/>
      <w:sz w:val="20"/>
    </w:rPr>
  </w:style>
  <w:style w:type="character" w:styleId="55">
    <w:name w:val="annotation reference"/>
    <w:autoRedefine/>
    <w:qFormat/>
    <w:uiPriority w:val="0"/>
    <w:rPr>
      <w:sz w:val="21"/>
      <w:szCs w:val="21"/>
    </w:rPr>
  </w:style>
  <w:style w:type="character" w:styleId="56">
    <w:name w:val="HTML Cite"/>
    <w:basedOn w:val="44"/>
    <w:autoRedefine/>
    <w:unhideWhenUsed/>
    <w:qFormat/>
    <w:uiPriority w:val="99"/>
  </w:style>
  <w:style w:type="character" w:styleId="57">
    <w:name w:val="footnote reference"/>
    <w:autoRedefine/>
    <w:unhideWhenUsed/>
    <w:qFormat/>
    <w:uiPriority w:val="0"/>
    <w:rPr>
      <w:vertAlign w:val="superscript"/>
    </w:rPr>
  </w:style>
  <w:style w:type="character" w:styleId="58">
    <w:name w:val="HTML Keyboard"/>
    <w:basedOn w:val="44"/>
    <w:autoRedefine/>
    <w:unhideWhenUsed/>
    <w:qFormat/>
    <w:uiPriority w:val="99"/>
    <w:rPr>
      <w:rFonts w:hint="default" w:ascii="monospace" w:hAnsi="monospace" w:eastAsia="monospace" w:cs="monospace"/>
      <w:sz w:val="20"/>
    </w:rPr>
  </w:style>
  <w:style w:type="character" w:styleId="59">
    <w:name w:val="HTML Sample"/>
    <w:basedOn w:val="44"/>
    <w:autoRedefine/>
    <w:unhideWhenUsed/>
    <w:qFormat/>
    <w:uiPriority w:val="99"/>
    <w:rPr>
      <w:rFonts w:ascii="monospace" w:hAnsi="monospace" w:eastAsia="monospace" w:cs="monospace"/>
    </w:rPr>
  </w:style>
  <w:style w:type="paragraph" w:customStyle="1" w:styleId="60">
    <w:name w:val="Default"/>
    <w:basedOn w:val="40"/>
    <w:autoRedefine/>
    <w:qFormat/>
    <w:uiPriority w:val="99"/>
    <w:pPr>
      <w:widowControl w:val="0"/>
      <w:autoSpaceDE w:val="0"/>
      <w:autoSpaceDN w:val="0"/>
      <w:adjustRightInd w:val="0"/>
    </w:pPr>
    <w:rPr>
      <w:rFonts w:ascii="Times New Roman" w:hAnsi="Times New Roman" w:eastAsia="宋体" w:cs="Times New Roman"/>
      <w:color w:val="000000"/>
      <w:kern w:val="2"/>
      <w:sz w:val="24"/>
      <w:szCs w:val="24"/>
      <w:lang w:val="en-US" w:eastAsia="zh-CN" w:bidi="ar-SA"/>
    </w:rPr>
  </w:style>
  <w:style w:type="paragraph" w:customStyle="1" w:styleId="61">
    <w:name w:val="正文1"/>
    <w:basedOn w:val="1"/>
    <w:next w:val="62"/>
    <w:autoRedefine/>
    <w:qFormat/>
    <w:uiPriority w:val="0"/>
    <w:pPr>
      <w:spacing w:line="360" w:lineRule="auto"/>
      <w:ind w:firstLine="200" w:firstLineChars="200"/>
      <w:jc w:val="left"/>
    </w:pPr>
    <w:rPr>
      <w:rFonts w:ascii="Times New Roman)" w:hAnsi="Times New Roman)" w:eastAsia="宋体正文"/>
      <w:color w:val="000000"/>
      <w:kern w:val="0"/>
      <w:sz w:val="24"/>
      <w:lang w:eastAsia="en-US" w:bidi="en-US"/>
    </w:rPr>
  </w:style>
  <w:style w:type="paragraph" w:customStyle="1" w:styleId="62">
    <w:name w:val="正文文本1"/>
    <w:basedOn w:val="61"/>
    <w:next w:val="63"/>
    <w:qFormat/>
    <w:uiPriority w:val="0"/>
    <w:pPr>
      <w:spacing w:after="120"/>
      <w:jc w:val="left"/>
    </w:pPr>
    <w:rPr>
      <w:rFonts w:ascii="宋体"/>
      <w:sz w:val="34"/>
      <w:szCs w:val="20"/>
    </w:rPr>
  </w:style>
  <w:style w:type="paragraph" w:customStyle="1" w:styleId="63">
    <w:name w:val="正文首行缩进1"/>
    <w:basedOn w:val="62"/>
    <w:next w:val="64"/>
    <w:qFormat/>
    <w:uiPriority w:val="0"/>
    <w:pPr>
      <w:ind w:left="30" w:right="30" w:firstLine="420"/>
      <w:jc w:val="center"/>
    </w:pPr>
    <w:rPr>
      <w:sz w:val="21"/>
    </w:rPr>
  </w:style>
  <w:style w:type="paragraph" w:customStyle="1" w:styleId="64">
    <w:name w:val="样式 正文首行缩进 + 首行缩进:  1 字符1"/>
    <w:basedOn w:val="61"/>
    <w:next w:val="61"/>
    <w:qFormat/>
    <w:uiPriority w:val="0"/>
    <w:pPr>
      <w:spacing w:line="360" w:lineRule="auto"/>
      <w:ind w:firstLine="480"/>
      <w:jc w:val="left"/>
    </w:pPr>
    <w:rPr>
      <w:rFonts w:ascii="宋体" w:hAnsi="宋体"/>
      <w:sz w:val="24"/>
      <w:szCs w:val="20"/>
    </w:rPr>
  </w:style>
  <w:style w:type="character" w:customStyle="1" w:styleId="65">
    <w:name w:val="标题 1 字符"/>
    <w:link w:val="2"/>
    <w:autoRedefine/>
    <w:qFormat/>
    <w:uiPriority w:val="99"/>
    <w:rPr>
      <w:b/>
      <w:bCs/>
      <w:kern w:val="44"/>
      <w:sz w:val="44"/>
      <w:szCs w:val="44"/>
    </w:rPr>
  </w:style>
  <w:style w:type="character" w:customStyle="1" w:styleId="66">
    <w:name w:val="标题 2 字符"/>
    <w:link w:val="3"/>
    <w:autoRedefine/>
    <w:qFormat/>
    <w:uiPriority w:val="9"/>
    <w:rPr>
      <w:rFonts w:ascii="Cambria" w:hAnsi="Cambria" w:eastAsia="宋体" w:cs="Times New Roman"/>
      <w:b/>
      <w:bCs/>
      <w:kern w:val="2"/>
      <w:sz w:val="32"/>
      <w:szCs w:val="32"/>
    </w:rPr>
  </w:style>
  <w:style w:type="character" w:customStyle="1" w:styleId="67">
    <w:name w:val="标题 3 字符"/>
    <w:link w:val="4"/>
    <w:autoRedefine/>
    <w:qFormat/>
    <w:uiPriority w:val="99"/>
    <w:rPr>
      <w:b/>
      <w:bCs/>
      <w:kern w:val="2"/>
      <w:sz w:val="32"/>
      <w:szCs w:val="32"/>
    </w:rPr>
  </w:style>
  <w:style w:type="character" w:customStyle="1" w:styleId="68">
    <w:name w:val="标题 4 字符"/>
    <w:link w:val="5"/>
    <w:autoRedefine/>
    <w:qFormat/>
    <w:uiPriority w:val="99"/>
    <w:rPr>
      <w:rFonts w:ascii="Arial" w:hAnsi="Arial"/>
      <w:b/>
      <w:bCs/>
      <w:kern w:val="2"/>
      <w:sz w:val="28"/>
      <w:szCs w:val="28"/>
    </w:rPr>
  </w:style>
  <w:style w:type="character" w:customStyle="1" w:styleId="69">
    <w:name w:val="标题 5 字符"/>
    <w:link w:val="6"/>
    <w:autoRedefine/>
    <w:qFormat/>
    <w:uiPriority w:val="99"/>
    <w:rPr>
      <w:rFonts w:ascii="Times New Roman" w:hAnsi="Times New Roman"/>
      <w:b/>
      <w:bCs/>
      <w:kern w:val="2"/>
      <w:sz w:val="28"/>
      <w:szCs w:val="28"/>
    </w:rPr>
  </w:style>
  <w:style w:type="character" w:customStyle="1" w:styleId="70">
    <w:name w:val="正文缩进 字符"/>
    <w:link w:val="7"/>
    <w:autoRedefine/>
    <w:qFormat/>
    <w:uiPriority w:val="99"/>
    <w:rPr>
      <w:kern w:val="2"/>
      <w:sz w:val="21"/>
    </w:rPr>
  </w:style>
  <w:style w:type="character" w:customStyle="1" w:styleId="71">
    <w:name w:val="标题 6 字符"/>
    <w:link w:val="8"/>
    <w:autoRedefine/>
    <w:qFormat/>
    <w:uiPriority w:val="9"/>
    <w:rPr>
      <w:rFonts w:ascii="Cambria" w:hAnsi="Cambria"/>
      <w:b/>
      <w:bCs/>
      <w:sz w:val="24"/>
      <w:szCs w:val="24"/>
    </w:rPr>
  </w:style>
  <w:style w:type="character" w:customStyle="1" w:styleId="72">
    <w:name w:val="标题 7 字符"/>
    <w:link w:val="9"/>
    <w:autoRedefine/>
    <w:qFormat/>
    <w:uiPriority w:val="9"/>
    <w:rPr>
      <w:b/>
      <w:bCs/>
      <w:sz w:val="24"/>
      <w:szCs w:val="24"/>
    </w:rPr>
  </w:style>
  <w:style w:type="character" w:customStyle="1" w:styleId="73">
    <w:name w:val="标题 8 字符"/>
    <w:link w:val="10"/>
    <w:autoRedefine/>
    <w:semiHidden/>
    <w:qFormat/>
    <w:uiPriority w:val="9"/>
    <w:rPr>
      <w:rFonts w:ascii="等线 Light" w:hAnsi="等线 Light" w:eastAsia="等线 Light" w:cs="Times New Roman"/>
      <w:kern w:val="2"/>
      <w:sz w:val="24"/>
      <w:szCs w:val="24"/>
    </w:rPr>
  </w:style>
  <w:style w:type="character" w:customStyle="1" w:styleId="74">
    <w:name w:val="标题 9 字符"/>
    <w:link w:val="11"/>
    <w:autoRedefine/>
    <w:qFormat/>
    <w:uiPriority w:val="9"/>
    <w:rPr>
      <w:rFonts w:ascii="Cambria" w:hAnsi="Cambria"/>
      <w:szCs w:val="21"/>
    </w:rPr>
  </w:style>
  <w:style w:type="character" w:customStyle="1" w:styleId="75">
    <w:name w:val="文档结构图 字符"/>
    <w:link w:val="15"/>
    <w:autoRedefine/>
    <w:qFormat/>
    <w:uiPriority w:val="99"/>
    <w:rPr>
      <w:kern w:val="2"/>
      <w:sz w:val="24"/>
      <w:szCs w:val="24"/>
      <w:shd w:val="clear" w:color="auto" w:fill="000080"/>
    </w:rPr>
  </w:style>
  <w:style w:type="character" w:customStyle="1" w:styleId="76">
    <w:name w:val="批注文字 字符2"/>
    <w:link w:val="16"/>
    <w:autoRedefine/>
    <w:qFormat/>
    <w:uiPriority w:val="99"/>
    <w:rPr>
      <w:rFonts w:ascii="Times New Roman" w:hAnsi="Times New Roman"/>
      <w:kern w:val="2"/>
      <w:sz w:val="21"/>
      <w:szCs w:val="24"/>
    </w:rPr>
  </w:style>
  <w:style w:type="character" w:customStyle="1" w:styleId="77">
    <w:name w:val="正文文本 3 字符"/>
    <w:link w:val="17"/>
    <w:autoRedefine/>
    <w:semiHidden/>
    <w:qFormat/>
    <w:uiPriority w:val="99"/>
    <w:rPr>
      <w:kern w:val="2"/>
      <w:sz w:val="16"/>
      <w:szCs w:val="16"/>
    </w:rPr>
  </w:style>
  <w:style w:type="character" w:customStyle="1" w:styleId="78">
    <w:name w:val="正文文本 字符1"/>
    <w:link w:val="18"/>
    <w:autoRedefine/>
    <w:qFormat/>
    <w:uiPriority w:val="99"/>
    <w:rPr>
      <w:rFonts w:ascii="Times New Roman" w:hAnsi="Times New Roman"/>
      <w:kern w:val="2"/>
      <w:sz w:val="21"/>
      <w:szCs w:val="24"/>
    </w:rPr>
  </w:style>
  <w:style w:type="character" w:customStyle="1" w:styleId="79">
    <w:name w:val="正文文本缩进 字符"/>
    <w:link w:val="19"/>
    <w:autoRedefine/>
    <w:qFormat/>
    <w:uiPriority w:val="99"/>
    <w:rPr>
      <w:rFonts w:ascii="仿宋_GB2312" w:hAnsi="Times New Roman" w:eastAsia="仿宋_GB2312" w:cs="Times New Roman"/>
      <w:sz w:val="32"/>
      <w:szCs w:val="20"/>
    </w:rPr>
  </w:style>
  <w:style w:type="character" w:customStyle="1" w:styleId="80">
    <w:name w:val="纯文本 字符3"/>
    <w:link w:val="24"/>
    <w:autoRedefine/>
    <w:qFormat/>
    <w:uiPriority w:val="99"/>
    <w:rPr>
      <w:rFonts w:ascii="宋体" w:hAnsi="Courier New" w:eastAsia="宋体" w:cs="Courier New"/>
      <w:szCs w:val="21"/>
    </w:rPr>
  </w:style>
  <w:style w:type="character" w:customStyle="1" w:styleId="81">
    <w:name w:val="日期 字符"/>
    <w:link w:val="26"/>
    <w:autoRedefine/>
    <w:qFormat/>
    <w:uiPriority w:val="99"/>
    <w:rPr>
      <w:rFonts w:ascii="Times New Roman" w:hAnsi="Times New Roman"/>
      <w:kern w:val="2"/>
      <w:sz w:val="21"/>
      <w:szCs w:val="24"/>
    </w:rPr>
  </w:style>
  <w:style w:type="character" w:customStyle="1" w:styleId="82">
    <w:name w:val="正文文本缩进 2 字符"/>
    <w:link w:val="27"/>
    <w:autoRedefine/>
    <w:qFormat/>
    <w:uiPriority w:val="99"/>
    <w:rPr>
      <w:kern w:val="2"/>
      <w:sz w:val="24"/>
      <w:szCs w:val="24"/>
    </w:rPr>
  </w:style>
  <w:style w:type="character" w:customStyle="1" w:styleId="83">
    <w:name w:val="批注框文本 字符"/>
    <w:link w:val="28"/>
    <w:autoRedefine/>
    <w:qFormat/>
    <w:locked/>
    <w:uiPriority w:val="99"/>
    <w:rPr>
      <w:kern w:val="2"/>
      <w:sz w:val="18"/>
      <w:szCs w:val="18"/>
    </w:rPr>
  </w:style>
  <w:style w:type="character" w:customStyle="1" w:styleId="84">
    <w:name w:val="页脚 字符"/>
    <w:link w:val="29"/>
    <w:autoRedefine/>
    <w:qFormat/>
    <w:uiPriority w:val="99"/>
    <w:rPr>
      <w:sz w:val="18"/>
      <w:szCs w:val="18"/>
    </w:rPr>
  </w:style>
  <w:style w:type="character" w:customStyle="1" w:styleId="85">
    <w:name w:val="页眉 字符"/>
    <w:link w:val="30"/>
    <w:autoRedefine/>
    <w:qFormat/>
    <w:uiPriority w:val="99"/>
    <w:rPr>
      <w:sz w:val="18"/>
      <w:szCs w:val="18"/>
    </w:rPr>
  </w:style>
  <w:style w:type="character" w:customStyle="1" w:styleId="86">
    <w:name w:val="副标题 字符"/>
    <w:link w:val="33"/>
    <w:autoRedefine/>
    <w:qFormat/>
    <w:uiPriority w:val="11"/>
    <w:rPr>
      <w:rFonts w:ascii="Cambria" w:hAnsi="Cambria"/>
      <w:b/>
      <w:bCs/>
      <w:kern w:val="28"/>
      <w:sz w:val="32"/>
      <w:szCs w:val="32"/>
    </w:rPr>
  </w:style>
  <w:style w:type="character" w:customStyle="1" w:styleId="87">
    <w:name w:val="脚注文本 字符"/>
    <w:link w:val="34"/>
    <w:autoRedefine/>
    <w:qFormat/>
    <w:uiPriority w:val="99"/>
    <w:rPr>
      <w:sz w:val="18"/>
      <w:szCs w:val="18"/>
    </w:rPr>
  </w:style>
  <w:style w:type="character" w:customStyle="1" w:styleId="88">
    <w:name w:val="HTML 预设格式 字符"/>
    <w:link w:val="38"/>
    <w:autoRedefine/>
    <w:qFormat/>
    <w:uiPriority w:val="99"/>
    <w:rPr>
      <w:rFonts w:ascii="宋体" w:hAnsi="宋体"/>
      <w:sz w:val="24"/>
      <w:szCs w:val="24"/>
    </w:rPr>
  </w:style>
  <w:style w:type="character" w:customStyle="1" w:styleId="89">
    <w:name w:val="标题 字符"/>
    <w:link w:val="40"/>
    <w:autoRedefine/>
    <w:qFormat/>
    <w:uiPriority w:val="99"/>
    <w:rPr>
      <w:rFonts w:ascii="Cambria" w:hAnsi="Cambria"/>
      <w:b/>
      <w:bCs/>
      <w:kern w:val="2"/>
      <w:sz w:val="32"/>
      <w:szCs w:val="32"/>
    </w:rPr>
  </w:style>
  <w:style w:type="character" w:customStyle="1" w:styleId="90">
    <w:name w:val="批注主题 字符"/>
    <w:link w:val="41"/>
    <w:autoRedefine/>
    <w:qFormat/>
    <w:uiPriority w:val="99"/>
    <w:rPr>
      <w:rFonts w:ascii="Times New Roman" w:hAnsi="Times New Roman"/>
      <w:b/>
      <w:bCs/>
      <w:kern w:val="2"/>
      <w:sz w:val="21"/>
      <w:szCs w:val="24"/>
    </w:rPr>
  </w:style>
  <w:style w:type="character" w:customStyle="1" w:styleId="91">
    <w:name w:val="访问过的超链接1"/>
    <w:autoRedefine/>
    <w:qFormat/>
    <w:uiPriority w:val="99"/>
    <w:rPr>
      <w:color w:val="800080"/>
      <w:u w:val="single"/>
    </w:rPr>
  </w:style>
  <w:style w:type="character" w:customStyle="1" w:styleId="92">
    <w:name w:val="书籍标题1"/>
    <w:autoRedefine/>
    <w:qFormat/>
    <w:uiPriority w:val="99"/>
    <w:rPr>
      <w:b/>
      <w:bCs/>
      <w:smallCaps/>
      <w:spacing w:val="5"/>
    </w:rPr>
  </w:style>
  <w:style w:type="character" w:customStyle="1" w:styleId="93">
    <w:name w:val="Body text|5_"/>
    <w:link w:val="94"/>
    <w:autoRedefine/>
    <w:qFormat/>
    <w:uiPriority w:val="0"/>
    <w:rPr>
      <w:rFonts w:ascii="宋体" w:hAnsi="宋体" w:cs="宋体"/>
      <w:sz w:val="52"/>
      <w:szCs w:val="52"/>
      <w:lang w:val="zh-CN" w:bidi="zh-CN"/>
    </w:rPr>
  </w:style>
  <w:style w:type="paragraph" w:customStyle="1" w:styleId="94">
    <w:name w:val="Body text|5"/>
    <w:basedOn w:val="1"/>
    <w:link w:val="93"/>
    <w:autoRedefine/>
    <w:qFormat/>
    <w:uiPriority w:val="0"/>
    <w:pPr>
      <w:jc w:val="center"/>
    </w:pPr>
    <w:rPr>
      <w:rFonts w:ascii="宋体" w:hAnsi="宋体" w:cs="宋体"/>
      <w:kern w:val="0"/>
      <w:sz w:val="52"/>
      <w:szCs w:val="52"/>
      <w:lang w:val="zh-CN" w:bidi="zh-CN"/>
    </w:rPr>
  </w:style>
  <w:style w:type="character" w:customStyle="1" w:styleId="95">
    <w:name w:val="Body text|1_"/>
    <w:link w:val="96"/>
    <w:autoRedefine/>
    <w:qFormat/>
    <w:uiPriority w:val="0"/>
    <w:rPr>
      <w:rFonts w:ascii="宋体" w:hAnsi="宋体" w:cs="宋体"/>
      <w:kern w:val="2"/>
      <w:sz w:val="21"/>
      <w:lang w:val="zh-CN" w:bidi="zh-CN"/>
    </w:rPr>
  </w:style>
  <w:style w:type="paragraph" w:customStyle="1" w:styleId="96">
    <w:name w:val="Body text|1"/>
    <w:basedOn w:val="1"/>
    <w:link w:val="95"/>
    <w:autoRedefine/>
    <w:qFormat/>
    <w:uiPriority w:val="0"/>
    <w:pPr>
      <w:spacing w:line="360" w:lineRule="auto"/>
      <w:ind w:firstLine="400"/>
    </w:pPr>
    <w:rPr>
      <w:rFonts w:ascii="宋体" w:hAnsi="宋体" w:cs="宋体"/>
      <w:szCs w:val="20"/>
      <w:lang w:val="zh-CN" w:bidi="zh-CN"/>
    </w:rPr>
  </w:style>
  <w:style w:type="character" w:customStyle="1" w:styleId="97">
    <w:name w:val="Table caption|1_"/>
    <w:link w:val="98"/>
    <w:autoRedefine/>
    <w:qFormat/>
    <w:uiPriority w:val="0"/>
    <w:rPr>
      <w:rFonts w:ascii="宋体" w:hAnsi="宋体" w:cs="宋体"/>
      <w:lang w:val="zh-CN" w:bidi="zh-CN"/>
    </w:rPr>
  </w:style>
  <w:style w:type="paragraph" w:customStyle="1" w:styleId="98">
    <w:name w:val="Table caption|1"/>
    <w:basedOn w:val="1"/>
    <w:link w:val="97"/>
    <w:autoRedefine/>
    <w:qFormat/>
    <w:uiPriority w:val="0"/>
    <w:pPr>
      <w:jc w:val="left"/>
    </w:pPr>
    <w:rPr>
      <w:rFonts w:ascii="宋体" w:hAnsi="宋体" w:cs="宋体"/>
      <w:kern w:val="0"/>
      <w:sz w:val="20"/>
      <w:szCs w:val="20"/>
      <w:lang w:val="zh-CN" w:bidi="zh-CN"/>
    </w:rPr>
  </w:style>
  <w:style w:type="character" w:customStyle="1" w:styleId="99">
    <w:name w:val="Heading #4|1_"/>
    <w:link w:val="100"/>
    <w:autoRedefine/>
    <w:qFormat/>
    <w:uiPriority w:val="0"/>
    <w:rPr>
      <w:rFonts w:ascii="宋体" w:hAnsi="宋体" w:cs="宋体"/>
      <w:lang w:val="zh-CN" w:bidi="zh-CN"/>
    </w:rPr>
  </w:style>
  <w:style w:type="paragraph" w:customStyle="1" w:styleId="100">
    <w:name w:val="Heading #4|1"/>
    <w:basedOn w:val="1"/>
    <w:link w:val="99"/>
    <w:autoRedefine/>
    <w:qFormat/>
    <w:uiPriority w:val="0"/>
    <w:pPr>
      <w:spacing w:after="120"/>
      <w:jc w:val="left"/>
      <w:outlineLvl w:val="3"/>
    </w:pPr>
    <w:rPr>
      <w:rFonts w:ascii="宋体" w:hAnsi="宋体" w:cs="宋体"/>
      <w:kern w:val="0"/>
      <w:sz w:val="20"/>
      <w:szCs w:val="20"/>
      <w:lang w:val="zh-CN" w:bidi="zh-CN"/>
    </w:rPr>
  </w:style>
  <w:style w:type="character" w:customStyle="1" w:styleId="101">
    <w:name w:val="Body text|2_"/>
    <w:link w:val="102"/>
    <w:autoRedefine/>
    <w:qFormat/>
    <w:uiPriority w:val="0"/>
    <w:rPr>
      <w:sz w:val="21"/>
    </w:rPr>
  </w:style>
  <w:style w:type="paragraph" w:customStyle="1" w:styleId="102">
    <w:name w:val="Body text|2"/>
    <w:basedOn w:val="1"/>
    <w:link w:val="101"/>
    <w:autoRedefine/>
    <w:qFormat/>
    <w:uiPriority w:val="0"/>
    <w:pPr>
      <w:spacing w:after="30"/>
      <w:ind w:firstLine="420"/>
      <w:jc w:val="left"/>
    </w:pPr>
    <w:rPr>
      <w:kern w:val="0"/>
      <w:szCs w:val="20"/>
    </w:rPr>
  </w:style>
  <w:style w:type="character" w:customStyle="1" w:styleId="103">
    <w:name w:val="Heading #1|1_"/>
    <w:link w:val="104"/>
    <w:autoRedefine/>
    <w:qFormat/>
    <w:uiPriority w:val="0"/>
    <w:rPr>
      <w:rFonts w:ascii="宋体" w:hAnsi="宋体" w:cs="宋体"/>
      <w:sz w:val="38"/>
      <w:szCs w:val="38"/>
      <w:lang w:val="zh-CN" w:bidi="zh-CN"/>
    </w:rPr>
  </w:style>
  <w:style w:type="paragraph" w:customStyle="1" w:styleId="104">
    <w:name w:val="Heading #1|1"/>
    <w:basedOn w:val="1"/>
    <w:link w:val="103"/>
    <w:autoRedefine/>
    <w:qFormat/>
    <w:uiPriority w:val="0"/>
    <w:pPr>
      <w:spacing w:after="440" w:line="564" w:lineRule="exact"/>
      <w:jc w:val="center"/>
      <w:outlineLvl w:val="0"/>
    </w:pPr>
    <w:rPr>
      <w:rFonts w:ascii="宋体" w:hAnsi="宋体" w:cs="宋体"/>
      <w:kern w:val="0"/>
      <w:sz w:val="38"/>
      <w:szCs w:val="38"/>
      <w:lang w:val="zh-CN" w:bidi="zh-CN"/>
    </w:rPr>
  </w:style>
  <w:style w:type="character" w:customStyle="1" w:styleId="105">
    <w:name w:val="Header or footer|2_"/>
    <w:link w:val="106"/>
    <w:autoRedefine/>
    <w:qFormat/>
    <w:uiPriority w:val="0"/>
    <w:rPr>
      <w:lang w:val="zh-CN" w:bidi="zh-CN"/>
    </w:rPr>
  </w:style>
  <w:style w:type="paragraph" w:customStyle="1" w:styleId="106">
    <w:name w:val="Header or footer|2"/>
    <w:basedOn w:val="1"/>
    <w:link w:val="105"/>
    <w:autoRedefine/>
    <w:qFormat/>
    <w:uiPriority w:val="0"/>
    <w:pPr>
      <w:jc w:val="left"/>
    </w:pPr>
    <w:rPr>
      <w:kern w:val="0"/>
      <w:sz w:val="20"/>
      <w:szCs w:val="20"/>
      <w:lang w:val="zh-CN" w:bidi="zh-CN"/>
    </w:rPr>
  </w:style>
  <w:style w:type="character" w:customStyle="1" w:styleId="107">
    <w:name w:val="Title Char"/>
    <w:autoRedefine/>
    <w:qFormat/>
    <w:uiPriority w:val="99"/>
    <w:rPr>
      <w:rFonts w:ascii="Cambria" w:hAnsi="Cambria" w:cs="Cambria"/>
      <w:b/>
      <w:bCs/>
      <w:sz w:val="32"/>
      <w:szCs w:val="32"/>
    </w:rPr>
  </w:style>
  <w:style w:type="character" w:customStyle="1" w:styleId="108">
    <w:name w:val="Body text|3_"/>
    <w:link w:val="109"/>
    <w:autoRedefine/>
    <w:qFormat/>
    <w:uiPriority w:val="0"/>
    <w:rPr>
      <w:rFonts w:ascii="宋体" w:hAnsi="宋体" w:cs="宋体"/>
      <w:lang w:val="zh-CN" w:bidi="zh-CN"/>
    </w:rPr>
  </w:style>
  <w:style w:type="paragraph" w:customStyle="1" w:styleId="109">
    <w:name w:val="Body text|3"/>
    <w:basedOn w:val="1"/>
    <w:link w:val="108"/>
    <w:autoRedefine/>
    <w:qFormat/>
    <w:uiPriority w:val="0"/>
    <w:pPr>
      <w:spacing w:after="340"/>
      <w:jc w:val="left"/>
    </w:pPr>
    <w:rPr>
      <w:rFonts w:ascii="宋体" w:hAnsi="宋体" w:cs="宋体"/>
      <w:kern w:val="0"/>
      <w:sz w:val="20"/>
      <w:szCs w:val="20"/>
      <w:lang w:val="zh-CN" w:bidi="zh-CN"/>
    </w:rPr>
  </w:style>
  <w:style w:type="character" w:customStyle="1" w:styleId="110">
    <w:name w:val="Table of contents|1_"/>
    <w:link w:val="111"/>
    <w:autoRedefine/>
    <w:qFormat/>
    <w:uiPriority w:val="0"/>
    <w:rPr>
      <w:rFonts w:ascii="宋体" w:hAnsi="宋体" w:cs="宋体"/>
      <w:lang w:val="zh-CN" w:bidi="zh-CN"/>
    </w:rPr>
  </w:style>
  <w:style w:type="paragraph" w:customStyle="1" w:styleId="111">
    <w:name w:val="Table of contents|1"/>
    <w:basedOn w:val="1"/>
    <w:link w:val="110"/>
    <w:autoRedefine/>
    <w:qFormat/>
    <w:uiPriority w:val="0"/>
    <w:pPr>
      <w:spacing w:after="100"/>
      <w:ind w:firstLine="600"/>
      <w:jc w:val="left"/>
    </w:pPr>
    <w:rPr>
      <w:rFonts w:ascii="宋体" w:hAnsi="宋体" w:cs="宋体"/>
      <w:kern w:val="0"/>
      <w:sz w:val="20"/>
      <w:szCs w:val="20"/>
      <w:lang w:val="zh-CN" w:bidi="zh-CN"/>
    </w:rPr>
  </w:style>
  <w:style w:type="character" w:customStyle="1" w:styleId="112">
    <w:name w:val="Date Char"/>
    <w:autoRedefine/>
    <w:qFormat/>
    <w:uiPriority w:val="99"/>
    <w:rPr>
      <w:rFonts w:eastAsia="宋体"/>
      <w:kern w:val="2"/>
      <w:sz w:val="24"/>
      <w:szCs w:val="24"/>
      <w:lang w:val="en-US" w:eastAsia="zh-CN"/>
    </w:rPr>
  </w:style>
  <w:style w:type="character" w:customStyle="1" w:styleId="113">
    <w:name w:val="Char Char9"/>
    <w:autoRedefine/>
    <w:qFormat/>
    <w:uiPriority w:val="99"/>
    <w:rPr>
      <w:rFonts w:eastAsia="宋体"/>
      <w:b/>
      <w:bCs/>
      <w:kern w:val="44"/>
      <w:sz w:val="44"/>
      <w:szCs w:val="44"/>
      <w:lang w:val="en-US" w:eastAsia="zh-CN"/>
    </w:rPr>
  </w:style>
  <w:style w:type="character" w:customStyle="1" w:styleId="114">
    <w:name w:val="Document Map Char"/>
    <w:autoRedefine/>
    <w:qFormat/>
    <w:uiPriority w:val="99"/>
    <w:rPr>
      <w:rFonts w:eastAsia="宋体"/>
      <w:kern w:val="2"/>
      <w:sz w:val="24"/>
      <w:szCs w:val="24"/>
      <w:lang w:val="en-US" w:eastAsia="zh-CN"/>
    </w:rPr>
  </w:style>
  <w:style w:type="character" w:customStyle="1" w:styleId="115">
    <w:name w:val="Header Char"/>
    <w:autoRedefine/>
    <w:qFormat/>
    <w:uiPriority w:val="99"/>
    <w:rPr>
      <w:rFonts w:eastAsia="宋体"/>
      <w:kern w:val="2"/>
      <w:sz w:val="18"/>
      <w:szCs w:val="18"/>
      <w:lang w:val="en-US" w:eastAsia="zh-CN"/>
    </w:rPr>
  </w:style>
  <w:style w:type="character" w:customStyle="1" w:styleId="116">
    <w:name w:val="明显参考1"/>
    <w:autoRedefine/>
    <w:qFormat/>
    <w:uiPriority w:val="99"/>
    <w:rPr>
      <w:b/>
      <w:bCs/>
      <w:smallCaps/>
      <w:color w:val="auto"/>
      <w:spacing w:val="5"/>
      <w:u w:val="single"/>
    </w:rPr>
  </w:style>
  <w:style w:type="character" w:customStyle="1" w:styleId="117">
    <w:name w:val="Heading 1 Char"/>
    <w:autoRedefine/>
    <w:qFormat/>
    <w:uiPriority w:val="99"/>
    <w:rPr>
      <w:rFonts w:eastAsia="宋体"/>
      <w:b/>
      <w:bCs/>
      <w:kern w:val="44"/>
      <w:sz w:val="44"/>
      <w:szCs w:val="44"/>
      <w:lang w:val="en-US" w:eastAsia="zh-CN"/>
    </w:rPr>
  </w:style>
  <w:style w:type="character" w:customStyle="1" w:styleId="118">
    <w:name w:val="Comment Text Char"/>
    <w:autoRedefine/>
    <w:qFormat/>
    <w:uiPriority w:val="99"/>
    <w:rPr>
      <w:sz w:val="24"/>
      <w:szCs w:val="24"/>
    </w:rPr>
  </w:style>
  <w:style w:type="character" w:customStyle="1" w:styleId="119">
    <w:name w:val="Char Char23"/>
    <w:autoRedefine/>
    <w:qFormat/>
    <w:uiPriority w:val="99"/>
    <w:rPr>
      <w:rFonts w:eastAsia="宋体"/>
      <w:b/>
      <w:bCs/>
      <w:kern w:val="44"/>
      <w:sz w:val="44"/>
      <w:szCs w:val="44"/>
      <w:lang w:val="en-US" w:eastAsia="zh-CN"/>
    </w:rPr>
  </w:style>
  <w:style w:type="character" w:customStyle="1" w:styleId="120">
    <w:name w:val="Char Char181"/>
    <w:autoRedefine/>
    <w:qFormat/>
    <w:uiPriority w:val="99"/>
    <w:rPr>
      <w:b/>
      <w:bCs/>
      <w:kern w:val="44"/>
      <w:sz w:val="44"/>
      <w:szCs w:val="44"/>
    </w:rPr>
  </w:style>
  <w:style w:type="character" w:customStyle="1" w:styleId="121">
    <w:name w:val="Char Char22"/>
    <w:autoRedefine/>
    <w:qFormat/>
    <w:uiPriority w:val="99"/>
    <w:rPr>
      <w:rFonts w:ascii="Times New Roman" w:hAnsi="Times New Roman" w:eastAsia="宋体" w:cs="Times New Roman"/>
      <w:b/>
      <w:bCs/>
      <w:kern w:val="44"/>
      <w:sz w:val="44"/>
      <w:szCs w:val="44"/>
    </w:rPr>
  </w:style>
  <w:style w:type="character" w:customStyle="1" w:styleId="122">
    <w:name w:val="引用 Char1"/>
    <w:autoRedefine/>
    <w:qFormat/>
    <w:uiPriority w:val="99"/>
    <w:rPr>
      <w:rFonts w:ascii="Times New Roman" w:hAnsi="Times New Roman" w:eastAsia="宋体" w:cs="Times New Roman"/>
      <w:i/>
      <w:iCs/>
      <w:color w:val="000000"/>
      <w:sz w:val="24"/>
      <w:szCs w:val="24"/>
    </w:rPr>
  </w:style>
  <w:style w:type="character" w:customStyle="1" w:styleId="123">
    <w:name w:val="Heading 3 Char1"/>
    <w:autoRedefine/>
    <w:qFormat/>
    <w:uiPriority w:val="99"/>
    <w:rPr>
      <w:rFonts w:eastAsia="宋体"/>
      <w:b/>
      <w:bCs/>
      <w:kern w:val="2"/>
      <w:sz w:val="32"/>
      <w:szCs w:val="32"/>
      <w:lang w:val="en-US" w:eastAsia="zh-CN"/>
    </w:rPr>
  </w:style>
  <w:style w:type="character" w:customStyle="1" w:styleId="124">
    <w:name w:val="明显强调1"/>
    <w:autoRedefine/>
    <w:qFormat/>
    <w:uiPriority w:val="99"/>
    <w:rPr>
      <w:b/>
      <w:bCs/>
      <w:i/>
      <w:iCs/>
      <w:color w:val="4F81BD"/>
    </w:rPr>
  </w:style>
  <w:style w:type="character" w:customStyle="1" w:styleId="125">
    <w:name w:val="明显引用 Char1"/>
    <w:autoRedefine/>
    <w:qFormat/>
    <w:uiPriority w:val="99"/>
    <w:rPr>
      <w:rFonts w:ascii="Times New Roman" w:hAnsi="Times New Roman" w:eastAsia="宋体" w:cs="Times New Roman"/>
      <w:b/>
      <w:bCs/>
      <w:i/>
      <w:iCs/>
      <w:color w:val="4F81BD"/>
      <w:sz w:val="24"/>
      <w:szCs w:val="24"/>
    </w:rPr>
  </w:style>
  <w:style w:type="character" w:customStyle="1" w:styleId="126">
    <w:name w:val="标题 Char2"/>
    <w:autoRedefine/>
    <w:qFormat/>
    <w:uiPriority w:val="99"/>
    <w:rPr>
      <w:rFonts w:ascii="Cambria" w:hAnsi="Cambria" w:eastAsia="宋体" w:cs="Cambria"/>
      <w:b/>
      <w:bCs/>
      <w:sz w:val="32"/>
      <w:szCs w:val="32"/>
    </w:rPr>
  </w:style>
  <w:style w:type="character" w:customStyle="1" w:styleId="127">
    <w:name w:val="标题 Char1"/>
    <w:autoRedefine/>
    <w:qFormat/>
    <w:uiPriority w:val="99"/>
    <w:rPr>
      <w:rFonts w:ascii="Cambria" w:hAnsi="Cambria" w:eastAsia="宋体" w:cs="Cambria"/>
      <w:b/>
      <w:bCs/>
      <w:sz w:val="32"/>
      <w:szCs w:val="32"/>
    </w:rPr>
  </w:style>
  <w:style w:type="character" w:customStyle="1" w:styleId="128">
    <w:name w:val="Heading 5 Char"/>
    <w:autoRedefine/>
    <w:qFormat/>
    <w:uiPriority w:val="99"/>
    <w:rPr>
      <w:rFonts w:eastAsia="宋体"/>
      <w:b/>
      <w:bCs/>
      <w:kern w:val="2"/>
      <w:sz w:val="28"/>
      <w:szCs w:val="28"/>
      <w:lang w:val="en-US" w:eastAsia="zh-CN"/>
    </w:rPr>
  </w:style>
  <w:style w:type="character" w:customStyle="1" w:styleId="129">
    <w:name w:val="标题 1 字符1"/>
    <w:autoRedefine/>
    <w:qFormat/>
    <w:uiPriority w:val="0"/>
    <w:rPr>
      <w:b/>
      <w:bCs/>
      <w:kern w:val="44"/>
      <w:sz w:val="44"/>
      <w:szCs w:val="44"/>
    </w:rPr>
  </w:style>
  <w:style w:type="character" w:customStyle="1" w:styleId="130">
    <w:name w:val="明显引用 Char"/>
    <w:link w:val="131"/>
    <w:autoRedefine/>
    <w:qFormat/>
    <w:locked/>
    <w:uiPriority w:val="99"/>
    <w:rPr>
      <w:b/>
      <w:bCs/>
      <w:i/>
      <w:iCs/>
      <w:color w:val="4F81BD"/>
    </w:rPr>
  </w:style>
  <w:style w:type="paragraph" w:customStyle="1" w:styleId="131">
    <w:name w:val="明显引用1"/>
    <w:basedOn w:val="1"/>
    <w:next w:val="1"/>
    <w:link w:val="130"/>
    <w:autoRedefine/>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132">
    <w:name w:val="textcontents"/>
    <w:autoRedefine/>
    <w:qFormat/>
    <w:uiPriority w:val="99"/>
  </w:style>
  <w:style w:type="character" w:customStyle="1" w:styleId="133">
    <w:name w:val="Char Char19"/>
    <w:autoRedefine/>
    <w:qFormat/>
    <w:uiPriority w:val="99"/>
    <w:rPr>
      <w:rFonts w:ascii="Arial" w:hAnsi="Arial" w:eastAsia="宋体" w:cs="Arial"/>
      <w:b/>
      <w:bCs/>
      <w:sz w:val="28"/>
      <w:szCs w:val="28"/>
    </w:rPr>
  </w:style>
  <w:style w:type="character" w:customStyle="1" w:styleId="134">
    <w:name w:val="批注文字 Char"/>
    <w:autoRedefine/>
    <w:qFormat/>
    <w:uiPriority w:val="99"/>
    <w:rPr>
      <w:rFonts w:ascii="Times New Roman" w:hAnsi="Times New Roman"/>
      <w:kern w:val="2"/>
      <w:sz w:val="21"/>
      <w:szCs w:val="24"/>
    </w:rPr>
  </w:style>
  <w:style w:type="character" w:customStyle="1" w:styleId="135">
    <w:name w:val="标题5 Char Char"/>
    <w:link w:val="136"/>
    <w:autoRedefine/>
    <w:qFormat/>
    <w:locked/>
    <w:uiPriority w:val="99"/>
    <w:rPr>
      <w:rFonts w:ascii="Arial" w:hAnsi="Arial" w:cs="Arial"/>
      <w:b/>
      <w:bCs/>
      <w:sz w:val="32"/>
      <w:szCs w:val="32"/>
    </w:rPr>
  </w:style>
  <w:style w:type="paragraph" w:customStyle="1" w:styleId="136">
    <w:name w:val="标题5"/>
    <w:basedOn w:val="4"/>
    <w:link w:val="135"/>
    <w:autoRedefine/>
    <w:qFormat/>
    <w:uiPriority w:val="99"/>
    <w:pPr>
      <w:spacing w:line="413" w:lineRule="auto"/>
    </w:pPr>
    <w:rPr>
      <w:rFonts w:ascii="Arial" w:hAnsi="Arial"/>
      <w:kern w:val="0"/>
    </w:rPr>
  </w:style>
  <w:style w:type="character" w:customStyle="1" w:styleId="137">
    <w:name w:val="纯文本 字符"/>
    <w:autoRedefine/>
    <w:qFormat/>
    <w:uiPriority w:val="0"/>
    <w:rPr>
      <w:rFonts w:ascii="宋体" w:hAnsi="Courier New" w:eastAsia="宋体" w:cs="Courier New"/>
      <w:szCs w:val="21"/>
    </w:rPr>
  </w:style>
  <w:style w:type="character" w:customStyle="1" w:styleId="138">
    <w:name w:val="引用 Char"/>
    <w:link w:val="139"/>
    <w:autoRedefine/>
    <w:qFormat/>
    <w:locked/>
    <w:uiPriority w:val="99"/>
    <w:rPr>
      <w:i/>
      <w:iCs/>
      <w:color w:val="000000"/>
    </w:rPr>
  </w:style>
  <w:style w:type="paragraph" w:customStyle="1" w:styleId="139">
    <w:name w:val="引用1"/>
    <w:basedOn w:val="1"/>
    <w:next w:val="1"/>
    <w:link w:val="138"/>
    <w:autoRedefine/>
    <w:qFormat/>
    <w:uiPriority w:val="99"/>
    <w:rPr>
      <w:i/>
      <w:iCs/>
      <w:color w:val="000000"/>
      <w:kern w:val="0"/>
      <w:sz w:val="20"/>
      <w:szCs w:val="20"/>
    </w:rPr>
  </w:style>
  <w:style w:type="character" w:customStyle="1" w:styleId="140">
    <w:name w:val="纯文本 Char"/>
    <w:autoRedefine/>
    <w:qFormat/>
    <w:uiPriority w:val="0"/>
    <w:rPr>
      <w:rFonts w:ascii="宋体" w:hAnsi="Courier New" w:eastAsia="宋体" w:cs="Courier New"/>
      <w:szCs w:val="21"/>
    </w:rPr>
  </w:style>
  <w:style w:type="character" w:customStyle="1" w:styleId="141">
    <w:name w:val="日期 Char1"/>
    <w:autoRedefine/>
    <w:qFormat/>
    <w:uiPriority w:val="99"/>
    <w:rPr>
      <w:rFonts w:ascii="Times New Roman" w:hAnsi="Times New Roman" w:eastAsia="宋体" w:cs="Times New Roman"/>
      <w:sz w:val="24"/>
      <w:szCs w:val="24"/>
    </w:rPr>
  </w:style>
  <w:style w:type="character" w:customStyle="1" w:styleId="142">
    <w:name w:val="纯文本 字符2"/>
    <w:autoRedefine/>
    <w:qFormat/>
    <w:uiPriority w:val="0"/>
    <w:rPr>
      <w:rFonts w:ascii="宋体" w:hAnsi="Courier New" w:eastAsia="宋体" w:cs="Courier New"/>
      <w:szCs w:val="21"/>
    </w:rPr>
  </w:style>
  <w:style w:type="character" w:customStyle="1" w:styleId="143">
    <w:name w:val="Char Char91"/>
    <w:autoRedefine/>
    <w:qFormat/>
    <w:uiPriority w:val="99"/>
    <w:rPr>
      <w:rFonts w:eastAsia="宋体"/>
      <w:b/>
      <w:bCs/>
      <w:kern w:val="44"/>
      <w:sz w:val="44"/>
      <w:szCs w:val="44"/>
      <w:lang w:val="en-US" w:eastAsia="zh-CN"/>
    </w:rPr>
  </w:style>
  <w:style w:type="character" w:customStyle="1" w:styleId="144">
    <w:name w:val="批注文字 字符1"/>
    <w:autoRedefine/>
    <w:qFormat/>
    <w:uiPriority w:val="0"/>
    <w:rPr>
      <w:rFonts w:ascii="Times New Roman" w:hAnsi="Times New Roman"/>
      <w:kern w:val="2"/>
      <w:sz w:val="21"/>
      <w:szCs w:val="24"/>
    </w:rPr>
  </w:style>
  <w:style w:type="character" w:customStyle="1" w:styleId="145">
    <w:name w:val="Char Char6"/>
    <w:autoRedefine/>
    <w:qFormat/>
    <w:uiPriority w:val="99"/>
    <w:rPr>
      <w:rFonts w:eastAsia="宋体"/>
      <w:b/>
      <w:bCs/>
      <w:kern w:val="44"/>
      <w:sz w:val="44"/>
      <w:szCs w:val="44"/>
      <w:lang w:val="en-US" w:eastAsia="zh-CN"/>
    </w:rPr>
  </w:style>
  <w:style w:type="character" w:customStyle="1" w:styleId="146">
    <w:name w:val="正文文本 (26) + 间距 0 pt"/>
    <w:autoRedefine/>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147">
    <w:name w:val="Comment Text Char1"/>
    <w:autoRedefine/>
    <w:qFormat/>
    <w:uiPriority w:val="99"/>
    <w:rPr>
      <w:sz w:val="24"/>
      <w:szCs w:val="24"/>
    </w:rPr>
  </w:style>
  <w:style w:type="character" w:customStyle="1" w:styleId="148">
    <w:name w:val="纯文本 字符1"/>
    <w:autoRedefine/>
    <w:qFormat/>
    <w:uiPriority w:val="0"/>
    <w:rPr>
      <w:rFonts w:ascii="宋体" w:hAnsi="Courier New"/>
    </w:rPr>
  </w:style>
  <w:style w:type="character" w:customStyle="1" w:styleId="149">
    <w:name w:val="Footer Char"/>
    <w:autoRedefine/>
    <w:qFormat/>
    <w:uiPriority w:val="99"/>
    <w:rPr>
      <w:rFonts w:eastAsia="宋体"/>
      <w:kern w:val="2"/>
      <w:sz w:val="18"/>
      <w:szCs w:val="18"/>
      <w:lang w:val="en-US" w:eastAsia="zh-CN"/>
    </w:rPr>
  </w:style>
  <w:style w:type="character" w:customStyle="1" w:styleId="150">
    <w:name w:val="正文文本 Char"/>
    <w:autoRedefine/>
    <w:qFormat/>
    <w:uiPriority w:val="99"/>
    <w:rPr>
      <w:rFonts w:ascii="Times New Roman" w:hAnsi="Times New Roman"/>
      <w:kern w:val="2"/>
      <w:sz w:val="21"/>
      <w:szCs w:val="24"/>
    </w:rPr>
  </w:style>
  <w:style w:type="character" w:customStyle="1" w:styleId="151">
    <w:name w:val="Body Text Indent 2 Char"/>
    <w:autoRedefine/>
    <w:qFormat/>
    <w:uiPriority w:val="99"/>
    <w:rPr>
      <w:rFonts w:eastAsia="宋体"/>
      <w:kern w:val="2"/>
      <w:sz w:val="24"/>
      <w:szCs w:val="24"/>
      <w:lang w:val="en-US" w:eastAsia="zh-CN"/>
    </w:rPr>
  </w:style>
  <w:style w:type="character" w:customStyle="1" w:styleId="152">
    <w:name w:val="批注文字 字符"/>
    <w:autoRedefine/>
    <w:qFormat/>
    <w:uiPriority w:val="0"/>
    <w:rPr>
      <w:rFonts w:ascii="Times New Roman" w:hAnsi="Times New Roman"/>
      <w:kern w:val="2"/>
      <w:sz w:val="21"/>
      <w:szCs w:val="24"/>
    </w:rPr>
  </w:style>
  <w:style w:type="character" w:customStyle="1" w:styleId="153">
    <w:name w:val="标题 2 Char"/>
    <w:autoRedefine/>
    <w:qFormat/>
    <w:uiPriority w:val="99"/>
    <w:rPr>
      <w:rFonts w:ascii="Cambria" w:hAnsi="Cambria" w:eastAsia="宋体" w:cs="Times New Roman"/>
      <w:b/>
      <w:bCs/>
      <w:kern w:val="2"/>
      <w:sz w:val="32"/>
      <w:szCs w:val="32"/>
    </w:rPr>
  </w:style>
  <w:style w:type="character" w:customStyle="1" w:styleId="154">
    <w:name w:val="标题 8 Char"/>
    <w:autoRedefine/>
    <w:qFormat/>
    <w:uiPriority w:val="9"/>
    <w:rPr>
      <w:rFonts w:ascii="Arial" w:hAnsi="Arial" w:eastAsia="黑体"/>
      <w:kern w:val="2"/>
      <w:sz w:val="24"/>
      <w:szCs w:val="24"/>
    </w:rPr>
  </w:style>
  <w:style w:type="character" w:customStyle="1" w:styleId="155">
    <w:name w:val="apple-style-span"/>
    <w:autoRedefine/>
    <w:qFormat/>
    <w:uiPriority w:val="0"/>
  </w:style>
  <w:style w:type="character" w:customStyle="1" w:styleId="156">
    <w:name w:val="正文文本 字符"/>
    <w:autoRedefine/>
    <w:qFormat/>
    <w:uiPriority w:val="0"/>
    <w:rPr>
      <w:rFonts w:ascii="Times New Roman" w:hAnsi="Times New Roman"/>
      <w:kern w:val="2"/>
      <w:sz w:val="21"/>
      <w:szCs w:val="24"/>
    </w:rPr>
  </w:style>
  <w:style w:type="character" w:customStyle="1" w:styleId="157">
    <w:name w:val="批注文字 Char2"/>
    <w:autoRedefine/>
    <w:qFormat/>
    <w:uiPriority w:val="0"/>
    <w:rPr>
      <w:rFonts w:ascii="Times New Roman" w:hAnsi="Times New Roman"/>
      <w:kern w:val="2"/>
      <w:sz w:val="21"/>
      <w:szCs w:val="24"/>
    </w:rPr>
  </w:style>
  <w:style w:type="character" w:customStyle="1" w:styleId="158">
    <w:name w:val="正文2 Char Char"/>
    <w:link w:val="159"/>
    <w:autoRedefine/>
    <w:qFormat/>
    <w:uiPriority w:val="0"/>
    <w:rPr>
      <w:kern w:val="2"/>
      <w:sz w:val="24"/>
    </w:rPr>
  </w:style>
  <w:style w:type="paragraph" w:customStyle="1" w:styleId="159">
    <w:name w:val="正文2"/>
    <w:basedOn w:val="1"/>
    <w:link w:val="158"/>
    <w:autoRedefine/>
    <w:qFormat/>
    <w:uiPriority w:val="0"/>
    <w:pPr>
      <w:adjustRightInd w:val="0"/>
      <w:spacing w:before="156" w:line="360" w:lineRule="auto"/>
      <w:ind w:firstLine="510" w:firstLineChars="200"/>
    </w:pPr>
    <w:rPr>
      <w:sz w:val="24"/>
      <w:szCs w:val="20"/>
    </w:rPr>
  </w:style>
  <w:style w:type="character" w:customStyle="1" w:styleId="160">
    <w:name w:val="不明显强调1"/>
    <w:autoRedefine/>
    <w:qFormat/>
    <w:uiPriority w:val="99"/>
    <w:rPr>
      <w:i/>
      <w:iCs/>
      <w:color w:val="808080"/>
    </w:rPr>
  </w:style>
  <w:style w:type="character" w:customStyle="1" w:styleId="161">
    <w:name w:val="Body text|6_"/>
    <w:link w:val="162"/>
    <w:autoRedefine/>
    <w:qFormat/>
    <w:uiPriority w:val="0"/>
    <w:rPr>
      <w:rFonts w:ascii="Arial" w:hAnsi="Arial" w:eastAsia="Arial" w:cs="Arial"/>
      <w:lang w:val="zh-CN"/>
    </w:rPr>
  </w:style>
  <w:style w:type="paragraph" w:customStyle="1" w:styleId="162">
    <w:name w:val="Body text|6"/>
    <w:basedOn w:val="1"/>
    <w:link w:val="161"/>
    <w:autoRedefine/>
    <w:qFormat/>
    <w:uiPriority w:val="0"/>
    <w:pPr>
      <w:ind w:hanging="2220"/>
      <w:jc w:val="left"/>
    </w:pPr>
    <w:rPr>
      <w:rFonts w:ascii="Arial" w:hAnsi="Arial" w:eastAsia="Arial"/>
      <w:kern w:val="0"/>
      <w:sz w:val="20"/>
      <w:szCs w:val="20"/>
      <w:lang w:val="zh-CN"/>
    </w:rPr>
  </w:style>
  <w:style w:type="character" w:customStyle="1" w:styleId="163">
    <w:name w:val="批注文字 Char Char"/>
    <w:autoRedefine/>
    <w:qFormat/>
    <w:uiPriority w:val="99"/>
    <w:rPr>
      <w:rFonts w:ascii="宋体" w:hAnsi="Times New Roman" w:eastAsia="宋体" w:cs="宋体"/>
      <w:sz w:val="20"/>
      <w:szCs w:val="20"/>
    </w:rPr>
  </w:style>
  <w:style w:type="character" w:customStyle="1" w:styleId="164">
    <w:name w:val="Heading 3 Char"/>
    <w:autoRedefine/>
    <w:qFormat/>
    <w:uiPriority w:val="99"/>
    <w:rPr>
      <w:b/>
      <w:bCs/>
      <w:kern w:val="2"/>
      <w:sz w:val="32"/>
      <w:szCs w:val="32"/>
    </w:rPr>
  </w:style>
  <w:style w:type="character" w:customStyle="1" w:styleId="165">
    <w:name w:val="Heading 2 Char"/>
    <w:autoRedefine/>
    <w:qFormat/>
    <w:uiPriority w:val="99"/>
    <w:rPr>
      <w:rFonts w:ascii="Arial" w:hAnsi="Arial" w:eastAsia="黑体" w:cs="Arial"/>
      <w:b/>
      <w:bCs/>
      <w:kern w:val="2"/>
      <w:sz w:val="32"/>
      <w:szCs w:val="32"/>
      <w:lang w:val="en-US" w:eastAsia="zh-CN"/>
    </w:rPr>
  </w:style>
  <w:style w:type="character" w:customStyle="1" w:styleId="166">
    <w:name w:val="Balloon Text Char"/>
    <w:autoRedefine/>
    <w:qFormat/>
    <w:uiPriority w:val="99"/>
    <w:rPr>
      <w:sz w:val="18"/>
      <w:szCs w:val="18"/>
    </w:rPr>
  </w:style>
  <w:style w:type="character" w:customStyle="1" w:styleId="167">
    <w:name w:val="文档结构图 Char1"/>
    <w:autoRedefine/>
    <w:qFormat/>
    <w:uiPriority w:val="99"/>
    <w:rPr>
      <w:rFonts w:ascii="宋体" w:hAnsi="Times New Roman" w:eastAsia="宋体" w:cs="宋体"/>
      <w:sz w:val="18"/>
      <w:szCs w:val="18"/>
    </w:rPr>
  </w:style>
  <w:style w:type="character" w:customStyle="1" w:styleId="168">
    <w:name w:val="Footnote Text Char"/>
    <w:autoRedefine/>
    <w:qFormat/>
    <w:uiPriority w:val="99"/>
    <w:rPr>
      <w:rFonts w:eastAsia="宋体"/>
      <w:sz w:val="18"/>
      <w:szCs w:val="18"/>
      <w:lang w:val="en-US" w:eastAsia="zh-CN"/>
    </w:rPr>
  </w:style>
  <w:style w:type="character" w:customStyle="1" w:styleId="169">
    <w:name w:val="Char Char21"/>
    <w:autoRedefine/>
    <w:qFormat/>
    <w:uiPriority w:val="99"/>
    <w:rPr>
      <w:rFonts w:ascii="Arial" w:hAnsi="Arial" w:eastAsia="黑体" w:cs="Arial"/>
      <w:b/>
      <w:bCs/>
      <w:sz w:val="32"/>
      <w:szCs w:val="32"/>
    </w:rPr>
  </w:style>
  <w:style w:type="character" w:customStyle="1" w:styleId="170">
    <w:name w:val="Other|1_"/>
    <w:link w:val="171"/>
    <w:autoRedefine/>
    <w:qFormat/>
    <w:uiPriority w:val="0"/>
    <w:rPr>
      <w:rFonts w:ascii="宋体" w:hAnsi="宋体" w:cs="宋体"/>
      <w:lang w:val="zh-CN" w:bidi="zh-CN"/>
    </w:rPr>
  </w:style>
  <w:style w:type="paragraph" w:customStyle="1" w:styleId="171">
    <w:name w:val="Other|1"/>
    <w:basedOn w:val="1"/>
    <w:link w:val="170"/>
    <w:autoRedefine/>
    <w:qFormat/>
    <w:uiPriority w:val="0"/>
    <w:pPr>
      <w:spacing w:line="360" w:lineRule="auto"/>
      <w:ind w:firstLine="400"/>
      <w:jc w:val="left"/>
    </w:pPr>
    <w:rPr>
      <w:rFonts w:ascii="宋体" w:hAnsi="宋体" w:cs="宋体"/>
      <w:kern w:val="0"/>
      <w:sz w:val="20"/>
      <w:szCs w:val="20"/>
      <w:lang w:val="zh-CN" w:bidi="zh-CN"/>
    </w:rPr>
  </w:style>
  <w:style w:type="character" w:customStyle="1" w:styleId="172">
    <w:name w:val="Body Text Indent Char"/>
    <w:autoRedefine/>
    <w:qFormat/>
    <w:uiPriority w:val="99"/>
    <w:rPr>
      <w:rFonts w:ascii="宋体" w:hAnsi="宋体" w:eastAsia="宋体" w:cs="宋体"/>
      <w:kern w:val="2"/>
      <w:sz w:val="21"/>
      <w:szCs w:val="21"/>
      <w:lang w:val="en-US" w:eastAsia="zh-CN"/>
    </w:rPr>
  </w:style>
  <w:style w:type="character" w:customStyle="1" w:styleId="173">
    <w:name w:val="不明显参考1"/>
    <w:autoRedefine/>
    <w:qFormat/>
    <w:uiPriority w:val="99"/>
    <w:rPr>
      <w:smallCaps/>
      <w:color w:val="auto"/>
      <w:u w:val="single"/>
    </w:rPr>
  </w:style>
  <w:style w:type="character" w:customStyle="1" w:styleId="174">
    <w:name w:val="Heading 4 Char"/>
    <w:autoRedefine/>
    <w:qFormat/>
    <w:uiPriority w:val="99"/>
    <w:rPr>
      <w:rFonts w:ascii="Arial" w:hAnsi="Arial" w:eastAsia="宋体" w:cs="Arial"/>
      <w:b/>
      <w:bCs/>
      <w:kern w:val="2"/>
      <w:sz w:val="28"/>
      <w:szCs w:val="28"/>
      <w:lang w:val="en-US" w:eastAsia="zh-CN"/>
    </w:rPr>
  </w:style>
  <w:style w:type="character" w:customStyle="1" w:styleId="175">
    <w:name w:val="Body text|7_"/>
    <w:link w:val="176"/>
    <w:autoRedefine/>
    <w:qFormat/>
    <w:uiPriority w:val="0"/>
    <w:rPr>
      <w:rFonts w:ascii="Courier New" w:hAnsi="Courier New" w:eastAsia="Courier New" w:cs="Courier New"/>
      <w:b/>
      <w:bCs/>
      <w:sz w:val="8"/>
      <w:szCs w:val="8"/>
      <w:lang w:val="zh-CN"/>
    </w:rPr>
  </w:style>
  <w:style w:type="paragraph" w:customStyle="1" w:styleId="176">
    <w:name w:val="Body text|7"/>
    <w:basedOn w:val="1"/>
    <w:link w:val="175"/>
    <w:autoRedefine/>
    <w:qFormat/>
    <w:uiPriority w:val="0"/>
    <w:pPr>
      <w:ind w:hanging="1760"/>
      <w:jc w:val="left"/>
    </w:pPr>
    <w:rPr>
      <w:rFonts w:ascii="Courier New" w:hAnsi="Courier New" w:eastAsia="Courier New"/>
      <w:b/>
      <w:bCs/>
      <w:kern w:val="0"/>
      <w:sz w:val="8"/>
      <w:szCs w:val="8"/>
      <w:lang w:val="zh-CN"/>
    </w:rPr>
  </w:style>
  <w:style w:type="character" w:customStyle="1" w:styleId="177">
    <w:name w:val="Char Char20"/>
    <w:autoRedefine/>
    <w:qFormat/>
    <w:uiPriority w:val="99"/>
    <w:rPr>
      <w:rFonts w:ascii="Times New Roman" w:hAnsi="Times New Roman" w:eastAsia="宋体" w:cs="Times New Roman"/>
      <w:b/>
      <w:bCs/>
      <w:sz w:val="32"/>
      <w:szCs w:val="32"/>
    </w:rPr>
  </w:style>
  <w:style w:type="character" w:customStyle="1" w:styleId="178">
    <w:name w:val="Body text|4_"/>
    <w:link w:val="179"/>
    <w:autoRedefine/>
    <w:qFormat/>
    <w:uiPriority w:val="0"/>
    <w:rPr>
      <w:rFonts w:ascii="宋体" w:hAnsi="宋体" w:cs="宋体"/>
      <w:b/>
      <w:bCs/>
      <w:sz w:val="17"/>
      <w:szCs w:val="17"/>
      <w:lang w:val="zh-CN" w:bidi="zh-CN"/>
    </w:rPr>
  </w:style>
  <w:style w:type="paragraph" w:customStyle="1" w:styleId="179">
    <w:name w:val="Body text|4"/>
    <w:basedOn w:val="1"/>
    <w:link w:val="178"/>
    <w:autoRedefine/>
    <w:qFormat/>
    <w:uiPriority w:val="0"/>
    <w:pPr>
      <w:spacing w:line="281" w:lineRule="exact"/>
      <w:jc w:val="center"/>
    </w:pPr>
    <w:rPr>
      <w:rFonts w:ascii="宋体" w:hAnsi="宋体" w:cs="宋体"/>
      <w:b/>
      <w:bCs/>
      <w:kern w:val="0"/>
      <w:sz w:val="17"/>
      <w:szCs w:val="17"/>
      <w:lang w:val="zh-CN" w:bidi="zh-CN"/>
    </w:rPr>
  </w:style>
  <w:style w:type="character" w:customStyle="1" w:styleId="180">
    <w:name w:val="Comment Subject Char"/>
    <w:autoRedefine/>
    <w:qFormat/>
    <w:uiPriority w:val="99"/>
    <w:rPr>
      <w:b/>
      <w:bCs/>
      <w:sz w:val="24"/>
      <w:szCs w:val="24"/>
    </w:rPr>
  </w:style>
  <w:style w:type="character" w:customStyle="1" w:styleId="181">
    <w:name w:val="Heading #2|1_"/>
    <w:link w:val="182"/>
    <w:autoRedefine/>
    <w:qFormat/>
    <w:uiPriority w:val="0"/>
    <w:rPr>
      <w:rFonts w:ascii="宋体" w:hAnsi="宋体" w:cs="宋体"/>
      <w:sz w:val="34"/>
      <w:szCs w:val="34"/>
      <w:lang w:val="zh-CN" w:bidi="zh-CN"/>
    </w:rPr>
  </w:style>
  <w:style w:type="paragraph" w:customStyle="1" w:styleId="182">
    <w:name w:val="Heading #2|1"/>
    <w:basedOn w:val="1"/>
    <w:link w:val="181"/>
    <w:autoRedefine/>
    <w:qFormat/>
    <w:uiPriority w:val="0"/>
    <w:pPr>
      <w:spacing w:after="900"/>
      <w:jc w:val="center"/>
      <w:outlineLvl w:val="1"/>
    </w:pPr>
    <w:rPr>
      <w:rFonts w:ascii="宋体" w:hAnsi="宋体" w:cs="宋体"/>
      <w:kern w:val="0"/>
      <w:sz w:val="34"/>
      <w:szCs w:val="34"/>
      <w:lang w:val="zh-CN" w:bidi="zh-CN"/>
    </w:rPr>
  </w:style>
  <w:style w:type="character" w:customStyle="1" w:styleId="183">
    <w:name w:val="批注框文本 Char1"/>
    <w:autoRedefine/>
    <w:qFormat/>
    <w:uiPriority w:val="99"/>
    <w:rPr>
      <w:rFonts w:ascii="Times New Roman" w:hAnsi="Times New Roman" w:eastAsia="宋体" w:cs="Times New Roman"/>
      <w:sz w:val="18"/>
      <w:szCs w:val="18"/>
    </w:rPr>
  </w:style>
  <w:style w:type="character" w:customStyle="1" w:styleId="184">
    <w:name w:val="Char Char18"/>
    <w:autoRedefine/>
    <w:qFormat/>
    <w:uiPriority w:val="99"/>
    <w:rPr>
      <w:rFonts w:ascii="Times New Roman" w:hAnsi="Times New Roman" w:eastAsia="宋体" w:cs="Times New Roman"/>
      <w:b/>
      <w:bCs/>
      <w:sz w:val="28"/>
      <w:szCs w:val="28"/>
    </w:rPr>
  </w:style>
  <w:style w:type="character" w:customStyle="1" w:styleId="185">
    <w:name w:val="批注主题 Char1"/>
    <w:autoRedefine/>
    <w:qFormat/>
    <w:uiPriority w:val="99"/>
    <w:rPr>
      <w:rFonts w:ascii="Times New Roman" w:hAnsi="Times New Roman" w:eastAsia="宋体" w:cs="Times New Roman"/>
      <w:b/>
      <w:bCs/>
      <w:sz w:val="24"/>
      <w:szCs w:val="24"/>
    </w:rPr>
  </w:style>
  <w:style w:type="character" w:customStyle="1" w:styleId="186">
    <w:name w:val="Char Char24"/>
    <w:autoRedefine/>
    <w:qFormat/>
    <w:uiPriority w:val="99"/>
    <w:rPr>
      <w:rFonts w:eastAsia="宋体"/>
      <w:b/>
      <w:bCs/>
      <w:kern w:val="44"/>
      <w:sz w:val="44"/>
      <w:szCs w:val="44"/>
      <w:lang w:val="en-US" w:eastAsia="zh-CN"/>
    </w:rPr>
  </w:style>
  <w:style w:type="character" w:customStyle="1" w:styleId="187">
    <w:name w:val="标题4 Char Char"/>
    <w:link w:val="188"/>
    <w:autoRedefine/>
    <w:qFormat/>
    <w:locked/>
    <w:uiPriority w:val="99"/>
    <w:rPr>
      <w:rFonts w:ascii="Arial" w:hAnsi="Arial" w:cs="Arial"/>
      <w:b/>
      <w:bCs/>
      <w:sz w:val="32"/>
      <w:szCs w:val="32"/>
    </w:rPr>
  </w:style>
  <w:style w:type="paragraph" w:customStyle="1" w:styleId="188">
    <w:name w:val="标题4"/>
    <w:basedOn w:val="3"/>
    <w:next w:val="21"/>
    <w:link w:val="187"/>
    <w:autoRedefine/>
    <w:qFormat/>
    <w:uiPriority w:val="99"/>
    <w:pPr>
      <w:spacing w:before="60" w:after="60" w:line="413" w:lineRule="auto"/>
    </w:pPr>
    <w:rPr>
      <w:rFonts w:ascii="Arial" w:hAnsi="Arial"/>
      <w:kern w:val="0"/>
    </w:rPr>
  </w:style>
  <w:style w:type="character" w:customStyle="1" w:styleId="189">
    <w:name w:val="Plain Text Char"/>
    <w:autoRedefine/>
    <w:qFormat/>
    <w:uiPriority w:val="99"/>
    <w:rPr>
      <w:rFonts w:ascii="宋体" w:hAnsi="Courier New" w:eastAsia="宋体" w:cs="宋体"/>
      <w:sz w:val="24"/>
      <w:szCs w:val="24"/>
    </w:rPr>
  </w:style>
  <w:style w:type="character" w:customStyle="1" w:styleId="190">
    <w:name w:val="Header or footer|1_"/>
    <w:link w:val="191"/>
    <w:autoRedefine/>
    <w:qFormat/>
    <w:uiPriority w:val="0"/>
    <w:rPr>
      <w:sz w:val="17"/>
      <w:szCs w:val="17"/>
      <w:lang w:val="zh-CN" w:bidi="zh-CN"/>
    </w:rPr>
  </w:style>
  <w:style w:type="paragraph" w:customStyle="1" w:styleId="191">
    <w:name w:val="Header or footer|1"/>
    <w:basedOn w:val="1"/>
    <w:link w:val="190"/>
    <w:autoRedefine/>
    <w:qFormat/>
    <w:uiPriority w:val="0"/>
    <w:pPr>
      <w:jc w:val="center"/>
    </w:pPr>
    <w:rPr>
      <w:kern w:val="0"/>
      <w:sz w:val="17"/>
      <w:szCs w:val="17"/>
      <w:lang w:val="zh-CN" w:bidi="zh-CN"/>
    </w:rPr>
  </w:style>
  <w:style w:type="character" w:customStyle="1" w:styleId="192">
    <w:name w:val="Heading #3|1_"/>
    <w:link w:val="193"/>
    <w:autoRedefine/>
    <w:qFormat/>
    <w:uiPriority w:val="0"/>
    <w:rPr>
      <w:rFonts w:ascii="宋体" w:hAnsi="宋体" w:cs="宋体"/>
      <w:sz w:val="28"/>
      <w:szCs w:val="28"/>
      <w:lang w:val="zh-CN" w:bidi="zh-CN"/>
    </w:rPr>
  </w:style>
  <w:style w:type="paragraph" w:customStyle="1" w:styleId="193">
    <w:name w:val="Heading #3|1"/>
    <w:basedOn w:val="1"/>
    <w:link w:val="192"/>
    <w:autoRedefine/>
    <w:qFormat/>
    <w:uiPriority w:val="0"/>
    <w:pPr>
      <w:spacing w:after="570"/>
      <w:jc w:val="center"/>
      <w:outlineLvl w:val="2"/>
    </w:pPr>
    <w:rPr>
      <w:rFonts w:ascii="宋体" w:hAnsi="宋体" w:cs="宋体"/>
      <w:kern w:val="0"/>
      <w:sz w:val="28"/>
      <w:szCs w:val="28"/>
      <w:lang w:val="zh-CN" w:bidi="zh-CN"/>
    </w:rPr>
  </w:style>
  <w:style w:type="character" w:styleId="194">
    <w:name w:val="Placeholder Text"/>
    <w:autoRedefine/>
    <w:unhideWhenUsed/>
    <w:qFormat/>
    <w:uiPriority w:val="99"/>
    <w:rPr>
      <w:color w:val="808080"/>
    </w:rPr>
  </w:style>
  <w:style w:type="paragraph" w:customStyle="1" w:styleId="195">
    <w:name w:val="flNote"/>
    <w:basedOn w:val="1"/>
    <w:autoRedefine/>
    <w:qFormat/>
    <w:uiPriority w:val="99"/>
    <w:pPr>
      <w:adjustRightInd w:val="0"/>
      <w:spacing w:before="320" w:after="160" w:line="360" w:lineRule="atLeast"/>
      <w:jc w:val="center"/>
      <w:textAlignment w:val="baseline"/>
    </w:pPr>
    <w:rPr>
      <w:rFonts w:ascii="Arial" w:eastAsia="黑体" w:cs="Arial"/>
      <w:kern w:val="0"/>
      <w:sz w:val="30"/>
      <w:szCs w:val="30"/>
    </w:rPr>
  </w:style>
  <w:style w:type="paragraph" w:styleId="196">
    <w:name w:val="List Paragraph"/>
    <w:basedOn w:val="1"/>
    <w:autoRedefine/>
    <w:qFormat/>
    <w:uiPriority w:val="34"/>
    <w:pPr>
      <w:ind w:firstLine="420" w:firstLineChars="200"/>
    </w:pPr>
  </w:style>
  <w:style w:type="paragraph" w:customStyle="1" w:styleId="197">
    <w:name w:val="样式 标题 2 + Times New Roman 四号 非加粗 段前: 5 磅 段后: 0 磅 行距: 固定值 20..."/>
    <w:basedOn w:val="3"/>
    <w:autoRedefine/>
    <w:qFormat/>
    <w:uiPriority w:val="99"/>
    <w:pPr>
      <w:spacing w:before="100" w:after="0" w:line="400" w:lineRule="exact"/>
    </w:pPr>
    <w:rPr>
      <w:rFonts w:ascii="Times New Roman" w:hAnsi="Times New Roman" w:eastAsia="黑体"/>
      <w:b w:val="0"/>
      <w:bCs w:val="0"/>
      <w:kern w:val="0"/>
      <w:sz w:val="28"/>
      <w:szCs w:val="28"/>
      <w:lang w:val="zh-CN"/>
    </w:rPr>
  </w:style>
  <w:style w:type="paragraph" w:customStyle="1" w:styleId="198">
    <w:name w:val="无间隔1"/>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99">
    <w:name w:val="Char Char Char Char Char Char Char"/>
    <w:basedOn w:val="1"/>
    <w:autoRedefine/>
    <w:qFormat/>
    <w:uiPriority w:val="99"/>
    <w:pPr>
      <w:widowControl/>
      <w:spacing w:after="160" w:line="240" w:lineRule="exact"/>
      <w:jc w:val="left"/>
    </w:pPr>
    <w:rPr>
      <w:szCs w:val="21"/>
    </w:rPr>
  </w:style>
  <w:style w:type="paragraph" w:customStyle="1" w:styleId="200">
    <w:name w:val="Char"/>
    <w:basedOn w:val="1"/>
    <w:autoRedefine/>
    <w:qFormat/>
    <w:uiPriority w:val="99"/>
    <w:pPr>
      <w:widowControl/>
      <w:spacing w:after="160" w:line="240" w:lineRule="exact"/>
      <w:jc w:val="left"/>
    </w:pPr>
    <w:rPr>
      <w:szCs w:val="21"/>
    </w:rPr>
  </w:style>
  <w:style w:type="paragraph" w:customStyle="1" w:styleId="201">
    <w:name w:val="默认段落字体 Para Char Char Char Char Char Char Char Char Char1 Char Char Char Char"/>
    <w:basedOn w:val="1"/>
    <w:autoRedefine/>
    <w:qFormat/>
    <w:uiPriority w:val="0"/>
    <w:rPr>
      <w:rFonts w:ascii="Tahoma" w:hAnsi="Tahoma"/>
      <w:sz w:val="24"/>
      <w:szCs w:val="20"/>
    </w:rPr>
  </w:style>
  <w:style w:type="paragraph" w:customStyle="1" w:styleId="202">
    <w:name w:val="Table Paragraph"/>
    <w:basedOn w:val="1"/>
    <w:autoRedefine/>
    <w:qFormat/>
    <w:uiPriority w:val="1"/>
    <w:pPr>
      <w:jc w:val="left"/>
    </w:pPr>
    <w:rPr>
      <w:rFonts w:ascii="Calibri" w:hAnsi="Calibri"/>
      <w:kern w:val="0"/>
      <w:sz w:val="22"/>
      <w:szCs w:val="22"/>
      <w:lang w:eastAsia="en-US"/>
    </w:rPr>
  </w:style>
  <w:style w:type="paragraph" w:customStyle="1" w:styleId="203">
    <w:name w:val="表内文字"/>
    <w:basedOn w:val="1"/>
    <w:autoRedefine/>
    <w:qFormat/>
    <w:uiPriority w:val="0"/>
    <w:pPr>
      <w:snapToGrid w:val="0"/>
      <w:spacing w:before="50" w:after="50"/>
      <w:jc w:val="center"/>
    </w:pPr>
    <w:rPr>
      <w:rFonts w:ascii="仿宋_GB2312" w:hAnsi="宋体" w:eastAsia="仿宋_GB2312"/>
      <w:b/>
      <w:color w:val="000000"/>
      <w:sz w:val="32"/>
      <w:szCs w:val="32"/>
    </w:rPr>
  </w:style>
  <w:style w:type="paragraph" w:customStyle="1" w:styleId="204">
    <w:name w:val="样式1"/>
    <w:basedOn w:val="1"/>
    <w:next w:val="5"/>
    <w:autoRedefine/>
    <w:qFormat/>
    <w:uiPriority w:val="99"/>
    <w:pPr>
      <w:spacing w:line="360" w:lineRule="auto"/>
      <w:ind w:firstLine="420" w:firstLineChars="200"/>
    </w:pPr>
    <w:rPr>
      <w:rFonts w:ascii="宋体" w:hAnsi="宋体" w:cs="宋体"/>
      <w:szCs w:val="21"/>
    </w:rPr>
  </w:style>
  <w:style w:type="paragraph" w:customStyle="1" w:styleId="205">
    <w:name w:val="列出段落1"/>
    <w:basedOn w:val="1"/>
    <w:autoRedefine/>
    <w:qFormat/>
    <w:uiPriority w:val="99"/>
    <w:pPr>
      <w:ind w:firstLine="420" w:firstLineChars="200"/>
    </w:pPr>
    <w:rPr>
      <w:rFonts w:ascii="Calibri" w:hAnsi="Calibri" w:cs="Calibri"/>
      <w:szCs w:val="21"/>
    </w:rPr>
  </w:style>
  <w:style w:type="paragraph" w:customStyle="1" w:styleId="206">
    <w:name w:val="正文_1"/>
    <w:next w:val="1"/>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07">
    <w:name w:val="TOC 标题1"/>
    <w:basedOn w:val="2"/>
    <w:next w:val="1"/>
    <w:autoRedefine/>
    <w:qFormat/>
    <w:uiPriority w:val="99"/>
    <w:pPr>
      <w:spacing w:line="576" w:lineRule="auto"/>
      <w:outlineLvl w:val="9"/>
    </w:pPr>
    <w:rPr>
      <w:rFonts w:ascii="Calibri" w:hAnsi="Calibri" w:eastAsia="黑体" w:cs="Calibri"/>
      <w:lang w:val="zh-CN"/>
    </w:rPr>
  </w:style>
  <w:style w:type="paragraph" w:customStyle="1" w:styleId="208">
    <w:name w:val="空半行"/>
    <w:basedOn w:val="1"/>
    <w:autoRedefine/>
    <w:qFormat/>
    <w:uiPriority w:val="99"/>
    <w:pPr>
      <w:adjustRightInd w:val="0"/>
      <w:spacing w:line="120" w:lineRule="exact"/>
      <w:textAlignment w:val="baseline"/>
    </w:pPr>
    <w:rPr>
      <w:rFonts w:eastAsia="仿宋_GB2312"/>
      <w:color w:val="FFFFFF"/>
      <w:kern w:val="0"/>
      <w:sz w:val="30"/>
      <w:szCs w:val="30"/>
    </w:rPr>
  </w:style>
  <w:style w:type="paragraph" w:customStyle="1" w:styleId="209">
    <w:name w:val="p0"/>
    <w:basedOn w:val="1"/>
    <w:autoRedefine/>
    <w:qFormat/>
    <w:uiPriority w:val="99"/>
    <w:pPr>
      <w:widowControl/>
    </w:pPr>
    <w:rPr>
      <w:rFonts w:ascii="Calibri" w:hAnsi="Calibri" w:cs="Calibri"/>
      <w:kern w:val="0"/>
      <w:szCs w:val="21"/>
    </w:rPr>
  </w:style>
  <w:style w:type="paragraph" w:customStyle="1" w:styleId="210">
    <w:name w:val="1"/>
    <w:basedOn w:val="1"/>
    <w:next w:val="1"/>
    <w:autoRedefine/>
    <w:qFormat/>
    <w:uiPriority w:val="99"/>
    <w:rPr>
      <w:szCs w:val="21"/>
    </w:rPr>
  </w:style>
  <w:style w:type="paragraph" w:customStyle="1" w:styleId="211">
    <w:name w:val="列出段落2"/>
    <w:basedOn w:val="1"/>
    <w:autoRedefine/>
    <w:qFormat/>
    <w:uiPriority w:val="99"/>
    <w:pPr>
      <w:ind w:firstLine="420" w:firstLineChars="200"/>
    </w:pPr>
    <w:rPr>
      <w:rFonts w:ascii="Calibri" w:hAnsi="Calibri" w:cs="Calibri"/>
      <w:szCs w:val="21"/>
    </w:rPr>
  </w:style>
  <w:style w:type="paragraph" w:customStyle="1" w:styleId="212">
    <w:name w:val="修订1"/>
    <w:autoRedefine/>
    <w:qFormat/>
    <w:uiPriority w:val="99"/>
    <w:rPr>
      <w:rFonts w:ascii="Times New Roman" w:hAnsi="Times New Roman" w:eastAsia="宋体" w:cs="Times New Roman"/>
      <w:kern w:val="2"/>
      <w:sz w:val="21"/>
      <w:szCs w:val="21"/>
      <w:lang w:val="en-US" w:eastAsia="zh-CN" w:bidi="ar-SA"/>
    </w:rPr>
  </w:style>
  <w:style w:type="paragraph" w:customStyle="1" w:styleId="213">
    <w:name w:val="无间隔11"/>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14">
    <w:name w:val="修订11"/>
    <w:autoRedefine/>
    <w:qFormat/>
    <w:uiPriority w:val="99"/>
    <w:rPr>
      <w:rFonts w:ascii="Times New Roman" w:hAnsi="Times New Roman" w:eastAsia="宋体" w:cs="Times New Roman"/>
      <w:kern w:val="2"/>
      <w:sz w:val="21"/>
      <w:szCs w:val="21"/>
      <w:lang w:val="en-US" w:eastAsia="zh-CN" w:bidi="ar-SA"/>
    </w:rPr>
  </w:style>
  <w:style w:type="paragraph" w:customStyle="1" w:styleId="215">
    <w:name w:val="2-2ji"/>
    <w:basedOn w:val="3"/>
    <w:autoRedefine/>
    <w:qFormat/>
    <w:uiPriority w:val="99"/>
    <w:pPr>
      <w:spacing w:before="0" w:after="0" w:line="360" w:lineRule="auto"/>
      <w:jc w:val="center"/>
    </w:pPr>
    <w:rPr>
      <w:rFonts w:ascii="宋体" w:hAnsi="宋体" w:cs="宋体"/>
      <w:sz w:val="36"/>
      <w:szCs w:val="36"/>
      <w:lang w:val="zh-CN"/>
    </w:rPr>
  </w:style>
  <w:style w:type="paragraph" w:customStyle="1" w:styleId="216">
    <w:name w:val="reader-word-layer"/>
    <w:basedOn w:val="1"/>
    <w:autoRedefine/>
    <w:qFormat/>
    <w:uiPriority w:val="99"/>
    <w:pPr>
      <w:widowControl/>
      <w:spacing w:before="100" w:beforeAutospacing="1" w:after="100" w:afterAutospacing="1"/>
      <w:jc w:val="left"/>
    </w:pPr>
    <w:rPr>
      <w:rFonts w:ascii="宋体" w:hAnsi="宋体" w:cs="宋体"/>
      <w:kern w:val="0"/>
      <w:sz w:val="24"/>
    </w:rPr>
  </w:style>
  <w:style w:type="paragraph" w:customStyle="1" w:styleId="217">
    <w:name w:val="Char Char Char Char"/>
    <w:basedOn w:val="1"/>
    <w:autoRedefine/>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218">
    <w:name w:val="Char1"/>
    <w:basedOn w:val="1"/>
    <w:autoRedefine/>
    <w:qFormat/>
    <w:uiPriority w:val="99"/>
    <w:pPr>
      <w:widowControl/>
      <w:spacing w:after="160" w:line="240" w:lineRule="exact"/>
      <w:jc w:val="left"/>
    </w:pPr>
    <w:rPr>
      <w:szCs w:val="21"/>
    </w:rPr>
  </w:style>
  <w:style w:type="paragraph" w:customStyle="1" w:styleId="219">
    <w:name w:val="_Style 37"/>
    <w:basedOn w:val="1"/>
    <w:next w:val="1"/>
    <w:autoRedefine/>
    <w:qFormat/>
    <w:uiPriority w:val="99"/>
    <w:rPr>
      <w:szCs w:val="21"/>
    </w:rPr>
  </w:style>
  <w:style w:type="paragraph" w:customStyle="1" w:styleId="220">
    <w:name w:val="样式 标题 3 + (中文) 黑体 小四 非加粗 段前: 7.8 磅 段后: 0 磅 行距: 固定值 20 磅"/>
    <w:basedOn w:val="4"/>
    <w:autoRedefine/>
    <w:qFormat/>
    <w:uiPriority w:val="99"/>
    <w:pPr>
      <w:spacing w:before="0" w:after="0" w:line="400" w:lineRule="exact"/>
    </w:pPr>
    <w:rPr>
      <w:rFonts w:eastAsia="黑体"/>
      <w:b w:val="0"/>
      <w:bCs w:val="0"/>
      <w:lang w:val="zh-CN"/>
    </w:rPr>
  </w:style>
  <w:style w:type="paragraph" w:styleId="221">
    <w:name w:val="No Spacing"/>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2">
    <w:name w:val="正正正正"/>
    <w:basedOn w:val="18"/>
    <w:autoRedefine/>
    <w:qFormat/>
    <w:uiPriority w:val="1"/>
    <w:pPr>
      <w:tabs>
        <w:tab w:val="left" w:pos="2812"/>
        <w:tab w:val="left" w:pos="3986"/>
      </w:tabs>
      <w:spacing w:after="0" w:line="360" w:lineRule="exact"/>
      <w:ind w:firstLine="200" w:firstLineChars="200"/>
    </w:pPr>
    <w:rPr>
      <w:rFonts w:ascii="Calibri" w:hAnsi="Calibri"/>
      <w:sz w:val="20"/>
      <w:szCs w:val="21"/>
      <w:lang w:eastAsia="en-US"/>
    </w:rPr>
  </w:style>
  <w:style w:type="paragraph" w:customStyle="1" w:styleId="223">
    <w:name w:val="_Style 1"/>
    <w:basedOn w:val="1"/>
    <w:autoRedefine/>
    <w:qFormat/>
    <w:uiPriority w:val="99"/>
    <w:pPr>
      <w:ind w:firstLine="420" w:firstLineChars="200"/>
      <w:jc w:val="left"/>
    </w:pPr>
    <w:rPr>
      <w:rFonts w:ascii="Times New Roman)" w:hAnsi="Times New Roman)" w:eastAsia="宋体正文"/>
      <w:color w:val="000000"/>
      <w:kern w:val="0"/>
      <w:lang w:eastAsia="en-US" w:bidi="en-US"/>
    </w:rPr>
  </w:style>
  <w:style w:type="character" w:customStyle="1" w:styleId="224">
    <w:name w:val="bookmark-item"/>
    <w:autoRedefine/>
    <w:qFormat/>
    <w:uiPriority w:val="0"/>
  </w:style>
  <w:style w:type="character" w:customStyle="1" w:styleId="225">
    <w:name w:val="纯文本 Char2"/>
    <w:autoRedefine/>
    <w:qFormat/>
    <w:uiPriority w:val="0"/>
    <w:rPr>
      <w:rFonts w:ascii="宋体" w:hAnsi="Courier New" w:eastAsia="宋体" w:cs="Courier New"/>
      <w:szCs w:val="21"/>
    </w:rPr>
  </w:style>
  <w:style w:type="character" w:customStyle="1" w:styleId="226">
    <w:name w:val="页脚 Char1"/>
    <w:autoRedefine/>
    <w:qFormat/>
    <w:uiPriority w:val="99"/>
    <w:rPr>
      <w:rFonts w:ascii="Times New Roman" w:hAnsi="Times New Roman" w:eastAsia="宋体" w:cs="Times New Roman"/>
      <w:sz w:val="18"/>
      <w:szCs w:val="18"/>
    </w:rPr>
  </w:style>
  <w:style w:type="paragraph" w:customStyle="1" w:styleId="227">
    <w:name w:val="正文_3_0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8">
    <w:name w:val="正文_3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9">
    <w:name w:val="正文_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0">
    <w:name w:val="正文_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1">
    <w:name w:val="标题 4_1"/>
    <w:basedOn w:val="230"/>
    <w:next w:val="230"/>
    <w:autoRedefine/>
    <w:qFormat/>
    <w:uiPriority w:val="0"/>
    <w:pPr>
      <w:keepNext/>
      <w:keepLines/>
      <w:spacing w:before="280" w:after="290" w:line="372" w:lineRule="auto"/>
      <w:outlineLvl w:val="3"/>
    </w:pPr>
    <w:rPr>
      <w:rFonts w:ascii="Cambria" w:hAnsi="Cambria"/>
      <w:b/>
      <w:bCs/>
      <w:sz w:val="28"/>
      <w:szCs w:val="28"/>
    </w:rPr>
  </w:style>
  <w:style w:type="paragraph" w:customStyle="1" w:styleId="232">
    <w:name w:val="正文_3_0"/>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233">
    <w:name w:val="first-child"/>
    <w:basedOn w:val="44"/>
    <w:autoRedefine/>
    <w:qFormat/>
    <w:uiPriority w:val="0"/>
  </w:style>
  <w:style w:type="character" w:customStyle="1" w:styleId="234">
    <w:name w:val="NormalCharacter"/>
    <w:autoRedefine/>
    <w:qFormat/>
    <w:uiPriority w:val="0"/>
  </w:style>
  <w:style w:type="character" w:customStyle="1" w:styleId="235">
    <w:name w:val="layui-layer-tabnow"/>
    <w:basedOn w:val="44"/>
    <w:autoRedefine/>
    <w:qFormat/>
    <w:uiPriority w:val="0"/>
    <w:rPr>
      <w:bdr w:val="single" w:color="CCCCCC" w:sz="6" w:space="0"/>
      <w:shd w:val="clear" w:color="auto" w:fill="FFFFFF"/>
    </w:rPr>
  </w:style>
  <w:style w:type="paragraph" w:customStyle="1" w:styleId="236">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237">
    <w:name w:val="正文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8">
    <w:name w:val="正文3"/>
    <w:autoRedefine/>
    <w:qFormat/>
    <w:uiPriority w:val="0"/>
    <w:rPr>
      <w:rFonts w:ascii="Times New Roman" w:hAnsi="Times New Roman" w:eastAsia="Times New Roman" w:cs="Times New Roman"/>
      <w:sz w:val="24"/>
      <w:szCs w:val="24"/>
      <w:lang w:val="en-US" w:eastAsia="zh-CN" w:bidi="ar-SA"/>
    </w:rPr>
  </w:style>
  <w:style w:type="paragraph" w:customStyle="1" w:styleId="239">
    <w:name w:val="正文_6"/>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240">
    <w:name w:val="纯文本 Char3"/>
    <w:autoRedefine/>
    <w:qFormat/>
    <w:uiPriority w:val="99"/>
    <w:rPr>
      <w:rFonts w:ascii="宋体" w:hAnsi="Courier New" w:eastAsia="宋体" w:cs="Courier New"/>
      <w:szCs w:val="21"/>
    </w:rPr>
  </w:style>
  <w:style w:type="paragraph" w:customStyle="1" w:styleId="241">
    <w:name w:val="表格文字"/>
    <w:basedOn w:val="1"/>
    <w:qFormat/>
    <w:uiPriority w:val="0"/>
    <w:pPr>
      <w:spacing w:before="25" w:after="25"/>
      <w:jc w:val="left"/>
    </w:pPr>
    <w:rPr>
      <w:rFonts w:ascii="Calibri" w:hAnsi="Calibri" w:eastAsia="宋体" w:cs="Times New Roman"/>
      <w:bCs/>
      <w:spacing w:val="10"/>
      <w:kern w:val="0"/>
      <w:sz w:val="24"/>
      <w:szCs w:val="20"/>
    </w:rPr>
  </w:style>
  <w:style w:type="table" w:customStyle="1" w:styleId="242">
    <w:name w:val="Table Normal"/>
    <w:semiHidden/>
    <w:unhideWhenUsed/>
    <w:qFormat/>
    <w:uiPriority w:val="0"/>
    <w:tblPr>
      <w:tblCellMar>
        <w:top w:w="0" w:type="dxa"/>
        <w:left w:w="0" w:type="dxa"/>
        <w:bottom w:w="0" w:type="dxa"/>
        <w:right w:w="0" w:type="dxa"/>
      </w:tblCellMar>
    </w:tblPr>
  </w:style>
  <w:style w:type="paragraph" w:customStyle="1" w:styleId="243">
    <w:name w:val="Table Text"/>
    <w:basedOn w:val="1"/>
    <w:semiHidden/>
    <w:qFormat/>
    <w:uiPriority w:val="0"/>
    <w:rPr>
      <w:rFonts w:ascii="宋体" w:hAnsi="宋体" w:eastAsia="宋体" w:cs="宋体"/>
      <w:sz w:val="20"/>
      <w:szCs w:val="20"/>
      <w:lang w:val="en-US" w:eastAsia="en-US" w:bidi="ar-SA"/>
    </w:rPr>
  </w:style>
  <w:style w:type="paragraph" w:customStyle="1" w:styleId="244">
    <w:name w:val="纯文本1"/>
    <w:basedOn w:val="61"/>
    <w:next w:val="61"/>
    <w:qFormat/>
    <w:uiPriority w:val="0"/>
    <w:rPr>
      <w:rFonts w:ascii="宋体" w:hAnsi="Courier New"/>
      <w:sz w:val="20"/>
      <w:szCs w:val="20"/>
    </w:rPr>
  </w:style>
  <w:style w:type="paragraph" w:customStyle="1" w:styleId="245">
    <w:name w:val="正文_2"/>
    <w:qFormat/>
    <w:uiPriority w:val="99"/>
    <w:pPr>
      <w:widowControl w:val="0"/>
      <w:jc w:val="both"/>
    </w:pPr>
    <w:rPr>
      <w:rFonts w:ascii="Times New Roman" w:hAnsi="Times New Roman" w:eastAsia="宋体fal" w:cs="Times New Roman"/>
      <w:kern w:val="2"/>
      <w:sz w:val="21"/>
      <w:szCs w:val="21"/>
      <w:lang w:val="en-US" w:eastAsia="zh-CN" w:bidi="ar-SA"/>
    </w:rPr>
  </w:style>
  <w:style w:type="paragraph" w:customStyle="1" w:styleId="246">
    <w:name w:val="正文_2_0"/>
    <w:basedOn w:val="230"/>
    <w:qFormat/>
    <w:uiPriority w:val="99"/>
    <w:pPr>
      <w:widowControl w:val="0"/>
      <w:jc w:val="both"/>
    </w:pPr>
    <w:rPr>
      <w:rFonts w:ascii="Calibri" w:hAnsi="Calibri" w:eastAsia="宋体fal" w:cs="Calibri"/>
      <w:kern w:val="2"/>
      <w:sz w:val="21"/>
      <w:szCs w:val="21"/>
      <w:lang w:val="en-US" w:eastAsia="zh-CN" w:bidi="ar-SA"/>
    </w:rPr>
  </w:style>
  <w:style w:type="paragraph" w:customStyle="1" w:styleId="247">
    <w:name w:val="正文_2_1"/>
    <w:qFormat/>
    <w:uiPriority w:val="99"/>
    <w:pPr>
      <w:widowControl w:val="0"/>
      <w:jc w:val="both"/>
    </w:pPr>
    <w:rPr>
      <w:rFonts w:ascii="Times New Roman" w:hAnsi="Times New Roman" w:eastAsia="宋体fal" w:cs="Times New Roman"/>
      <w:kern w:val="2"/>
      <w:sz w:val="21"/>
      <w:szCs w:val="21"/>
      <w:lang w:val="en-US" w:eastAsia="zh-CN" w:bidi="ar-SA"/>
    </w:rPr>
  </w:style>
  <w:style w:type="character" w:customStyle="1" w:styleId="248">
    <w:name w:val="10_0"/>
    <w:basedOn w:val="44"/>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90</Pages>
  <Words>3186</Words>
  <Characters>3753</Characters>
  <Lines>279</Lines>
  <Paragraphs>78</Paragraphs>
  <TotalTime>26</TotalTime>
  <ScaleCrop>false</ScaleCrop>
  <LinksUpToDate>false</LinksUpToDate>
  <CharactersWithSpaces>3802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2024-03-04T09:03:00Z</dcterms:created>
  <dc:creator>唐冰</dc:creator>
  <cp:lastModifiedBy>rainbow</cp:lastModifiedBy>
  <cp:lastPrinted>2024-02-28T08:23:00Z</cp:lastPrinted>
  <dcterms:modified xsi:type="dcterms:W3CDTF">2026-08-13T08:24:41Z</dcterms:modified>
  <dc:title>竞争性谈判文件规范</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0CDDB30F11AE42EDB1E2FD2828BBFA17_13</vt:lpwstr>
  </property>
  <property fmtid="{D5CDD505-2E9C-101B-9397-08002B2CF9AE}" pid="4" name="KSOTemplateDocerSaveRecord">
    <vt:lpwstr>eyJoZGlkIjoiYjFhNTg4NjkyYTZlZmI1MTVjMjFjMDY0ODI1OWUzOGQiLCJ1c2VySWQiOiI1MzgzMDE3MDgifQ==</vt:lpwstr>
  </property>
</Properties>
</file>