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BD240">
      <w:pPr>
        <w:pageBreakBefore w:val="0"/>
        <w:widowControl w:val="0"/>
        <w:overflowPunct/>
        <w:topLinePunct w:val="0"/>
        <w:bidi w:val="0"/>
        <w:spacing w:line="400" w:lineRule="exact"/>
        <w:ind w:left="3" w:leftChars="-95" w:right="-275" w:rightChars="-131" w:hanging="202" w:hangingChars="28"/>
        <w:jc w:val="center"/>
        <w:rPr>
          <w:rFonts w:hint="eastAsia" w:ascii="宋体" w:hAnsi="宋体" w:eastAsia="宋体" w:cs="宋体"/>
          <w:b/>
          <w:bCs/>
          <w:color w:val="000000" w:themeColor="text1"/>
          <w:sz w:val="72"/>
          <w:szCs w:val="72"/>
          <w:highlight w:val="none"/>
          <w:lang w:eastAsia="zh-CN"/>
          <w14:textFill>
            <w14:solidFill>
              <w14:schemeClr w14:val="tx1"/>
            </w14:solidFill>
          </w14:textFill>
        </w:rPr>
      </w:pPr>
    </w:p>
    <w:p w14:paraId="4B796D6C">
      <w:pPr>
        <w:pageBreakBefore w:val="0"/>
        <w:widowControl w:val="0"/>
        <w:overflowPunct/>
        <w:topLinePunct w:val="0"/>
        <w:bidi w:val="0"/>
        <w:spacing w:line="360" w:lineRule="auto"/>
        <w:ind w:left="3" w:leftChars="-95" w:right="-275" w:rightChars="-131" w:hanging="202" w:hangingChars="28"/>
        <w:jc w:val="center"/>
        <w:rPr>
          <w:rFonts w:hint="eastAsia" w:ascii="宋体" w:hAnsi="宋体" w:eastAsia="宋体" w:cs="宋体"/>
          <w:color w:val="000000" w:themeColor="text1"/>
          <w:sz w:val="72"/>
          <w:szCs w:val="72"/>
          <w:highlight w:val="none"/>
          <w:lang w:eastAsia="zh-CN"/>
          <w14:textFill>
            <w14:solidFill>
              <w14:schemeClr w14:val="tx1"/>
            </w14:solidFill>
          </w14:textFill>
        </w:rPr>
      </w:pPr>
      <w:r>
        <w:rPr>
          <w:rFonts w:hint="eastAsia" w:ascii="宋体" w:hAnsi="宋体" w:eastAsia="宋体" w:cs="宋体"/>
          <w:b/>
          <w:bCs/>
          <w:color w:val="000000" w:themeColor="text1"/>
          <w:sz w:val="72"/>
          <w:szCs w:val="72"/>
          <w:highlight w:val="none"/>
          <w:lang w:eastAsia="zh-CN"/>
          <w14:textFill>
            <w14:solidFill>
              <w14:schemeClr w14:val="tx1"/>
            </w14:solidFill>
          </w14:textFill>
        </w:rPr>
        <w:t>大华建设项目管理有限公司</w:t>
      </w:r>
    </w:p>
    <w:p w14:paraId="645D7584">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E343B49">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34B93A5">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612409B">
      <w:pPr>
        <w:pStyle w:val="8"/>
        <w:pageBreakBefore w:val="0"/>
        <w:widowControl w:val="0"/>
        <w:overflowPunct/>
        <w:topLinePunct w:val="0"/>
        <w:bidi w:val="0"/>
        <w:spacing w:line="360" w:lineRule="auto"/>
        <w:rPr>
          <w:rFonts w:hint="eastAsia" w:ascii="宋体" w:hAnsi="宋体" w:eastAsia="宋体" w:cs="宋体"/>
          <w:color w:val="000000" w:themeColor="text1"/>
          <w:highlight w:val="none"/>
          <w:lang w:eastAsia="zh-CN"/>
          <w14:textFill>
            <w14:solidFill>
              <w14:schemeClr w14:val="tx1"/>
            </w14:solidFill>
          </w14:textFill>
        </w:rPr>
      </w:pPr>
    </w:p>
    <w:p w14:paraId="5974D526">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B1C87B9">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C7C2AD5">
      <w:pPr>
        <w:pageBreakBefore w:val="0"/>
        <w:widowControl w:val="0"/>
        <w:overflowPunct/>
        <w:topLinePunct w:val="0"/>
        <w:bidi w:val="0"/>
        <w:spacing w:line="360" w:lineRule="auto"/>
        <w:ind w:firstLine="1666" w:firstLineChars="200"/>
        <w:rPr>
          <w:rFonts w:hint="eastAsia" w:ascii="宋体" w:hAnsi="宋体" w:eastAsia="宋体" w:cs="宋体"/>
          <w:color w:val="000000" w:themeColor="text1"/>
          <w:sz w:val="83"/>
          <w:szCs w:val="83"/>
          <w:highlight w:val="none"/>
          <w:lang w:eastAsia="zh-CN"/>
          <w14:textFill>
            <w14:solidFill>
              <w14:schemeClr w14:val="tx1"/>
            </w14:solidFill>
          </w14:textFill>
        </w:rPr>
      </w:pPr>
      <w:r>
        <w:rPr>
          <w:rFonts w:hint="eastAsia" w:ascii="宋体" w:hAnsi="宋体" w:eastAsia="宋体" w:cs="宋体"/>
          <w:b/>
          <w:bCs/>
          <w:color w:val="000000" w:themeColor="text1"/>
          <w:sz w:val="83"/>
          <w:szCs w:val="83"/>
          <w:highlight w:val="none"/>
          <w:lang w:eastAsia="zh-CN"/>
          <w14:textFill>
            <w14:solidFill>
              <w14:schemeClr w14:val="tx1"/>
            </w14:solidFill>
          </w14:textFill>
        </w:rPr>
        <w:t>竞争性谈判文件</w:t>
      </w:r>
    </w:p>
    <w:p w14:paraId="41502D64">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34E3E34">
      <w:pPr>
        <w:pageBreakBefore w:val="0"/>
        <w:widowControl w:val="0"/>
        <w:overflowPunct/>
        <w:topLinePunct w:val="0"/>
        <w:bidi w:val="0"/>
        <w:spacing w:line="360" w:lineRule="auto"/>
        <w:ind w:firstLine="1245" w:firstLineChars="4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322424DF">
      <w:pPr>
        <w:pageBreakBefore w:val="0"/>
        <w:widowControl w:val="0"/>
        <w:overflowPunct/>
        <w:topLinePunct w:val="0"/>
        <w:bidi w:val="0"/>
        <w:spacing w:line="360" w:lineRule="auto"/>
        <w:ind w:firstLine="1245" w:firstLineChars="4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46190C1B">
      <w:pPr>
        <w:pageBreakBefore w:val="0"/>
        <w:widowControl w:val="0"/>
        <w:overflowPunct/>
        <w:topLinePunct w:val="0"/>
        <w:bidi w:val="0"/>
        <w:spacing w:line="360" w:lineRule="auto"/>
        <w:ind w:firstLine="1245" w:firstLineChars="4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6EEF75DA">
      <w:pPr>
        <w:pageBreakBefore w:val="0"/>
        <w:widowControl w:val="0"/>
        <w:overflowPunct/>
        <w:topLinePunct w:val="0"/>
        <w:bidi w:val="0"/>
        <w:spacing w:line="360" w:lineRule="auto"/>
        <w:ind w:left="0" w:leftChars="0" w:right="0" w:rightChars="0" w:firstLine="622" w:firstLineChars="200"/>
        <w:jc w:val="both"/>
        <w:rPr>
          <w:rFonts w:hint="eastAsia" w:ascii="宋体" w:hAnsi="宋体" w:eastAsia="宋体" w:cs="宋体"/>
          <w:b/>
          <w:bCs/>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项目名称</w:t>
      </w:r>
      <w:r>
        <w:rPr>
          <w:rFonts w:hint="eastAsia" w:ascii="宋体" w:hAnsi="宋体" w:eastAsia="宋体" w:cs="宋体"/>
          <w:color w:val="000000" w:themeColor="text1"/>
          <w:sz w:val="31"/>
          <w:szCs w:val="31"/>
          <w:highlight w:val="none"/>
          <w:lang w:eastAsia="zh-CN"/>
          <w14:textFill>
            <w14:solidFill>
              <w14:schemeClr w14:val="tx1"/>
            </w14:solidFill>
          </w14:textFill>
        </w:rPr>
        <w:t>：</w:t>
      </w:r>
      <w:r>
        <w:rPr>
          <w:rFonts w:hint="eastAsia" w:ascii="宋体" w:hAnsi="宋体" w:eastAsia="宋体" w:cs="宋体"/>
          <w:b/>
          <w:bCs/>
          <w:color w:val="000000" w:themeColor="text1"/>
          <w:sz w:val="31"/>
          <w:szCs w:val="31"/>
          <w:highlight w:val="none"/>
          <w:lang w:eastAsia="zh-CN"/>
          <w14:textFill>
            <w14:solidFill>
              <w14:schemeClr w14:val="tx1"/>
            </w14:solidFill>
          </w14:textFill>
        </w:rPr>
        <w:t>2026年桂林市区控水质自动站智慧化改造项目（重）</w:t>
      </w:r>
    </w:p>
    <w:p w14:paraId="28A275CE">
      <w:pPr>
        <w:pageBreakBefore w:val="0"/>
        <w:widowControl w:val="0"/>
        <w:overflowPunct/>
        <w:topLinePunct w:val="0"/>
        <w:bidi w:val="0"/>
        <w:spacing w:line="360" w:lineRule="auto"/>
        <w:ind w:left="0" w:leftChars="0" w:right="0" w:rightChars="0" w:firstLine="622" w:firstLineChars="200"/>
        <w:jc w:val="left"/>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 xml:space="preserve">项目编号：GXZC2026-J1-003396-DHGS </w:t>
      </w:r>
    </w:p>
    <w:p w14:paraId="5894A6FD">
      <w:pPr>
        <w:pStyle w:val="8"/>
        <w:pageBreakBefore w:val="0"/>
        <w:widowControl w:val="0"/>
        <w:overflowPunct/>
        <w:topLinePunct w:val="0"/>
        <w:bidi w:val="0"/>
        <w:spacing w:line="36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7301903">
      <w:pPr>
        <w:pageBreakBefore w:val="0"/>
        <w:widowControl w:val="0"/>
        <w:overflowPunct/>
        <w:topLinePunct w:val="0"/>
        <w:bidi w:val="0"/>
        <w:spacing w:line="360" w:lineRule="auto"/>
        <w:ind w:firstLine="622" w:firstLineChars="2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303EF916">
      <w:pPr>
        <w:pageBreakBefore w:val="0"/>
        <w:widowControl w:val="0"/>
        <w:overflowPunct/>
        <w:topLinePunct w:val="0"/>
        <w:bidi w:val="0"/>
        <w:spacing w:line="360" w:lineRule="auto"/>
        <w:ind w:firstLine="622" w:firstLineChars="2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1553DA0B">
      <w:pPr>
        <w:pageBreakBefore w:val="0"/>
        <w:widowControl w:val="0"/>
        <w:overflowPunct/>
        <w:topLinePunct w:val="0"/>
        <w:bidi w:val="0"/>
        <w:spacing w:line="360" w:lineRule="auto"/>
        <w:ind w:firstLine="622" w:firstLineChars="2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11963133">
      <w:pPr>
        <w:pageBreakBefore w:val="0"/>
        <w:widowControl w:val="0"/>
        <w:overflowPunct/>
        <w:topLinePunct w:val="0"/>
        <w:bidi w:val="0"/>
        <w:spacing w:line="360" w:lineRule="auto"/>
        <w:ind w:firstLine="622" w:firstLineChars="2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07F55D77">
      <w:pPr>
        <w:pageBreakBefore w:val="0"/>
        <w:widowControl w:val="0"/>
        <w:overflowPunct/>
        <w:topLinePunct w:val="0"/>
        <w:bidi w:val="0"/>
        <w:spacing w:line="360" w:lineRule="auto"/>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采购代理机构：大华建设项目管理有限公司</w:t>
      </w:r>
    </w:p>
    <w:p w14:paraId="3959D3C1">
      <w:pPr>
        <w:pageBreakBefore w:val="0"/>
        <w:widowControl w:val="0"/>
        <w:overflowPunct/>
        <w:topLinePunct w:val="0"/>
        <w:bidi w:val="0"/>
        <w:spacing w:line="360" w:lineRule="auto"/>
        <w:jc w:val="center"/>
        <w:rPr>
          <w:rFonts w:hint="eastAsia" w:ascii="宋体" w:hAnsi="宋体" w:eastAsia="宋体" w:cs="宋体"/>
          <w:b/>
          <w:bCs/>
          <w:color w:val="000000" w:themeColor="text1"/>
          <w:sz w:val="31"/>
          <w:szCs w:val="31"/>
          <w:highlight w:val="none"/>
          <w:lang w:val="en-US"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202</w:t>
      </w:r>
      <w:r>
        <w:rPr>
          <w:rFonts w:hint="eastAsia" w:ascii="宋体" w:hAnsi="宋体" w:eastAsia="宋体" w:cs="宋体"/>
          <w:b/>
          <w:bCs/>
          <w:color w:val="000000" w:themeColor="text1"/>
          <w:sz w:val="31"/>
          <w:szCs w:val="31"/>
          <w:highlight w:val="none"/>
          <w:lang w:val="en-US" w:eastAsia="zh-CN"/>
          <w14:textFill>
            <w14:solidFill>
              <w14:schemeClr w14:val="tx1"/>
            </w14:solidFill>
          </w14:textFill>
        </w:rPr>
        <w:t>6</w:t>
      </w:r>
      <w:r>
        <w:rPr>
          <w:rFonts w:hint="eastAsia" w:ascii="宋体" w:hAnsi="宋体" w:eastAsia="宋体" w:cs="宋体"/>
          <w:b/>
          <w:bCs/>
          <w:color w:val="000000" w:themeColor="text1"/>
          <w:sz w:val="31"/>
          <w:szCs w:val="31"/>
          <w:highlight w:val="none"/>
          <w:lang w:eastAsia="zh-CN"/>
          <w14:textFill>
            <w14:solidFill>
              <w14:schemeClr w14:val="tx1"/>
            </w14:solidFill>
          </w14:textFill>
        </w:rPr>
        <w:t>年</w:t>
      </w:r>
      <w:r>
        <w:rPr>
          <w:rFonts w:hint="eastAsia" w:ascii="宋体" w:hAnsi="宋体" w:eastAsia="宋体" w:cs="宋体"/>
          <w:b/>
          <w:bCs/>
          <w:color w:val="000000" w:themeColor="text1"/>
          <w:sz w:val="31"/>
          <w:szCs w:val="31"/>
          <w:highlight w:val="none"/>
          <w:lang w:val="en-US" w:eastAsia="zh-CN"/>
          <w14:textFill>
            <w14:solidFill>
              <w14:schemeClr w14:val="tx1"/>
            </w14:solidFill>
          </w14:textFill>
        </w:rPr>
        <w:t>10月</w:t>
      </w:r>
    </w:p>
    <w:p w14:paraId="48440BA1">
      <w:pPr>
        <w:pageBreakBefore w:val="0"/>
        <w:widowControl w:val="0"/>
        <w:overflowPunct/>
        <w:topLinePunct w:val="0"/>
        <w:bidi w:val="0"/>
        <w:spacing w:line="360" w:lineRule="auto"/>
        <w:ind w:firstLine="620" w:firstLineChars="200"/>
        <w:rPr>
          <w:rFonts w:hint="eastAsia" w:ascii="宋体" w:hAnsi="宋体" w:eastAsia="宋体" w:cs="宋体"/>
          <w:color w:val="000000" w:themeColor="text1"/>
          <w:sz w:val="31"/>
          <w:szCs w:val="31"/>
          <w:highlight w:val="none"/>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sdt>
      <w:sdtPr>
        <w:rPr>
          <w:rFonts w:hint="eastAsia" w:ascii="宋体" w:hAnsi="宋体" w:eastAsia="宋体" w:cs="宋体"/>
          <w:color w:val="000000" w:themeColor="text1"/>
          <w:sz w:val="44"/>
          <w:szCs w:val="44"/>
          <w:highlight w:val="none"/>
          <w14:textFill>
            <w14:solidFill>
              <w14:schemeClr w14:val="tx1"/>
            </w14:solidFill>
          </w14:textFill>
        </w:rPr>
        <w:id w:val="147470290"/>
        <w15:color w:val="DBDBDB"/>
      </w:sdtPr>
      <w:sdtEndPr>
        <w:rPr>
          <w:rFonts w:hint="eastAsia" w:ascii="宋体" w:hAnsi="宋体" w:eastAsia="宋体" w:cs="宋体"/>
          <w:color w:val="000000" w:themeColor="text1"/>
          <w:sz w:val="21"/>
          <w:szCs w:val="31"/>
          <w:highlight w:val="none"/>
          <w14:textFill>
            <w14:solidFill>
              <w14:schemeClr w14:val="tx1"/>
            </w14:solidFill>
          </w14:textFill>
        </w:rPr>
      </w:sdtEndPr>
      <w:sdtContent>
        <w:p w14:paraId="2C2FFD70">
          <w:pPr>
            <w:pageBreakBefore w:val="0"/>
            <w:widowControl w:val="0"/>
            <w:overflowPunct/>
            <w:topLinePunct w:val="0"/>
            <w:bidi w:val="0"/>
            <w:spacing w:line="360" w:lineRule="auto"/>
            <w:jc w:val="center"/>
            <w:rPr>
              <w:rFonts w:hint="eastAsia" w:ascii="宋体" w:hAnsi="宋体" w:eastAsia="宋体" w:cs="宋体"/>
              <w:color w:val="000000" w:themeColor="text1"/>
              <w:sz w:val="44"/>
              <w:szCs w:val="44"/>
              <w:highlight w:val="none"/>
              <w14:textFill>
                <w14:solidFill>
                  <w14:schemeClr w14:val="tx1"/>
                </w14:solidFill>
              </w14:textFill>
            </w:rPr>
          </w:pPr>
        </w:p>
        <w:p w14:paraId="1361AB47">
          <w:pPr>
            <w:pageBreakBefore w:val="0"/>
            <w:widowControl w:val="0"/>
            <w:overflowPunct/>
            <w:topLinePunct w:val="0"/>
            <w:bidi w:val="0"/>
            <w:spacing w:line="360" w:lineRule="auto"/>
            <w:jc w:val="center"/>
            <w:rPr>
              <w:rFonts w:hint="default" w:ascii="Times New Roman" w:hAnsi="Times New Roman" w:eastAsia="宋体" w:cs="Times New Roman"/>
              <w:b/>
              <w:bCs/>
              <w:color w:val="000000" w:themeColor="text1"/>
              <w:sz w:val="44"/>
              <w:szCs w:val="44"/>
              <w:highlight w:val="none"/>
              <w14:textFill>
                <w14:solidFill>
                  <w14:schemeClr w14:val="tx1"/>
                </w14:solidFill>
              </w14:textFill>
            </w:rPr>
          </w:pPr>
          <w:r>
            <w:rPr>
              <w:rFonts w:hint="default" w:ascii="Times New Roman" w:hAnsi="Times New Roman" w:eastAsia="宋体" w:cs="Times New Roman"/>
              <w:b/>
              <w:bCs/>
              <w:color w:val="000000" w:themeColor="text1"/>
              <w:sz w:val="44"/>
              <w:szCs w:val="44"/>
              <w:highlight w:val="none"/>
              <w14:textFill>
                <w14:solidFill>
                  <w14:schemeClr w14:val="tx1"/>
                </w14:solidFill>
              </w14:textFill>
            </w:rPr>
            <w:t>目</w:t>
          </w:r>
          <w:r>
            <w:rPr>
              <w:rFonts w:hint="default" w:ascii="Times New Roman" w:hAnsi="Times New Roman" w:eastAsia="宋体" w:cs="Times New Roman"/>
              <w:b/>
              <w:bCs/>
              <w:color w:val="000000" w:themeColor="text1"/>
              <w:sz w:val="44"/>
              <w:szCs w:val="44"/>
              <w:highlight w:val="none"/>
              <w:lang w:eastAsia="zh-CN"/>
              <w14:textFill>
                <w14:solidFill>
                  <w14:schemeClr w14:val="tx1"/>
                </w14:solidFill>
              </w14:textFill>
            </w:rPr>
            <w:t xml:space="preserve">  </w:t>
          </w:r>
          <w:r>
            <w:rPr>
              <w:rFonts w:hint="default" w:ascii="Times New Roman" w:hAnsi="Times New Roman" w:eastAsia="宋体" w:cs="Times New Roman"/>
              <w:b/>
              <w:bCs/>
              <w:color w:val="000000" w:themeColor="text1"/>
              <w:sz w:val="44"/>
              <w:szCs w:val="44"/>
              <w:highlight w:val="none"/>
              <w14:textFill>
                <w14:solidFill>
                  <w14:schemeClr w14:val="tx1"/>
                </w14:solidFill>
              </w14:textFill>
            </w:rPr>
            <w:t>录</w:t>
          </w:r>
        </w:p>
        <w:p w14:paraId="04BDA711">
          <w:pPr>
            <w:pStyle w:val="14"/>
            <w:tabs>
              <w:tab w:val="right" w:leader="dot" w:pos="9412"/>
            </w:tabs>
            <w:spacing w:line="360" w:lineRule="auto"/>
            <w:rPr>
              <w:rFonts w:hint="default" w:ascii="Times New Roman" w:hAnsi="Times New Roman" w:cs="Times New Roman"/>
              <w:b w:val="0"/>
              <w:bCs w:val="0"/>
              <w:sz w:val="32"/>
              <w:szCs w:val="32"/>
            </w:rPr>
          </w:pPr>
          <w:r>
            <w:rPr>
              <w:rFonts w:hint="default" w:ascii="Times New Roman" w:hAnsi="Times New Roman" w:eastAsia="宋体" w:cs="Times New Roman"/>
              <w:color w:val="000000" w:themeColor="text1"/>
              <w:sz w:val="30"/>
              <w:szCs w:val="30"/>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30"/>
              <w:szCs w:val="30"/>
              <w:highlight w:val="none"/>
              <w14:textFill>
                <w14:solidFill>
                  <w14:schemeClr w14:val="tx1"/>
                </w14:solidFill>
              </w14:textFill>
            </w:rPr>
            <w:instrText xml:space="preserve">TOC \o "1-1" \h \u </w:instrText>
          </w:r>
          <w:r>
            <w:rPr>
              <w:rFonts w:hint="default" w:ascii="Times New Roman" w:hAnsi="Times New Roman" w:eastAsia="宋体" w:cs="Times New Roman"/>
              <w:color w:val="000000" w:themeColor="text1"/>
              <w:sz w:val="30"/>
              <w:szCs w:val="30"/>
              <w:highlight w:val="none"/>
              <w14:textFill>
                <w14:solidFill>
                  <w14:schemeClr w14:val="tx1"/>
                </w14:solidFill>
              </w14:textFill>
            </w:rPr>
            <w:fldChar w:fldCharType="separate"/>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_Toc3160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z w:val="32"/>
              <w:szCs w:val="32"/>
              <w:highlight w:val="none"/>
            </w:rPr>
            <w:t>第一章 竞争性谈判公告</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_Toc3160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1</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4D731028">
          <w:pPr>
            <w:pStyle w:val="14"/>
            <w:tabs>
              <w:tab w:val="right" w:leader="dot" w:pos="9412"/>
            </w:tabs>
            <w:spacing w:line="360" w:lineRule="auto"/>
            <w:rPr>
              <w:rFonts w:hint="default" w:ascii="Times New Roman" w:hAnsi="Times New Roman" w:cs="Times New Roman"/>
              <w:b w:val="0"/>
              <w:bCs w:val="0"/>
              <w:sz w:val="32"/>
              <w:szCs w:val="32"/>
            </w:rPr>
          </w:pP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_Toc8853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z w:val="32"/>
              <w:szCs w:val="32"/>
              <w:highlight w:val="none"/>
              <w:lang w:eastAsia="zh-CN"/>
            </w:rPr>
            <w:t>第二章 供应商须知</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_Toc8853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4</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3B46B97A">
          <w:pPr>
            <w:pStyle w:val="14"/>
            <w:tabs>
              <w:tab w:val="right" w:leader="dot" w:pos="9412"/>
            </w:tabs>
            <w:spacing w:line="360" w:lineRule="auto"/>
            <w:rPr>
              <w:rFonts w:hint="default" w:ascii="Times New Roman" w:hAnsi="Times New Roman" w:cs="Times New Roman"/>
              <w:b w:val="0"/>
              <w:bCs w:val="0"/>
              <w:sz w:val="32"/>
              <w:szCs w:val="32"/>
            </w:rPr>
          </w:pP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_Toc4451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z w:val="32"/>
              <w:szCs w:val="32"/>
              <w:highlight w:val="none"/>
              <w:lang w:eastAsia="zh-CN"/>
            </w:rPr>
            <w:t>第三章  采购需求</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_Toc4451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30</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491BD98E">
          <w:pPr>
            <w:pStyle w:val="14"/>
            <w:tabs>
              <w:tab w:val="right" w:leader="dot" w:pos="9412"/>
            </w:tabs>
            <w:spacing w:line="360" w:lineRule="auto"/>
            <w:rPr>
              <w:rFonts w:hint="default" w:ascii="Times New Roman" w:hAnsi="Times New Roman" w:cs="Times New Roman"/>
              <w:b w:val="0"/>
              <w:bCs w:val="0"/>
              <w:sz w:val="32"/>
              <w:szCs w:val="32"/>
            </w:rPr>
          </w:pP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_Toc7582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napToGrid w:val="0"/>
              <w:kern w:val="44"/>
              <w:sz w:val="32"/>
              <w:szCs w:val="32"/>
              <w:highlight w:val="none"/>
              <w:lang w:val="en-US" w:eastAsia="en-US" w:bidi="ar-SA"/>
            </w:rPr>
            <w:t>第四章</w:t>
          </w:r>
          <w:r>
            <w:rPr>
              <w:rFonts w:hint="default" w:ascii="Times New Roman" w:hAnsi="Times New Roman" w:eastAsia="宋体" w:cs="Times New Roman"/>
              <w:b w:val="0"/>
              <w:bCs w:val="0"/>
              <w:snapToGrid w:val="0"/>
              <w:kern w:val="44"/>
              <w:sz w:val="32"/>
              <w:szCs w:val="32"/>
              <w:highlight w:val="none"/>
              <w:lang w:val="en-US" w:eastAsia="zh-CN" w:bidi="ar-SA"/>
            </w:rPr>
            <w:t xml:space="preserve"> </w:t>
          </w:r>
          <w:r>
            <w:rPr>
              <w:rFonts w:hint="default" w:ascii="Times New Roman" w:hAnsi="Times New Roman" w:eastAsia="宋体" w:cs="Times New Roman"/>
              <w:b w:val="0"/>
              <w:bCs w:val="0"/>
              <w:sz w:val="32"/>
              <w:szCs w:val="32"/>
              <w:highlight w:val="none"/>
            </w:rPr>
            <w:t>评审办法</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_Toc7582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62</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52C541E6">
          <w:pPr>
            <w:pStyle w:val="14"/>
            <w:tabs>
              <w:tab w:val="right" w:leader="dot" w:pos="9412"/>
            </w:tabs>
            <w:spacing w:line="360" w:lineRule="auto"/>
            <w:rPr>
              <w:rFonts w:hint="default" w:ascii="Times New Roman" w:hAnsi="Times New Roman" w:cs="Times New Roman"/>
              <w:b w:val="0"/>
              <w:bCs w:val="0"/>
              <w:sz w:val="32"/>
              <w:szCs w:val="32"/>
            </w:rPr>
          </w:pP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_Toc24024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z w:val="32"/>
              <w:szCs w:val="32"/>
              <w:highlight w:val="none"/>
              <w:lang w:eastAsia="zh-CN"/>
            </w:rPr>
            <w:t>第五章  政府采购合同（合同主要条款及格式）</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_Toc24024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66</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697C7D44">
          <w:pPr>
            <w:pStyle w:val="14"/>
            <w:tabs>
              <w:tab w:val="right" w:leader="dot" w:pos="9412"/>
            </w:tabs>
            <w:spacing w:line="360" w:lineRule="auto"/>
            <w:rPr>
              <w:rFonts w:hint="default" w:ascii="Times New Roman" w:hAnsi="Times New Roman" w:cs="Times New Roman"/>
            </w:rPr>
          </w:pP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begin"/>
          </w:r>
          <w:r>
            <w:rPr>
              <w:rFonts w:hint="default" w:ascii="Times New Roman" w:hAnsi="Times New Roman" w:eastAsia="宋体" w:cs="Times New Roman"/>
              <w:b w:val="0"/>
              <w:bCs w:val="0"/>
              <w:sz w:val="32"/>
              <w:szCs w:val="32"/>
              <w:highlight w:val="none"/>
            </w:rPr>
            <w:instrText xml:space="preserve"> HYPERLINK \l _Toc4503 </w:instrText>
          </w:r>
          <w:r>
            <w:rPr>
              <w:rFonts w:hint="default" w:ascii="Times New Roman" w:hAnsi="Times New Roman" w:eastAsia="宋体" w:cs="Times New Roman"/>
              <w:b w:val="0"/>
              <w:bCs w:val="0"/>
              <w:sz w:val="32"/>
              <w:szCs w:val="32"/>
              <w:highlight w:val="none"/>
            </w:rPr>
            <w:fldChar w:fldCharType="separate"/>
          </w:r>
          <w:r>
            <w:rPr>
              <w:rFonts w:hint="default" w:ascii="Times New Roman" w:hAnsi="Times New Roman" w:eastAsia="宋体" w:cs="Times New Roman"/>
              <w:b w:val="0"/>
              <w:bCs w:val="0"/>
              <w:sz w:val="32"/>
              <w:szCs w:val="32"/>
              <w:highlight w:val="none"/>
              <w:lang w:eastAsia="zh-CN"/>
            </w:rPr>
            <w:t>第六章 响应文件（格式）</w:t>
          </w:r>
          <w:r>
            <w:rPr>
              <w:rFonts w:hint="default" w:ascii="Times New Roman" w:hAnsi="Times New Roman" w:cs="Times New Roman"/>
              <w:b w:val="0"/>
              <w:bCs w:val="0"/>
              <w:sz w:val="32"/>
              <w:szCs w:val="32"/>
            </w:rPr>
            <w:tab/>
          </w:r>
          <w:r>
            <w:rPr>
              <w:rFonts w:hint="default" w:ascii="Times New Roman" w:hAnsi="Times New Roman" w:cs="Times New Roman"/>
              <w:b w:val="0"/>
              <w:bCs w:val="0"/>
              <w:sz w:val="32"/>
              <w:szCs w:val="32"/>
            </w:rPr>
            <w:fldChar w:fldCharType="begin"/>
          </w:r>
          <w:r>
            <w:rPr>
              <w:rFonts w:hint="default" w:ascii="Times New Roman" w:hAnsi="Times New Roman" w:cs="Times New Roman"/>
              <w:b w:val="0"/>
              <w:bCs w:val="0"/>
              <w:sz w:val="32"/>
              <w:szCs w:val="32"/>
            </w:rPr>
            <w:instrText xml:space="preserve"> PAGEREF _Toc4503 \h </w:instrText>
          </w:r>
          <w:r>
            <w:rPr>
              <w:rFonts w:hint="default" w:ascii="Times New Roman" w:hAnsi="Times New Roman" w:cs="Times New Roman"/>
              <w:b w:val="0"/>
              <w:bCs w:val="0"/>
              <w:sz w:val="32"/>
              <w:szCs w:val="32"/>
            </w:rPr>
            <w:fldChar w:fldCharType="separate"/>
          </w:r>
          <w:r>
            <w:rPr>
              <w:rFonts w:hint="default" w:ascii="Times New Roman" w:hAnsi="Times New Roman" w:cs="Times New Roman"/>
              <w:b w:val="0"/>
              <w:bCs w:val="0"/>
              <w:sz w:val="32"/>
              <w:szCs w:val="32"/>
            </w:rPr>
            <w:t>72</w:t>
          </w:r>
          <w:r>
            <w:rPr>
              <w:rFonts w:hint="default" w:ascii="Times New Roman" w:hAnsi="Times New Roman" w:cs="Times New Roman"/>
              <w:b w:val="0"/>
              <w:bCs w:val="0"/>
              <w:sz w:val="32"/>
              <w:szCs w:val="32"/>
            </w:rPr>
            <w:fldChar w:fldCharType="end"/>
          </w:r>
          <w:r>
            <w:rPr>
              <w:rFonts w:hint="default" w:ascii="Times New Roman" w:hAnsi="Times New Roman" w:eastAsia="宋体" w:cs="Times New Roman"/>
              <w:b w:val="0"/>
              <w:bCs w:val="0"/>
              <w:color w:val="000000" w:themeColor="text1"/>
              <w:sz w:val="32"/>
              <w:szCs w:val="32"/>
              <w:highlight w:val="none"/>
              <w14:textFill>
                <w14:solidFill>
                  <w14:schemeClr w14:val="tx1"/>
                </w14:solidFill>
              </w14:textFill>
            </w:rPr>
            <w:fldChar w:fldCharType="end"/>
          </w:r>
        </w:p>
        <w:p w14:paraId="7E1C011E">
          <w:pPr>
            <w:pageBreakBefore w:val="0"/>
            <w:widowControl w:val="0"/>
            <w:overflowPunct/>
            <w:topLinePunct w:val="0"/>
            <w:bidi w:val="0"/>
            <w:spacing w:line="480" w:lineRule="auto"/>
            <w:ind w:firstLine="420" w:firstLineChars="200"/>
            <w:rPr>
              <w:rFonts w:hint="eastAsia" w:ascii="宋体" w:hAnsi="宋体" w:eastAsia="宋体" w:cs="宋体"/>
              <w:color w:val="000000" w:themeColor="text1"/>
              <w:szCs w:val="31"/>
              <w:highlight w:val="none"/>
              <w14:textFill>
                <w14:solidFill>
                  <w14:schemeClr w14:val="tx1"/>
                </w14:solidFill>
              </w14:textFill>
            </w:rPr>
          </w:pPr>
          <w:r>
            <w:rPr>
              <w:rFonts w:hint="default" w:ascii="Times New Roman" w:hAnsi="Times New Roman" w:eastAsia="宋体" w:cs="Times New Roman"/>
              <w:color w:val="000000" w:themeColor="text1"/>
              <w:szCs w:val="30"/>
              <w:highlight w:val="none"/>
              <w14:textFill>
                <w14:solidFill>
                  <w14:schemeClr w14:val="tx1"/>
                </w14:solidFill>
              </w14:textFill>
            </w:rPr>
            <w:fldChar w:fldCharType="end"/>
          </w:r>
        </w:p>
      </w:sdtContent>
    </w:sdt>
    <w:p w14:paraId="3437D16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Cs w:val="31"/>
          <w:highlight w:val="none"/>
          <w14:textFill>
            <w14:solidFill>
              <w14:schemeClr w14:val="tx1"/>
            </w14:solidFill>
          </w14:textFill>
        </w:rPr>
        <w:sectPr>
          <w:footerReference r:id="rId3"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B90C784">
      <w:pPr>
        <w:pageBreakBefore w:val="0"/>
        <w:widowControl w:val="0"/>
        <w:overflowPunct/>
        <w:topLinePunct w:val="0"/>
        <w:bidi w:val="0"/>
        <w:spacing w:line="400" w:lineRule="exact"/>
        <w:jc w:val="center"/>
        <w:outlineLvl w:val="0"/>
        <w:rPr>
          <w:rFonts w:hint="eastAsia" w:ascii="宋体" w:hAnsi="宋体" w:eastAsia="宋体" w:cs="宋体"/>
          <w:color w:val="000000" w:themeColor="text1"/>
          <w:sz w:val="31"/>
          <w:szCs w:val="31"/>
          <w:highlight w:val="none"/>
          <w14:textFill>
            <w14:solidFill>
              <w14:schemeClr w14:val="tx1"/>
            </w14:solidFill>
          </w14:textFill>
        </w:rPr>
      </w:pPr>
      <w:bookmarkStart w:id="0" w:name="bookmark1"/>
      <w:bookmarkEnd w:id="0"/>
      <w:bookmarkStart w:id="1" w:name="bookmark2"/>
      <w:bookmarkEnd w:id="1"/>
      <w:bookmarkStart w:id="2" w:name="_Toc3160"/>
      <w:r>
        <w:rPr>
          <w:rFonts w:hint="eastAsia" w:ascii="宋体" w:hAnsi="宋体" w:eastAsia="宋体" w:cs="宋体"/>
          <w:b/>
          <w:bCs/>
          <w:color w:val="000000" w:themeColor="text1"/>
          <w:sz w:val="31"/>
          <w:szCs w:val="31"/>
          <w:highlight w:val="none"/>
          <w14:textFill>
            <w14:solidFill>
              <w14:schemeClr w14:val="tx1"/>
            </w14:solidFill>
          </w14:textFill>
        </w:rPr>
        <w:t>第一章</w:t>
      </w:r>
      <w:r>
        <w:rPr>
          <w:rFonts w:hint="eastAsia" w:ascii="宋体" w:hAnsi="宋体" w:eastAsia="宋体" w:cs="宋体"/>
          <w:color w:val="000000" w:themeColor="text1"/>
          <w:sz w:val="31"/>
          <w:szCs w:val="31"/>
          <w:highlight w:val="none"/>
          <w14:textFill>
            <w14:solidFill>
              <w14:schemeClr w14:val="tx1"/>
            </w14:solidFill>
          </w14:textFill>
        </w:rPr>
        <w:t xml:space="preserve"> </w:t>
      </w:r>
      <w:r>
        <w:rPr>
          <w:rFonts w:hint="eastAsia" w:ascii="宋体" w:hAnsi="宋体" w:eastAsia="宋体" w:cs="宋体"/>
          <w:b/>
          <w:bCs/>
          <w:color w:val="000000" w:themeColor="text1"/>
          <w:sz w:val="31"/>
          <w:szCs w:val="31"/>
          <w:highlight w:val="none"/>
          <w14:textFill>
            <w14:solidFill>
              <w14:schemeClr w14:val="tx1"/>
            </w14:solidFill>
          </w14:textFill>
        </w:rPr>
        <w:t>竞争性谈判公告</w:t>
      </w:r>
      <w:bookmarkEnd w:id="2"/>
    </w:p>
    <w:p w14:paraId="4A3FF97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p>
    <w:tbl>
      <w:tblPr>
        <w:tblStyle w:val="26"/>
        <w:tblW w:w="947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71"/>
      </w:tblGrid>
      <w:tr w14:paraId="4384908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410" w:hRule="atLeast"/>
        </w:trPr>
        <w:tc>
          <w:tcPr>
            <w:tcW w:w="9471" w:type="dxa"/>
          </w:tcPr>
          <w:p w14:paraId="1D8C0875">
            <w:pPr>
              <w:pStyle w:val="27"/>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项目概况</w:t>
            </w:r>
          </w:p>
          <w:p w14:paraId="69842D1D">
            <w:pPr>
              <w:pStyle w:val="27"/>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cs="宋体"/>
                <w:color w:val="000000" w:themeColor="text1"/>
                <w:sz w:val="21"/>
                <w:szCs w:val="21"/>
                <w:highlight w:val="none"/>
                <w:lang w:eastAsia="zh-CN"/>
                <w14:textFill>
                  <w14:solidFill>
                    <w14:schemeClr w14:val="tx1"/>
                  </w14:solidFill>
                </w14:textFill>
              </w:rPr>
              <w:t>2026年桂林市区控水质自动站智慧化改造项目（重）</w:t>
            </w:r>
            <w:r>
              <w:rPr>
                <w:rFonts w:hint="eastAsia" w:ascii="宋体" w:hAnsi="宋体" w:eastAsia="宋体" w:cs="宋体"/>
                <w:color w:val="000000" w:themeColor="text1"/>
                <w:sz w:val="21"/>
                <w:szCs w:val="21"/>
                <w:highlight w:val="none"/>
                <w:lang w:eastAsia="zh-CN"/>
                <w14:textFill>
                  <w14:solidFill>
                    <w14:schemeClr w14:val="tx1"/>
                  </w14:solidFill>
                </w14:textFill>
              </w:rPr>
              <w:t>的潜在供应商应在广西政府采购云平台线上获取获取采购文件，并于</w:t>
            </w:r>
            <w:r>
              <w:rPr>
                <w:rFonts w:hint="eastAsia" w:cs="宋体"/>
                <w:color w:val="000000" w:themeColor="text1"/>
                <w:sz w:val="21"/>
                <w:szCs w:val="21"/>
                <w:highlight w:val="none"/>
                <w:lang w:eastAsia="zh-CN"/>
                <w14:textFill>
                  <w14:solidFill>
                    <w14:schemeClr w14:val="tx1"/>
                  </w14:solidFill>
                </w14:textFill>
              </w:rPr>
              <w:t>2026年10月28日</w:t>
            </w:r>
            <w:r>
              <w:rPr>
                <w:rFonts w:hint="eastAsia" w:ascii="宋体" w:hAnsi="宋体" w:eastAsia="宋体" w:cs="宋体"/>
                <w:color w:val="000000" w:themeColor="text1"/>
                <w:sz w:val="21"/>
                <w:szCs w:val="21"/>
                <w:highlight w:val="none"/>
                <w:lang w:val="en-US" w:eastAsia="zh-CN"/>
                <w14:textFill>
                  <w14:solidFill>
                    <w14:schemeClr w14:val="tx1"/>
                  </w14:solidFill>
                </w14:textFill>
              </w:rPr>
              <w:t>09</w:t>
            </w:r>
            <w:r>
              <w:rPr>
                <w:rFonts w:hint="eastAsia" w:ascii="宋体" w:hAnsi="宋体" w:eastAsia="宋体" w:cs="宋体"/>
                <w:color w:val="000000" w:themeColor="text1"/>
                <w:sz w:val="21"/>
                <w:szCs w:val="21"/>
                <w:highlight w:val="none"/>
                <w:lang w:eastAsia="zh-CN"/>
                <w14:textFill>
                  <w14:solidFill>
                    <w14:schemeClr w14:val="tx1"/>
                  </w14:solidFill>
                </w14:textFill>
              </w:rPr>
              <w:t>:30（北京时间）前提交响应文件。</w:t>
            </w:r>
          </w:p>
        </w:tc>
      </w:tr>
    </w:tbl>
    <w:p w14:paraId="658AF1B2">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一、项目基本情况</w:t>
      </w:r>
    </w:p>
    <w:p w14:paraId="4E101643">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项目编号：GXZC2026-J1-003396-DHGS </w:t>
      </w:r>
    </w:p>
    <w:p w14:paraId="377E341D">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项目名称：2026年桂林市区控水质自动站智慧化改造项目（重）</w:t>
      </w:r>
    </w:p>
    <w:p w14:paraId="765159A1">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采购方式：竞争性谈判</w:t>
      </w:r>
    </w:p>
    <w:p w14:paraId="67F78351">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i w:val="0"/>
          <w:iCs w:val="0"/>
          <w:caps w:val="0"/>
          <w:color w:val="000000" w:themeColor="text1"/>
          <w:spacing w:val="0"/>
          <w:sz w:val="30"/>
          <w:szCs w:val="30"/>
          <w:highlight w:val="none"/>
          <w:shd w:val="clear" w:fill="FFFFFF"/>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预算总金额（元）：人民币壹佰叁拾万元整（¥1,300,000.00）</w:t>
      </w:r>
    </w:p>
    <w:p w14:paraId="7B11A64B">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采购需求：</w:t>
      </w:r>
    </w:p>
    <w:p w14:paraId="4A56B87D">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标项名称:桂林市区控水质自动站智慧化改造</w:t>
      </w:r>
    </w:p>
    <w:p w14:paraId="389FA35A">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数量:</w:t>
      </w:r>
      <w:r>
        <w:rPr>
          <w:rFonts w:hint="eastAsia" w:ascii="宋体" w:hAnsi="宋体" w:eastAsia="宋体" w:cs="宋体"/>
          <w:color w:val="000000" w:themeColor="text1"/>
          <w:highlight w:val="none"/>
          <w:lang w:val="en-US" w:eastAsia="zh-CN"/>
          <w14:textFill>
            <w14:solidFill>
              <w14:schemeClr w14:val="tx1"/>
            </w14:solidFill>
          </w14:textFill>
        </w:rPr>
        <w:t>2套</w:t>
      </w:r>
    </w:p>
    <w:p w14:paraId="60ADDBEB">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预算金额（元）:人民币壹佰叁拾万元整（¥1,300,000.00）</w:t>
      </w:r>
    </w:p>
    <w:p w14:paraId="60AA3BA5">
      <w:pPr>
        <w:keepNext w:val="0"/>
        <w:keepLines w:val="0"/>
        <w:pageBreakBefore w:val="0"/>
        <w:widowControl w:val="0"/>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简要规格描述或项目基本概况介绍、用途：</w:t>
      </w:r>
      <w:r>
        <w:rPr>
          <w:rFonts w:hint="eastAsia" w:ascii="宋体" w:hAnsi="宋体" w:eastAsia="宋体" w:cs="宋体"/>
          <w:color w:val="000000" w:themeColor="text1"/>
          <w:highlight w:val="none"/>
          <w:lang w:val="en-US" w:eastAsia="zh-CN"/>
          <w14:textFill>
            <w14:solidFill>
              <w14:schemeClr w14:val="tx1"/>
            </w14:solidFill>
          </w14:textFill>
        </w:rPr>
        <w:t>本项目拟采购2套智慧化水站，用于对恭城河口、水库出水口两个水站进行智慧化改造。主要包括水质自动分析仪器（五参数及高锰酸盐指数、氨氮、总磷、总氮）、站房建设及改建、智慧站房系统、系统集成、智慧平台等，并要求实现自动运行、自动维护、自动质控等智慧化功能。</w:t>
      </w:r>
      <w:r>
        <w:rPr>
          <w:rFonts w:hint="eastAsia" w:ascii="宋体" w:hAnsi="宋体" w:eastAsia="宋体" w:cs="宋体"/>
          <w:color w:val="000000" w:themeColor="text1"/>
          <w:highlight w:val="none"/>
          <w:lang w:eastAsia="zh-CN"/>
          <w14:textFill>
            <w14:solidFill>
              <w14:schemeClr w14:val="tx1"/>
            </w14:solidFill>
          </w14:textFill>
        </w:rPr>
        <w:t>具体详见竞争性谈判文件。</w:t>
      </w:r>
    </w:p>
    <w:p w14:paraId="59E38DB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最高限价（元）：人民币壹佰叁拾万元整（¥1,300,000.00）</w:t>
      </w:r>
    </w:p>
    <w:p w14:paraId="4679A44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合同履约期限：仪器设备验收时间：两个月内完成安装调试、试运行、验收。</w:t>
      </w:r>
      <w:r>
        <w:rPr>
          <w:rFonts w:hint="eastAsia" w:ascii="宋体" w:hAnsi="宋体" w:eastAsia="宋体" w:cs="宋体"/>
          <w:snapToGrid w:val="0"/>
          <w:color w:val="000000" w:themeColor="text1"/>
          <w:spacing w:val="7"/>
          <w:kern w:val="0"/>
          <w:sz w:val="21"/>
          <w:szCs w:val="21"/>
          <w:highlight w:val="none"/>
          <w:lang w:val="en-US" w:eastAsia="zh-CN"/>
          <w14:textFill>
            <w14:solidFill>
              <w14:schemeClr w14:val="tx1"/>
            </w14:solidFill>
          </w14:textFill>
        </w:rPr>
        <w:t>项目验收通过后运维期为3年，运维期时长及运维内容不随全区区控水站点位调整方案的变化而改变</w:t>
      </w:r>
      <w:r>
        <w:rPr>
          <w:rFonts w:hint="eastAsia" w:ascii="宋体" w:hAnsi="宋体" w:eastAsia="宋体" w:cs="宋体"/>
          <w:color w:val="000000" w:themeColor="text1"/>
          <w:highlight w:val="none"/>
          <w:lang w:eastAsia="zh-CN"/>
          <w14:textFill>
            <w14:solidFill>
              <w14:schemeClr w14:val="tx1"/>
            </w14:solidFill>
          </w14:textFill>
        </w:rPr>
        <w:t>。</w:t>
      </w:r>
    </w:p>
    <w:p w14:paraId="6AF809B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本项目不接受联合体投标</w:t>
      </w:r>
    </w:p>
    <w:p w14:paraId="437EE2D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备注：/</w:t>
      </w:r>
    </w:p>
    <w:p w14:paraId="4542CF99">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二、</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申请人的资格要求：</w:t>
      </w:r>
    </w:p>
    <w:p w14:paraId="23739F2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1.满足《中华人民共和国政府采购法》第二十二条规定。</w:t>
      </w:r>
    </w:p>
    <w:p w14:paraId="44A72FF9">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2.落实政府采购政策需满足的资格要求：</w:t>
      </w:r>
      <w:r>
        <w:rPr>
          <w:rFonts w:hint="eastAsia" w:ascii="宋体" w:hAnsi="宋体" w:eastAsia="宋体" w:cs="宋体"/>
          <w:bCs w:val="0"/>
          <w:color w:val="000000" w:themeColor="text1"/>
          <w:highlight w:val="none"/>
          <w:lang w:eastAsia="zh-CN"/>
          <w14:textFill>
            <w14:solidFill>
              <w14:schemeClr w14:val="tx1"/>
            </w14:solidFill>
          </w14:textFill>
        </w:rPr>
        <w:t>本项目非专门面向中小微企业采购</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p w14:paraId="71AC456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3.本项目的特定资格要求：</w:t>
      </w:r>
      <w:r>
        <w:rPr>
          <w:rFonts w:hint="eastAsia" w:ascii="宋体" w:hAnsi="宋体" w:eastAsia="宋体" w:cs="宋体"/>
          <w:color w:val="000000" w:themeColor="text1"/>
          <w:szCs w:val="21"/>
          <w:highlight w:val="none"/>
          <w14:textFill>
            <w14:solidFill>
              <w14:schemeClr w14:val="tx1"/>
            </w14:solidFill>
          </w14:textFill>
        </w:rPr>
        <w:t>无</w:t>
      </w:r>
      <w:r>
        <w:rPr>
          <w:rFonts w:hint="eastAsia" w:ascii="宋体" w:hAnsi="宋体" w:eastAsia="宋体" w:cs="宋体"/>
          <w:color w:val="000000" w:themeColor="text1"/>
          <w:highlight w:val="none"/>
          <w:lang w:eastAsia="zh-CN"/>
          <w14:textFill>
            <w14:solidFill>
              <w14:schemeClr w14:val="tx1"/>
            </w14:solidFill>
          </w14:textFill>
        </w:rPr>
        <w:t>。</w:t>
      </w:r>
    </w:p>
    <w:p w14:paraId="49AE9004">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三、获取采购文件</w:t>
      </w:r>
    </w:p>
    <w:p w14:paraId="3016419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时间：</w:t>
      </w:r>
      <w:r>
        <w:rPr>
          <w:rFonts w:hint="eastAsia" w:ascii="宋体" w:hAnsi="宋体" w:eastAsia="宋体" w:cs="宋体"/>
          <w:bCs/>
          <w:color w:val="000000" w:themeColor="text1"/>
          <w:kern w:val="0"/>
          <w:szCs w:val="21"/>
          <w:highlight w:val="none"/>
          <w14:textFill>
            <w14:solidFill>
              <w14:schemeClr w14:val="tx1"/>
            </w14:solidFill>
          </w14:textFill>
        </w:rPr>
        <w:t>202</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bCs/>
          <w:color w:val="000000" w:themeColor="text1"/>
          <w:kern w:val="0"/>
          <w:szCs w:val="21"/>
          <w:highlight w:val="none"/>
          <w14:textFill>
            <w14:solidFill>
              <w14:schemeClr w14:val="tx1"/>
            </w14:solidFill>
          </w14:textFill>
        </w:rPr>
        <w:t>年</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10</w:t>
      </w:r>
      <w:r>
        <w:rPr>
          <w:rFonts w:hint="eastAsia" w:ascii="宋体" w:hAnsi="宋体" w:eastAsia="宋体" w:cs="宋体"/>
          <w:bCs/>
          <w:color w:val="000000" w:themeColor="text1"/>
          <w:kern w:val="0"/>
          <w:szCs w:val="21"/>
          <w:highlight w:val="none"/>
          <w14:textFill>
            <w14:solidFill>
              <w14:schemeClr w14:val="tx1"/>
            </w14:solidFill>
          </w14:textFill>
        </w:rPr>
        <w:t>月</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19</w:t>
      </w:r>
      <w:r>
        <w:rPr>
          <w:rFonts w:hint="eastAsia" w:ascii="宋体" w:hAnsi="宋体" w:eastAsia="宋体" w:cs="宋体"/>
          <w:bCs/>
          <w:color w:val="000000" w:themeColor="text1"/>
          <w:kern w:val="0"/>
          <w:szCs w:val="21"/>
          <w:highlight w:val="none"/>
          <w14:textFill>
            <w14:solidFill>
              <w14:schemeClr w14:val="tx1"/>
            </w14:solidFill>
          </w14:textFill>
        </w:rPr>
        <w:t>日</w:t>
      </w:r>
      <w:r>
        <w:rPr>
          <w:rFonts w:hint="eastAsia" w:ascii="宋体" w:hAnsi="宋体" w:eastAsia="宋体" w:cs="宋体"/>
          <w:color w:val="000000" w:themeColor="text1"/>
          <w:highlight w:val="none"/>
          <w:lang w:eastAsia="zh-CN"/>
          <w14:textFill>
            <w14:solidFill>
              <w14:schemeClr w14:val="tx1"/>
            </w14:solidFill>
          </w14:textFill>
        </w:rPr>
        <w:t>至</w:t>
      </w:r>
      <w:r>
        <w:rPr>
          <w:rFonts w:hint="eastAsia" w:ascii="宋体" w:hAnsi="宋体" w:eastAsia="宋体" w:cs="宋体"/>
          <w:bCs/>
          <w:color w:val="000000" w:themeColor="text1"/>
          <w:kern w:val="0"/>
          <w:szCs w:val="21"/>
          <w:highlight w:val="none"/>
          <w14:textFill>
            <w14:solidFill>
              <w14:schemeClr w14:val="tx1"/>
            </w14:solidFill>
          </w14:textFill>
        </w:rPr>
        <w:t>202</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bCs/>
          <w:color w:val="000000" w:themeColor="text1"/>
          <w:kern w:val="0"/>
          <w:szCs w:val="21"/>
          <w:highlight w:val="none"/>
          <w14:textFill>
            <w14:solidFill>
              <w14:schemeClr w14:val="tx1"/>
            </w14:solidFill>
          </w14:textFill>
        </w:rPr>
        <w:t>年</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10</w:t>
      </w:r>
      <w:r>
        <w:rPr>
          <w:rFonts w:hint="eastAsia" w:ascii="宋体" w:hAnsi="宋体" w:eastAsia="宋体" w:cs="宋体"/>
          <w:bCs/>
          <w:color w:val="000000" w:themeColor="text1"/>
          <w:kern w:val="0"/>
          <w:szCs w:val="21"/>
          <w:highlight w:val="none"/>
          <w14:textFill>
            <w14:solidFill>
              <w14:schemeClr w14:val="tx1"/>
            </w14:solidFill>
          </w14:textFill>
        </w:rPr>
        <w:t>月</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27</w:t>
      </w:r>
      <w:r>
        <w:rPr>
          <w:rFonts w:hint="eastAsia" w:ascii="宋体" w:hAnsi="宋体" w:eastAsia="宋体" w:cs="宋体"/>
          <w:bCs/>
          <w:color w:val="000000" w:themeColor="text1"/>
          <w:kern w:val="0"/>
          <w:szCs w:val="21"/>
          <w:highlight w:val="none"/>
          <w14:textFill>
            <w14:solidFill>
              <w14:schemeClr w14:val="tx1"/>
            </w14:solidFill>
          </w14:textFill>
        </w:rPr>
        <w:t>日</w:t>
      </w:r>
      <w:r>
        <w:rPr>
          <w:rFonts w:hint="eastAsia" w:ascii="宋体" w:hAnsi="宋体" w:eastAsia="宋体" w:cs="宋体"/>
          <w:color w:val="000000" w:themeColor="text1"/>
          <w:highlight w:val="none"/>
          <w:lang w:eastAsia="zh-CN"/>
          <w14:textFill>
            <w14:solidFill>
              <w14:schemeClr w14:val="tx1"/>
            </w14:solidFill>
          </w14:textFill>
        </w:rPr>
        <w:t>，每天00:00至23:59（北京时间，法定节假日除外）</w:t>
      </w:r>
    </w:p>
    <w:p w14:paraId="54C5B0F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地点（网址）：广西政府采购云平台线上获取</w:t>
      </w:r>
    </w:p>
    <w:p w14:paraId="4F26041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方式：供应商登录广西政府采购云平台</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"https://www.gcy.zfcg.gxzf.gov.cn/"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lang w:eastAsia="zh-CN"/>
          <w14:textFill>
            <w14:solidFill>
              <w14:schemeClr w14:val="tx1"/>
            </w14:solidFill>
          </w14:textFill>
        </w:rPr>
        <w:t>https://www.gcy.zfcg.gxzf.gov.cn/</w:t>
      </w:r>
      <w:r>
        <w:rPr>
          <w:rFonts w:hint="eastAsia" w:ascii="宋体" w:hAnsi="宋体" w:eastAsia="宋体" w:cs="宋体"/>
          <w:color w:val="000000" w:themeColor="text1"/>
          <w:highlight w:val="none"/>
          <w:lang w:eastAsia="zh-CN"/>
          <w14:textFill>
            <w14:solidFill>
              <w14:schemeClr w14:val="tx1"/>
            </w14:solidFill>
          </w14:textFill>
        </w:rPr>
        <w:fldChar w:fldCharType="end"/>
      </w:r>
      <w:r>
        <w:rPr>
          <w:rFonts w:hint="eastAsia" w:ascii="宋体" w:hAnsi="宋体" w:eastAsia="宋体" w:cs="宋体"/>
          <w:color w:val="000000" w:themeColor="text1"/>
          <w:highlight w:val="none"/>
          <w:lang w:eastAsia="zh-CN"/>
          <w14:textFill>
            <w14:solidFill>
              <w14:schemeClr w14:val="tx1"/>
            </w14:solidFill>
          </w14:textFill>
        </w:rPr>
        <w:t>在线申请获取采购文件（进入“项目采购”应用，在获取采购文件菜单中选择项目，申请获取采购文件）</w:t>
      </w:r>
    </w:p>
    <w:p w14:paraId="3A3F1E1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售价（元）：0</w:t>
      </w:r>
    </w:p>
    <w:p w14:paraId="369EEC22">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四、响应文件提交</w:t>
      </w:r>
    </w:p>
    <w:p w14:paraId="4D43636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截止时间：2026年10月28日</w:t>
      </w:r>
      <w:r>
        <w:rPr>
          <w:rFonts w:hint="eastAsia" w:ascii="宋体" w:hAnsi="宋体" w:eastAsia="宋体" w:cs="宋体"/>
          <w:color w:val="000000" w:themeColor="text1"/>
          <w:highlight w:val="none"/>
          <w:lang w:val="en-US" w:eastAsia="zh-CN"/>
          <w14:textFill>
            <w14:solidFill>
              <w14:schemeClr w14:val="tx1"/>
            </w14:solidFill>
          </w14:textFill>
        </w:rPr>
        <w:t>09</w:t>
      </w:r>
      <w:r>
        <w:rPr>
          <w:rFonts w:hint="eastAsia" w:ascii="宋体" w:hAnsi="宋体" w:eastAsia="宋体" w:cs="宋体"/>
          <w:color w:val="000000" w:themeColor="text1"/>
          <w:highlight w:val="none"/>
          <w:lang w:eastAsia="zh-CN"/>
          <w14:textFill>
            <w14:solidFill>
              <w14:schemeClr w14:val="tx1"/>
            </w14:solidFill>
          </w14:textFill>
        </w:rPr>
        <w:t>:30（北京时间）</w:t>
      </w:r>
    </w:p>
    <w:p w14:paraId="56EFB2F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地点（网址）：请登录广西政府采购云平台投标客户端投标</w:t>
      </w:r>
    </w:p>
    <w:p w14:paraId="2AD9190C">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五、响应文件开启</w:t>
      </w:r>
    </w:p>
    <w:p w14:paraId="6EF20E1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开启时间：2026年10月28日</w:t>
      </w:r>
      <w:r>
        <w:rPr>
          <w:rFonts w:hint="eastAsia" w:ascii="宋体" w:hAnsi="宋体" w:eastAsia="宋体" w:cs="宋体"/>
          <w:b w:val="0"/>
          <w:bCs w:val="0"/>
          <w:color w:val="000000" w:themeColor="text1"/>
          <w:highlight w:val="none"/>
          <w:lang w:val="en-US" w:eastAsia="zh-CN"/>
          <w14:textFill>
            <w14:solidFill>
              <w14:schemeClr w14:val="tx1"/>
            </w14:solidFill>
          </w14:textFill>
        </w:rPr>
        <w:t>09</w:t>
      </w:r>
      <w:r>
        <w:rPr>
          <w:rFonts w:hint="eastAsia" w:ascii="宋体" w:hAnsi="宋体" w:eastAsia="宋体" w:cs="宋体"/>
          <w:b w:val="0"/>
          <w:bCs w:val="0"/>
          <w:color w:val="000000" w:themeColor="text1"/>
          <w:highlight w:val="none"/>
          <w:lang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（北京时间）</w:t>
      </w:r>
    </w:p>
    <w:p w14:paraId="76A01F7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地点：通过广西政府采购云平台在线解密开启</w:t>
      </w:r>
    </w:p>
    <w:p w14:paraId="493D8E87">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六、公告期限</w:t>
      </w:r>
    </w:p>
    <w:p w14:paraId="2933DCD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自本公告发布之日起</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lang w:eastAsia="zh-CN"/>
          <w14:textFill>
            <w14:solidFill>
              <w14:schemeClr w14:val="tx1"/>
            </w14:solidFill>
          </w14:textFill>
        </w:rPr>
        <w:t>个工作日。</w:t>
      </w:r>
    </w:p>
    <w:p w14:paraId="12BF599A">
      <w:pPr>
        <w:pageBreakBefore w:val="0"/>
        <w:widowControl w:val="0"/>
        <w:overflowPunct/>
        <w:topLinePunct w:val="0"/>
        <w:bidi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七、其他补充事宜</w:t>
      </w:r>
    </w:p>
    <w:p w14:paraId="1FFABD4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1.信息公告发布媒体：http://www.ccgp.gov.cn（中国政府采购网）、http://zfcg.gxzf.gov.cn（广西壮族自治区政府采购网）</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广西壮族自治区生态环境厅网站（http://sthjt.gxzf.gov.cn）。</w:t>
      </w:r>
    </w:p>
    <w:p w14:paraId="48D597C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2.本项目需要落实的政府采购政策：</w:t>
      </w:r>
    </w:p>
    <w:p w14:paraId="7D21B21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（1）《政府采购促进中小企业发展管理办法》（财库〔2020〕46号）。</w:t>
      </w:r>
    </w:p>
    <w:p w14:paraId="6DE06E6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（2）《关于政府采购支持监狱企业发展有关问题的通知》（财库〔20</w:t>
      </w: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lang w:eastAsia="zh-CN"/>
          <w14:textFill>
            <w14:solidFill>
              <w14:schemeClr w14:val="tx1"/>
            </w14:solidFill>
          </w14:textFill>
        </w:rPr>
        <w:t>〕68号）。</w:t>
      </w:r>
    </w:p>
    <w:p w14:paraId="6DDAD9B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（3）《关于促进残疾人就业政府采购政策的通知》（财库〔20</w:t>
      </w:r>
      <w:r>
        <w:rPr>
          <w:rFonts w:hint="eastAsia" w:ascii="宋体" w:hAnsi="宋体" w:eastAsia="宋体" w:cs="宋体"/>
          <w:color w:val="000000" w:themeColor="text1"/>
          <w:highlight w:val="none"/>
          <w:lang w:val="en-US" w:eastAsia="zh-CN"/>
          <w14:textFill>
            <w14:solidFill>
              <w14:schemeClr w14:val="tx1"/>
            </w14:solidFill>
          </w14:textFill>
        </w:rPr>
        <w:t>17</w:t>
      </w:r>
      <w:r>
        <w:rPr>
          <w:rFonts w:hint="eastAsia" w:ascii="宋体" w:hAnsi="宋体" w:eastAsia="宋体" w:cs="宋体"/>
          <w:color w:val="000000" w:themeColor="text1"/>
          <w:highlight w:val="none"/>
          <w:lang w:eastAsia="zh-CN"/>
          <w14:textFill>
            <w14:solidFill>
              <w14:schemeClr w14:val="tx1"/>
            </w14:solidFill>
          </w14:textFill>
        </w:rPr>
        <w:t>〕141号）。</w:t>
      </w:r>
    </w:p>
    <w:p w14:paraId="07718A6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（4）《关于调整优化节能产品、环境标志产品政府采购执行机制的通知》（财库〔2019〕9号）。</w:t>
      </w:r>
    </w:p>
    <w:p w14:paraId="093F71A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（5）政府采购扶持不发达地区和少数民族地区。</w:t>
      </w:r>
    </w:p>
    <w:p w14:paraId="2F25C426">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425"/>
        <w:textAlignment w:val="baseline"/>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pacing w:val="8"/>
          <w:sz w:val="21"/>
          <w:szCs w:val="21"/>
          <w:highlight w:val="none"/>
          <w14:textFill>
            <w14:solidFill>
              <w14:schemeClr w14:val="tx1"/>
            </w14:solidFill>
          </w14:textFill>
        </w:rPr>
        <w:t>本项目中小企业划分标准所属为：</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工业。</w:t>
      </w:r>
    </w:p>
    <w:p w14:paraId="134A56B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lang w:eastAsia="zh-CN"/>
          <w14:textFill>
            <w14:solidFill>
              <w14:schemeClr w14:val="tx1"/>
            </w14:solidFill>
          </w14:textFill>
        </w:rPr>
        <w:t>资格条件特别说明：</w:t>
      </w:r>
    </w:p>
    <w:p w14:paraId="32B9D4A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FAF6F4D">
      <w:pPr>
        <w:pageBreakBefore w:val="0"/>
        <w:widowControl w:val="0"/>
        <w:overflowPunct/>
        <w:topLinePunct w:val="0"/>
        <w:bidi w:val="0"/>
        <w:spacing w:line="400" w:lineRule="exact"/>
        <w:ind w:firstLine="34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pacing w:val="-20"/>
          <w:highlight w:val="none"/>
          <w:lang w:eastAsia="zh-CN"/>
          <w14:textFill>
            <w14:solidFill>
              <w14:schemeClr w14:val="tx1"/>
            </w14:solidFill>
          </w14:textFill>
        </w:rPr>
        <w:t>（2）对在“信用中国”网站(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pacing w:val="-20"/>
          <w:highlight w:val="none"/>
          <w:lang w:eastAsia="zh-CN"/>
          <w14:textFill>
            <w14:solidFill>
              <w14:schemeClr w14:val="tx1"/>
            </w14:solidFill>
          </w14:textFill>
        </w:rPr>
        <w:t>www.creditchina.gov.cn</w:t>
      </w:r>
      <w:r>
        <w:rPr>
          <w:rFonts w:hint="eastAsia" w:ascii="宋体" w:hAnsi="宋体" w:eastAsia="宋体" w:cs="宋体"/>
          <w:color w:val="000000" w:themeColor="text1"/>
          <w:spacing w:val="-20"/>
          <w:highlight w:val="none"/>
          <w:lang w:eastAsia="zh-CN"/>
          <w14:textFill>
            <w14:solidFill>
              <w14:schemeClr w14:val="tx1"/>
            </w14:solidFill>
          </w14:textFill>
        </w:rPr>
        <w:fldChar w:fldCharType="end"/>
      </w:r>
      <w:r>
        <w:rPr>
          <w:rFonts w:hint="eastAsia" w:ascii="宋体" w:hAnsi="宋体" w:eastAsia="宋体" w:cs="宋体"/>
          <w:color w:val="000000" w:themeColor="text1"/>
          <w:spacing w:val="-20"/>
          <w:highlight w:val="none"/>
          <w:lang w:eastAsia="zh-CN"/>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pacing w:val="-20"/>
          <w:highlight w:val="none"/>
          <w:lang w:eastAsia="zh-CN"/>
          <w14:textFill>
            <w14:solidFill>
              <w14:schemeClr w14:val="tx1"/>
            </w14:solidFill>
          </w14:textFill>
        </w:rPr>
        <w:t>www.ccgp.gov.cn</w:t>
      </w:r>
      <w:r>
        <w:rPr>
          <w:rFonts w:hint="eastAsia" w:ascii="宋体" w:hAnsi="宋体" w:eastAsia="宋体" w:cs="宋体"/>
          <w:color w:val="000000" w:themeColor="text1"/>
          <w:spacing w:val="-20"/>
          <w:highlight w:val="none"/>
          <w:lang w:eastAsia="zh-CN"/>
          <w14:textFill>
            <w14:solidFill>
              <w14:schemeClr w14:val="tx1"/>
            </w14:solidFill>
          </w14:textFill>
        </w:rPr>
        <w:fldChar w:fldCharType="end"/>
      </w:r>
      <w:r>
        <w:rPr>
          <w:rFonts w:hint="eastAsia" w:ascii="宋体" w:hAnsi="宋体" w:eastAsia="宋体" w:cs="宋体"/>
          <w:color w:val="000000" w:themeColor="text1"/>
          <w:spacing w:val="-20"/>
          <w:highlight w:val="none"/>
          <w:lang w:eastAsia="zh-CN"/>
          <w14:textFill>
            <w14:solidFill>
              <w14:schemeClr w14:val="tx1"/>
            </w14:solidFill>
          </w14:textFill>
        </w:rPr>
        <w:t>)被列入失信被执行人、重大税收违法案件当事人名单、政府采购严重违法失信行为记录名单及其他不符</w:t>
      </w:r>
      <w:r>
        <w:rPr>
          <w:rFonts w:hint="eastAsia" w:ascii="宋体" w:hAnsi="宋体" w:eastAsia="宋体" w:cs="宋体"/>
          <w:color w:val="000000" w:themeColor="text1"/>
          <w:highlight w:val="none"/>
          <w:lang w:eastAsia="zh-CN"/>
          <w14:textFill>
            <w14:solidFill>
              <w14:schemeClr w14:val="tx1"/>
            </w14:solidFill>
          </w14:textFill>
        </w:rPr>
        <w:t>合《中华人民共和国政府采购法》第二十二条规定条件的供应商，不得参与政府采购活动。</w:t>
      </w:r>
    </w:p>
    <w:p w14:paraId="221527B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eastAsia="zh-CN"/>
          <w14:textFill>
            <w14:solidFill>
              <w14:schemeClr w14:val="tx1"/>
            </w14:solidFill>
          </w14:textFill>
        </w:rPr>
        <w:t>.广西政府采购云平台电子竞标相关事宜：</w:t>
      </w:r>
    </w:p>
    <w:p w14:paraId="78D07B8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w:t>
      </w:r>
      <w:r>
        <w:rPr>
          <w:rFonts w:hint="eastAsia" w:ascii="宋体" w:hAnsi="宋体" w:eastAsia="宋体" w:cs="宋体"/>
          <w:color w:val="000000" w:themeColor="text1"/>
          <w:w w:val="89"/>
          <w:highlight w:val="none"/>
          <w:lang w:eastAsia="zh-CN"/>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6A26382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（2）电子竞标具体操作流程参考《政府采购项目电子交易管理操作指南-供应商》（详见桂林市政府采购网—采购资讯—重要通知）；如遇平台技术问题详询95763或者0771-3381253。</w:t>
      </w:r>
    </w:p>
    <w:p w14:paraId="480ED5B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（3）电子响应文件的制作、加密、提交、解密等相关事宜详见第二章“供应商须知”。</w:t>
      </w:r>
    </w:p>
    <w:p w14:paraId="3521DE5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供应商认为谈判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否则，采购代理机构有权拒收。</w:t>
      </w:r>
    </w:p>
    <w:p w14:paraId="1D8AD2E3">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八、凡对本次招标提出询问，请按以下方式联系</w:t>
      </w:r>
    </w:p>
    <w:p w14:paraId="546D3225">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1.采购人信息</w:t>
      </w:r>
    </w:p>
    <w:p w14:paraId="7EEBE07F">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w:t>
      </w:r>
      <w:r>
        <w:rPr>
          <w:rFonts w:hint="eastAsia" w:ascii="宋体" w:hAnsi="宋体" w:eastAsia="宋体" w:cs="宋体"/>
          <w:color w:val="000000" w:themeColor="text1"/>
          <w:highlight w:val="none"/>
          <w:lang w:eastAsia="zh-CN"/>
          <w14:textFill>
            <w14:solidFill>
              <w14:schemeClr w14:val="tx1"/>
            </w14:solidFill>
          </w14:textFill>
        </w:rPr>
        <w:t>广西壮族自治区桂林生态环境监测中心</w:t>
      </w:r>
    </w:p>
    <w:p w14:paraId="2A3EECBA">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址：广西壮族自治区桂林市临桂区万福路鼎晟大厦2号楼11-14层</w:t>
      </w:r>
    </w:p>
    <w:p w14:paraId="56AC1276">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联系方式：</w:t>
      </w:r>
      <w:r>
        <w:rPr>
          <w:rFonts w:hint="eastAsia" w:ascii="宋体" w:hAnsi="宋体" w:eastAsia="宋体" w:cs="宋体"/>
          <w:color w:val="000000" w:themeColor="text1"/>
          <w:highlight w:val="none"/>
          <w:lang w:val="en-US" w:eastAsia="zh-CN"/>
          <w14:textFill>
            <w14:solidFill>
              <w14:schemeClr w14:val="tx1"/>
            </w14:solidFill>
          </w14:textFill>
        </w:rPr>
        <w:t>0773-3839899</w:t>
      </w:r>
    </w:p>
    <w:p w14:paraId="63452028">
      <w:pPr>
        <w:keepNext w:val="0"/>
        <w:keepLines w:val="0"/>
        <w:pageBreakBefore w:val="0"/>
        <w:wordWrap/>
        <w:overflowPunct/>
        <w:topLinePunct w:val="0"/>
        <w:bidi w:val="0"/>
        <w:spacing w:line="400" w:lineRule="exact"/>
        <w:ind w:firstLine="420" w:firstLineChars="200"/>
        <w:jc w:val="left"/>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联</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系</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人：涂秀红</w:t>
      </w:r>
    </w:p>
    <w:p w14:paraId="0E13779B">
      <w:pPr>
        <w:keepNext w:val="0"/>
        <w:keepLines w:val="0"/>
        <w:pageBreakBefore w:val="0"/>
        <w:wordWrap/>
        <w:overflowPunct/>
        <w:topLinePunct w:val="0"/>
        <w:bidi w:val="0"/>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2.采购代理机构信息</w:t>
      </w:r>
    </w:p>
    <w:p w14:paraId="0E465609">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  称：大华建设项目管理有限公司</w:t>
      </w:r>
    </w:p>
    <w:p w14:paraId="2D43CDF8">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地　址：</w:t>
      </w:r>
      <w:r>
        <w:rPr>
          <w:rFonts w:hint="eastAsia" w:ascii="宋体" w:hAnsi="宋体" w:eastAsia="宋体" w:cs="宋体"/>
          <w:color w:val="000000" w:themeColor="text1"/>
          <w:highlight w:val="none"/>
          <w:lang w:eastAsia="zh-CN"/>
          <w14:textFill>
            <w14:solidFill>
              <w14:schemeClr w14:val="tx1"/>
            </w14:solidFill>
          </w14:textFill>
        </w:rPr>
        <w:t>桂林市秀峰区睦邻小苑5栋3单元</w:t>
      </w:r>
    </w:p>
    <w:p w14:paraId="65A2DB4D">
      <w:pPr>
        <w:keepNext w:val="0"/>
        <w:keepLines w:val="0"/>
        <w:pageBreakBefore w:val="0"/>
        <w:wordWrap/>
        <w:overflowPunct/>
        <w:topLinePunct w:val="0"/>
        <w:bidi w:val="0"/>
        <w:spacing w:line="400" w:lineRule="exact"/>
        <w:ind w:firstLine="420" w:firstLineChars="200"/>
        <w:jc w:val="left"/>
        <w:rPr>
          <w:rFonts w:hint="eastAsia" w:ascii="宋体" w:hAnsi="宋体" w:eastAsia="宋体" w:cs="宋体"/>
          <w:color w:val="000000" w:themeColor="text1"/>
          <w:highlight w:val="none"/>
          <w:lang w:eastAsia="zh-CN"/>
          <w14:textFill>
            <w14:solidFill>
              <w14:schemeClr w14:val="tx1"/>
            </w14:solidFill>
          </w14:textFill>
        </w:rPr>
      </w:pPr>
      <w:bookmarkStart w:id="3" w:name="_Toc28359087"/>
      <w:bookmarkStart w:id="4" w:name="_Toc28359010"/>
      <w:r>
        <w:rPr>
          <w:rFonts w:hint="eastAsia" w:ascii="宋体" w:hAnsi="宋体" w:eastAsia="宋体" w:cs="宋体"/>
          <w:color w:val="000000" w:themeColor="text1"/>
          <w:highlight w:val="none"/>
          <w14:textFill>
            <w14:solidFill>
              <w14:schemeClr w14:val="tx1"/>
            </w14:solidFill>
          </w14:textFill>
        </w:rPr>
        <w:t>联系</w:t>
      </w:r>
      <w:r>
        <w:rPr>
          <w:rFonts w:hint="eastAsia" w:ascii="宋体" w:hAnsi="宋体" w:eastAsia="宋体" w:cs="宋体"/>
          <w:color w:val="000000" w:themeColor="text1"/>
          <w:highlight w:val="none"/>
          <w:lang w:eastAsia="zh-CN"/>
          <w14:textFill>
            <w14:solidFill>
              <w14:schemeClr w14:val="tx1"/>
            </w14:solidFill>
          </w14:textFill>
        </w:rPr>
        <w:t>方式</w:t>
      </w:r>
      <w:r>
        <w:rPr>
          <w:rFonts w:hint="eastAsia" w:ascii="宋体" w:hAnsi="宋体" w:eastAsia="宋体" w:cs="宋体"/>
          <w:color w:val="000000" w:themeColor="text1"/>
          <w:highlight w:val="none"/>
          <w14:textFill>
            <w14:solidFill>
              <w14:schemeClr w14:val="tx1"/>
            </w14:solidFill>
          </w14:textFill>
        </w:rPr>
        <w:t>：0773-2888667</w:t>
      </w:r>
      <w:bookmarkEnd w:id="3"/>
      <w:bookmarkEnd w:id="4"/>
    </w:p>
    <w:p w14:paraId="292726E8">
      <w:pPr>
        <w:keepNext w:val="0"/>
        <w:keepLines w:val="0"/>
        <w:pageBreakBefore w:val="0"/>
        <w:wordWrap/>
        <w:overflowPunct/>
        <w:topLinePunct w:val="0"/>
        <w:bidi w:val="0"/>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3.项目联系方式</w:t>
      </w:r>
    </w:p>
    <w:p w14:paraId="36D5A2D3">
      <w:pPr>
        <w:pStyle w:val="11"/>
        <w:keepNext w:val="0"/>
        <w:keepLines w:val="0"/>
        <w:pageBreakBefore w:val="0"/>
        <w:wordWrap/>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项目联系人：</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毛慧敏、周鑫君、李明</w:t>
      </w:r>
    </w:p>
    <w:p w14:paraId="6019615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电　　话：</w:t>
      </w:r>
      <w:r>
        <w:rPr>
          <w:rFonts w:hint="eastAsia" w:ascii="宋体" w:hAnsi="宋体" w:eastAsia="宋体" w:cs="宋体"/>
          <w:color w:val="000000" w:themeColor="text1"/>
          <w:spacing w:val="6"/>
          <w:sz w:val="21"/>
          <w:szCs w:val="21"/>
          <w:highlight w:val="none"/>
          <w14:textFill>
            <w14:solidFill>
              <w14:schemeClr w14:val="tx1"/>
            </w14:solidFill>
          </w14:textFill>
        </w:rPr>
        <w:t>0773-2888667</w:t>
      </w:r>
    </w:p>
    <w:p w14:paraId="68C26CDC">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4" w:type="default"/>
          <w:pgSz w:w="11906" w:h="16839"/>
          <w:pgMar w:top="1247" w:right="1247" w:bottom="1247" w:left="1247" w:header="0" w:footer="822" w:gutter="0"/>
          <w:pgBorders>
            <w:top w:val="none" w:sz="0" w:space="0"/>
            <w:left w:val="none" w:sz="0" w:space="0"/>
            <w:bottom w:val="none" w:sz="0" w:space="0"/>
            <w:right w:val="none" w:sz="0" w:space="0"/>
          </w:pgBorders>
          <w:pgNumType w:start="1"/>
          <w:cols w:space="0" w:num="1"/>
          <w:rtlGutter w:val="0"/>
          <w:docGrid w:linePitch="0" w:charSpace="0"/>
        </w:sectPr>
      </w:pPr>
    </w:p>
    <w:p w14:paraId="345EEE69">
      <w:pPr>
        <w:pageBreakBefore w:val="0"/>
        <w:widowControl w:val="0"/>
        <w:overflowPunct/>
        <w:topLinePunct w:val="0"/>
        <w:bidi w:val="0"/>
        <w:spacing w:line="400" w:lineRule="exact"/>
        <w:jc w:val="center"/>
        <w:outlineLvl w:val="0"/>
        <w:rPr>
          <w:rFonts w:hint="eastAsia" w:ascii="宋体" w:hAnsi="宋体" w:eastAsia="宋体" w:cs="宋体"/>
          <w:color w:val="000000" w:themeColor="text1"/>
          <w:sz w:val="31"/>
          <w:szCs w:val="31"/>
          <w:highlight w:val="none"/>
          <w:lang w:eastAsia="zh-CN"/>
          <w14:textFill>
            <w14:solidFill>
              <w14:schemeClr w14:val="tx1"/>
            </w14:solidFill>
          </w14:textFill>
        </w:rPr>
      </w:pPr>
      <w:bookmarkStart w:id="5" w:name="bookmark3"/>
      <w:bookmarkEnd w:id="5"/>
      <w:bookmarkStart w:id="6" w:name="_Toc8853"/>
      <w:r>
        <w:rPr>
          <w:rFonts w:hint="eastAsia" w:ascii="宋体" w:hAnsi="宋体" w:eastAsia="宋体" w:cs="宋体"/>
          <w:b/>
          <w:bCs/>
          <w:color w:val="000000" w:themeColor="text1"/>
          <w:sz w:val="31"/>
          <w:szCs w:val="31"/>
          <w:highlight w:val="none"/>
          <w:lang w:eastAsia="zh-CN"/>
          <w14:textFill>
            <w14:solidFill>
              <w14:schemeClr w14:val="tx1"/>
            </w14:solidFill>
          </w14:textFill>
        </w:rPr>
        <w:t>第二章</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供应商须知</w:t>
      </w:r>
      <w:bookmarkEnd w:id="6"/>
    </w:p>
    <w:p w14:paraId="3BC5E9BC">
      <w:pPr>
        <w:pageBreakBefore w:val="0"/>
        <w:widowControl w:val="0"/>
        <w:overflowPunct/>
        <w:topLinePunct w:val="0"/>
        <w:bidi w:val="0"/>
        <w:spacing w:line="400" w:lineRule="exact"/>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供</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应</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知</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附</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表</w:t>
      </w:r>
    </w:p>
    <w:p w14:paraId="7362F87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p>
    <w:tbl>
      <w:tblPr>
        <w:tblStyle w:val="26"/>
        <w:tblW w:w="9701" w:type="dxa"/>
        <w:tblInd w:w="5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5"/>
        <w:gridCol w:w="12"/>
        <w:gridCol w:w="873"/>
        <w:gridCol w:w="1663"/>
        <w:gridCol w:w="6588"/>
      </w:tblGrid>
      <w:tr w14:paraId="2F733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565" w:type="dxa"/>
            <w:vAlign w:val="center"/>
          </w:tcPr>
          <w:p w14:paraId="2CB4CC88">
            <w:pPr>
              <w:pStyle w:val="27"/>
              <w:pageBreakBefore w:val="0"/>
              <w:widowControl w:val="0"/>
              <w:wordWrap w:val="0"/>
              <w:overflowPunct/>
              <w:topLinePunct w:val="0"/>
              <w:bidi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885" w:type="dxa"/>
            <w:gridSpan w:val="2"/>
            <w:vAlign w:val="center"/>
          </w:tcPr>
          <w:p w14:paraId="51DB363A">
            <w:pPr>
              <w:pStyle w:val="27"/>
              <w:pageBreakBefore w:val="0"/>
              <w:widowControl w:val="0"/>
              <w:wordWrap w:val="0"/>
              <w:overflowPunct/>
              <w:topLinePunct w:val="0"/>
              <w:bidi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条款号</w:t>
            </w:r>
          </w:p>
        </w:tc>
        <w:tc>
          <w:tcPr>
            <w:tcW w:w="1663" w:type="dxa"/>
            <w:vAlign w:val="center"/>
          </w:tcPr>
          <w:p w14:paraId="386DBB88">
            <w:pPr>
              <w:pStyle w:val="27"/>
              <w:pageBreakBefore w:val="0"/>
              <w:widowControl w:val="0"/>
              <w:wordWrap w:val="0"/>
              <w:overflowPunct/>
              <w:topLinePunct w:val="0"/>
              <w:bidi w:val="0"/>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条款名称</w:t>
            </w:r>
          </w:p>
        </w:tc>
        <w:tc>
          <w:tcPr>
            <w:tcW w:w="6588" w:type="dxa"/>
            <w:vAlign w:val="center"/>
          </w:tcPr>
          <w:p w14:paraId="793A93C8">
            <w:pPr>
              <w:pStyle w:val="27"/>
              <w:pageBreakBefore w:val="0"/>
              <w:widowControl w:val="0"/>
              <w:wordWrap w:val="0"/>
              <w:overflowPunct/>
              <w:topLinePunct w:val="0"/>
              <w:bidi w:val="0"/>
              <w:spacing w:line="400" w:lineRule="exact"/>
              <w:ind w:firstLine="422" w:firstLineChars="20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内容、要求</w:t>
            </w:r>
          </w:p>
        </w:tc>
      </w:tr>
      <w:tr w14:paraId="320D2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565" w:type="dxa"/>
            <w:vAlign w:val="top"/>
          </w:tcPr>
          <w:p w14:paraId="6F70E62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5DDCA3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885" w:type="dxa"/>
            <w:gridSpan w:val="2"/>
            <w:vAlign w:val="top"/>
          </w:tcPr>
          <w:p w14:paraId="16E6D44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60A58E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663" w:type="dxa"/>
            <w:vAlign w:val="top"/>
          </w:tcPr>
          <w:p w14:paraId="18A8860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项目名称及项目编号</w:t>
            </w:r>
          </w:p>
        </w:tc>
        <w:tc>
          <w:tcPr>
            <w:tcW w:w="6588" w:type="dxa"/>
          </w:tcPr>
          <w:p w14:paraId="0C2F911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项目名称：</w:t>
            </w:r>
            <w:r>
              <w:rPr>
                <w:rFonts w:hint="eastAsia" w:cs="宋体"/>
                <w:color w:val="000000" w:themeColor="text1"/>
                <w:sz w:val="21"/>
                <w:szCs w:val="21"/>
                <w:highlight w:val="none"/>
                <w:lang w:eastAsia="zh-CN"/>
                <w14:textFill>
                  <w14:solidFill>
                    <w14:schemeClr w14:val="tx1"/>
                  </w14:solidFill>
                </w14:textFill>
              </w:rPr>
              <w:t>2026年桂林市区控水质自动站智慧化改造项目（重）</w:t>
            </w:r>
          </w:p>
          <w:p w14:paraId="0D74E892">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项目编号：</w:t>
            </w:r>
            <w:r>
              <w:rPr>
                <w:rFonts w:hint="eastAsia" w:cs="宋体"/>
                <w:color w:val="000000" w:themeColor="text1"/>
                <w:highlight w:val="none"/>
                <w:lang w:eastAsia="zh-CN"/>
                <w14:textFill>
                  <w14:solidFill>
                    <w14:schemeClr w14:val="tx1"/>
                  </w14:solidFill>
                </w14:textFill>
              </w:rPr>
              <w:t>GXZC2026-J1-003396-DHGS</w:t>
            </w:r>
          </w:p>
        </w:tc>
      </w:tr>
      <w:tr w14:paraId="18940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9" w:hRule="atLeast"/>
        </w:trPr>
        <w:tc>
          <w:tcPr>
            <w:tcW w:w="565" w:type="dxa"/>
            <w:vAlign w:val="top"/>
          </w:tcPr>
          <w:p w14:paraId="3E194E1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F95468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F8DDEE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156EDF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F26243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1B67A1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C18FA8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72633D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885" w:type="dxa"/>
            <w:gridSpan w:val="2"/>
            <w:vAlign w:val="top"/>
          </w:tcPr>
          <w:p w14:paraId="19844DD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8A49D9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31D999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D8F73D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55EEE0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020E0A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7518A4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E5DD0C6">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663" w:type="dxa"/>
            <w:vAlign w:val="top"/>
          </w:tcPr>
          <w:p w14:paraId="5B317E1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131FE1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3CF2A7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E4A912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B4F3D2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A3381F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8FD6CB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B72451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供应商资格</w:t>
            </w:r>
          </w:p>
        </w:tc>
        <w:tc>
          <w:tcPr>
            <w:tcW w:w="6588" w:type="dxa"/>
          </w:tcPr>
          <w:p w14:paraId="2DFDD39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3.1 满足《中华人民共和国政府采购法》第二十二条规定。</w:t>
            </w:r>
          </w:p>
          <w:p w14:paraId="4EAA67E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3.2 落实政府采购政策需满足的资格要求：本项目非专门面向中小微企业采购。</w:t>
            </w:r>
          </w:p>
          <w:p w14:paraId="3D99B9F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3.3 本项目的特定资格要求：</w:t>
            </w:r>
            <w:r>
              <w:rPr>
                <w:rFonts w:hint="eastAsia" w:ascii="宋体" w:hAnsi="宋体" w:eastAsia="宋体" w:cs="宋体"/>
                <w:color w:val="000000" w:themeColor="text1"/>
                <w:szCs w:val="21"/>
                <w:highlight w:val="none"/>
                <w14:textFill>
                  <w14:solidFill>
                    <w14:schemeClr w14:val="tx1"/>
                  </w14:solidFill>
                </w14:textFill>
              </w:rPr>
              <w:t>无</w:t>
            </w:r>
            <w:r>
              <w:rPr>
                <w:rFonts w:hint="eastAsia" w:ascii="宋体" w:hAnsi="宋体" w:eastAsia="宋体" w:cs="宋体"/>
                <w:color w:val="000000" w:themeColor="text1"/>
                <w:sz w:val="21"/>
                <w:szCs w:val="21"/>
                <w:highlight w:val="none"/>
                <w:lang w:eastAsia="zh-CN"/>
                <w14:textFill>
                  <w14:solidFill>
                    <w14:schemeClr w14:val="tx1"/>
                  </w14:solidFill>
                </w14:textFill>
              </w:rPr>
              <w:t>。</w:t>
            </w:r>
          </w:p>
          <w:p w14:paraId="79870367">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3.4 资格条件特别说明：</w:t>
            </w:r>
          </w:p>
          <w:p w14:paraId="17A48EFB">
            <w:pPr>
              <w:pStyle w:val="27"/>
              <w:pageBreakBefore w:val="0"/>
              <w:widowControl w:val="0"/>
              <w:wordWrap w:val="0"/>
              <w:overflowPunct/>
              <w:topLinePunct w:val="0"/>
              <w:bidi w:val="0"/>
              <w:spacing w:line="400" w:lineRule="exact"/>
              <w:ind w:firstLine="420" w:firstLineChars="200"/>
              <w:rPr>
                <w:rFonts w:hint="default" w:ascii="宋体" w:hAnsi="宋体" w:eastAsia="宋体" w:cs="宋体"/>
                <w:color w:val="000000" w:themeColor="text1"/>
                <w:sz w:val="21"/>
                <w:szCs w:val="21"/>
                <w:highlight w:val="none"/>
                <w:lang w:eastAsia="zh-CN"/>
                <w14:textFill>
                  <w14:solidFill>
                    <w14:schemeClr w14:val="tx1"/>
                  </w14:solidFill>
                </w14:textFill>
              </w:rPr>
            </w:pPr>
            <w:r>
              <w:rPr>
                <w:rFonts w:hint="default" w:ascii="宋体" w:hAnsi="宋体" w:eastAsia="宋体" w:cs="宋体"/>
                <w:color w:val="000000" w:themeColor="text1"/>
                <w:sz w:val="21"/>
                <w:szCs w:val="21"/>
                <w:highlight w:val="none"/>
                <w:lang w:eastAsia="zh-CN"/>
                <w14:textFill>
                  <w14:solidFill>
                    <w14:schemeClr w14:val="tx1"/>
                  </w14:solidFill>
                </w14:textFill>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570BC317">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（2）对在“信用中国”网站(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zh-CN"/>
                <w14:textFill>
                  <w14:solidFill>
                    <w14:schemeClr w14:val="tx1"/>
                  </w14:solidFill>
                </w14:textFill>
              </w:rPr>
              <w:t>www.creditchina.gov.cn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zh-CN"/>
                <w14:textFill>
                  <w14:solidFill>
                    <w14:schemeClr w14:val="tx1"/>
                  </w14:solidFill>
                </w14:textFill>
              </w:rPr>
              <w:t>www.ccgp.gov.cn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)被列入失信被执行人、重大税收违法案件当事人名单、政府采购严重违法失信行为记录名单及其他不符合《中华人民共和国政府采购法》第二十二条规定条件的供应商，不得参与政府采购活动。</w:t>
            </w:r>
          </w:p>
        </w:tc>
      </w:tr>
      <w:tr w14:paraId="037F3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565" w:type="dxa"/>
            <w:vAlign w:val="top"/>
          </w:tcPr>
          <w:p w14:paraId="308D7EB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B5B996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B262B7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B42046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1B84F3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68469E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767D94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760AD3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A56A07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1C48D4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E76B19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885" w:type="dxa"/>
            <w:gridSpan w:val="2"/>
            <w:vAlign w:val="top"/>
          </w:tcPr>
          <w:p w14:paraId="47B9854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DC66C6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DD7716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0BC90A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E7FD34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B3634B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5F1CC8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91AE9E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2D2EAA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FB1705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DC959A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663" w:type="dxa"/>
            <w:vAlign w:val="top"/>
          </w:tcPr>
          <w:p w14:paraId="1E2CC33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74F2E8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22B92D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A51653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4E8692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1C8AA8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6C02E4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E4FC47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C40831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F9538EA">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参与电子竞标的准备工作</w:t>
            </w:r>
          </w:p>
        </w:tc>
        <w:tc>
          <w:tcPr>
            <w:tcW w:w="6588" w:type="dxa"/>
          </w:tcPr>
          <w:p w14:paraId="2FDD4B24">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4.1 本项目实行全流程电子化采购，供应商通过广西政府采购云平台</w:t>
            </w:r>
            <w:r>
              <w:rPr>
                <w:rFonts w:hint="eastAsia" w:cs="宋体"/>
                <w:color w:val="000000" w:themeColor="text1"/>
                <w:sz w:val="21"/>
                <w:szCs w:val="21"/>
                <w:highlight w:val="none"/>
                <w:lang w:val="en-US" w:eastAsia="zh-CN"/>
                <w14:textFill>
                  <w14:solidFill>
                    <w14:schemeClr w14:val="tx1"/>
                  </w14:solidFill>
                </w14:textFill>
              </w:rPr>
              <w:t>参</w:t>
            </w:r>
            <w:r>
              <w:rPr>
                <w:rFonts w:hint="eastAsia" w:ascii="宋体" w:hAnsi="宋体" w:eastAsia="宋体" w:cs="宋体"/>
                <w:color w:val="000000" w:themeColor="text1"/>
                <w:sz w:val="21"/>
                <w:szCs w:val="21"/>
                <w:highlight w:val="none"/>
                <w:lang w:eastAsia="zh-CN"/>
                <w14:textFill>
                  <w14:solidFill>
                    <w14:schemeClr w14:val="tx1"/>
                  </w14:solidFill>
                </w14:textFill>
              </w:rPr>
              <w:t>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20F7BCFB">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4.2 电子竞标具体操作流程参考《政府采购项目电子交易管理操作指南供应商》（详见桂林市政府采购网—采购资讯—重要通知）；如遇平台技术问题详询95763或者0771-3381253。</w:t>
            </w:r>
          </w:p>
          <w:p w14:paraId="59E2F341">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4.3 不论谈判结果如何，供应商均应自行承担所有与谈判有关的全部费用。</w:t>
            </w:r>
          </w:p>
        </w:tc>
      </w:tr>
      <w:tr w14:paraId="0D86C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565" w:type="dxa"/>
            <w:vAlign w:val="top"/>
          </w:tcPr>
          <w:p w14:paraId="43BEA3B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A37163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3261FB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D24617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3AB796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33F919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885" w:type="dxa"/>
            <w:gridSpan w:val="2"/>
            <w:vAlign w:val="top"/>
          </w:tcPr>
          <w:p w14:paraId="7B5AC4E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2DC2CD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08C72C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FF3FC0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6C2CF2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B877CE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663" w:type="dxa"/>
            <w:vAlign w:val="top"/>
          </w:tcPr>
          <w:p w14:paraId="0EE75CE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73F1DA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8F6514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40EABC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C044C0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F5AE39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谈判报价及采购预算金额</w:t>
            </w:r>
          </w:p>
        </w:tc>
        <w:tc>
          <w:tcPr>
            <w:tcW w:w="6588" w:type="dxa"/>
          </w:tcPr>
          <w:p w14:paraId="3277059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13.1 供应商必须就“采购需求”中的所有内容作完整唯一报价，响应文件只允许有一个报价，有选择的或有条件的报价将不予接受。</w:t>
            </w:r>
          </w:p>
          <w:p w14:paraId="28C77945">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13.2 采购预算金额（人民币）：</w:t>
            </w:r>
            <w:r>
              <w:rPr>
                <w:rFonts w:hint="eastAsia" w:ascii="宋体" w:hAnsi="宋体" w:eastAsia="宋体" w:cs="宋体"/>
                <w:b/>
                <w:bCs/>
                <w:color w:val="000000" w:themeColor="text1"/>
                <w:sz w:val="21"/>
                <w:szCs w:val="21"/>
                <w:highlight w:val="none"/>
                <w:lang w:eastAsia="zh-CN"/>
                <w14:textFill>
                  <w14:solidFill>
                    <w14:schemeClr w14:val="tx1"/>
                  </w14:solidFill>
                </w14:textFill>
              </w:rPr>
              <w:t>壹佰叁拾万元整（¥1300000.00元）</w:t>
            </w:r>
            <w:r>
              <w:rPr>
                <w:rFonts w:hint="eastAsia" w:ascii="宋体" w:hAnsi="宋体" w:eastAsia="宋体" w:cs="宋体"/>
                <w:color w:val="000000" w:themeColor="text1"/>
                <w:sz w:val="21"/>
                <w:szCs w:val="21"/>
                <w:highlight w:val="none"/>
                <w:lang w:eastAsia="zh-CN"/>
                <w14:textFill>
                  <w14:solidFill>
                    <w14:schemeClr w14:val="tx1"/>
                  </w14:solidFill>
                </w14:textFill>
              </w:rPr>
              <w:t>。报价超采购预算金额的，响应文件作无效处理。</w:t>
            </w:r>
          </w:p>
          <w:p w14:paraId="5C79FAFC">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13.3 供应商谈判报价应包括包括但不限于：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29ED45F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对于竞争性谈判文件中明确列明必须报价的货物，供应商应报价；对于竞争性谈判文件中未列明，而</w:t>
            </w:r>
            <w:r>
              <w:rPr>
                <w:rFonts w:hint="eastAsia"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lang w:eastAsia="zh-CN"/>
                <w14:textFill>
                  <w14:solidFill>
                    <w14:schemeClr w14:val="tx1"/>
                  </w14:solidFill>
                </w14:textFill>
              </w:rPr>
              <w:t>认为必需的费用也需列入总报价；在合同实施时，采购方将不予支付成交供应商没有列入的项目费用，并认为此项目的费用已包括在合同总价中。</w:t>
            </w:r>
          </w:p>
          <w:p w14:paraId="17A9A40F">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13.4 未书面退出谈判的供应商必须在规定时间内登录广西政府采购云平台在线提交最后报价，其最后报价不得超出采购预算；谈判过程中谈判文件未作实质性变动的，</w:t>
            </w:r>
            <w:r>
              <w:rPr>
                <w:rFonts w:hint="eastAsia" w:ascii="宋体" w:hAnsi="宋体" w:eastAsia="宋体" w:cs="宋体"/>
                <w:b/>
                <w:bCs/>
                <w:color w:val="000000" w:themeColor="text1"/>
                <w:sz w:val="21"/>
                <w:szCs w:val="21"/>
                <w:highlight w:val="none"/>
                <w:lang w:eastAsia="zh-CN"/>
                <w14:textFill>
                  <w14:solidFill>
                    <w14:schemeClr w14:val="tx1"/>
                  </w14:solidFill>
                </w14:textFill>
              </w:rPr>
              <w:t>最后报价不得超过首次报价。</w:t>
            </w:r>
          </w:p>
        </w:tc>
      </w:tr>
      <w:tr w14:paraId="1D7FC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65" w:type="dxa"/>
            <w:vAlign w:val="top"/>
          </w:tcPr>
          <w:p w14:paraId="2C3387E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885" w:type="dxa"/>
            <w:gridSpan w:val="2"/>
            <w:vAlign w:val="top"/>
          </w:tcPr>
          <w:p w14:paraId="367BCF8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14.1</w:t>
            </w:r>
          </w:p>
        </w:tc>
        <w:tc>
          <w:tcPr>
            <w:tcW w:w="1663" w:type="dxa"/>
            <w:vAlign w:val="top"/>
          </w:tcPr>
          <w:p w14:paraId="39FDA0D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响应文件有效期</w:t>
            </w:r>
          </w:p>
        </w:tc>
        <w:tc>
          <w:tcPr>
            <w:tcW w:w="6588" w:type="dxa"/>
            <w:vAlign w:val="center"/>
          </w:tcPr>
          <w:p w14:paraId="6BF6EA6C">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自响应文件提交截止时间之日起90天，有效期不足的响应文件将被拒绝。</w:t>
            </w:r>
          </w:p>
        </w:tc>
      </w:tr>
      <w:tr w14:paraId="620A7F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65" w:type="dxa"/>
            <w:vAlign w:val="top"/>
          </w:tcPr>
          <w:p w14:paraId="61C8F9D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7413FE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FB856F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72E8A7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9174E0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885" w:type="dxa"/>
            <w:gridSpan w:val="2"/>
            <w:vAlign w:val="top"/>
          </w:tcPr>
          <w:p w14:paraId="3F07DA8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06CD4A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ED7613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CBB372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760449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663" w:type="dxa"/>
            <w:vAlign w:val="top"/>
          </w:tcPr>
          <w:p w14:paraId="4D4FFE7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8075A9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6CF034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7CB537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B3FF5A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电子响应文件的制作、加密</w:t>
            </w:r>
          </w:p>
        </w:tc>
        <w:tc>
          <w:tcPr>
            <w:tcW w:w="6588" w:type="dxa"/>
          </w:tcPr>
          <w:p w14:paraId="648BCA20">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15.1 供应商制作电子响应文件前，应登陆广西政府采购云平台进行“申请获取采购文件”操作，否则，有可能导致无法在线编制响应文件并参与竞标，其不利后果由供应商自行承担。</w:t>
            </w:r>
          </w:p>
          <w:p w14:paraId="612C6081">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15.2 供应商下载或获取竞争性谈判文件后，登录“广西政府采购云平台电子投标客户端”，按照本谈判文件规定的响应文件格式、顺序以及广西政府采购云平台的要求，通过“广西政府采购云平台电子投标客户端”编制电子响应文件。</w:t>
            </w:r>
          </w:p>
          <w:p w14:paraId="15047E90">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15.3 供应商应按“广西政府采购云平台电子投标客户端”载明的“标书关联”功能进行电子响应文件的关联定位，以便谈判小组在评审时点击相应评审项可直接定位到该评审内容；如供应商的电子响应文件未能关联定位相应内容，或者关联定位的内容与该评审项不符，导致谈判小组无法查询并做出对供应商不利的评审，相关后果由供应商自行承担。</w:t>
            </w:r>
          </w:p>
          <w:p w14:paraId="33FAAB89">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15.4 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PDF的格式上传。因响应文件字迹潦草、表达不清、内容不完整、编排混乱导致响应文件被误读、漏读，或者在按竞争性谈判文件规定的部位查找不到相关内容的，其不利后果由供应商自行承担。</w:t>
            </w:r>
          </w:p>
          <w:p w14:paraId="53247B6D">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15.5 供应商编制、生成电子响应文件后应当加密响应文件。供应商未按规定编制并加密的响应文件，广西政府采购云平台将予以拒收。</w:t>
            </w:r>
          </w:p>
        </w:tc>
      </w:tr>
      <w:tr w14:paraId="05F7B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5" w:type="dxa"/>
            <w:vAlign w:val="top"/>
          </w:tcPr>
          <w:p w14:paraId="597621C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FA14D4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7745F0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7BD4CC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6B7CF5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16CC94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885" w:type="dxa"/>
            <w:gridSpan w:val="2"/>
            <w:vAlign w:val="top"/>
          </w:tcPr>
          <w:p w14:paraId="59F9CC7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6E1747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B48B61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F3852D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095381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ED28BA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15.6</w:t>
            </w:r>
          </w:p>
        </w:tc>
        <w:tc>
          <w:tcPr>
            <w:tcW w:w="1663" w:type="dxa"/>
            <w:vAlign w:val="top"/>
          </w:tcPr>
          <w:p w14:paraId="4239A6E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2E7B8E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5B1C24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65BE18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06523E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A66A4D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供应商公章及签字</w:t>
            </w:r>
          </w:p>
        </w:tc>
        <w:tc>
          <w:tcPr>
            <w:tcW w:w="6588" w:type="dxa"/>
          </w:tcPr>
          <w:p w14:paraId="15533EB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15.6.1 本竞争性谈判文件中描述供应商的“公章”是指供应商通过指定电子化政府采购平台办理数字证书（CA认证证书）获得的以法定主体行为名称制作的电子印章。</w:t>
            </w:r>
          </w:p>
          <w:p w14:paraId="7EC20112">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15.6.2 本竞争性谈判文件中要求供应商对其电子响应文件的相关内容加盖公章的，均指采用CA证书签章。</w:t>
            </w:r>
          </w:p>
          <w:p w14:paraId="72179561">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15.6.3 本谈判文件中描述供应商的“签字”是指供应商通过指定电子化政府采购平台办理数字证书（CA认证证书）获得的以供应商法定</w:t>
            </w:r>
            <w:r>
              <w:rPr>
                <w:rFonts w:hint="eastAsia" w:cs="宋体"/>
                <w:color w:val="000000" w:themeColor="text1"/>
                <w:sz w:val="21"/>
                <w:szCs w:val="21"/>
                <w:highlight w:val="none"/>
                <w:lang w:val="en-US" w:eastAsia="zh-CN"/>
                <w14:textFill>
                  <w14:solidFill>
                    <w14:schemeClr w14:val="tx1"/>
                  </w14:solidFill>
                </w14:textFill>
              </w:rPr>
              <w:t>代</w:t>
            </w:r>
            <w:r>
              <w:rPr>
                <w:rFonts w:hint="eastAsia" w:ascii="宋体" w:hAnsi="宋体" w:eastAsia="宋体" w:cs="宋体"/>
                <w:color w:val="000000" w:themeColor="text1"/>
                <w:sz w:val="21"/>
                <w:szCs w:val="21"/>
                <w:highlight w:val="none"/>
                <w:lang w:eastAsia="zh-CN"/>
                <w14:textFill>
                  <w14:solidFill>
                    <w14:schemeClr w14:val="tx1"/>
                  </w14:solidFill>
                </w14:textFill>
              </w:rPr>
              <w:t>表人（负责人、自然人）或者委托代理人姓名制作的个人电子印章或手写签字。没有办理个人CA证书的，可以为手写签字的形式。</w:t>
            </w:r>
          </w:p>
        </w:tc>
      </w:tr>
      <w:tr w14:paraId="669BC8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0" w:hRule="atLeast"/>
        </w:trPr>
        <w:tc>
          <w:tcPr>
            <w:tcW w:w="565" w:type="dxa"/>
            <w:vAlign w:val="top"/>
          </w:tcPr>
          <w:p w14:paraId="1FA15EC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C5D390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7AA16D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E8A4A7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6A8CF1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FC337F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633759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885" w:type="dxa"/>
            <w:gridSpan w:val="2"/>
            <w:vAlign w:val="top"/>
          </w:tcPr>
          <w:p w14:paraId="314FC6C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4F4731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74BF93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12342F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B65E92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BCF8B3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D35B22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663" w:type="dxa"/>
            <w:vAlign w:val="top"/>
          </w:tcPr>
          <w:p w14:paraId="4B4AB4A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59E13A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7EF7E1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1A8FB7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440769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30893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EB5506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首次响应文件的提交、撤回、修改</w:t>
            </w:r>
          </w:p>
        </w:tc>
        <w:tc>
          <w:tcPr>
            <w:tcW w:w="6588" w:type="dxa"/>
          </w:tcPr>
          <w:p w14:paraId="1651C832">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16.1 响应文件的提交截止时间：</w:t>
            </w:r>
            <w:r>
              <w:rPr>
                <w:rFonts w:hint="eastAsia" w:cs="宋体"/>
                <w:color w:val="000000" w:themeColor="text1"/>
                <w:sz w:val="21"/>
                <w:szCs w:val="21"/>
                <w:highlight w:val="none"/>
                <w:lang w:eastAsia="zh-CN"/>
                <w14:textFill>
                  <w14:solidFill>
                    <w14:schemeClr w14:val="tx1"/>
                  </w14:solidFill>
                </w14:textFill>
              </w:rPr>
              <w:t>2026年10月28日</w:t>
            </w:r>
            <w:r>
              <w:rPr>
                <w:rFonts w:hint="eastAsia" w:ascii="宋体" w:hAnsi="宋体" w:eastAsia="宋体" w:cs="宋体"/>
                <w:color w:val="000000" w:themeColor="text1"/>
                <w:sz w:val="21"/>
                <w:szCs w:val="21"/>
                <w:highlight w:val="none"/>
                <w:lang w:eastAsia="zh-CN"/>
                <w14:textFill>
                  <w14:solidFill>
                    <w14:schemeClr w14:val="tx1"/>
                  </w14:solidFill>
                </w14:textFill>
              </w:rPr>
              <w:t>上午</w:t>
            </w:r>
            <w:r>
              <w:rPr>
                <w:rFonts w:hint="eastAsia" w:ascii="宋体" w:hAnsi="宋体" w:eastAsia="宋体" w:cs="宋体"/>
                <w:color w:val="000000" w:themeColor="text1"/>
                <w:sz w:val="21"/>
                <w:szCs w:val="21"/>
                <w:highlight w:val="none"/>
                <w:lang w:val="en-US" w:eastAsia="zh-CN"/>
                <w14:textFill>
                  <w14:solidFill>
                    <w14:schemeClr w14:val="tx1"/>
                  </w14:solidFill>
                </w14:textFill>
              </w:rPr>
              <w:t>09</w:t>
            </w:r>
            <w:r>
              <w:rPr>
                <w:rFonts w:hint="eastAsia" w:ascii="宋体" w:hAnsi="宋体" w:eastAsia="宋体" w:cs="宋体"/>
                <w:color w:val="000000" w:themeColor="text1"/>
                <w:sz w:val="21"/>
                <w:szCs w:val="21"/>
                <w:highlight w:val="none"/>
                <w:lang w:eastAsia="zh-CN"/>
                <w14:textFill>
                  <w14:solidFill>
                    <w14:schemeClr w14:val="tx1"/>
                  </w14:solidFill>
                </w14:textFill>
              </w:rPr>
              <w:t>时30分（北京时间）</w:t>
            </w:r>
          </w:p>
          <w:p w14:paraId="246D0B5E">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16.2 地点：通过广西政府采购云平台在线提交。</w:t>
            </w:r>
          </w:p>
          <w:p w14:paraId="028E85D4">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16.3 供应商应当在响应文件提交截止时间前，将生成的电子响应文件上传提交至广西政府采购云平台。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广西政府采购云平台的，视为未提交响应文件。</w:t>
            </w:r>
          </w:p>
          <w:p w14:paraId="7CB700F6">
            <w:pPr>
              <w:pStyle w:val="27"/>
              <w:keepNext w:val="0"/>
              <w:keepLines w:val="0"/>
              <w:pageBreakBefore w:val="0"/>
              <w:widowControl w:val="0"/>
              <w:kinsoku w:val="0"/>
              <w:wordWrap w:val="0"/>
              <w:overflowPunct/>
              <w:topLinePunct w:val="0"/>
              <w:autoSpaceDE w:val="0"/>
              <w:autoSpaceDN w:val="0"/>
              <w:bidi w:val="0"/>
              <w:adjustRightInd w:val="0"/>
              <w:snapToGrid w:val="0"/>
              <w:spacing w:line="380" w:lineRule="exact"/>
              <w:ind w:firstLine="420" w:firstLineChars="2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16.4 除竞争性谈判文件另有规定外，供应商所提交的响应文件不予退还。</w:t>
            </w:r>
          </w:p>
        </w:tc>
      </w:tr>
      <w:tr w14:paraId="6736F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565" w:type="dxa"/>
            <w:vAlign w:val="top"/>
          </w:tcPr>
          <w:p w14:paraId="11BF2CA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2A4899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043FDA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F1BDD2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885" w:type="dxa"/>
            <w:gridSpan w:val="2"/>
            <w:vAlign w:val="top"/>
          </w:tcPr>
          <w:p w14:paraId="219A3EB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B1EB3A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400AC8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1B1DA1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663" w:type="dxa"/>
            <w:vAlign w:val="top"/>
          </w:tcPr>
          <w:p w14:paraId="78BC116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6E325F2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D738810">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p>
          <w:p w14:paraId="3923DB7E">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响应文件的解密</w:t>
            </w:r>
          </w:p>
        </w:tc>
        <w:tc>
          <w:tcPr>
            <w:tcW w:w="6588" w:type="dxa"/>
          </w:tcPr>
          <w:p w14:paraId="7C520DFF">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响应文件提交截止时间后，采购代理机构开启解密响应文件操作，广西政府采购云平台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桂林市公共资源交易中心政采开标仓</w:t>
            </w:r>
            <w:r>
              <w:rPr>
                <w:rFonts w:hint="eastAsia" w:ascii="宋体" w:hAnsi="宋体" w:eastAsia="宋体" w:cs="宋体"/>
                <w:color w:val="000000" w:themeColor="text1"/>
                <w:szCs w:val="21"/>
                <w:highlight w:val="none"/>
                <w14:textFill>
                  <w14:solidFill>
                    <w14:schemeClr w14:val="tx1"/>
                  </w14:solidFill>
                </w14:textFill>
              </w:rPr>
              <w:t>（广西桂林市临桂区西城中路69号创业大厦西辅楼4楼）</w:t>
            </w:r>
            <w:r>
              <w:rPr>
                <w:rFonts w:hint="eastAsia" w:ascii="宋体" w:hAnsi="宋体" w:eastAsia="宋体" w:cs="宋体"/>
                <w:color w:val="000000" w:themeColor="text1"/>
                <w:sz w:val="21"/>
                <w:szCs w:val="21"/>
                <w:highlight w:val="none"/>
                <w:lang w:eastAsia="zh-CN"/>
                <w14:textFill>
                  <w14:solidFill>
                    <w14:schemeClr w14:val="tx1"/>
                  </w14:solidFill>
                </w14:textFill>
              </w:rPr>
              <w:t>】，或以电子邮件的形式提交电子备份响应文件（以通知时所告知的电子邮箱地址为准）；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谈判。</w:t>
            </w:r>
          </w:p>
        </w:tc>
      </w:tr>
      <w:tr w14:paraId="1326A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 w:hRule="atLeast"/>
        </w:trPr>
        <w:tc>
          <w:tcPr>
            <w:tcW w:w="565" w:type="dxa"/>
            <w:vAlign w:val="top"/>
          </w:tcPr>
          <w:p w14:paraId="522FF70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37E36B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885" w:type="dxa"/>
            <w:gridSpan w:val="2"/>
            <w:vAlign w:val="top"/>
          </w:tcPr>
          <w:p w14:paraId="31616B4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F2BFCF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18.1</w:t>
            </w:r>
          </w:p>
        </w:tc>
        <w:tc>
          <w:tcPr>
            <w:tcW w:w="1663" w:type="dxa"/>
            <w:vAlign w:val="top"/>
          </w:tcPr>
          <w:p w14:paraId="209AE1D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71D63C1">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谈判小组组成</w:t>
            </w:r>
          </w:p>
        </w:tc>
        <w:tc>
          <w:tcPr>
            <w:tcW w:w="6588" w:type="dxa"/>
          </w:tcPr>
          <w:p w14:paraId="3A68F7EB">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谈判及评审组织工作由采购代理机构负责，具体谈判、评审工作由依法组建的谈判小组负责，本项目的谈判小组由有关方面的评审专家组成，谈判小组的构成：3人。</w:t>
            </w:r>
          </w:p>
        </w:tc>
      </w:tr>
      <w:tr w14:paraId="1DA24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7" w:hRule="atLeast"/>
        </w:trPr>
        <w:tc>
          <w:tcPr>
            <w:tcW w:w="565" w:type="dxa"/>
            <w:vAlign w:val="top"/>
          </w:tcPr>
          <w:p w14:paraId="1864E8D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B42CAE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4B7181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C190DE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589D6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3596C6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9AE681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885" w:type="dxa"/>
            <w:gridSpan w:val="2"/>
            <w:vAlign w:val="top"/>
          </w:tcPr>
          <w:p w14:paraId="70A39B6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45F2B3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AF3A7F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B46AF3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067CAE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2574CD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189280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18.2</w:t>
            </w:r>
          </w:p>
        </w:tc>
        <w:tc>
          <w:tcPr>
            <w:tcW w:w="1663" w:type="dxa"/>
            <w:vAlign w:val="top"/>
          </w:tcPr>
          <w:p w14:paraId="371D1AF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7D3C36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C68C72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808835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4E55C06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8D8A46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72AD48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谈判时间、地点、人员</w:t>
            </w:r>
          </w:p>
        </w:tc>
        <w:tc>
          <w:tcPr>
            <w:tcW w:w="6588" w:type="dxa"/>
          </w:tcPr>
          <w:p w14:paraId="47017AE3">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18.2.1 谈判时间：首次响应文件提交截止时间后。</w:t>
            </w:r>
          </w:p>
          <w:p w14:paraId="3D460509">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18.2.2 谈判地点：供应商代表在响应文件提交当天实时登录广西政府采购云平台，按谈判小组要求在线等候参与谈判及提交最后报价。因供应商未保持实时在线，导致谈判小组无法及时与其取得联系，从而造成供应商未按规定参与谈判或报价的，其不利后果由供应商自行承担。</w:t>
            </w:r>
          </w:p>
          <w:p w14:paraId="737CF377">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18.2.3 谈判参加人员：供应商法定代表人(负责人、自然人)或相应的委托代理人参加谈判。请供应商实时登录广西政府采购云平台等候在线谈判。</w:t>
            </w:r>
          </w:p>
          <w:p w14:paraId="418B2B7C">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18.2.4 首次响应文件提交截止时间后，登录广西政府采购云平台在线解密开启。</w:t>
            </w:r>
          </w:p>
        </w:tc>
      </w:tr>
      <w:tr w14:paraId="1E3EA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65" w:type="dxa"/>
            <w:vAlign w:val="top"/>
          </w:tcPr>
          <w:p w14:paraId="1A5DCF7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885" w:type="dxa"/>
            <w:gridSpan w:val="2"/>
            <w:vAlign w:val="top"/>
          </w:tcPr>
          <w:p w14:paraId="7EB66D7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19.2</w:t>
            </w:r>
          </w:p>
        </w:tc>
        <w:tc>
          <w:tcPr>
            <w:tcW w:w="1663" w:type="dxa"/>
            <w:vAlign w:val="top"/>
          </w:tcPr>
          <w:p w14:paraId="46F268E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评审办法</w:t>
            </w:r>
          </w:p>
        </w:tc>
        <w:tc>
          <w:tcPr>
            <w:tcW w:w="6588" w:type="dxa"/>
          </w:tcPr>
          <w:p w14:paraId="11B01EFE">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具体详见第四章“评审办法”。</w:t>
            </w:r>
          </w:p>
        </w:tc>
      </w:tr>
      <w:tr w14:paraId="2E886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565" w:type="dxa"/>
            <w:vAlign w:val="top"/>
          </w:tcPr>
          <w:p w14:paraId="1D4A613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23715E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0CBCD62">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9E3471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9499F6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885" w:type="dxa"/>
            <w:gridSpan w:val="2"/>
            <w:vAlign w:val="top"/>
          </w:tcPr>
          <w:p w14:paraId="75D519D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9B8A1A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A7CA2F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E19E50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A3EBB24">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26</w:t>
            </w:r>
          </w:p>
        </w:tc>
        <w:tc>
          <w:tcPr>
            <w:tcW w:w="1663" w:type="dxa"/>
            <w:vAlign w:val="top"/>
          </w:tcPr>
          <w:p w14:paraId="44F52A0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0E82CB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05D026E">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34E3AF4C">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E4BC6D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信用查询</w:t>
            </w:r>
          </w:p>
        </w:tc>
        <w:tc>
          <w:tcPr>
            <w:tcW w:w="6588" w:type="dxa"/>
          </w:tcPr>
          <w:p w14:paraId="2492CCD7">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根据《关于做好政府采购有关信用主体标识码登记及在政府采购活动中查询使用信用记录有关问题的通知》（桂财采〔2016〕37</w:t>
            </w:r>
            <w:r>
              <w:rPr>
                <w:rFonts w:hint="eastAsia" w:cs="宋体"/>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color w:val="000000" w:themeColor="text1"/>
                <w:sz w:val="21"/>
                <w:szCs w:val="21"/>
                <w:highlight w:val="none"/>
                <w:lang w:eastAsia="zh-CN"/>
                <w14:textFill>
                  <w14:solidFill>
                    <w14:schemeClr w14:val="tx1"/>
                  </w14:solidFill>
                </w14:textFill>
              </w:rPr>
              <w:t>），由采购代理机构对第一成交候选人进行信用查询：</w:t>
            </w:r>
          </w:p>
          <w:p w14:paraId="3A083FD5">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（1）查询渠道：“信用中国”网站(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14:textFill>
                  <w14:solidFill>
                    <w14:schemeClr w14:val="tx1"/>
                  </w14:solidFill>
                </w14:textFill>
              </w:rPr>
              <w:t>www.creditchina.gov.cn</w:t>
            </w:r>
            <w:r>
              <w:rPr>
                <w:rFonts w:hint="eastAsia" w:ascii="宋体" w:hAnsi="宋体" w:eastAsia="宋体" w:cs="宋体"/>
                <w:color w:val="000000" w:themeColor="text1"/>
                <w:sz w:val="21"/>
                <w:szCs w:val="21"/>
                <w:highlight w:val="none"/>
                <w14:textFill>
                  <w14:solidFill>
                    <w14:schemeClr w14:val="tx1"/>
                  </w14:solidFill>
                </w14:textFill>
              </w:rPr>
              <w:fldChar w:fldCharType="end"/>
            </w:r>
            <w:r>
              <w:rPr>
                <w:rFonts w:hint="eastAsia" w:ascii="宋体" w:hAnsi="宋体" w:eastAsia="宋体" w:cs="宋体"/>
                <w:color w:val="000000" w:themeColor="text1"/>
                <w:sz w:val="21"/>
                <w:szCs w:val="21"/>
                <w:highlight w:val="none"/>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14:textFill>
                  <w14:solidFill>
                    <w14:schemeClr w14:val="tx1"/>
                  </w14:solidFill>
                </w14:textFill>
              </w:rPr>
              <w:t>www.ccgp.gov.cn</w:t>
            </w:r>
            <w:r>
              <w:rPr>
                <w:rFonts w:hint="eastAsia" w:ascii="宋体" w:hAnsi="宋体" w:eastAsia="宋体" w:cs="宋体"/>
                <w:color w:val="000000" w:themeColor="text1"/>
                <w:sz w:val="21"/>
                <w:szCs w:val="21"/>
                <w:highlight w:val="none"/>
                <w14:textFill>
                  <w14:solidFill>
                    <w14:schemeClr w14:val="tx1"/>
                  </w14:solidFill>
                </w14:textFill>
              </w:rPr>
              <w:fldChar w:fldCharType="end"/>
            </w:r>
            <w:r>
              <w:rPr>
                <w:rFonts w:hint="eastAsia" w:ascii="宋体" w:hAnsi="宋体" w:eastAsia="宋体" w:cs="宋体"/>
                <w:color w:val="000000" w:themeColor="text1"/>
                <w:sz w:val="21"/>
                <w:szCs w:val="21"/>
                <w:highlight w:val="none"/>
                <w14:textFill>
                  <w14:solidFill>
                    <w14:schemeClr w14:val="tx1"/>
                  </w14:solidFill>
                </w14:textFill>
              </w:rPr>
              <w:t>)等；</w:t>
            </w:r>
          </w:p>
          <w:p w14:paraId="4C762F3C">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（2）查询截止时间：成交通知书发出前；</w:t>
            </w:r>
          </w:p>
          <w:p w14:paraId="1E539C97">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（3）信用信息查询记录和证据留存方式：在查询网站中直接打印查询记录，打印材料作为采购活动资料保存；</w:t>
            </w:r>
          </w:p>
          <w:p w14:paraId="371CF9AA">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（4） 信用信息使用规则：对在“信用中国”网站(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zh-CN"/>
                <w14:textFill>
                  <w14:solidFill>
                    <w14:schemeClr w14:val="tx1"/>
                  </w14:solidFill>
                </w14:textFill>
              </w:rPr>
              <w:t>www.creditchina.gov.cn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1"/>
                <w:szCs w:val="21"/>
                <w:highlight w:val="none"/>
                <w:lang w:eastAsia="zh-CN"/>
                <w14:textFill>
                  <w14:solidFill>
                    <w14:schemeClr w14:val="tx1"/>
                  </w14:solidFill>
                </w14:textFill>
              </w:rPr>
              <w:t>www.ccgp.gov.cn</w:t>
            </w:r>
            <w:r>
              <w:rPr>
                <w:rFonts w:hint="eastAsia" w:ascii="宋体" w:hAnsi="宋体" w:eastAsia="宋体" w:cs="宋体"/>
                <w:color w:val="000000" w:themeColor="text1"/>
                <w:sz w:val="21"/>
                <w:szCs w:val="21"/>
                <w:highlight w:val="none"/>
                <w:lang w:eastAsia="zh-CN"/>
                <w14:textFill>
                  <w14:solidFill>
                    <w14:schemeClr w14:val="tx1"/>
                  </w14:solidFill>
                </w14:textFill>
              </w:rPr>
              <w:fldChar w:fldCharType="end"/>
            </w:r>
            <w:r>
              <w:rPr>
                <w:rFonts w:hint="eastAsia" w:ascii="宋体" w:hAnsi="宋体" w:eastAsia="宋体" w:cs="宋体"/>
                <w:color w:val="000000" w:themeColor="text1"/>
                <w:sz w:val="21"/>
                <w:szCs w:val="21"/>
                <w:highlight w:val="none"/>
                <w:lang w:eastAsia="zh-CN"/>
                <w14:textFill>
                  <w14:solidFill>
                    <w14:schemeClr w14:val="tx1"/>
                  </w14:solidFill>
                </w14:textFill>
              </w:rPr>
              <w:t>)等渠道列入失信被执行人、重大税收违法案件当事人名单、政府采购严重违法失信行为记录名单及其他不符合《中华人民共和国政府采购法》第二十二条规定条件的供应商，取消其成交候选人资格。</w:t>
            </w:r>
          </w:p>
        </w:tc>
      </w:tr>
      <w:tr w14:paraId="06730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8" w:hRule="atLeast"/>
        </w:trPr>
        <w:tc>
          <w:tcPr>
            <w:tcW w:w="577" w:type="dxa"/>
            <w:gridSpan w:val="2"/>
            <w:vAlign w:val="top"/>
          </w:tcPr>
          <w:p w14:paraId="0548723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DD4225D">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8BCD3C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7DC595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1F87197F">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873" w:type="dxa"/>
            <w:vAlign w:val="top"/>
          </w:tcPr>
          <w:p w14:paraId="29E53CA7">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F54A99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C0995B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52B9F1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82BAE6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27</w:t>
            </w:r>
          </w:p>
        </w:tc>
        <w:tc>
          <w:tcPr>
            <w:tcW w:w="1663" w:type="dxa"/>
            <w:vAlign w:val="top"/>
          </w:tcPr>
          <w:p w14:paraId="74DE2199">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314D1AC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DFB4CB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3FCD25A">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00F4C3B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成交公告及成交通知书</w:t>
            </w:r>
          </w:p>
        </w:tc>
        <w:tc>
          <w:tcPr>
            <w:tcW w:w="6588" w:type="dxa"/>
          </w:tcPr>
          <w:p w14:paraId="77C2EE8E">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27.1 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65995AF9">
            <w:pPr>
              <w:pStyle w:val="27"/>
              <w:pageBreakBefore w:val="0"/>
              <w:widowControl w:val="0"/>
              <w:wordWrap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27.3 在发布成交公告的同时，采购代理机构向成交供应商发出成交通知书。成交供应商应自接到通知之日起七个工作日内，办理成交通知书领取手续。</w:t>
            </w:r>
          </w:p>
        </w:tc>
      </w:tr>
      <w:tr w14:paraId="63EFF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77" w:type="dxa"/>
            <w:gridSpan w:val="2"/>
            <w:vAlign w:val="top"/>
          </w:tcPr>
          <w:p w14:paraId="1F2AD67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873" w:type="dxa"/>
            <w:vAlign w:val="top"/>
          </w:tcPr>
          <w:p w14:paraId="3E0EC49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28</w:t>
            </w:r>
          </w:p>
        </w:tc>
        <w:tc>
          <w:tcPr>
            <w:tcW w:w="1663" w:type="dxa"/>
            <w:vAlign w:val="top"/>
          </w:tcPr>
          <w:p w14:paraId="2E6618E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6588" w:type="dxa"/>
            <w:vAlign w:val="center"/>
          </w:tcPr>
          <w:p w14:paraId="1F0F100E">
            <w:pPr>
              <w:pageBreakBefore w:val="0"/>
              <w:widowControl w:val="0"/>
              <w:kinsoku/>
              <w:overflowPunct/>
              <w:topLinePunct w:val="0"/>
              <w:autoSpaceDE/>
              <w:autoSpaceDN/>
              <w:bidi w:val="0"/>
              <w:adjustRightInd/>
              <w:snapToGrid/>
              <w:spacing w:line="400" w:lineRule="exact"/>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本项目免收履约保证金。</w:t>
            </w:r>
          </w:p>
        </w:tc>
      </w:tr>
      <w:tr w14:paraId="642A6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577" w:type="dxa"/>
            <w:gridSpan w:val="2"/>
            <w:vAlign w:val="top"/>
          </w:tcPr>
          <w:p w14:paraId="209079C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873" w:type="dxa"/>
            <w:vAlign w:val="top"/>
          </w:tcPr>
          <w:p w14:paraId="75F2F16A">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29.1</w:t>
            </w:r>
          </w:p>
        </w:tc>
        <w:tc>
          <w:tcPr>
            <w:tcW w:w="1663" w:type="dxa"/>
            <w:vAlign w:val="top"/>
          </w:tcPr>
          <w:p w14:paraId="42FD977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签订合同时间</w:t>
            </w:r>
          </w:p>
        </w:tc>
        <w:tc>
          <w:tcPr>
            <w:tcW w:w="6588" w:type="dxa"/>
          </w:tcPr>
          <w:p w14:paraId="07F94C1A">
            <w:pPr>
              <w:pStyle w:val="27"/>
              <w:pageBreakBefore w:val="0"/>
              <w:widowControl w:val="0"/>
              <w:wordWrap w:val="0"/>
              <w:overflowPunct/>
              <w:topLinePunct w:val="0"/>
              <w:bidi w:val="0"/>
              <w:spacing w:line="400" w:lineRule="exac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成交通知书发出之日起</w:t>
            </w:r>
            <w:r>
              <w:rPr>
                <w:rFonts w:hint="eastAsia" w:cs="宋体"/>
                <w:color w:val="000000" w:themeColor="text1"/>
                <w:sz w:val="21"/>
                <w:szCs w:val="21"/>
                <w:highlight w:val="none"/>
                <w:lang w:eastAsia="zh-CN"/>
                <w14:textFill>
                  <w14:solidFill>
                    <w14:schemeClr w14:val="tx1"/>
                  </w14:solidFill>
                </w14:textFill>
              </w:rPr>
              <w:t>八</w:t>
            </w:r>
            <w:r>
              <w:rPr>
                <w:rFonts w:hint="eastAsia" w:ascii="宋体" w:hAnsi="宋体" w:eastAsia="宋体" w:cs="宋体"/>
                <w:color w:val="000000" w:themeColor="text1"/>
                <w:sz w:val="21"/>
                <w:szCs w:val="21"/>
                <w:highlight w:val="none"/>
                <w:lang w:eastAsia="zh-CN"/>
                <w14:textFill>
                  <w14:solidFill>
                    <w14:schemeClr w14:val="tx1"/>
                  </w14:solidFill>
                </w14:textFill>
              </w:rPr>
              <w:t>个工作日内。成交供应商领取成交通知书后，应按规定与采购人签订合同。</w:t>
            </w:r>
          </w:p>
        </w:tc>
      </w:tr>
      <w:tr w14:paraId="76F6F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77" w:type="dxa"/>
            <w:gridSpan w:val="2"/>
            <w:vAlign w:val="top"/>
          </w:tcPr>
          <w:p w14:paraId="227B3FC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5EFD2A20">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6AF22932">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873" w:type="dxa"/>
            <w:vAlign w:val="top"/>
          </w:tcPr>
          <w:p w14:paraId="20E19CBB">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C1B24B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232133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29.3</w:t>
            </w:r>
          </w:p>
        </w:tc>
        <w:tc>
          <w:tcPr>
            <w:tcW w:w="1663" w:type="dxa"/>
            <w:vAlign w:val="top"/>
          </w:tcPr>
          <w:p w14:paraId="2C7DD62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1B6FE1C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0B79EAB5">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合同备案存档</w:t>
            </w:r>
          </w:p>
        </w:tc>
        <w:tc>
          <w:tcPr>
            <w:tcW w:w="6588" w:type="dxa"/>
          </w:tcPr>
          <w:p w14:paraId="0695FC81">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采购代理机构存档。</w:t>
            </w:r>
          </w:p>
        </w:tc>
      </w:tr>
      <w:tr w14:paraId="58278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4" w:hRule="atLeast"/>
        </w:trPr>
        <w:tc>
          <w:tcPr>
            <w:tcW w:w="577" w:type="dxa"/>
            <w:gridSpan w:val="2"/>
            <w:vAlign w:val="top"/>
          </w:tcPr>
          <w:p w14:paraId="2DBE3841">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2896FF84">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544429C">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873" w:type="dxa"/>
            <w:vAlign w:val="top"/>
          </w:tcPr>
          <w:p w14:paraId="0F76493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5BD61353">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5E68BB9">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30.1</w:t>
            </w:r>
          </w:p>
        </w:tc>
        <w:tc>
          <w:tcPr>
            <w:tcW w:w="1663" w:type="dxa"/>
            <w:vAlign w:val="top"/>
          </w:tcPr>
          <w:p w14:paraId="7645BC15">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7696EC4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46EFDFD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采购代理服务费</w:t>
            </w:r>
          </w:p>
        </w:tc>
        <w:tc>
          <w:tcPr>
            <w:tcW w:w="6588" w:type="dxa"/>
          </w:tcPr>
          <w:p w14:paraId="5EE12A05">
            <w:pPr>
              <w:pStyle w:val="27"/>
              <w:pageBreakBefore w:val="0"/>
              <w:widowControl w:val="0"/>
              <w:wordWrap w:val="0"/>
              <w:overflowPunct/>
              <w:topLinePunct w:val="0"/>
              <w:bidi w:val="0"/>
              <w:spacing w:line="400" w:lineRule="exact"/>
              <w:ind w:firstLine="436"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成交供应商领取成交通知书前，向大华建设项目管理有限公司一次性付清采购代理服务费。本项目采购代理服务收费标准参照计价格〔2002〕1980号《招标代理服务收费管理暂行办法》</w:t>
            </w:r>
            <w:r>
              <w:rPr>
                <w:rFonts w:hint="eastAsia" w:ascii="宋体" w:hAnsi="宋体" w:eastAsia="宋体" w:cs="宋体"/>
                <w:snapToGrid w:val="0"/>
                <w:color w:val="000000" w:themeColor="text1"/>
                <w:spacing w:val="4"/>
                <w:kern w:val="0"/>
                <w:sz w:val="21"/>
                <w:szCs w:val="21"/>
                <w:highlight w:val="none"/>
                <w:lang w:val="en-US" w:eastAsia="zh-CN" w:bidi="ar-SA"/>
                <w14:textFill>
                  <w14:solidFill>
                    <w14:schemeClr w14:val="tx1"/>
                  </w14:solidFill>
                </w14:textFill>
              </w:rPr>
              <w:t>货物</w:t>
            </w: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类收费标准向成交供应商收取。</w:t>
            </w:r>
          </w:p>
        </w:tc>
      </w:tr>
      <w:tr w14:paraId="41B20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77" w:type="dxa"/>
            <w:gridSpan w:val="2"/>
            <w:vAlign w:val="top"/>
          </w:tcPr>
          <w:p w14:paraId="1C263388">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p>
          <w:p w14:paraId="7D0FC6F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873" w:type="dxa"/>
            <w:vAlign w:val="top"/>
          </w:tcPr>
          <w:p w14:paraId="04AF1B8F">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C32E5F8">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w:t>
            </w:r>
          </w:p>
        </w:tc>
        <w:tc>
          <w:tcPr>
            <w:tcW w:w="1663" w:type="dxa"/>
            <w:vAlign w:val="top"/>
          </w:tcPr>
          <w:p w14:paraId="06063FC6">
            <w:pPr>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highlight w:val="none"/>
                <w14:textFill>
                  <w14:solidFill>
                    <w14:schemeClr w14:val="tx1"/>
                  </w14:solidFill>
                </w14:textFill>
              </w:rPr>
            </w:pPr>
          </w:p>
          <w:p w14:paraId="2BC19FD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解释权</w:t>
            </w:r>
          </w:p>
        </w:tc>
        <w:tc>
          <w:tcPr>
            <w:tcW w:w="6588" w:type="dxa"/>
          </w:tcPr>
          <w:p w14:paraId="38804BA2">
            <w:pPr>
              <w:pStyle w:val="27"/>
              <w:pageBreakBefore w:val="0"/>
              <w:widowControl w:val="0"/>
              <w:wordWrap w:val="0"/>
              <w:overflowPunct/>
              <w:topLinePunct w:val="0"/>
              <w:bidi w:val="0"/>
              <w:spacing w:line="400" w:lineRule="exact"/>
              <w:ind w:firstLine="420" w:firstLineChars="200"/>
              <w:jc w:val="both"/>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本竞争性谈判文件是根据《中华人民共和国政府采购法》、《中华人民共和国政府采购法实施条例》、《政府采购非招标采购方式管理办法》和政府采购管理有关规定编制，本竞争性谈判文件的解释权属于采购代理机构。</w:t>
            </w:r>
          </w:p>
        </w:tc>
      </w:tr>
      <w:tr w14:paraId="18909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577" w:type="dxa"/>
            <w:gridSpan w:val="2"/>
            <w:vAlign w:val="top"/>
          </w:tcPr>
          <w:p w14:paraId="19ACF8CB">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873" w:type="dxa"/>
            <w:vAlign w:val="top"/>
          </w:tcPr>
          <w:p w14:paraId="28212743">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34</w:t>
            </w:r>
          </w:p>
        </w:tc>
        <w:tc>
          <w:tcPr>
            <w:tcW w:w="1663" w:type="dxa"/>
            <w:vAlign w:val="top"/>
          </w:tcPr>
          <w:p w14:paraId="35CB6FE7">
            <w:pPr>
              <w:pStyle w:val="27"/>
              <w:pageBreakBefore w:val="0"/>
              <w:widowControl w:val="0"/>
              <w:wordWrap w:val="0"/>
              <w:overflowPunct/>
              <w:topLinePunct w:val="0"/>
              <w:bidi w:val="0"/>
              <w:spacing w:line="400" w:lineRule="exact"/>
              <w:ind w:left="0" w:leftChars="0" w:right="0" w:rightChars="0" w:firstLine="0" w:firstLineChars="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监督管理机构</w:t>
            </w:r>
          </w:p>
        </w:tc>
        <w:tc>
          <w:tcPr>
            <w:tcW w:w="6588" w:type="dxa"/>
          </w:tcPr>
          <w:p w14:paraId="190E65C0">
            <w:pPr>
              <w:pStyle w:val="27"/>
              <w:pageBreakBefore w:val="0"/>
              <w:widowControl w:val="0"/>
              <w:wordWrap w:val="0"/>
              <w:overflowPunct/>
              <w:topLinePunct w:val="0"/>
              <w:bidi w:val="0"/>
              <w:spacing w:line="400" w:lineRule="exact"/>
              <w:ind w:firstLine="218" w:firstLineChars="100"/>
              <w:jc w:val="lef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广西壮族自治区财政厅政府采购监督管理处</w:t>
            </w:r>
            <w:r>
              <w:rPr>
                <w:rFonts w:hint="eastAsia" w:ascii="宋体" w:hAnsi="宋体" w:eastAsia="宋体" w:cs="宋体"/>
                <w:snapToGrid w:val="0"/>
                <w:color w:val="000000" w:themeColor="text1"/>
                <w:spacing w:val="4"/>
                <w:kern w:val="0"/>
                <w:sz w:val="21"/>
                <w:szCs w:val="21"/>
                <w:highlight w:val="none"/>
                <w:lang w:val="en-US" w:eastAsia="zh-CN" w:bidi="ar-SA"/>
                <w14:textFill>
                  <w14:solidFill>
                    <w14:schemeClr w14:val="tx1"/>
                  </w14:solidFill>
                </w14:textFill>
              </w:rPr>
              <w:t xml:space="preserve"> </w:t>
            </w: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电话：0771-5331544</w:t>
            </w:r>
          </w:p>
        </w:tc>
      </w:tr>
    </w:tbl>
    <w:p w14:paraId="0B52852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CDAA60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sectPr>
          <w:footerReference r:id="rId5"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355F3A6">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一、总则</w:t>
      </w:r>
    </w:p>
    <w:p w14:paraId="2FD90B69">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1.适应范围</w:t>
      </w:r>
    </w:p>
    <w:p w14:paraId="63602E2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1.1 项目名称及项目编号：</w:t>
      </w:r>
    </w:p>
    <w:p w14:paraId="700BA07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项目名称：2026年桂林市区控水质自动站智慧化改造项目（重）</w:t>
      </w:r>
    </w:p>
    <w:p w14:paraId="6FF9034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项目编号：GXZC2026-J1-003396-DHGS </w:t>
      </w:r>
    </w:p>
    <w:p w14:paraId="01E666F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1.2 本竞争性谈判文件（以下简称谈判文件）适用于本谈判项目的谈判、评审、合同履约、验收、付款等行为（法律、法规另有规定的，从其规定）。</w:t>
      </w:r>
    </w:p>
    <w:p w14:paraId="5D8D1104">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2.定义</w:t>
      </w:r>
    </w:p>
    <w:p w14:paraId="4DF83C2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2.1“供应商”是指符合本次采购项目的供应商资格并提交响应文件、参加谈判的供应商。如果该供应商在本次谈判中成交，即成为“成交供应商”。</w:t>
      </w:r>
    </w:p>
    <w:p w14:paraId="27116CC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2.2“货物”系指按谈判文件规定，供应商须向采购人提供的一切设备、保险、税金、备品备件、工具、手册及其它有关技术资料和材料。</w:t>
      </w:r>
    </w:p>
    <w:p w14:paraId="784F775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2.3“服务”系指按谈判文件规定，供应商须承担的安装、调试、技术协助、校准、培训、技术指导以及其他类似的义务。</w:t>
      </w:r>
    </w:p>
    <w:p w14:paraId="289FDD4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2.4“项目”系指供应商按谈判文件规定向采购人提供的货物和服务。</w:t>
      </w:r>
    </w:p>
    <w:p w14:paraId="1B7A4CD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2.5“书面形式”包括信函、传真、电报等。</w:t>
      </w:r>
    </w:p>
    <w:p w14:paraId="56E8AE73">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w:t>
      </w:r>
      <w:r>
        <w:rPr>
          <w:rFonts w:hint="eastAsia" w:ascii="宋体" w:hAnsi="宋体" w:eastAsia="宋体" w:cs="宋体"/>
          <w:b/>
          <w:bCs/>
          <w:color w:val="000000" w:themeColor="text1"/>
          <w:highlight w:val="none"/>
          <w:lang w:val="en-US" w:eastAsia="zh-CN"/>
          <w14:textFill>
            <w14:solidFill>
              <w14:schemeClr w14:val="tx1"/>
            </w14:solidFill>
          </w14:textFill>
        </w:rPr>
        <w:t>6</w:t>
      </w:r>
      <w:r>
        <w:rPr>
          <w:rFonts w:hint="eastAsia" w:ascii="宋体" w:hAnsi="宋体" w:eastAsia="宋体" w:cs="宋体"/>
          <w:b/>
          <w:bCs/>
          <w:color w:val="000000" w:themeColor="text1"/>
          <w:highlight w:val="none"/>
          <w:lang w:eastAsia="zh-CN"/>
          <w14:textFill>
            <w14:solidFill>
              <w14:schemeClr w14:val="tx1"/>
            </w14:solidFill>
          </w14:textFill>
        </w:rPr>
        <w:t>“响应文件</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”：本项目实行全流程电子化采购，供应商通过广西政府采购云平台参与电子竞标。响应文件特指供应商按本谈判文件规定提交的电子响应文件（包括因特殊情况无法解密或解密失败提交的电子备份响应文件）。</w:t>
      </w:r>
    </w:p>
    <w:p w14:paraId="0A1855FA">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w:t>
      </w:r>
      <w:r>
        <w:rPr>
          <w:rFonts w:hint="eastAsia" w:ascii="宋体" w:hAnsi="宋体" w:eastAsia="宋体" w:cs="宋体"/>
          <w:b/>
          <w:bCs/>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实质性要求：</w:t>
      </w:r>
      <w:r>
        <w:rPr>
          <w:rFonts w:hint="eastAsia" w:ascii="宋体" w:hAnsi="宋体" w:eastAsia="宋体" w:cs="宋体"/>
          <w:b/>
          <w:color w:val="000000" w:themeColor="text1"/>
          <w:kern w:val="0"/>
          <w:sz w:val="21"/>
          <w:szCs w:val="21"/>
          <w:highlight w:val="none"/>
          <w14:textFill>
            <w14:solidFill>
              <w14:schemeClr w14:val="tx1"/>
            </w14:solidFill>
          </w14:textFill>
        </w:rPr>
        <w:t>“实质性要求”是指采购文件中已经指明不满足则响应无效的条款，或者不能负偏离的条款，或者采购需求中带“</w:t>
      </w:r>
      <w:r>
        <w:rPr>
          <w:rFonts w:hint="eastAsia" w:ascii="宋体" w:hAnsi="宋体" w:eastAsia="宋体" w:cs="宋体"/>
          <w:b/>
          <w:color w:val="000000" w:themeColor="text1"/>
          <w:kern w:val="0"/>
          <w:sz w:val="24"/>
          <w:szCs w:val="24"/>
          <w:highlight w:val="none"/>
          <w14:textFill>
            <w14:solidFill>
              <w14:schemeClr w14:val="tx1"/>
            </w14:solidFill>
          </w14:textFill>
        </w:rPr>
        <w:t>▲</w:t>
      </w:r>
      <w:r>
        <w:rPr>
          <w:rFonts w:hint="eastAsia" w:ascii="宋体" w:hAnsi="宋体" w:eastAsia="宋体" w:cs="宋体"/>
          <w:b/>
          <w:color w:val="000000" w:themeColor="text1"/>
          <w:kern w:val="0"/>
          <w:sz w:val="21"/>
          <w:szCs w:val="21"/>
          <w:highlight w:val="none"/>
          <w14:textFill>
            <w14:solidFill>
              <w14:schemeClr w14:val="tx1"/>
            </w14:solidFill>
          </w14:textFill>
        </w:rPr>
        <w:t>”的条款。</w:t>
      </w:r>
    </w:p>
    <w:p w14:paraId="3D564E27">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3.供应商资格</w:t>
      </w:r>
    </w:p>
    <w:p w14:paraId="542BA76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3.1 满足《中华人民共和国政府采购法》第二十二条规定。</w:t>
      </w:r>
    </w:p>
    <w:p w14:paraId="7154C76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3.2 落实政府采购政策需满足的资格要求：本项目非专门面向中小微企业采购。</w:t>
      </w:r>
    </w:p>
    <w:p w14:paraId="4A060F8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3.3 本项目的特定资格要求：无。</w:t>
      </w:r>
    </w:p>
    <w:p w14:paraId="657D0A1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3.4 资格条件特别说明：</w:t>
      </w:r>
    </w:p>
    <w:p w14:paraId="564B567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3FB7AAD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（2）对在“信用中国”网站(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www.creditchina.gov.cn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)被列入失信被执行人、重大税收违法案件当事人名单、政府采购严重违法失信行为记录名单及其他不符合《中华人民共和国政府采购法》第二十二条规定条件的供应商，不得参与政府采购活动。</w:t>
      </w:r>
    </w:p>
    <w:p w14:paraId="0FD5329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4.参与电子竞标的准备工作</w:t>
      </w:r>
    </w:p>
    <w:p w14:paraId="7691628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4.1 本项目实行全流程电子化采购，供应商通过广西政府采购云平台参与电子竞标，并应做好以下相关准备工作：①在广西政府采购云平台注册成为正式供应商（操作方法详见广西壮族自治区政府采购网—办事服务—办事指南）；②完成CA证书申领和绑定（费用由供应商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供应商应当在响应文件提交截止时间前在广西政府采购云平台完成的身份认证，确保能够对相关数据电文进行加密和使用电子签章；④自备计算机和网络设备并确保能接入互联网（费用由供应商自行承担，设备确保可进行视频通话和读取广西政府采购云平台CA证书）。因供应商未做好相关准备工作等自身原因导致无法参加本项目电子竞标或竞标失败的，造成的一切后果，由供应商自行承担。</w:t>
      </w:r>
    </w:p>
    <w:p w14:paraId="6D4DD71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4.2 电子竞标具体操作流程参考《政府采购项目电子交易管理操作指南-供应商》（详见桂林市政府采购网—采购资讯—重要通知）；如遇平台技术问题详询95763或者0771-3381253。</w:t>
      </w:r>
    </w:p>
    <w:p w14:paraId="026539D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4.3 不论谈判结果如何，供应商均应自行承担所有与谈判有关的全部费用。</w:t>
      </w:r>
    </w:p>
    <w:p w14:paraId="60B7ADC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5.联合体要求：</w:t>
      </w:r>
    </w:p>
    <w:p w14:paraId="735BCDF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本项目不接受联合体参与谈判。</w:t>
      </w:r>
    </w:p>
    <w:p w14:paraId="649D41BD">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6.质疑和投诉</w:t>
      </w:r>
    </w:p>
    <w:p w14:paraId="56905D35">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6.1 供应商认为谈判文件使自己的合法权益受到损害的，应当于本项目公告期限届满之日起七个工作日内，以书面形式向采购代理机构提出质疑；供应商认为采购过程或成交结果使自己的合法权益受到损害的，应当在各采购程序环节结束之日或成交公告期限届满之日起七个工作日内，以书面形式向采购代理机构提出质疑</w:t>
      </w:r>
      <w:r>
        <w:rPr>
          <w:rFonts w:hint="eastAsia" w:ascii="宋体" w:hAnsi="宋体" w:eastAsia="宋体" w:cs="宋体"/>
          <w:b/>
          <w:bCs/>
          <w:color w:val="000000" w:themeColor="text1"/>
          <w:highlight w:val="none"/>
          <w:lang w:eastAsia="zh-CN"/>
          <w14:textFill>
            <w14:solidFill>
              <w14:schemeClr w14:val="tx1"/>
            </w14:solidFill>
          </w14:textFill>
        </w:rPr>
        <w:t>（“质疑函”格式见附表1）</w:t>
      </w:r>
      <w:r>
        <w:rPr>
          <w:rFonts w:hint="eastAsia" w:ascii="宋体" w:hAnsi="宋体" w:eastAsia="宋体" w:cs="宋体"/>
          <w:color w:val="000000" w:themeColor="text1"/>
          <w:highlight w:val="none"/>
          <w:lang w:eastAsia="zh-CN"/>
          <w14:textFill>
            <w14:solidFill>
              <w14:schemeClr w14:val="tx1"/>
            </w14:solidFill>
          </w14:textFill>
        </w:rPr>
        <w:t>。否则，采购代理机构有权拒收。</w:t>
      </w:r>
    </w:p>
    <w:p w14:paraId="0E204B6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采购代理机构应认真做好质疑处理工作，对于质疑供应商在法定质疑期内提出的质疑函，应当在收到质疑函后7个工作日内作出答复，并以书面形式通知质疑供应商和其他有关供应商。</w:t>
      </w:r>
    </w:p>
    <w:p w14:paraId="4B79B0F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供应商在法定质疑期内应一次性提出与项目相关的质疑，供应商在提出与项目相关的质疑前应当做好全面且详细的工作，代理机构不再受理供应商针对同一采购程序环节的再次质疑。</w:t>
      </w:r>
    </w:p>
    <w:p w14:paraId="6C8E102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6.2 供应商对采购代理机构的质疑答复不满意或者采购代理机构未在规定的时间内作出答复的，可以在答复期满后十五个工作日内向广西壮族自治区财政厅政府采购监督管理处投诉</w:t>
      </w:r>
      <w:r>
        <w:rPr>
          <w:rFonts w:hint="eastAsia" w:ascii="宋体" w:hAnsi="宋体" w:eastAsia="宋体" w:cs="宋体"/>
          <w:b/>
          <w:bCs/>
          <w:color w:val="000000" w:themeColor="text1"/>
          <w:highlight w:val="none"/>
          <w:lang w:eastAsia="zh-CN"/>
          <w14:textFill>
            <w14:solidFill>
              <w14:schemeClr w14:val="tx1"/>
            </w14:solidFill>
          </w14:textFill>
        </w:rPr>
        <w:t>（“投诉书”格式见附表2）</w:t>
      </w:r>
      <w:r>
        <w:rPr>
          <w:rFonts w:hint="eastAsia" w:ascii="宋体" w:hAnsi="宋体" w:eastAsia="宋体" w:cs="宋体"/>
          <w:color w:val="000000" w:themeColor="text1"/>
          <w:highlight w:val="none"/>
          <w:lang w:eastAsia="zh-CN"/>
          <w14:textFill>
            <w14:solidFill>
              <w14:schemeClr w14:val="tx1"/>
            </w14:solidFill>
          </w14:textFill>
        </w:rPr>
        <w:t>。</w:t>
      </w:r>
    </w:p>
    <w:p w14:paraId="1D65CB8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6.3 质疑、投诉应当采用书面形式，质疑书、投诉书实行实名制，均应明确阐述谈判文件、谈判过程或成交结果中使自己合法权益受到损害的实质性内容，并提供必要的证明材料。</w:t>
      </w:r>
    </w:p>
    <w:p w14:paraId="7979CE2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供应商提出质疑应当提交质疑函和必要的证明材料，针对同一采购程序环节的质疑必须在法定质疑期内一次性提出。质疑函应当包括下列内容：</w:t>
      </w:r>
    </w:p>
    <w:p w14:paraId="0AC330D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（1）供应商的姓名或者名称、地址、邮编、联系人及联系电话；</w:t>
      </w:r>
    </w:p>
    <w:p w14:paraId="4FE4A45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（2）质疑项目的名称、编号；</w:t>
      </w:r>
    </w:p>
    <w:p w14:paraId="2F26836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（3）具体、明确的质疑事项和与质疑事项相关的请求；</w:t>
      </w:r>
    </w:p>
    <w:p w14:paraId="7D253A3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（4）事实依据；</w:t>
      </w:r>
    </w:p>
    <w:p w14:paraId="5F8EDAA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（5）必要的法律依据；</w:t>
      </w:r>
    </w:p>
    <w:p w14:paraId="0989651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（6）提出质疑的日期。</w:t>
      </w:r>
    </w:p>
    <w:p w14:paraId="2955A42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供应商为自然人的，应当由本人签字；供应商为法人或者其他组织的，应当由法定代表人、主要负责人，或者其授权代表签字或者盖章，并加盖公章。</w:t>
      </w:r>
    </w:p>
    <w:p w14:paraId="7B37A41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接收质疑函方式：以书面形式</w:t>
      </w:r>
    </w:p>
    <w:p w14:paraId="255908D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质疑联系部门及联系方式：大华建设项目管理有限公司，联系电话：0773-2888667。通讯地址：桂林市秀峰区睦邻小苑5栋3单元。</w:t>
      </w:r>
    </w:p>
    <w:p w14:paraId="6D9E2143">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7.转包与分包</w:t>
      </w:r>
    </w:p>
    <w:p w14:paraId="4A12288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7.1 本项目不允许转包。</w:t>
      </w:r>
    </w:p>
    <w:p w14:paraId="1FF9C94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7.2 本项目不可以分包。</w:t>
      </w:r>
    </w:p>
    <w:p w14:paraId="16E33E2B">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8.</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特别说明</w:t>
      </w:r>
    </w:p>
    <w:p w14:paraId="136920B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8.1 提供相同品牌产品的不同供应商参加同一合同项下谈判的，以其中通过资格审查、符合性审查且最后报价最低的参加评审，最后报价相同的，由采购人自主选择确定一个参加评审的供应商；非单一产品采购项目中，多家供应商提供的核心产品品牌相同的，视为提供相同品牌产品。</w:t>
      </w:r>
    </w:p>
    <w:p w14:paraId="74DFF41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8.2 关联供应商不得参加同一合同项下政府采购活动，否则响应文件将被视为无效：</w:t>
      </w:r>
    </w:p>
    <w:p w14:paraId="48035A1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（1）单位负责人为同一人或者存在直接控股、管理关系的不同供应商，不得参加同一合同项下的政府采购活动。</w:t>
      </w:r>
    </w:p>
    <w:p w14:paraId="34DB069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（2）为本采购项目提供整体设计、规范编制或者项目管理、监理、检测等服务的供应商，不得再参加本次采购活动。</w:t>
      </w:r>
    </w:p>
    <w:p w14:paraId="7C3D027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（3）生产厂商授权给供应商后自己不得参加同一合同项下的政府采购活动；生产厂商对同一品牌同一型号的货物，仅能委托一个代理商参加谈判。</w:t>
      </w:r>
    </w:p>
    <w:p w14:paraId="264562B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8.3 供应商必须仔细阅读招标文件的所有内容，按照谈判文件的要求提交响应文件，并对所提供的全部资料的真实性承担法律责任。</w:t>
      </w:r>
    </w:p>
    <w:p w14:paraId="7ACAE52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9.4 供应商在采购活动中提供任何虚假材料，其响应无效，并报监管部门查处；成交后发现的，成交供应商须依照《中华人民共和国消费者权益保护法》规定赔偿采购人，且民事赔偿并不免除违法供应商的行政与刑事责任。</w:t>
      </w:r>
    </w:p>
    <w:p w14:paraId="0B570236">
      <w:pPr>
        <w:rPr>
          <w:rFonts w:hint="eastAsia" w:ascii="宋体" w:hAnsi="宋体" w:eastAsia="宋体" w:cs="宋体"/>
          <w:color w:val="000000" w:themeColor="text1"/>
          <w:highlight w:val="none"/>
          <w:lang w:eastAsia="zh-CN"/>
          <w14:textFill>
            <w14:solidFill>
              <w14:schemeClr w14:val="tx1"/>
            </w14:solidFill>
          </w14:textFill>
        </w:rPr>
      </w:pPr>
    </w:p>
    <w:p w14:paraId="28ABD0C0">
      <w:pPr>
        <w:rPr>
          <w:rFonts w:hint="eastAsia" w:ascii="宋体" w:hAnsi="宋体" w:eastAsia="宋体" w:cs="宋体"/>
          <w:color w:val="000000" w:themeColor="text1"/>
          <w:highlight w:val="none"/>
          <w:lang w:eastAsia="zh-CN"/>
          <w14:textFill>
            <w14:solidFill>
              <w14:schemeClr w14:val="tx1"/>
            </w14:solidFill>
          </w14:textFill>
        </w:rPr>
      </w:pPr>
    </w:p>
    <w:p w14:paraId="205E706F">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二、谈判文件</w:t>
      </w:r>
    </w:p>
    <w:p w14:paraId="18F0DCD3">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9.谈判文件的构成</w:t>
      </w:r>
    </w:p>
    <w:p w14:paraId="61A043B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（1）竞争性谈判公告；</w:t>
      </w:r>
    </w:p>
    <w:p w14:paraId="673AF15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（2）供应商须知；</w:t>
      </w:r>
    </w:p>
    <w:p w14:paraId="14736D4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（3）采购需求；</w:t>
      </w:r>
    </w:p>
    <w:p w14:paraId="238D0FD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（4）评审办法；</w:t>
      </w:r>
    </w:p>
    <w:p w14:paraId="5D7F6DE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（5）政府采购合同（合同主要条款及格式）；</w:t>
      </w:r>
    </w:p>
    <w:p w14:paraId="229C70A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（6）响应文件（格式）。</w:t>
      </w:r>
    </w:p>
    <w:p w14:paraId="39519F81">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10.谈判文件的澄清与修改</w:t>
      </w:r>
    </w:p>
    <w:p w14:paraId="642A9D7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10.1 提交首次响应文件截止之日前，采购代理机构可以对已发出的谈判文件进行必要澄清或者修改，澄清或者修改的内容可能影响响应文件编制的，采购代理机构应当在提交首次响应文件提交截止时间三个工作日前在本项目竞争性谈判公告发布的同一媒体上发布更正公告，不足三个工作日的，应当顺延首次响应文件提交截止时间。</w:t>
      </w:r>
    </w:p>
    <w:p w14:paraId="2143A16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10.2 供应商应实时关注本项目信息公告发布媒体相关网站了解澄清、修改等与项目有关的内容，如因供应商未及时登录本项目信息公告发布媒体相关网站了解澄清、修改等与项目有关的内容，从而导致响应文件无效的，由供应商自行承担责任。</w:t>
      </w:r>
    </w:p>
    <w:p w14:paraId="3D0C152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10.3 澄清或者修改的内容为谈判文件的组成部分。当澄清或者修改通知就同一内容的表述不一致时，以最后发出的书面文件为准。</w:t>
      </w:r>
    </w:p>
    <w:p w14:paraId="6DB706F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10.4 谈判文件的澄清或者修改都应该通过本项目采购代理机构以法定形式发布，采购人非通过本机构，不得擅自澄清、答复、修改或补充谈判文件。</w:t>
      </w:r>
    </w:p>
    <w:p w14:paraId="1E85E66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10.5 采购代理机构可以视采购具体情况，延长响应文件提交截止时间和谈判时间，并在本项目竞争性谈判公告发布的同一媒体上发布变更公告。</w:t>
      </w:r>
    </w:p>
    <w:p w14:paraId="1B159D79">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39A743FA">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三、响应文件的编制</w:t>
      </w:r>
    </w:p>
    <w:p w14:paraId="5700C82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11.响应文件（以下简称响应文件）的组成及要求</w:t>
      </w:r>
    </w:p>
    <w:p w14:paraId="79086A65">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11.1</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响应文件组成【格式见第六章“响应文件（格式）”】</w:t>
      </w:r>
    </w:p>
    <w:p w14:paraId="41DFE387">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11.1.1</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资格性响应证明材料：</w:t>
      </w:r>
    </w:p>
    <w:p w14:paraId="4AEBD87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（1）供应商相应的法定代表人(负责人、自然人)身份证正反两面复印件</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63EF48D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供应商的授权委托书原件、委托代理人</w:t>
      </w:r>
      <w:r>
        <w:rPr>
          <w:rFonts w:hint="eastAsia" w:ascii="宋体" w:hAnsi="宋体" w:eastAsia="宋体" w:cs="宋体"/>
          <w:color w:val="000000" w:themeColor="text1"/>
          <w:highlight w:val="none"/>
          <w14:textFill>
            <w14:solidFill>
              <w14:schemeClr w14:val="tx1"/>
            </w14:solidFill>
          </w14:textFill>
        </w:rPr>
        <w:t>身份证正反面</w:t>
      </w:r>
      <w:r>
        <w:rPr>
          <w:rFonts w:hint="eastAsia" w:ascii="宋体" w:hAnsi="宋体" w:eastAsia="宋体" w:cs="宋体"/>
          <w:color w:val="000000" w:themeColor="text1"/>
          <w:szCs w:val="21"/>
          <w:highlight w:val="none"/>
          <w14:textFill>
            <w14:solidFill>
              <w14:schemeClr w14:val="tx1"/>
            </w14:solidFill>
          </w14:textFill>
        </w:rPr>
        <w:t>复印件以及由社保经办机构出具的供应商为委托代理人202</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lang w:val="en-US" w:eastAsia="zh-CN"/>
          <w14:textFill>
            <w14:solidFill>
              <w14:schemeClr w14:val="tx1"/>
            </w14:solidFill>
          </w14:textFill>
        </w:rPr>
        <w:t>6月</w:t>
      </w:r>
      <w:r>
        <w:rPr>
          <w:rFonts w:hint="eastAsia" w:ascii="宋体" w:hAnsi="宋体" w:eastAsia="宋体" w:cs="宋体"/>
          <w:color w:val="000000" w:themeColor="text1"/>
          <w:szCs w:val="21"/>
          <w:highlight w:val="none"/>
          <w14:textFill>
            <w14:solidFill>
              <w14:schemeClr w14:val="tx1"/>
            </w14:solidFill>
          </w14:textFill>
        </w:rPr>
        <w:t>以来任意一个月交纳的社保证明复印件</w:t>
      </w:r>
      <w:r>
        <w:rPr>
          <w:rFonts w:hint="eastAsia" w:ascii="宋体" w:hAnsi="宋体" w:eastAsia="宋体" w:cs="宋体"/>
          <w:b/>
          <w:color w:val="000000" w:themeColor="text1"/>
          <w:szCs w:val="21"/>
          <w:highlight w:val="none"/>
          <w14:textFill>
            <w14:solidFill>
              <w14:schemeClr w14:val="tx1"/>
            </w14:solidFill>
          </w14:textFill>
        </w:rPr>
        <w:t>【属自然人的应提供由社保经办机构出具的自然人本人及委托代理人所交纳的社保证明复印件】（委托代理时必须提供）</w:t>
      </w:r>
      <w:r>
        <w:rPr>
          <w:rFonts w:hint="eastAsia" w:ascii="宋体" w:hAnsi="宋体" w:eastAsia="宋体" w:cs="宋体"/>
          <w:color w:val="000000" w:themeColor="text1"/>
          <w:highlight w:val="none"/>
          <w:lang w:eastAsia="zh-CN"/>
          <w14:textFill>
            <w14:solidFill>
              <w14:schemeClr w14:val="tx1"/>
            </w14:solidFill>
          </w14:textFill>
        </w:rPr>
        <w:t>；</w:t>
      </w:r>
    </w:p>
    <w:p w14:paraId="6E7E87C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（3）供应商的法人或者其他组织营业执照等证明文件复印件</w:t>
      </w:r>
      <w:r>
        <w:rPr>
          <w:rFonts w:hint="eastAsia" w:ascii="宋体" w:hAnsi="宋体" w:eastAsia="宋体" w:cs="宋体"/>
          <w:b/>
          <w:bCs/>
          <w:color w:val="000000" w:themeColor="text1"/>
          <w:highlight w:val="none"/>
          <w:lang w:eastAsia="zh-CN"/>
          <w14:textFill>
            <w14:solidFill>
              <w14:schemeClr w14:val="tx1"/>
            </w14:solidFill>
          </w14:textFill>
        </w:rPr>
        <w:t>（必须提供，自然人除外）；</w:t>
      </w:r>
    </w:p>
    <w:p w14:paraId="4960F11F">
      <w:pPr>
        <w:pageBreakBefore w:val="0"/>
        <w:widowControl w:val="0"/>
        <w:overflowPunct/>
        <w:topLinePunct w:val="0"/>
        <w:bidi w:val="0"/>
        <w:spacing w:line="400" w:lineRule="exact"/>
        <w:ind w:firstLine="422"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③如供应商为企业法人的分支机构的，除应提供营业执照复印件外，还应提供其所属的总公司授权其参加政府采购活动的授权文件或授权其独立开展经营业务活动的证明材料复印件。</w:t>
      </w:r>
    </w:p>
    <w:p w14:paraId="33ED68D6">
      <w:pPr>
        <w:pageBreakBefore w:val="0"/>
        <w:widowControl w:val="0"/>
        <w:overflowPunct/>
        <w:topLinePunct w:val="0"/>
        <w:bidi w:val="0"/>
        <w:spacing w:line="400" w:lineRule="exact"/>
        <w:ind w:firstLine="420" w:firstLineChars="200"/>
        <w:jc w:val="both"/>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（4）供应商202</w:t>
      </w:r>
      <w:r>
        <w:rPr>
          <w:rFonts w:hint="eastAsia" w:ascii="宋体" w:hAnsi="宋体" w:eastAsia="宋体" w:cs="宋体"/>
          <w:b w:val="0"/>
          <w:bCs w:val="0"/>
          <w:color w:val="000000" w:themeColor="text1"/>
          <w:highlight w:val="none"/>
          <w:lang w:val="en-US" w:eastAsia="zh-CN"/>
          <w14:textFill>
            <w14:solidFill>
              <w14:schemeClr w14:val="tx1"/>
            </w14:solidFill>
          </w14:textFill>
        </w:rPr>
        <w:t>5</w:t>
      </w:r>
      <w:r>
        <w:rPr>
          <w:rFonts w:hint="eastAsia" w:ascii="宋体" w:hAnsi="宋体" w:eastAsia="宋体" w:cs="宋体"/>
          <w:b w:val="0"/>
          <w:bCs w:val="0"/>
          <w:color w:val="000000" w:themeColor="text1"/>
          <w:highlight w:val="none"/>
          <w:lang w:eastAsia="zh-CN"/>
          <w14:textFill>
            <w14:solidFill>
              <w14:schemeClr w14:val="tx1"/>
            </w14:solidFill>
          </w14:textFill>
        </w:rPr>
        <w:t>年的财务状况报告复印件（可以是财务报表或2025年以来银行出具的资信证明等）复印件</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42B24AF4">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（5）供应商202</w:t>
      </w:r>
      <w:r>
        <w:rPr>
          <w:rFonts w:hint="eastAsia" w:ascii="宋体" w:hAnsi="宋体" w:eastAsia="宋体" w:cs="宋体"/>
          <w:b w:val="0"/>
          <w:bCs w:val="0"/>
          <w:color w:val="000000" w:themeColor="text1"/>
          <w:highlight w:val="none"/>
          <w:lang w:val="en-US" w:eastAsia="zh-CN"/>
          <w14:textFill>
            <w14:solidFill>
              <w14:schemeClr w14:val="tx1"/>
            </w14:solidFill>
          </w14:textFill>
        </w:rPr>
        <w:t>6</w:t>
      </w:r>
      <w:r>
        <w:rPr>
          <w:rFonts w:hint="eastAsia" w:ascii="宋体" w:hAnsi="宋体" w:eastAsia="宋体" w:cs="宋体"/>
          <w:b w:val="0"/>
          <w:bCs w:val="0"/>
          <w:color w:val="000000" w:themeColor="text1"/>
          <w:highlight w:val="none"/>
          <w:lang w:eastAsia="zh-CN"/>
          <w14:textFill>
            <w14:solidFill>
              <w14:schemeClr w14:val="tx1"/>
            </w14:solidFill>
          </w14:textFill>
        </w:rPr>
        <w:t>年以来任意一个月依法缴纳税收的相关材料复印件</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3F3504F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（6）供应商参加政府采购活动前3年内在经营活动中没有重大违法记录及有关信用信息的书面声明</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3E0F2A10">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（7）供应商参加本项目无围标串标行为的承诺函</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w:t>
      </w:r>
    </w:p>
    <w:p w14:paraId="20FE7220">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11.1.2</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符合性响应证明材料：</w:t>
      </w:r>
    </w:p>
    <w:p w14:paraId="57B2297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（1）响应函</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6860F7B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w:t>
      </w:r>
      <w:r>
        <w:rPr>
          <w:rFonts w:hint="eastAsia" w:ascii="宋体" w:hAnsi="宋体" w:eastAsia="宋体" w:cs="宋体"/>
          <w:b w:val="0"/>
          <w:bCs w:val="0"/>
          <w:color w:val="000000" w:themeColor="text1"/>
          <w:szCs w:val="21"/>
          <w:highlight w:val="none"/>
          <w14:textFill>
            <w14:solidFill>
              <w14:schemeClr w14:val="tx1"/>
            </w14:solidFill>
          </w14:textFill>
        </w:rPr>
        <w:t>谈判报价</w:t>
      </w:r>
      <w:r>
        <w:rPr>
          <w:rFonts w:hint="eastAsia" w:ascii="宋体" w:hAnsi="宋体" w:eastAsia="宋体" w:cs="宋体"/>
          <w:b w:val="0"/>
          <w:bCs w:val="0"/>
          <w:color w:val="000000" w:themeColor="text1"/>
          <w:szCs w:val="21"/>
          <w:highlight w:val="none"/>
          <w:lang w:eastAsia="zh-CN"/>
          <w14:textFill>
            <w14:solidFill>
              <w14:schemeClr w14:val="tx1"/>
            </w14:solidFill>
          </w14:textFill>
        </w:rPr>
        <w:t>表</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246C7B9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（3）技术规格偏离表</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7E6F7C0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（4）商务响应表</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61BE9D28">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5</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b w:val="0"/>
          <w:bCs w:val="0"/>
          <w:color w:val="000000" w:themeColor="text1"/>
          <w:highlight w:val="none"/>
          <w:lang w:eastAsia="zh-CN"/>
          <w14:textFill>
            <w14:solidFill>
              <w14:schemeClr w14:val="tx1"/>
            </w14:solidFill>
          </w14:textFill>
        </w:rPr>
        <w:t>项目实施方案</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b w:val="0"/>
          <w:bCs w:val="0"/>
          <w:color w:val="000000" w:themeColor="text1"/>
          <w:highlight w:val="none"/>
          <w:lang w:eastAsia="zh-CN"/>
          <w14:textFill>
            <w14:solidFill>
              <w14:schemeClr w14:val="tx1"/>
            </w14:solidFill>
          </w14:textFill>
        </w:rPr>
        <w:t>；</w:t>
      </w:r>
    </w:p>
    <w:p w14:paraId="716EE65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）售后服务承诺书</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1B88437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b w:val="0"/>
          <w:bCs w:val="0"/>
          <w:color w:val="000000" w:themeColor="text1"/>
          <w:highlight w:val="none"/>
          <w:lang w:val="en-US" w:eastAsia="zh-CN"/>
          <w14:textFill>
            <w14:solidFill>
              <w14:schemeClr w14:val="tx1"/>
            </w14:solidFill>
          </w14:textFill>
        </w:rPr>
        <w:t>项目实施人员一览表</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4510F8D7">
      <w:pPr>
        <w:pStyle w:val="3"/>
        <w:pageBreakBefore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val="0"/>
          <w:snapToGrid w:val="0"/>
          <w:color w:val="000000" w:themeColor="text1"/>
          <w:kern w:val="0"/>
          <w:sz w:val="21"/>
          <w:szCs w:val="21"/>
          <w:highlight w:val="none"/>
          <w:lang w:val="en-US" w:eastAsia="zh-CN" w:bidi="ar-SA"/>
          <w14:textFill>
            <w14:solidFill>
              <w14:schemeClr w14:val="tx1"/>
            </w14:solidFill>
          </w14:textFill>
        </w:rPr>
        <w:t>（</w:t>
      </w:r>
      <w:r>
        <w:rPr>
          <w:rFonts w:hint="eastAsia" w:ascii="宋体" w:hAnsi="宋体" w:cs="宋体"/>
          <w:b w:val="0"/>
          <w:snapToGrid w:val="0"/>
          <w:color w:val="000000" w:themeColor="text1"/>
          <w:kern w:val="0"/>
          <w:sz w:val="21"/>
          <w:szCs w:val="21"/>
          <w:highlight w:val="none"/>
          <w:lang w:val="en-US" w:eastAsia="zh-CN" w:bidi="ar-SA"/>
          <w14:textFill>
            <w14:solidFill>
              <w14:schemeClr w14:val="tx1"/>
            </w14:solidFill>
          </w14:textFill>
        </w:rPr>
        <w:t>8</w:t>
      </w:r>
      <w:r>
        <w:rPr>
          <w:rFonts w:hint="eastAsia" w:ascii="宋体" w:hAnsi="宋体" w:eastAsia="宋体" w:cs="宋体"/>
          <w:b w:val="0"/>
          <w:snapToGrid w:val="0"/>
          <w:color w:val="000000" w:themeColor="text1"/>
          <w:kern w:val="0"/>
          <w:sz w:val="21"/>
          <w:szCs w:val="21"/>
          <w:highlight w:val="none"/>
          <w:lang w:val="en-US" w:eastAsia="zh-CN" w:bidi="ar-SA"/>
          <w14:textFill>
            <w14:solidFill>
              <w14:schemeClr w14:val="tx1"/>
            </w14:solidFill>
          </w14:textFill>
        </w:rPr>
        <w:t>）“采购需求”需提供的有效证明文件</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（按采购需求要求提供）。</w:t>
      </w:r>
    </w:p>
    <w:p w14:paraId="75A702AD">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11.1.3</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其它有效证明材料：</w:t>
      </w:r>
    </w:p>
    <w:p w14:paraId="0B260F51">
      <w:pPr>
        <w:pageBreakBefore w:val="0"/>
        <w:tabs>
          <w:tab w:val="left" w:pos="1305"/>
        </w:tabs>
        <w:overflowPunct/>
        <w:topLinePunct w:val="0"/>
        <w:bidi w:val="0"/>
        <w:spacing w:line="400" w:lineRule="exact"/>
        <w:ind w:firstLine="420" w:firstLineChars="200"/>
        <w:rPr>
          <w:rFonts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（1）</w:t>
      </w:r>
      <w:r>
        <w:rPr>
          <w:rFonts w:ascii="宋体" w:hAnsi="宋体" w:eastAsia="宋体" w:cs="宋体"/>
          <w:color w:val="000000" w:themeColor="text1"/>
          <w:sz w:val="21"/>
          <w:szCs w:val="21"/>
          <w:highlight w:val="none"/>
          <w:lang w:eastAsia="zh-CN"/>
          <w14:textFill>
            <w14:solidFill>
              <w14:schemeClr w14:val="tx1"/>
            </w14:solidFill>
          </w14:textFill>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r>
        <w:rPr>
          <w:rFonts w:ascii="宋体" w:hAnsi="宋体" w:eastAsia="宋体" w:cs="宋体"/>
          <w:b/>
          <w:bCs/>
          <w:color w:val="000000" w:themeColor="text1"/>
          <w:sz w:val="21"/>
          <w:szCs w:val="21"/>
          <w:highlight w:val="none"/>
          <w:lang w:eastAsia="zh-CN"/>
          <w14:textFill>
            <w14:solidFill>
              <w14:schemeClr w14:val="tx1"/>
            </w14:solidFill>
          </w14:textFill>
        </w:rPr>
        <w:t>（如有，请提供）</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027ED1CE">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监狱企业的证明文件【供应商如为监狱企业的，应当提供由省级以上监狱管理局、戒毒管理局（含新疆生产建设兵团）出具的属于监狱企业的证明文件,否则不予享受优惠政策】</w:t>
      </w:r>
      <w:r>
        <w:rPr>
          <w:rFonts w:ascii="宋体" w:hAnsi="宋体" w:eastAsia="宋体" w:cs="宋体"/>
          <w:b/>
          <w:bCs/>
          <w:color w:val="000000" w:themeColor="text1"/>
          <w:sz w:val="21"/>
          <w:szCs w:val="21"/>
          <w:highlight w:val="none"/>
          <w:lang w:eastAsia="zh-CN"/>
          <w14:textFill>
            <w14:solidFill>
              <w14:schemeClr w14:val="tx1"/>
            </w14:solidFill>
          </w14:textFill>
        </w:rPr>
        <w:t>（如有，请提供）</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02B45209">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《残疾人福利性单位声明函》【符合条件的残疾人福利性单位在参加政府采购活动时，应当提供《残疾人福利性单位声明函》，并对声明的真实性负责】</w:t>
      </w:r>
      <w:r>
        <w:rPr>
          <w:rFonts w:hint="eastAsia" w:ascii="宋体" w:hAnsi="宋体" w:eastAsia="宋体" w:cs="宋体"/>
          <w:b/>
          <w:bCs/>
          <w:color w:val="000000" w:themeColor="text1"/>
          <w:sz w:val="21"/>
          <w:szCs w:val="21"/>
          <w:highlight w:val="none"/>
          <w:lang w:eastAsia="zh-CN"/>
          <w14:textFill>
            <w14:solidFill>
              <w14:schemeClr w14:val="tx1"/>
            </w14:solidFill>
          </w14:textFill>
        </w:rPr>
        <w:t>（如有，请提供）；</w:t>
      </w:r>
    </w:p>
    <w:p w14:paraId="7B2581C2">
      <w:pPr>
        <w:pageBreakBefore w:val="0"/>
        <w:tabs>
          <w:tab w:val="left" w:pos="1305"/>
        </w:tabs>
        <w:overflowPunct/>
        <w:topLinePunct w:val="0"/>
        <w:bidi w:val="0"/>
        <w:spacing w:line="400" w:lineRule="exact"/>
        <w:ind w:firstLine="420" w:firstLineChars="200"/>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）关于符合本国产品标准的声明函</w:t>
      </w:r>
      <w:r>
        <w:rPr>
          <w:rFonts w:hint="eastAsia" w:ascii="宋体" w:hAnsi="宋体" w:eastAsia="宋体" w:cs="宋体"/>
          <w:b/>
          <w:bCs/>
          <w:color w:val="000000" w:themeColor="text1"/>
          <w:sz w:val="21"/>
          <w:szCs w:val="21"/>
          <w:highlight w:val="none"/>
          <w:lang w:eastAsia="zh-CN"/>
          <w14:textFill>
            <w14:solidFill>
              <w14:schemeClr w14:val="tx1"/>
            </w14:solidFill>
          </w14:textFill>
        </w:rPr>
        <w:t>（如有，请提供）；</w:t>
      </w:r>
    </w:p>
    <w:p w14:paraId="447B4E9B">
      <w:pPr>
        <w:pageBreakBefore w:val="0"/>
        <w:tabs>
          <w:tab w:val="left" w:pos="1305"/>
        </w:tabs>
        <w:overflowPunct/>
        <w:topLinePunct w:val="0"/>
        <w:bidi w:val="0"/>
        <w:spacing w:line="400" w:lineRule="exact"/>
        <w:ind w:firstLine="420" w:firstLineChars="200"/>
        <w:rPr>
          <w:rFonts w:hint="eastAsia" w:ascii="宋体" w:hAnsi="宋体" w:eastAsia="宋体" w:cs="宋体"/>
          <w:b/>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（5）节能方面的证书扫描件</w:t>
      </w: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（如有，请提供）；</w:t>
      </w:r>
    </w:p>
    <w:p w14:paraId="5FE2A295">
      <w:pPr>
        <w:pageBreakBefore w:val="0"/>
        <w:tabs>
          <w:tab w:val="left" w:pos="1305"/>
        </w:tabs>
        <w:overflowPunct/>
        <w:topLinePunct w:val="0"/>
        <w:bidi w:val="0"/>
        <w:spacing w:line="400" w:lineRule="exact"/>
        <w:ind w:firstLine="420" w:firstLineChars="200"/>
        <w:rPr>
          <w:rFonts w:hint="eastAsia"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（6）环境标志方面的证书扫描件</w:t>
      </w: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（如有，请提供）；</w:t>
      </w:r>
    </w:p>
    <w:p w14:paraId="1CA4FA1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lang w:val="en-US" w:eastAsia="zh-CN"/>
          <w14:textFill>
            <w14:solidFill>
              <w14:schemeClr w14:val="tx1"/>
            </w14:solidFill>
          </w14:textFill>
        </w:rPr>
        <w:t>（7）供应商可结合本项目的评审办法视自身情况自行提交相关证明材料</w:t>
      </w: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（如有，请提供）</w:t>
      </w:r>
      <w:r>
        <w:rPr>
          <w:rFonts w:hint="eastAsia" w:ascii="宋体" w:hAnsi="宋体" w:eastAsia="宋体" w:cs="宋体"/>
          <w:color w:val="000000" w:themeColor="text1"/>
          <w:highlight w:val="none"/>
          <w:lang w:eastAsia="zh-CN"/>
          <w14:textFill>
            <w14:solidFill>
              <w14:schemeClr w14:val="tx1"/>
            </w14:solidFill>
          </w14:textFill>
        </w:rPr>
        <w:t>。</w:t>
      </w:r>
    </w:p>
    <w:p w14:paraId="1D57A57F">
      <w:pPr>
        <w:pageBreakBefore w:val="0"/>
        <w:widowControl w:val="0"/>
        <w:overflowPunct/>
        <w:topLinePunct w:val="0"/>
        <w:bidi w:val="0"/>
        <w:spacing w:line="400" w:lineRule="exact"/>
        <w:ind w:firstLine="422"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供应商提供的以上相关证明材料必须真实有效，属于“必须提供”的文件应加盖供应商CA证书签章，否则响应无效；其中“必须提供”的文件“响应文件（格式）”中有要求法定代表人(负责人、自然人)或相应的授权委托代理人在规定位置签字的，可使用法定代表人(负责人、自然人)或相应的授权委托代理人个人CA证书签章，没有办理广西政府采购云平台个人CA证书签章的可在响应文件中涉及到签字的位置手写签字后扫描或者拍照做成PDF的格式上传，无个人CA证书签章及手写签字的，响应文件按无效处理。</w:t>
      </w:r>
    </w:p>
    <w:p w14:paraId="04DC4BE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11.2 供应商应按竞争性谈判文件第六章“响应文件（格式）”编制响应文件。</w:t>
      </w:r>
    </w:p>
    <w:p w14:paraId="17ECF242">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12.响应文件的语言及计量</w:t>
      </w:r>
    </w:p>
    <w:p w14:paraId="4CE0B7F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12.1 响应文件以及供应商与采购代理机构就有关响应事宜的所有来往函电，均必须以中文汉语书写。供应商提交的支持文件和印刷的文献可以使用别的语言，但其相应内容必须附有中文翻译文本，在解释响应文件时以中文翻译文本为主。</w:t>
      </w:r>
    </w:p>
    <w:p w14:paraId="7257DC5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12.2 响应计量单位，谈判文件已有明确规定的，使用谈判文件规定的计量单位；谈判文件没有规定的，必须采用中华人民共和国法定计量单位（货币单位：人民币元），否则视同未响应。</w:t>
      </w:r>
    </w:p>
    <w:p w14:paraId="4F3A5575">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13.谈判报价及采购预算金额</w:t>
      </w:r>
    </w:p>
    <w:p w14:paraId="09E13DE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13.1 供应商必须就“采购需求”中的所有内容作完整唯一报价，响应文件只允许有一个报价，有选择的或有条件的报价将不予接受。</w:t>
      </w:r>
    </w:p>
    <w:p w14:paraId="300C4F5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13.2 采购预算金额（人民币）：</w:t>
      </w:r>
      <w:r>
        <w:rPr>
          <w:rFonts w:hint="eastAsia" w:ascii="宋体" w:hAnsi="宋体" w:eastAsia="宋体" w:cs="宋体"/>
          <w:b/>
          <w:bCs/>
          <w:color w:val="000000" w:themeColor="text1"/>
          <w:highlight w:val="none"/>
          <w:lang w:eastAsia="zh-CN"/>
          <w14:textFill>
            <w14:solidFill>
              <w14:schemeClr w14:val="tx1"/>
            </w14:solidFill>
          </w14:textFill>
        </w:rPr>
        <w:t>壹佰叁拾万元整</w:t>
      </w:r>
      <w:r>
        <w:rPr>
          <w:rFonts w:hint="eastAsia" w:ascii="宋体" w:hAnsi="宋体" w:eastAsia="宋体" w:cs="宋体"/>
          <w:b/>
          <w:color w:val="000000" w:themeColor="text1"/>
          <w:highlight w:val="none"/>
          <w14:textFill>
            <w14:solidFill>
              <w14:schemeClr w14:val="tx1"/>
            </w14:solidFill>
          </w14:textFill>
        </w:rPr>
        <w:t>（¥</w:t>
      </w:r>
      <w:r>
        <w:rPr>
          <w:rFonts w:hint="eastAsia" w:ascii="宋体" w:hAnsi="宋体" w:eastAsia="宋体" w:cs="宋体"/>
          <w:b/>
          <w:color w:val="000000" w:themeColor="text1"/>
          <w:highlight w:val="none"/>
          <w:lang w:eastAsia="zh-CN"/>
          <w14:textFill>
            <w14:solidFill>
              <w14:schemeClr w14:val="tx1"/>
            </w14:solidFill>
          </w14:textFill>
        </w:rPr>
        <w:t>1300000.00元</w:t>
      </w:r>
      <w:r>
        <w:rPr>
          <w:rFonts w:hint="eastAsia" w:ascii="宋体" w:hAnsi="宋体" w:eastAsia="宋体" w:cs="宋体"/>
          <w:b/>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eastAsia="zh-CN"/>
          <w14:textFill>
            <w14:solidFill>
              <w14:schemeClr w14:val="tx1"/>
            </w14:solidFill>
          </w14:textFill>
        </w:rPr>
        <w:t>。报价超采购预算金额的，响应文件作无效处理。</w:t>
      </w:r>
    </w:p>
    <w:p w14:paraId="67D9F49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13.3 供应商谈判报价应包括包括但不限于：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7D7E9BF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对于竞争性谈判文件中明确列明必须报价的货物或服务，供应商应报价；对于竞争性谈判文件中未列明，而供应商认为必需的费用也需列入总报价；在合同实施时，采购方将不予支付成交供应商没有列入的项目费用，并认为此项目的费用已包括在合同总价中。</w:t>
      </w:r>
    </w:p>
    <w:p w14:paraId="50CF6F9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13.4 未书面退出谈判的供应商必须在规定时间内登录广西政府采购云平台在线提交最后报价，其最后报价不得超出采购预算；谈判过程中谈判文件未作实质性变动的，</w:t>
      </w:r>
      <w:r>
        <w:rPr>
          <w:rFonts w:hint="eastAsia" w:ascii="宋体" w:hAnsi="宋体" w:eastAsia="宋体" w:cs="宋体"/>
          <w:b/>
          <w:bCs/>
          <w:color w:val="000000" w:themeColor="text1"/>
          <w:highlight w:val="none"/>
          <w:lang w:eastAsia="zh-CN"/>
          <w14:textFill>
            <w14:solidFill>
              <w14:schemeClr w14:val="tx1"/>
            </w14:solidFill>
          </w14:textFill>
        </w:rPr>
        <w:t>最后报价不得超过首次报价。</w:t>
      </w:r>
    </w:p>
    <w:p w14:paraId="438AC0A8">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14.响应文件有效期</w:t>
      </w:r>
    </w:p>
    <w:p w14:paraId="02EDDB4E">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14.1 响应文件有效期：自响应文件提交截止时间之日起90天，有效期不足的响应文件将被拒绝。</w:t>
      </w:r>
    </w:p>
    <w:p w14:paraId="33E2D11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14.2 出现特殊情况下，需要延长响应文件有效期的，采购代理机构以书面形式通知供应商延长响应文件有效期。供应商同意延长的，不能修改响应文件。供应商拒绝延长的，其响应无效。</w:t>
      </w:r>
    </w:p>
    <w:p w14:paraId="091B938D">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15.电子响应文件的制作、加密要求</w:t>
      </w:r>
    </w:p>
    <w:p w14:paraId="2ED7BFF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15.1 供应商制作电子响应文件前，应登陆广西政府采购云平台进行“申请获取采购文件”操作，否则，有可能导致无法在线编制响应文件并参与竞标，其不利后果由供应商自行承担。</w:t>
      </w:r>
    </w:p>
    <w:p w14:paraId="5EBB30A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15.2 供应商下载或获取竞争性谈判文件后，登录“广西政府采购云平台电子投标客户端”，按照本谈判文件规定的响应文件格式、顺序以及广西政府采购云平台的要求，通过“广西政府采购云平台电子投标客户端”编制电子响应文件。</w:t>
      </w:r>
    </w:p>
    <w:p w14:paraId="1466052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15.3 供应商应按“广西政府采购云平台电子投标客户端”载明的“标书关联”功能进行电子响应文件的关联定位，以便谈判小组在评审时点击相应评审项可直接定位到该评审内容；如供应商的电子响应文件未能关联定位相应内容，或者关联定位的内容与该评审项不符，导致谈判小组无法查询并做出对供应商不利的评审，相关后果由供应商自行承担。</w:t>
      </w:r>
    </w:p>
    <w:p w14:paraId="705A018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15.4 电子响应文件不得涂改，若有修改错漏处，须由法定代表人（负责人、自然人）或授权委托代理人通过“广西政府采购云平台电子投标客户端”采用广西政府采购云平台个人CA证书签章，没有办理广西政府采购云平台个人CA证书签章的，在响应文件中响应位置手写签字后扫描或者拍照做成PDF的格式上传。因响应文件字迹潦草、表达不清、内容不完整、编排混乱导致响应文件被误读、漏读，或者在按竞争性谈判文件规定的部位查找不到相关内容的，其不利后果由供应商自行承担。</w:t>
      </w:r>
    </w:p>
    <w:p w14:paraId="233CA5C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15.5 供应商编制、生成电子响应文件后应当加密响应文件。供应商未按规定编制并加密的响应文件，广西政府采购云平台将予以拒收。</w:t>
      </w:r>
    </w:p>
    <w:p w14:paraId="6A4E8DA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15.6 </w:t>
      </w:r>
      <w:r>
        <w:rPr>
          <w:rFonts w:hint="eastAsia" w:ascii="宋体" w:hAnsi="宋体" w:eastAsia="宋体" w:cs="宋体"/>
          <w:b/>
          <w:bCs/>
          <w:color w:val="000000" w:themeColor="text1"/>
          <w:highlight w:val="none"/>
          <w:lang w:eastAsia="zh-CN"/>
          <w14:textFill>
            <w14:solidFill>
              <w14:schemeClr w14:val="tx1"/>
            </w14:solidFill>
          </w14:textFill>
        </w:rPr>
        <w:t>供应商公章及签字</w:t>
      </w:r>
    </w:p>
    <w:p w14:paraId="45D85AF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15.6.1 本竞争性谈判文件中描述供应商的“公章”是指供应商通过指定电子化政府采购平台办理数字证书（CA认证证书）获得的以法定主体行为名称制作的电子印章。</w:t>
      </w:r>
    </w:p>
    <w:p w14:paraId="00FCE6D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15.6.2 本竞争性谈判文件中要求供应商对其电子响应文件的相关内容加盖公章的，均指采用CA证书签章。</w:t>
      </w:r>
    </w:p>
    <w:p w14:paraId="0C1B2646">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15.6.3 本谈判文件中描述供应商的“签字”是指供应商通过指定电子化政府采购平台办理数字证书（CA认证证书）获得的以供应商法定代表人（负责人、自然人）或者委托代理人姓名制作的个人电子印章或手写签字。没有办理个人CA证书的，可以为手写签字的形式。</w:t>
      </w:r>
    </w:p>
    <w:p w14:paraId="7FE912C2">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16.首次响应文件的提交、撤回、修改</w:t>
      </w:r>
    </w:p>
    <w:p w14:paraId="30133A5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16.1 响应文件的提交截止时间： 2026年10月28日上午</w:t>
      </w:r>
      <w:r>
        <w:rPr>
          <w:rFonts w:hint="eastAsia" w:ascii="宋体" w:hAnsi="宋体" w:eastAsia="宋体" w:cs="宋体"/>
          <w:color w:val="000000" w:themeColor="text1"/>
          <w:highlight w:val="none"/>
          <w:lang w:val="en-US" w:eastAsia="zh-CN"/>
          <w14:textFill>
            <w14:solidFill>
              <w14:schemeClr w14:val="tx1"/>
            </w14:solidFill>
          </w14:textFill>
        </w:rPr>
        <w:t>09</w:t>
      </w:r>
      <w:r>
        <w:rPr>
          <w:rFonts w:hint="eastAsia" w:ascii="宋体" w:hAnsi="宋体" w:eastAsia="宋体" w:cs="宋体"/>
          <w:color w:val="000000" w:themeColor="text1"/>
          <w:highlight w:val="none"/>
          <w:lang w:eastAsia="zh-CN"/>
          <w14:textFill>
            <w14:solidFill>
              <w14:schemeClr w14:val="tx1"/>
            </w14:solidFill>
          </w14:textFill>
        </w:rPr>
        <w:t>时30分（北京时间）</w:t>
      </w:r>
    </w:p>
    <w:p w14:paraId="6EA2781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16.2 地点：通过广西政府采购云平台在线提交。</w:t>
      </w:r>
    </w:p>
    <w:p w14:paraId="7D7A964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16.3 供应商应当在响应文件提交截止时间前，将生成的电子响应文件上传提交至广西政府采购云平台。响应文件提交截止时间前可以补充、修改或撤回电子响应文件，补充、修改电子响应文件的，应当先行撤回原文件，补充、修改后重新传输提交。在响应文件提交截止时间后的响应文件有效期内，供应商不得撤回其响应文件。响应文件提交截止时间前未成功将电子响应文件上传广西政府采购云平台的，视为未提交响应文件。</w:t>
      </w:r>
    </w:p>
    <w:p w14:paraId="3B89A88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16.4 除竞争性谈判文件另有规定外，供应商所提交的响应文件不予退还。</w:t>
      </w:r>
    </w:p>
    <w:p w14:paraId="44CDA4B2">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17.响应文件的解密</w:t>
      </w:r>
    </w:p>
    <w:p w14:paraId="20D98299">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响应文件提交截止时间后，采购代理机构开启解密响应文件操作，广西政府采购云平台向各供应商发出电子加密响应文件解密通知，由供应商在系统发出解密通知后30分钟内自行使用加密时的CA通过“项目采购-开标评标”功能对响应文件进行解密。若供应商在上述规定的时间内无法解密或解密失败的，可以在响应文件解密截止时间后30分钟内向采购代理机构现场提交电子备份响应文件【现场提交电子响应文件地址：</w:t>
      </w:r>
      <w:r>
        <w:rPr>
          <w:rFonts w:hint="eastAsia" w:ascii="宋体" w:hAnsi="宋体" w:eastAsia="宋体" w:cs="宋体"/>
          <w:color w:val="000000" w:themeColor="text1"/>
          <w:sz w:val="21"/>
          <w:szCs w:val="21"/>
          <w:highlight w:val="none"/>
          <w:lang w:eastAsia="zh-CN"/>
          <w14:textFill>
            <w14:solidFill>
              <w14:schemeClr w14:val="tx1"/>
            </w14:solidFill>
          </w14:textFill>
        </w:rPr>
        <w:t>桂林市公共资源交易中心政采开标仓</w:t>
      </w:r>
      <w:r>
        <w:rPr>
          <w:rFonts w:hint="eastAsia" w:ascii="宋体" w:hAnsi="宋体" w:eastAsia="宋体" w:cs="宋体"/>
          <w:color w:val="000000" w:themeColor="text1"/>
          <w:szCs w:val="21"/>
          <w:highlight w:val="none"/>
          <w14:textFill>
            <w14:solidFill>
              <w14:schemeClr w14:val="tx1"/>
            </w14:solidFill>
          </w14:textFill>
        </w:rPr>
        <w:t>（广西桂林市临桂区西城中路69号创业大厦西辅楼4楼）</w:t>
      </w:r>
      <w:r>
        <w:rPr>
          <w:rFonts w:hint="eastAsia" w:ascii="宋体" w:hAnsi="宋体" w:eastAsia="宋体" w:cs="宋体"/>
          <w:color w:val="000000" w:themeColor="text1"/>
          <w:highlight w:val="none"/>
          <w:lang w:eastAsia="zh-CN"/>
          <w14:textFill>
            <w14:solidFill>
              <w14:schemeClr w14:val="tx1"/>
            </w14:solidFill>
          </w14:textFill>
        </w:rPr>
        <w:t>】，或以电子邮件的形式提交电子备份响应文件（以通知时所告知的电子邮箱地址为准）；供应商未在上述规定的时间、地点（电子邮箱）提交的电子备份响应文件，采购代理机构不予接收或承认。采购代理机构收到电子备份响应文件后按“政府采购云平台”操作规范上传至“政府采购云平台”，电子备份响应文件上传成功后，供应商原上传的“电子加密响应文件”自动失效。若供应商在规定时间内无法解密或解密失败且未在规定的时间内提供电子备份响应文件的（包含提供的电子备份响应文件无效或无法解密的情况），视为供应商放弃谈判。</w:t>
      </w:r>
    </w:p>
    <w:p w14:paraId="0FDC669F">
      <w:pPr>
        <w:pageBreakBefore w:val="0"/>
        <w:widowControl w:val="0"/>
        <w:overflowPunct/>
        <w:topLinePunct w:val="0"/>
        <w:bidi w:val="0"/>
        <w:spacing w:line="400" w:lineRule="exact"/>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2B1AB73B">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四、竞争性谈判（简称谈判）与评审</w:t>
      </w:r>
    </w:p>
    <w:p w14:paraId="1DC3EC53">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18.谈判小组组成及谈判时间、地点、人员</w:t>
      </w:r>
    </w:p>
    <w:p w14:paraId="1F9E4E3F">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18.1</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谈判小组组成：</w:t>
      </w:r>
    </w:p>
    <w:p w14:paraId="4D1A99C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谈判及评审组织工作由采购代理机构负责，具体谈判、评审工作由依法组建的谈判小组负责，本项目的谈判小组由有关方面的评审专家组成，谈判小组的构成：3人。</w:t>
      </w:r>
    </w:p>
    <w:p w14:paraId="0711C9F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18.2</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谈判时间、地点、人员：</w:t>
      </w:r>
    </w:p>
    <w:p w14:paraId="65A413E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18.2.1 谈判时间：首次响应文件提交截止时间后。</w:t>
      </w:r>
    </w:p>
    <w:p w14:paraId="1B06A6C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18.2.2 谈判地点：供应商代表在响应文件提交当天实时登录广西政府采购云平台，按谈判小组要求在线等候参与谈判及提交最后报价。因供应商未保持实时在线，导致谈判小组无法及时与其取得联系，从而造成供应商未按规定参与谈判或报价的，其不利后果由供应商自行承担。</w:t>
      </w:r>
    </w:p>
    <w:p w14:paraId="24990AA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18.2.3 谈判参加人员：供应商法定代表人(负责人、自然人)或相应的委托代理人参加谈判。请供应商实时登录广西政府采购云平台等候在线谈判。</w:t>
      </w:r>
    </w:p>
    <w:p w14:paraId="340748B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18.2.4 首次响应文件提交截止时间后，登录广西政府采购云平台在线解密开启。</w:t>
      </w:r>
    </w:p>
    <w:p w14:paraId="091EF70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19.评审原则和评审办法</w:t>
      </w:r>
    </w:p>
    <w:p w14:paraId="1B37BB4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19.1 谈判小组必须坚持公平、公正、科学和择优的原则。</w:t>
      </w:r>
    </w:p>
    <w:p w14:paraId="5EDA81C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19.2 具体详见第四章评审办法。</w:t>
      </w:r>
    </w:p>
    <w:p w14:paraId="1DD571B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19.3 谈判小组应按谈判文件进行评审，不得擅自更改评审办法。</w:t>
      </w:r>
    </w:p>
    <w:p w14:paraId="3CEC7C1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19.4 在评审过程中，谈判小组任何人不得对某个供应商发表任何倾向性意见，不得向其他谈判小组成员明示或者暗示自己的评审意见。</w:t>
      </w:r>
    </w:p>
    <w:p w14:paraId="65D5A9A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19.5 谈判小组成员对需要共同认定的事项存在争议的，按照少数服从多数的原则作出结论。持不同意见的谈判小组成员应当在评审报告上签署不同意见并说明理由，否则视为同意。</w:t>
      </w:r>
    </w:p>
    <w:p w14:paraId="64BF1EED">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20.评审程序及谈判要求</w:t>
      </w:r>
    </w:p>
    <w:p w14:paraId="0D557E8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20.1 谈判小组成员的通讯工具或相关电子设备在</w:t>
      </w:r>
      <w:r>
        <w:rPr>
          <w:rFonts w:hint="eastAsia" w:ascii="宋体" w:hAnsi="宋体" w:eastAsia="宋体" w:cs="宋体"/>
          <w:color w:val="000000" w:themeColor="text1"/>
          <w:kern w:val="0"/>
          <w:szCs w:val="21"/>
          <w:highlight w:val="none"/>
          <w14:textFill>
            <w14:solidFill>
              <w14:schemeClr w14:val="tx1"/>
            </w14:solidFill>
          </w14:textFill>
        </w:rPr>
        <w:t>桂林市公共资源交易中心</w:t>
      </w:r>
      <w:r>
        <w:rPr>
          <w:rFonts w:hint="eastAsia" w:ascii="宋体" w:hAnsi="宋体" w:eastAsia="宋体" w:cs="宋体"/>
          <w:color w:val="000000" w:themeColor="text1"/>
          <w:highlight w:val="none"/>
          <w:lang w:eastAsia="zh-CN"/>
          <w14:textFill>
            <w14:solidFill>
              <w14:schemeClr w14:val="tx1"/>
            </w14:solidFill>
          </w14:textFill>
        </w:rPr>
        <w:t>统一保管后到达评标室，采购代理机构核实谈判小组成员身份，告知回避要求，宣布评审工作纪律和程序，推选谈判小组组长。</w:t>
      </w:r>
    </w:p>
    <w:p w14:paraId="2E5AB8C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20.2 谈判小组应当审查供应商的响应文件并作出评价；要求供应商解释或者澄清其响应文件；编写评审报告；告知采购人、采购代理机构在评审过程中发现的供应商的违法违规行为。</w:t>
      </w:r>
    </w:p>
    <w:p w14:paraId="261E5E0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20.3 谈判小组依据法律法规和竞争性谈判文件的规定，首先对响应文件进行资格性审查，以确定供应商是否具备本项目供应商资格；再对通过资格性审查的供应商响应文件的有效性、完整性和对谈判文件的响应程度进行符合性审查，以确定是否对谈判文件的实质性要求做出响应。</w:t>
      </w:r>
    </w:p>
    <w:p w14:paraId="7ECF348F">
      <w:pPr>
        <w:pageBreakBefore w:val="0"/>
        <w:widowControl w:val="0"/>
        <w:overflowPunct/>
        <w:topLinePunct w:val="0"/>
        <w:bidi w:val="0"/>
        <w:spacing w:line="400" w:lineRule="exact"/>
        <w:ind w:firstLine="422"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20.4</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谈判小组在对供应商进行资格性审查时，将对供应商企业股东及出资等信息进行查询。根据《中华人民共和国政府采购法实施条例》第十八条第一款规定，审查中如发现供应商存在单位负责人为同一人或者存在直接控股、管理关系的不同供应商参加同一合同项下的政府采购活动的，按响应文件无效处理。</w:t>
      </w:r>
    </w:p>
    <w:p w14:paraId="2BBE782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20.4.1 查询渠道：《国家企业信用信息公示系统》（网址：</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"http://www.gsxt.gov.cn/index.html"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www.gsxt.gov.cn/index.html</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w:t>
      </w:r>
    </w:p>
    <w:p w14:paraId="5DC42CA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20.4.2 审查流程：</w:t>
      </w:r>
    </w:p>
    <w:p w14:paraId="69B5123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（1）进入《国家企业信用信息公示系统》（网址：</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lang w:eastAsia="zh-CN"/>
          <w14:textFill>
            <w14:solidFill>
              <w14:schemeClr w14:val="tx1"/>
            </w14:solidFill>
          </w14:textFill>
        </w:rPr>
        <w:instrText xml:space="preserve"> HYPERLINK "https://www.gsxt.gov.cn/index.html"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lang w:eastAsia="zh-CN"/>
          <w14:textFill>
            <w14:solidFill>
              <w14:schemeClr w14:val="tx1"/>
            </w14:solidFill>
          </w14:textFill>
        </w:rPr>
        <w:t>www.gsxt.gov.cn/index.html</w:t>
      </w:r>
      <w:r>
        <w:rPr>
          <w:rFonts w:hint="eastAsia" w:ascii="宋体" w:hAnsi="宋体" w:eastAsia="宋体" w:cs="宋体"/>
          <w:color w:val="000000" w:themeColor="text1"/>
          <w:highlight w:val="none"/>
          <w:lang w:eastAsia="zh-CN"/>
          <w14:textFill>
            <w14:solidFill>
              <w14:schemeClr w14:val="tx1"/>
            </w14:solidFill>
          </w14:textFill>
        </w:rPr>
        <w:fldChar w:fldCharType="end"/>
      </w:r>
      <w:r>
        <w:rPr>
          <w:rFonts w:hint="eastAsia" w:ascii="宋体" w:hAnsi="宋体" w:eastAsia="宋体" w:cs="宋体"/>
          <w:color w:val="000000" w:themeColor="text1"/>
          <w:highlight w:val="none"/>
          <w:lang w:eastAsia="zh-CN"/>
          <w14:textFill>
            <w14:solidFill>
              <w14:schemeClr w14:val="tx1"/>
            </w14:solidFill>
          </w14:textFill>
        </w:rPr>
        <w:t>），输入企业名称，进入企业信息主页面；</w:t>
      </w:r>
    </w:p>
    <w:p w14:paraId="61AE351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（2）查看主页“股东及出资信息”栏，或年报中的“股东及出资信息”栏信息；</w:t>
      </w:r>
    </w:p>
    <w:p w14:paraId="4EB64D1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（3）将各供应商的股东及出资信息进行比对，得出审查结论；</w:t>
      </w:r>
    </w:p>
    <w:p w14:paraId="0282EC1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（4）将相关资料作为评审资料打印存档。</w:t>
      </w:r>
    </w:p>
    <w:p w14:paraId="4D9F8E45">
      <w:pPr>
        <w:pageBreakBefore w:val="0"/>
        <w:widowControl w:val="0"/>
        <w:overflowPunct/>
        <w:topLinePunct w:val="0"/>
        <w:bidi w:val="0"/>
        <w:spacing w:line="400" w:lineRule="exact"/>
        <w:ind w:firstLine="422"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注：以上审查过程中，如出现查询企业网页主页面无法显示股东及出资信息的或仅以主页面信息内容无法认定供应商之间存在单位负责人为同一人或者存在直接控股、管理关系的，当时审查程序可继续进行，待评审结束后将对以上供应商作进一步核实确认，如确认供应商之间存在有上述关联供应商情形的，关联供应商均按响应文件无效处理。</w:t>
      </w:r>
    </w:p>
    <w:p w14:paraId="2AC200B5">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20.5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通过广西政府采购云平台采用在线书面形式，并加盖公章（CA证书签章），或者由法定代表人（负责人）或其授权委托代理人个人CA证书签章（没有办理广西政府采购云平台个人CA证书签章的可在响应文件中涉及到签字的位置手写签字后扫描或者拍照做成PDF的格式上传），供应商为自然人的，应当由本人个人CA证书签章（没有办理广西政府采购云平台个人CA证书签章的可在响应文件中涉及到签字的位置手写签字后扫描或者拍照做成PDF的格式上传）并附身份证明。</w:t>
      </w:r>
    </w:p>
    <w:p w14:paraId="538588C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根据谈判文件规定的程序、评定成交的标准等事项与实质性响应竞争性谈判文件要求的供应商进行谈判。未实质性响应谈判文件的响应文件按无效处理，谈判小组应当告知有关供应商。</w:t>
      </w:r>
    </w:p>
    <w:p w14:paraId="78714D2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谈判小组所有成员应当按已确定的谈判顺序集中与单一供应商分别进行谈判，并给予所有实质性响应竞争性谈判文件要求的供应商平等的谈判机会。</w:t>
      </w:r>
    </w:p>
    <w:p w14:paraId="5C49F90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谈判中，谈判小组不得透露与谈判有关的其他供应商的技术资料、价格和其他信息。</w:t>
      </w:r>
    </w:p>
    <w:p w14:paraId="609625F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采购代理机构（谈判小组）对谈判过程和重要谈判内容进行记录，谈判双方在记录上签字确认（或CA证书签章）。</w:t>
      </w:r>
    </w:p>
    <w:p w14:paraId="2A0F0BDF">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20.6 在谈判过程中，谈判小组可以根据谈判文件和谈判情况实质性变动采购需求中的技术、服务要求以及合同草案条款，但不得变动谈判文件中的其他内容。实质性变动的内容，须经采购人代表确认。</w:t>
      </w:r>
    </w:p>
    <w:p w14:paraId="3B7A5FFF">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对谈判文件作出的实质性变动是谈判文件的有效组成部分，谈判小组应当及时通过广西政府采购云平台以书面形式同时通知所有参加谈判的供应商。</w:t>
      </w:r>
    </w:p>
    <w:p w14:paraId="771BA87C">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必须按照谈判文件的变动情况和谈判小组的要求重新提交响应文件，并由其法定代表人(负责人、自然人)或相应的授权委托代表个人CA证书签章（没有办理广西政府采购云平台个人CA证书签章的可在响应文件中涉及到签字的位置手写签字后扫描或者拍照做成PDF的格式上传）或者加盖供应商公章（CA证书签章）。逾时不交的，视同放弃谈判。</w:t>
      </w:r>
    </w:p>
    <w:p w14:paraId="5AB5C2A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20.7 最后报价</w:t>
      </w:r>
    </w:p>
    <w:p w14:paraId="5EF7599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20.7.1 谈判文件能够详细列明采购标的的技术、服务要求的，谈判结束后，谈判小组应当要求所有继续参加谈判的供应商在规定时间内通过广西政府采购云平台在线提交最后报价，提交最后报价的供应商不得少于3家；谈判文件不能详细列明采购标的的技术、服务要求的，需由供应商提供最终设计方案或解决方案的，谈判结束后，谈判小组应当按照少数服从多数的原则投票推荐3家以上（含3家）供应商的设计方案或者解决方案，并要求其在规定时间内通过广西政府采购云平台在线提交最后报价。</w:t>
      </w:r>
    </w:p>
    <w:p w14:paraId="3E0CC04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20.7.2 在采购过程中符合竞争要求的供应商或者报价未超过采购预算的供应商不足 3 家的，采购人或者采购代理机构应当终止竞争性谈判采购活动。</w:t>
      </w:r>
    </w:p>
    <w:p w14:paraId="0149020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20.7.3 最后报价是供应商响应文件的有效组成部分。</w:t>
      </w:r>
    </w:p>
    <w:p w14:paraId="764B3115">
      <w:pPr>
        <w:keepNext w:val="0"/>
        <w:keepLines w:val="0"/>
        <w:pageBreakBefore w:val="0"/>
        <w:widowControl w:val="0"/>
        <w:wordWrap/>
        <w:overflowPunct/>
        <w:topLinePunct w:val="0"/>
        <w:bidi w:val="0"/>
        <w:spacing w:line="400" w:lineRule="exact"/>
        <w:ind w:firstLine="420" w:firstLineChars="200"/>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20.8 已提交响应文件的供应商，在提交最后报价之前，可以根据谈判情况书面退出谈判。</w:t>
      </w:r>
      <w:r>
        <w:rPr>
          <w:rFonts w:hint="eastAsia" w:ascii="宋体" w:hAnsi="宋体" w:eastAsia="宋体" w:cs="宋体"/>
          <w:b/>
          <w:bCs/>
          <w:color w:val="000000" w:themeColor="text1"/>
          <w:sz w:val="21"/>
          <w:szCs w:val="21"/>
          <w:highlight w:val="none"/>
          <w:lang w:eastAsia="zh-CN"/>
          <w14:textFill>
            <w14:solidFill>
              <w14:schemeClr w14:val="tx1"/>
            </w14:solidFill>
          </w14:textFill>
        </w:rPr>
        <w:t>未书面退出谈判的供应商必须在规定时间内通过广西政府采购云平台在线提交最后报价；谈判过程中谈判文件未作实质性变动的，最后报价不得大于首次报价。未退出谈判的供应商应在规定时间内在广西政府采购云平台系统上提交最后报价，超出评委设定的最后报价时限或其最后报价超出采购预算导致已通过评审的响应文件无效的，按供应商在提交响应文件截止时间后撤回响应文件处理。</w:t>
      </w:r>
    </w:p>
    <w:p w14:paraId="078BF44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422" w:firstLineChars="200"/>
        <w:jc w:val="both"/>
        <w:textAlignment w:val="auto"/>
        <w:rPr>
          <w:rFonts w:hint="eastAsia" w:ascii="宋体" w:hAnsi="宋体" w:eastAsia="宋体" w:cs="宋体"/>
          <w:b/>
          <w:bCs w:val="0"/>
          <w:i w:val="0"/>
          <w:iCs w:val="0"/>
          <w:caps w:val="0"/>
          <w:snapToGrid/>
          <w:color w:val="000000" w:themeColor="text1"/>
          <w:spacing w:val="0"/>
          <w:sz w:val="21"/>
          <w:szCs w:val="21"/>
          <w:highlight w:val="none"/>
          <w14:textFill>
            <w14:solidFill>
              <w14:schemeClr w14:val="tx1"/>
            </w14:solidFill>
          </w14:textFill>
        </w:rPr>
      </w:pPr>
      <w:r>
        <w:rPr>
          <w:rFonts w:hint="eastAsia" w:ascii="宋体" w:hAnsi="宋体" w:eastAsia="宋体" w:cs="宋体"/>
          <w:b/>
          <w:bCs/>
          <w:snapToGrid/>
          <w:color w:val="000000" w:themeColor="text1"/>
          <w:sz w:val="21"/>
          <w:szCs w:val="21"/>
          <w:highlight w:val="none"/>
          <w:lang w:val="en-US" w:eastAsia="zh-CN"/>
          <w14:textFill>
            <w14:solidFill>
              <w14:schemeClr w14:val="tx1"/>
            </w14:solidFill>
          </w14:textFill>
        </w:rPr>
        <w:t>20.9</w:t>
      </w:r>
      <w:r>
        <w:rPr>
          <w:rFonts w:hint="eastAsia" w:ascii="宋体" w:hAnsi="宋体" w:eastAsia="宋体" w:cs="宋体"/>
          <w:b/>
          <w:snapToGrid/>
          <w:color w:val="000000" w:themeColor="text1"/>
          <w:sz w:val="21"/>
          <w:szCs w:val="21"/>
          <w:highlight w:val="none"/>
          <w:shd w:val="clear" w:color="auto" w:fill="FFFFFF"/>
          <w14:textFill>
            <w14:solidFill>
              <w14:schemeClr w14:val="tx1"/>
            </w14:solidFill>
          </w14:textFill>
        </w:rPr>
        <w:t>根据</w:t>
      </w:r>
      <w:r>
        <w:rPr>
          <w:rFonts w:hint="eastAsia" w:ascii="宋体" w:hAnsi="宋体" w:eastAsia="宋体" w:cs="宋体"/>
          <w:b/>
          <w:bCs/>
          <w:snapToGrid/>
          <w:color w:val="000000" w:themeColor="text1"/>
          <w:sz w:val="21"/>
          <w:szCs w:val="21"/>
          <w:highlight w:val="none"/>
          <w:shd w:val="clear" w:color="auto" w:fill="FFFFFF"/>
          <w14:textFill>
            <w14:solidFill>
              <w14:schemeClr w14:val="tx1"/>
            </w14:solidFill>
          </w14:textFill>
        </w:rPr>
        <w:t>《</w:t>
      </w:r>
      <w:r>
        <w:rPr>
          <w:rFonts w:hint="eastAsia" w:ascii="宋体" w:hAnsi="宋体" w:eastAsia="宋体" w:cs="宋体"/>
          <w:b/>
          <w:snapToGrid/>
          <w:color w:val="000000" w:themeColor="text1"/>
          <w:sz w:val="21"/>
          <w:szCs w:val="21"/>
          <w:highlight w:val="none"/>
          <w:shd w:val="clear" w:color="auto" w:fill="FFFFFF"/>
          <w14:textFill>
            <w14:solidFill>
              <w14:schemeClr w14:val="tx1"/>
            </w14:solidFill>
          </w14:textFill>
        </w:rPr>
        <w:t>关于推动解决政府采购异常低价问题的通知</w:t>
      </w:r>
      <w:r>
        <w:rPr>
          <w:rFonts w:hint="eastAsia" w:ascii="宋体" w:hAnsi="宋体" w:eastAsia="宋体" w:cs="宋体"/>
          <w:b/>
          <w:bCs/>
          <w:snapToGrid/>
          <w:color w:val="000000" w:themeColor="text1"/>
          <w:sz w:val="21"/>
          <w:szCs w:val="21"/>
          <w:highlight w:val="none"/>
          <w:shd w:val="clear" w:color="auto" w:fill="FFFFFF"/>
          <w14:textFill>
            <w14:solidFill>
              <w14:schemeClr w14:val="tx1"/>
            </w14:solidFill>
          </w14:textFill>
        </w:rPr>
        <w:t>》</w:t>
      </w:r>
      <w:r>
        <w:rPr>
          <w:rFonts w:hint="eastAsia" w:ascii="宋体" w:hAnsi="宋体" w:eastAsia="宋体" w:cs="宋体"/>
          <w:b/>
          <w:bCs/>
          <w:snapToGrid/>
          <w:color w:val="000000" w:themeColor="text1"/>
          <w:sz w:val="21"/>
          <w:szCs w:val="21"/>
          <w:highlight w:val="none"/>
          <w:shd w:val="clear" w:color="auto" w:fill="FFFFFF"/>
          <w:lang w:eastAsia="zh-CN"/>
          <w14:textFill>
            <w14:solidFill>
              <w14:schemeClr w14:val="tx1"/>
            </w14:solidFill>
          </w14:textFill>
        </w:rPr>
        <w:t>（</w:t>
      </w:r>
      <w:r>
        <w:rPr>
          <w:rFonts w:hint="eastAsia" w:ascii="宋体" w:hAnsi="宋体" w:eastAsia="宋体" w:cs="宋体"/>
          <w:b/>
          <w:bCs/>
          <w:snapToGrid/>
          <w:color w:val="000000" w:themeColor="text1"/>
          <w:sz w:val="21"/>
          <w:szCs w:val="21"/>
          <w:highlight w:val="none"/>
          <w:shd w:val="clear" w:color="auto" w:fill="FFFFFF"/>
          <w14:textFill>
            <w14:solidFill>
              <w14:schemeClr w14:val="tx1"/>
            </w14:solidFill>
          </w14:textFill>
        </w:rPr>
        <w:t>财库〔2026〕2号</w:t>
      </w:r>
      <w:r>
        <w:rPr>
          <w:rFonts w:hint="eastAsia" w:ascii="宋体" w:hAnsi="宋体" w:eastAsia="宋体" w:cs="宋体"/>
          <w:b/>
          <w:bCs/>
          <w:snapToGrid/>
          <w:color w:val="000000" w:themeColor="text1"/>
          <w:sz w:val="21"/>
          <w:szCs w:val="21"/>
          <w:highlight w:val="none"/>
          <w:shd w:val="clear" w:color="auto" w:fill="FFFFFF"/>
          <w:lang w:eastAsia="zh-CN"/>
          <w14:textFill>
            <w14:solidFill>
              <w14:schemeClr w14:val="tx1"/>
            </w14:solidFill>
          </w14:textFill>
        </w:rPr>
        <w:t>）规定</w:t>
      </w:r>
      <w:r>
        <w:rPr>
          <w:rFonts w:hint="eastAsia" w:ascii="宋体" w:hAnsi="宋体" w:eastAsia="宋体" w:cs="宋体"/>
          <w:b/>
          <w:bCs w:val="0"/>
          <w:snapToGrid/>
          <w:color w:val="000000" w:themeColor="text1"/>
          <w:kern w:val="0"/>
          <w:sz w:val="21"/>
          <w:szCs w:val="21"/>
          <w:highlight w:val="none"/>
          <w14:textFill>
            <w14:solidFill>
              <w14:schemeClr w14:val="tx1"/>
            </w14:solidFill>
          </w14:textFill>
        </w:rPr>
        <w:t>，</w:t>
      </w:r>
      <w:r>
        <w:rPr>
          <w:rFonts w:hint="eastAsia" w:ascii="宋体" w:hAnsi="宋体" w:eastAsia="宋体" w:cs="宋体"/>
          <w:b/>
          <w:bCs w:val="0"/>
          <w:i w:val="0"/>
          <w:iCs w:val="0"/>
          <w:caps w:val="0"/>
          <w:snapToGrid/>
          <w:color w:val="000000" w:themeColor="text1"/>
          <w:spacing w:val="0"/>
          <w:sz w:val="21"/>
          <w:szCs w:val="21"/>
          <w:highlight w:val="none"/>
          <w:shd w:val="clear" w:color="auto" w:fill="FFFFFF"/>
          <w14:textFill>
            <w14:solidFill>
              <w14:schemeClr w14:val="tx1"/>
            </w14:solidFill>
          </w14:textFill>
        </w:rPr>
        <w:t>政府采购评审中出现下列情形之一的，评审委员会应当启动异常低价投标（响应）审查程序： </w:t>
      </w:r>
    </w:p>
    <w:p w14:paraId="38F1995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000000" w:themeColor="text1"/>
          <w:spacing w:val="0"/>
          <w:sz w:val="21"/>
          <w:szCs w:val="21"/>
          <w:highlight w:val="none"/>
          <w14:textFill>
            <w14:solidFill>
              <w14:schemeClr w14:val="tx1"/>
            </w14:solidFill>
          </w14:textFill>
        </w:rPr>
      </w:pP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　</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 xml:space="preserve"> </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1</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投标（响应）报价低于全部通过符合性审查供应商投标（响应）报价平均值50%的，即投标（响应）报价&lt;全部通过符合性审查供应商投标（响应）报价平均值</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50%； </w:t>
      </w:r>
    </w:p>
    <w:p w14:paraId="2E600AC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000000" w:themeColor="text1"/>
          <w:spacing w:val="0"/>
          <w:sz w:val="21"/>
          <w:szCs w:val="21"/>
          <w:highlight w:val="none"/>
          <w14:textFill>
            <w14:solidFill>
              <w14:schemeClr w14:val="tx1"/>
            </w14:solidFill>
          </w14:textFill>
        </w:rPr>
      </w:pP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　</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 xml:space="preserve"> </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2</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投标（响应）报价低于通过符合性审查的次低报价供应商投标（响应）报价50%的，即投标（响应）报价&lt;通过符合性审查的次低报价供应商投标（响应）报价</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50%； </w:t>
      </w:r>
    </w:p>
    <w:p w14:paraId="5AACE8D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both"/>
        <w:textAlignment w:val="auto"/>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pP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　</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 xml:space="preserve"> </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3</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投标（响应）报价低于采购项目最高限价45%的，即投标（响应）报价&lt;采购项目最高限价</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45%；</w:t>
      </w:r>
    </w:p>
    <w:p w14:paraId="6F213154">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210" w:firstLineChars="100"/>
        <w:jc w:val="both"/>
        <w:textAlignment w:val="auto"/>
        <w:rPr>
          <w:rFonts w:hint="eastAsia" w:ascii="宋体" w:hAnsi="宋体" w:eastAsia="宋体" w:cs="宋体"/>
          <w:i w:val="0"/>
          <w:iCs w:val="0"/>
          <w:caps w:val="0"/>
          <w:snapToGrid/>
          <w:color w:val="000000" w:themeColor="text1"/>
          <w:spacing w:val="0"/>
          <w:sz w:val="21"/>
          <w:szCs w:val="21"/>
          <w:highlight w:val="none"/>
          <w14:textFill>
            <w14:solidFill>
              <w14:schemeClr w14:val="tx1"/>
            </w14:solidFill>
          </w14:textFill>
        </w:rPr>
      </w:pP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lang w:val="en-US" w:eastAsia="zh-CN"/>
          <w14:textFill>
            <w14:solidFill>
              <w14:schemeClr w14:val="tx1"/>
            </w14:solidFill>
          </w14:textFill>
        </w:rPr>
        <w:t>4</w:t>
      </w:r>
      <w:r>
        <w:rPr>
          <w:rFonts w:hint="eastAsia" w:ascii="宋体" w:hAnsi="宋体" w:eastAsia="宋体" w:cs="宋体"/>
          <w:i w:val="0"/>
          <w:iCs w:val="0"/>
          <w:caps w:val="0"/>
          <w:snapToGrid/>
          <w:color w:val="000000" w:themeColor="text1"/>
          <w:spacing w:val="0"/>
          <w:sz w:val="21"/>
          <w:szCs w:val="21"/>
          <w:highlight w:val="none"/>
          <w:shd w:val="clear" w:color="auto" w:fill="FFFFFF"/>
          <w:lang w:eastAsia="zh-CN"/>
          <w14:textFill>
            <w14:solidFill>
              <w14:schemeClr w14:val="tx1"/>
            </w14:solidFill>
          </w14:textFill>
        </w:rPr>
        <w:t>）</w:t>
      </w:r>
      <w:r>
        <w:rPr>
          <w:rFonts w:hint="eastAsia" w:ascii="宋体" w:hAnsi="宋体" w:eastAsia="宋体" w:cs="宋体"/>
          <w:i w:val="0"/>
          <w:iCs w:val="0"/>
          <w:caps w:val="0"/>
          <w:snapToGrid/>
          <w:color w:val="000000" w:themeColor="text1"/>
          <w:spacing w:val="0"/>
          <w:sz w:val="21"/>
          <w:szCs w:val="21"/>
          <w:highlight w:val="none"/>
          <w:shd w:val="clear" w:color="auto" w:fill="FFFFFF"/>
          <w14:textFill>
            <w14:solidFill>
              <w14:schemeClr w14:val="tx1"/>
            </w14:solidFill>
          </w14:textFill>
        </w:rPr>
        <w:t>评审委员会基于专业判断，认为供应商报价过低，有可能影响产品质量或者不能诚信履约的其他情形。 </w:t>
      </w:r>
    </w:p>
    <w:p w14:paraId="5B1A97D3">
      <w:pPr>
        <w:widowControl w:val="0"/>
        <w:kinsoku/>
        <w:autoSpaceDE/>
        <w:autoSpaceDN/>
        <w:adjustRightInd/>
        <w:snapToGrid/>
        <w:spacing w:line="360" w:lineRule="auto"/>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bookmarkStart w:id="7" w:name="_Toc13532"/>
      <w:r>
        <w:rPr>
          <w:rFonts w:hint="eastAsia" w:ascii="宋体" w:hAnsi="宋体" w:eastAsia="宋体" w:cs="宋体"/>
          <w:snapToGrid/>
          <w:color w:val="000000" w:themeColor="text1"/>
          <w:kern w:val="2"/>
          <w:szCs w:val="24"/>
          <w:highlight w:val="none"/>
          <w:lang w:eastAsia="zh-CN"/>
          <w14:textFill>
            <w14:solidFill>
              <w14:schemeClr w14:val="tx1"/>
            </w14:solidFill>
          </w14:textFill>
        </w:rPr>
        <w:t>评审委员会启动异常低价投标（响应）审查后，属于前述第1项至第4项情形的，应当要求相关供应商在评审委员会要求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投标（响应）供应商不能提供书面说明、证明材料，或者提供的书面说明、证明材料不能证明其报价合理性的，评审委员会应当将其作为无效投标（响应）处理。 异常低价投标（响应）审查的启动原因、审查意见和审查结果应当在评审报告中记录。</w:t>
      </w:r>
      <w:bookmarkEnd w:id="7"/>
    </w:p>
    <w:p w14:paraId="75E5E38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20.9 评审报告</w:t>
      </w:r>
    </w:p>
    <w:p w14:paraId="463C531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谈判小组应当从质量和服务均能满足谈判文件全部实质性响应要求的供应商中，按照评审报价（最后报价及享受政府采购政策的优惠扣除）由低到高的顺序提出3名以上（含3名）成交候选人，并编写评审报告。</w:t>
      </w:r>
    </w:p>
    <w:p w14:paraId="5597622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20.10 在评审过程中出现法律法规和谈判文件均没有明确规定的情形时，由谈判小组现场协商解决，协商不一致的，由全体谈判小组投票表决，以得票率二分之一以上专家的意见为准。</w:t>
      </w:r>
    </w:p>
    <w:p w14:paraId="764EB220">
      <w:pPr>
        <w:widowControl w:val="0"/>
        <w:kinsoku/>
        <w:autoSpaceDE/>
        <w:autoSpaceDN/>
        <w:adjustRightInd/>
        <w:snapToGrid/>
        <w:spacing w:line="360" w:lineRule="auto"/>
        <w:ind w:firstLine="420" w:firstLineChars="200"/>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20.11采购代理机构发现谈判小组有明显的违规倾向或歧视现象，或不按评审办法进行，或其他不正常行为的，应当及时制止。如制止无效，应及时向本级政府采购监督管理机构报告。</w:t>
      </w:r>
    </w:p>
    <w:p w14:paraId="21E0CCF5">
      <w:pPr>
        <w:widowControl w:val="0"/>
        <w:kinsoku/>
        <w:autoSpaceDE/>
        <w:autoSpaceDN/>
        <w:adjustRightInd/>
        <w:snapToGrid/>
        <w:spacing w:line="360" w:lineRule="auto"/>
        <w:ind w:firstLine="420" w:firstLineChars="200"/>
        <w:jc w:val="both"/>
        <w:textAlignment w:val="auto"/>
        <w:rPr>
          <w:rFonts w:hint="eastAsia" w:ascii="宋体" w:hAnsi="宋体" w:eastAsia="宋体" w:cs="宋体"/>
          <w:b/>
          <w:bCs/>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2</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0</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.1</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本采购项目的评审依据为竞争性谈判文件和竞争性谈判响应文件，采用的评标方法为</w:t>
      </w: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最低评标价法。</w:t>
      </w:r>
    </w:p>
    <w:p w14:paraId="02725CF0">
      <w:pPr>
        <w:widowControl w:val="0"/>
        <w:kinsoku/>
        <w:autoSpaceDE/>
        <w:autoSpaceDN/>
        <w:adjustRightInd/>
        <w:snapToGrid/>
        <w:spacing w:line="360" w:lineRule="auto"/>
        <w:ind w:firstLine="422" w:firstLineChars="200"/>
        <w:jc w:val="both"/>
        <w:textAlignment w:val="auto"/>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21.推荐及确定成交候选供应商原则</w:t>
      </w:r>
    </w:p>
    <w:p w14:paraId="54BA755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采购单位应当确定谈判小组推荐排名第一的成交候选人为成交供应商。若评审报价相同的，由谈判小组按照采购文件中的技术指标、售后服务承诺书、项目实施方案优劣确定一个供应商获得成交推荐资格，如上诉均相同，则由谈判小组现场抽签决定排序。</w:t>
      </w:r>
    </w:p>
    <w:p w14:paraId="35B6DB6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排名第一的成交候选人放弃成交、因不可抗力提出不能履行合同，或者谈判文件规定应当提交履约保证金而在规定的期限内未能提交的，或因失信行为被取消成交候选人资格的，采购单位可以确定排名第二的成交候选人为成交供应商。</w:t>
      </w:r>
      <w:r>
        <w:rPr>
          <w:rFonts w:hint="eastAsia" w:ascii="宋体" w:hAnsi="宋体" w:eastAsia="宋体" w:cs="宋体"/>
          <w:color w:val="000000" w:themeColor="text1"/>
          <w:highlight w:val="none"/>
          <w14:textFill>
            <w14:solidFill>
              <w14:schemeClr w14:val="tx1"/>
            </w14:solidFill>
          </w14:textFill>
        </w:rPr>
        <w:t>以此类推。</w:t>
      </w:r>
    </w:p>
    <w:p w14:paraId="6AEB981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谈判小组认为，某竞标人的有效竞标报价或者某些分项报价明显不合理或者低于成本，有可能影响商品质量和不能诚信履约的，应要求其在规定的期限内提供书面文件予以解释说明，并提交相关证明材料；否则，谈判小组可以取消该竞标人的成交候选资格，按顺序由排在后面的成交候选人递补，以此类推。</w:t>
      </w:r>
    </w:p>
    <w:p w14:paraId="60B28FC0">
      <w:pPr>
        <w:pageBreakBefore w:val="0"/>
        <w:widowControl w:val="0"/>
        <w:overflowPunct/>
        <w:topLinePunct w:val="0"/>
        <w:bidi w:val="0"/>
        <w:spacing w:line="400" w:lineRule="exact"/>
        <w:ind w:firstLine="422" w:firstLineChars="200"/>
        <w:outlineLvl w:val="1"/>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22.属于下列情况之一者，响应文件无效：</w:t>
      </w:r>
    </w:p>
    <w:p w14:paraId="04E362FB">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（1）未按谈判文件规定完整提交响应文件或未按规定要求签字、签章的，或未提供授权委托书（委托代理的）；</w:t>
      </w:r>
    </w:p>
    <w:p w14:paraId="7F147FAB">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（2）超越了行政审批的经营范围的；</w:t>
      </w:r>
    </w:p>
    <w:p w14:paraId="3C75EB50">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（3）不具备谈判文件规定的资格要求的；</w:t>
      </w:r>
    </w:p>
    <w:p w14:paraId="61702336">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（4）响应文件未按谈判文件的内容和要求编制，或提供虚假材料的；</w:t>
      </w:r>
    </w:p>
    <w:p w14:paraId="43562C35">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（5）响应文件有效期、免费保修期、售后服务承诺不能满足谈判文件要求的；</w:t>
      </w:r>
    </w:p>
    <w:p w14:paraId="7394E7EF">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（6）供应商未就“采购需求”中的所有服务内容作完整唯一报价的；</w:t>
      </w:r>
    </w:p>
    <w:p w14:paraId="029C1D4C">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（7）未在谈判小组规定的时间内重新提交响应文件的；</w:t>
      </w:r>
    </w:p>
    <w:p w14:paraId="2F530CE4">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（8）未满足谈判文件实质性要求的；或者响应文件有采购人不能接受的附加条件的；</w:t>
      </w:r>
    </w:p>
    <w:p w14:paraId="47057DF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（9）不符合法律、法规和谈判文件规定的其他实质性要求和条件的。</w:t>
      </w:r>
    </w:p>
    <w:p w14:paraId="0B7F43F7">
      <w:pPr>
        <w:pageBreakBefore w:val="0"/>
        <w:widowControl w:val="0"/>
        <w:overflowPunct/>
        <w:topLinePunct w:val="0"/>
        <w:bidi w:val="0"/>
        <w:spacing w:line="400" w:lineRule="exact"/>
        <w:ind w:firstLine="422"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供应商有下列情形之一的，视为串通参与谈判，响应文件将被视为无效：</w:t>
      </w:r>
    </w:p>
    <w:p w14:paraId="0852D074">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（1）不同供应商的响应文件由同一单位或者个人编制的；</w:t>
      </w:r>
    </w:p>
    <w:p w14:paraId="0111BB01">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（2）不同供应商委托同一单位或者个人办理谈判事宜的；</w:t>
      </w:r>
    </w:p>
    <w:p w14:paraId="74E7B026">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（3）不同的供应商的响应文件载明的项目管理员为同一个人的；</w:t>
      </w:r>
    </w:p>
    <w:p w14:paraId="2B450F45">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（4）不同供应商的响应文件异常一致或最后报价呈规律性差异的；</w:t>
      </w:r>
    </w:p>
    <w:p w14:paraId="374C4FE4">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（5）不同供应商的响应文件相互混装的；</w:t>
      </w:r>
    </w:p>
    <w:p w14:paraId="38596F0C">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（6）谈判文件未作实质性变动，供应商最后报价高于首次报价的</w:t>
      </w:r>
      <w:r>
        <w:rPr>
          <w:rFonts w:hint="eastAsia" w:ascii="宋体" w:hAnsi="宋体" w:eastAsia="宋体" w:cs="宋体"/>
          <w:b/>
          <w:bCs/>
          <w:color w:val="000000" w:themeColor="text1"/>
          <w:highlight w:val="none"/>
          <w:lang w:eastAsia="zh-CN"/>
          <w14:textFill>
            <w14:solidFill>
              <w14:schemeClr w14:val="tx1"/>
            </w14:solidFill>
          </w14:textFill>
        </w:rPr>
        <w:t>。</w:t>
      </w:r>
    </w:p>
    <w:p w14:paraId="17F69618">
      <w:pPr>
        <w:pageBreakBefore w:val="0"/>
        <w:widowControl w:val="0"/>
        <w:overflowPunct/>
        <w:topLinePunct w:val="0"/>
        <w:bidi w:val="0"/>
        <w:spacing w:line="400" w:lineRule="exact"/>
        <w:ind w:firstLine="422"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23.出现下列情形之一的，采购人或者采购代理机构应当终止竞争性谈判采购活动，发布项目终止公告并说明原因，重新开展采购活动：</w:t>
      </w:r>
    </w:p>
    <w:p w14:paraId="07924C3F">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（1）因情况变化，不再符合规定的竞争性谈判采购方式适用情形的；</w:t>
      </w:r>
    </w:p>
    <w:p w14:paraId="192F5F10">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（2）出现影响采购公正的违法、违规行为的；</w:t>
      </w:r>
    </w:p>
    <w:p w14:paraId="60463D7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（3）在采购过程中符合要求的供应商或者报价未超过采购预算的供应商不足3家的。</w:t>
      </w:r>
    </w:p>
    <w:p w14:paraId="5F2B18CD">
      <w:pPr>
        <w:pageBreakBefore w:val="0"/>
        <w:widowControl w:val="0"/>
        <w:overflowPunct/>
        <w:topLinePunct w:val="0"/>
        <w:bidi w:val="0"/>
        <w:spacing w:line="400" w:lineRule="exact"/>
        <w:ind w:firstLine="422"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24.在采购活动中因重大变故，采购任务取消的，采购人或者采购代理机构应当终止采购活动，通知所有参加采购活动的供应商，并将项目实施情况和采购任务取消原因报送本级财政部门。</w:t>
      </w:r>
    </w:p>
    <w:p w14:paraId="372DF56B">
      <w:pPr>
        <w:pageBreakBefore w:val="0"/>
        <w:widowControl w:val="0"/>
        <w:overflowPunct/>
        <w:topLinePunct w:val="0"/>
        <w:bidi w:val="0"/>
        <w:spacing w:line="400" w:lineRule="exact"/>
        <w:ind w:firstLine="422"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25.谈判过程的监控</w:t>
      </w:r>
    </w:p>
    <w:p w14:paraId="5472C56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本项目谈判过程实行全程录音、录像监控，供应商在谈判过程中所进行的试图影响谈判结果的不公正活动，可能导致其响应被拒绝。</w:t>
      </w:r>
    </w:p>
    <w:p w14:paraId="5989FDE7">
      <w:pPr>
        <w:pageBreakBefore w:val="0"/>
        <w:widowControl w:val="0"/>
        <w:overflowPunct/>
        <w:topLinePunct w:val="0"/>
        <w:bidi w:val="0"/>
        <w:spacing w:line="400" w:lineRule="exact"/>
        <w:ind w:firstLine="422"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26.</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信用查询</w:t>
      </w:r>
    </w:p>
    <w:p w14:paraId="1C0CF504">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根据《关于做好政府采购有关信用主体标识码登记及在政府采购活动中查询使用信用记录有关问题的通知》（桂财采〔2016〕37），由采购代理机构对第一成交候选人进行信用查询：</w:t>
      </w:r>
    </w:p>
    <w:p w14:paraId="73EBAAFF">
      <w:pPr>
        <w:pageBreakBefore w:val="0"/>
        <w:widowControl w:val="0"/>
        <w:kinsoku/>
        <w:wordWrap w:val="0"/>
        <w:overflowPunct/>
        <w:topLinePunct w:val="0"/>
        <w:bidi w:val="0"/>
        <w:spacing w:line="400" w:lineRule="exact"/>
        <w:ind w:firstLine="420" w:firstLineChars="200"/>
        <w:outlineLvl w:val="1"/>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⑴查询渠道：“信用中国”网站(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www.creditchina.gov.cn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www.ccgp.gov.cn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)等；</w:t>
      </w:r>
    </w:p>
    <w:p w14:paraId="336FACD5">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⑵查询截止时间：成交通知书发出前；</w:t>
      </w:r>
    </w:p>
    <w:p w14:paraId="15B33B99">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⑶信用信息查询记录和证据留存方式：在查询网站中直接打印查询记录，打印材料作为采购活动资料保存；</w:t>
      </w:r>
    </w:p>
    <w:p w14:paraId="76D89E68">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⑷信用信息使用规则：对在“信用中国”网站(</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"https://www.creditchina.gov.cn"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lang w:eastAsia="zh-CN"/>
          <w14:textFill>
            <w14:solidFill>
              <w14:schemeClr w14:val="tx1"/>
            </w14:solidFill>
          </w14:textFill>
        </w:rPr>
        <w:t>www.creditchina.gov.cn</w:t>
      </w:r>
      <w:r>
        <w:rPr>
          <w:rFonts w:hint="eastAsia" w:ascii="宋体" w:hAnsi="宋体" w:eastAsia="宋体" w:cs="宋体"/>
          <w:color w:val="000000" w:themeColor="text1"/>
          <w:highlight w:val="none"/>
          <w:lang w:eastAsia="zh-CN"/>
          <w14:textFill>
            <w14:solidFill>
              <w14:schemeClr w14:val="tx1"/>
            </w14:solidFill>
          </w14:textFill>
        </w:rPr>
        <w:fldChar w:fldCharType="end"/>
      </w:r>
      <w:r>
        <w:rPr>
          <w:rFonts w:hint="eastAsia" w:ascii="宋体" w:hAnsi="宋体" w:eastAsia="宋体" w:cs="宋体"/>
          <w:color w:val="000000" w:themeColor="text1"/>
          <w:highlight w:val="none"/>
          <w:lang w:eastAsia="zh-CN"/>
          <w14:textFill>
            <w14:solidFill>
              <w14:schemeClr w14:val="tx1"/>
            </w14:solidFill>
          </w14:textFill>
        </w:rPr>
        <w:t>)、中国政府采购网(</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"https://www.ccgp.gov.cn"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lang w:eastAsia="zh-CN"/>
          <w14:textFill>
            <w14:solidFill>
              <w14:schemeClr w14:val="tx1"/>
            </w14:solidFill>
          </w14:textFill>
        </w:rPr>
        <w:t>www.ccgp.gov.cn</w:t>
      </w:r>
      <w:r>
        <w:rPr>
          <w:rFonts w:hint="eastAsia" w:ascii="宋体" w:hAnsi="宋体" w:eastAsia="宋体" w:cs="宋体"/>
          <w:color w:val="000000" w:themeColor="text1"/>
          <w:highlight w:val="none"/>
          <w:lang w:eastAsia="zh-CN"/>
          <w14:textFill>
            <w14:solidFill>
              <w14:schemeClr w14:val="tx1"/>
            </w14:solidFill>
          </w14:textFill>
        </w:rPr>
        <w:fldChar w:fldCharType="end"/>
      </w:r>
      <w:r>
        <w:rPr>
          <w:rFonts w:hint="eastAsia" w:ascii="宋体" w:hAnsi="宋体" w:eastAsia="宋体" w:cs="宋体"/>
          <w:color w:val="000000" w:themeColor="text1"/>
          <w:highlight w:val="none"/>
          <w:lang w:eastAsia="zh-CN"/>
          <w14:textFill>
            <w14:solidFill>
              <w14:schemeClr w14:val="tx1"/>
            </w14:solidFill>
          </w14:textFill>
        </w:rPr>
        <w:t>)等渠道列入失信被执行人、重大税收违法案件当事人名单、政府采购严重违法失信行为记录名单及其他不符合《中华人民共和国政府采购法》第二十二条规定条件的供应商，取消其成交候选人资格。</w:t>
      </w:r>
    </w:p>
    <w:p w14:paraId="5206B1B9">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27.成交公告及成交通知书</w:t>
      </w:r>
    </w:p>
    <w:p w14:paraId="0DC2FC83">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27.1 采购代理机构于评审结束后两个工作日内将评审报告送交采购人，采购人应当自收到评审报告五个工作日内在评审报告推荐的成交候选供应商中按顺序确定成交供应商，采购代理机构在成交供应商确定之日起两个工作日内发出成交通知书，并在指定媒体上公告成交信息。</w:t>
      </w:r>
    </w:p>
    <w:p w14:paraId="6851C724">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27.2 中小企业在政府采购活动过程中，请根据自己的真实情况出具《中小企业声明函》。采购人或采购代理机构在公告成交结果时，同时公告其《中小企业声明函》，接受社会监督。</w:t>
      </w:r>
    </w:p>
    <w:p w14:paraId="176ECABE">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27.3 在发布成交公告的同时，采购代理机构向成交供应商发出成交通知书。成交供应商应自接到通知之日起七个工作日内，办理成交通知书领取手续。</w:t>
      </w:r>
    </w:p>
    <w:p w14:paraId="05C82DDA">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27.4 采购代理机构无义务向未成交的供应商解释未成交原因和退还响应文件。</w:t>
      </w:r>
    </w:p>
    <w:p w14:paraId="7DA81C01">
      <w:pPr>
        <w:pageBreakBefore w:val="0"/>
        <w:widowControl w:val="0"/>
        <w:overflowPunct/>
        <w:topLinePunct w:val="0"/>
        <w:bidi w:val="0"/>
        <w:spacing w:line="400" w:lineRule="exact"/>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6E1B7074">
      <w:pPr>
        <w:pageBreakBefore w:val="0"/>
        <w:widowControl w:val="0"/>
        <w:overflowPunct/>
        <w:topLinePunct w:val="0"/>
        <w:bidi w:val="0"/>
        <w:spacing w:line="400" w:lineRule="exact"/>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0AA6D9C1">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五、签订合同</w:t>
      </w:r>
    </w:p>
    <w:p w14:paraId="3D8687D6">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28.履约保证金</w:t>
      </w:r>
    </w:p>
    <w:p w14:paraId="22ACB65D">
      <w:pPr>
        <w:pageBreakBefore w:val="0"/>
        <w:overflowPunct/>
        <w:topLinePunct w:val="0"/>
        <w:bidi w:val="0"/>
        <w:spacing w:line="400" w:lineRule="exact"/>
        <w:ind w:firstLine="411" w:firstLineChars="196"/>
        <w:rPr>
          <w:rFonts w:hint="eastAsia" w:ascii="宋体" w:hAnsi="宋体" w:eastAsia="宋体" w:cs="宋体"/>
          <w:bCs/>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28.1 履约保证金：</w:t>
      </w:r>
      <w:r>
        <w:rPr>
          <w:rFonts w:hint="eastAsia" w:ascii="宋体" w:hAnsi="宋体" w:eastAsia="宋体" w:cs="宋体"/>
          <w:color w:val="000000" w:themeColor="text1"/>
          <w:szCs w:val="21"/>
          <w:highlight w:val="none"/>
          <w14:textFill>
            <w14:solidFill>
              <w14:schemeClr w14:val="tx1"/>
            </w14:solidFill>
          </w14:textFill>
        </w:rPr>
        <w:t>本项目免收履约保证金</w:t>
      </w:r>
      <w:r>
        <w:rPr>
          <w:rFonts w:hint="eastAsia" w:ascii="宋体" w:hAnsi="宋体" w:eastAsia="宋体" w:cs="宋体"/>
          <w:color w:val="000000" w:themeColor="text1"/>
          <w:szCs w:val="21"/>
          <w:highlight w:val="none"/>
          <w:lang w:eastAsia="zh-CN"/>
          <w14:textFill>
            <w14:solidFill>
              <w14:schemeClr w14:val="tx1"/>
            </w14:solidFill>
          </w14:textFill>
        </w:rPr>
        <w:t>。</w:t>
      </w:r>
    </w:p>
    <w:p w14:paraId="7597EC5A">
      <w:pPr>
        <w:pageBreakBefore w:val="0"/>
        <w:widowControl w:val="0"/>
        <w:overflowPunct/>
        <w:topLinePunct w:val="0"/>
        <w:bidi w:val="0"/>
        <w:spacing w:line="400" w:lineRule="exact"/>
        <w:ind w:firstLine="422"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29.签订合同</w:t>
      </w:r>
    </w:p>
    <w:p w14:paraId="2EC828F1">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29.1 签订合同时间：成交通知书发出之日起八个工作日内。成交供应商领取成交通知书后，应按规定与采购人签订合同。</w:t>
      </w:r>
    </w:p>
    <w:p w14:paraId="468652F6">
      <w:pPr>
        <w:pageBreakBefore w:val="0"/>
        <w:widowControl w:val="0"/>
        <w:overflowPunct/>
        <w:topLinePunct w:val="0"/>
        <w:bidi w:val="0"/>
        <w:spacing w:line="400" w:lineRule="exact"/>
        <w:ind w:firstLine="420" w:firstLineChars="200"/>
        <w:jc w:val="both"/>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29.2 如成交供应商有下列情形之一，情节严重的，由财政部门将其列入不良行为记录名单，在一至三年内禁止参加政府采购活动，并予以通报。采购代理机构可从谈判小组推荐的成交候选供应商中按顺序重新确定成交供应商或重新组织采购。拒绝签订政府采购合同的成交供应商不得参加对该项目重新开展的采购活动。</w:t>
      </w:r>
    </w:p>
    <w:p w14:paraId="0883861C">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（1）成交后不与采购人签订合同的（不可抗力除外）；</w:t>
      </w:r>
    </w:p>
    <w:p w14:paraId="6DDE7C3E">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（2）将成交项目转让给他人，或者在响应文件中未说明，且未经采购人同意，将成交项目分包给他人的；</w:t>
      </w:r>
    </w:p>
    <w:p w14:paraId="15B55C33">
      <w:pPr>
        <w:pageBreakBefore w:val="0"/>
        <w:widowControl w:val="0"/>
        <w:overflowPunct/>
        <w:topLinePunct w:val="0"/>
        <w:bidi w:val="0"/>
        <w:spacing w:line="400" w:lineRule="exact"/>
        <w:ind w:firstLine="420" w:firstLineChars="200"/>
        <w:outlineLvl w:val="1"/>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（3）拒绝履行合同义务的。</w:t>
      </w:r>
    </w:p>
    <w:p w14:paraId="3DBAE50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29.3 合同备案存档：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w:t>
      </w:r>
      <w:r>
        <w:rPr>
          <w:rFonts w:hint="eastAsia" w:ascii="宋体" w:hAnsi="宋体" w:eastAsia="宋体" w:cs="宋体"/>
          <w:color w:val="000000" w:themeColor="text1"/>
          <w:kern w:val="0"/>
          <w:szCs w:val="21"/>
          <w:highlight w:val="none"/>
          <w14:textFill>
            <w14:solidFill>
              <w14:schemeClr w14:val="tx1"/>
            </w14:solidFill>
          </w14:textFill>
        </w:rPr>
        <w:t>采购代理机构</w:t>
      </w:r>
      <w:r>
        <w:rPr>
          <w:rFonts w:hint="eastAsia" w:ascii="宋体" w:hAnsi="宋体" w:eastAsia="宋体" w:cs="宋体"/>
          <w:color w:val="000000" w:themeColor="text1"/>
          <w:highlight w:val="none"/>
          <w:lang w:eastAsia="zh-CN"/>
          <w14:textFill>
            <w14:solidFill>
              <w14:schemeClr w14:val="tx1"/>
            </w14:solidFill>
          </w14:textFill>
        </w:rPr>
        <w:t>存档。</w:t>
      </w:r>
    </w:p>
    <w:p w14:paraId="16777706">
      <w:pPr>
        <w:pageBreakBefore w:val="0"/>
        <w:widowControl w:val="0"/>
        <w:overflowPunct/>
        <w:topLinePunct w:val="0"/>
        <w:bidi w:val="0"/>
        <w:spacing w:line="400" w:lineRule="exact"/>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2191CDBC">
      <w:pPr>
        <w:pageBreakBefore w:val="0"/>
        <w:widowControl w:val="0"/>
        <w:overflowPunct/>
        <w:topLinePunct w:val="0"/>
        <w:bidi w:val="0"/>
        <w:spacing w:line="400" w:lineRule="exact"/>
        <w:jc w:val="cente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六、其他事项</w:t>
      </w:r>
    </w:p>
    <w:p w14:paraId="4C14F774">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30.采购代理服务费</w:t>
      </w:r>
    </w:p>
    <w:p w14:paraId="55C2C653">
      <w:pPr>
        <w:pageBreakBefore w:val="0"/>
        <w:overflowPunct/>
        <w:topLinePunct w:val="0"/>
        <w:bidi w:val="0"/>
        <w:snapToGrid w:val="0"/>
        <w:spacing w:line="400" w:lineRule="exact"/>
        <w:ind w:firstLine="411" w:firstLineChars="196"/>
        <w:outlineLvl w:val="4"/>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30.1</w:t>
      </w: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成交供应商领取成交通知书前，向大华建设项目管理有限公司一次性付清采购代理服务费。本项目采购代理服务收费标准参照计价格[2002]1980号《招标代理服务收费管理暂行办法》</w:t>
      </w:r>
      <w:r>
        <w:rPr>
          <w:rFonts w:hint="eastAsia" w:ascii="宋体" w:hAnsi="宋体" w:eastAsia="宋体" w:cs="宋体"/>
          <w:snapToGrid w:val="0"/>
          <w:color w:val="000000" w:themeColor="text1"/>
          <w:spacing w:val="4"/>
          <w:kern w:val="0"/>
          <w:sz w:val="21"/>
          <w:szCs w:val="21"/>
          <w:highlight w:val="none"/>
          <w:lang w:val="en-US" w:eastAsia="zh-CN" w:bidi="ar-SA"/>
          <w14:textFill>
            <w14:solidFill>
              <w14:schemeClr w14:val="tx1"/>
            </w14:solidFill>
          </w14:textFill>
        </w:rPr>
        <w:t>货物</w:t>
      </w: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类收费标准向成交供应商收取。</w:t>
      </w:r>
    </w:p>
    <w:p w14:paraId="76E9F215">
      <w:pPr>
        <w:pageBreakBefore w:val="0"/>
        <w:overflowPunct/>
        <w:topLinePunct w:val="0"/>
        <w:bidi w:val="0"/>
        <w:spacing w:line="400" w:lineRule="exact"/>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30.2代理服务收费标准：</w:t>
      </w:r>
    </w:p>
    <w:tbl>
      <w:tblPr>
        <w:tblStyle w:val="20"/>
        <w:tblW w:w="9006"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2205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vAlign w:val="top"/>
          </w:tcPr>
          <w:p w14:paraId="53DF7474">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296545</wp:posOffset>
                      </wp:positionH>
                      <wp:positionV relativeFrom="paragraph">
                        <wp:posOffset>10795</wp:posOffset>
                      </wp:positionV>
                      <wp:extent cx="1463675" cy="653415"/>
                      <wp:effectExtent l="1905" t="4445" r="12700" b="12700"/>
                      <wp:wrapNone/>
                      <wp:docPr id="6" name="直接连接符 6"/>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3.35pt;margin-top:0.85pt;height:51.45pt;width:115.25pt;z-index:251659264;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MNkmTL9AQAA9wMAAA4AAABkcnMvZTJvRG9jLnhtbK1TTY7T&#10;MBTeI3EHy3uatjMNEDWdxZRhg6ASzAFebSex5D/ZbtNeggsgsYMVS/bchuEY8+yEMgybLsjCefb7&#10;/Pl9n5+XVwetyF74IK2p6WwypUQYZrk0bU1vP9w8e0FJiGA4KGtETY8i0KvV0yfL3lVibjuruPAE&#10;SUyoelfTLkZXFUVgndAQJtYJg8nGeg0Rp74tuIce2bUq5tNpWfTWc+ctEyHg6npI0pHRn0Nom0Yy&#10;sbZsp4WJA6sXCiJKCp10ga5ytU0jWHzXNEFEomqKSmMe8RCMt2ksVkuoWg+uk2wsAc4p4ZEmDdLg&#10;oSeqNUQgOy//odKSeRtsEyfM6mIQkh1BFbPpI2/ed+BE1oJWB3cyPfw/WvZ2v/FE8pqWlBjQeOF3&#10;n77//Pjl14/PON59+0rKZFLvQoXYa7Px4yy4jU+KD43X6Y9ayCEbezwZKw6RMFycXZYX5fMFJQxz&#10;5eLicrZIpMWf3c6H+FpYTVJQUyVNEg4V7N+EOEB/Q9KyMqSv6cvFPHECdmGDt4+hdqgkmDbvDVZJ&#10;fiOVSjuCb7fXypM9pE7I31jCX7B0yBpCN+ByKsGg6gTwV4aTeHTokcGnQVMJWnBKlMCXlKKMjCDV&#10;OUhUr0yiFrlPR53J6MHaFG0tP+L97JyXbYe+zHLNKYP9kA0cezc13MM5xg/f6+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FTNNYAAAAIAQAADwAAAAAAAAABACAAAAAiAAAAZHJzL2Rvd25yZXYu&#10;eG1sUEsBAhQAFAAAAAgAh07iQMNkmTL9AQAA9wMAAA4AAAAAAAAAAQAgAAAAJQEAAGRycy9lMm9E&#10;b2MueG1sUEsFBgAAAAAGAAYAWQEAAJQFAAAAAA==&#10;">
                      <v:fill on="f" focussize="0,0"/>
                      <v:stroke color="#000000" joinstyle="round"/>
                      <v:imagedata o:title=""/>
                      <o:lock v:ext="edit" aspectratio="f"/>
                    </v:line>
                  </w:pict>
                </mc:Fallback>
              </mc:AlternateContent>
            </w:r>
            <w:r>
              <w:rPr>
                <w:rFonts w:hint="eastAsia" w:ascii="宋体" w:hAnsi="宋体" w:eastAsia="宋体" w:cs="宋体"/>
                <w:color w:val="000000" w:themeColor="text1"/>
                <w:szCs w:val="21"/>
                <w:highlight w:val="none"/>
                <w14:textFill>
                  <w14:solidFill>
                    <w14:schemeClr w14:val="tx1"/>
                  </w14:solidFill>
                </w14:textFill>
              </w:rPr>
              <w:t>费率           服务类型</w:t>
            </w:r>
          </w:p>
          <w:p w14:paraId="41F68061">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-68580</wp:posOffset>
                      </wp:positionH>
                      <wp:positionV relativeFrom="paragraph">
                        <wp:posOffset>39370</wp:posOffset>
                      </wp:positionV>
                      <wp:extent cx="1828800" cy="396240"/>
                      <wp:effectExtent l="1270" t="4445" r="13970" b="10795"/>
                      <wp:wrapNone/>
                      <wp:docPr id="7" name="直接连接符 7"/>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3.1pt;height:31.2pt;width:144pt;z-index:251660288;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IJD6EgBAgAA9wMAAA4AAABkcnMvZTJvRG9jLnhtbK1TzW4T&#10;MRC+I/EOlu9kk0DbdJVNDw3lgiAS9AEmXu+uJf/J42STl+AFkLjBiSP3vg3lMTr2hlDKJQf24B17&#10;Zr6Z7/N4frUzmm1lQOVsxSejMWfSClcr21b89uPNixlnGMHWoJ2VFd9L5FeL58/mvS/l1HVO1zIw&#10;ArFY9r7iXYy+LAoUnTSAI+elJWfjgoFI29AWdYCe0I0upuPxedG7UPvghESk0+Xg5AfEcAqgaxol&#10;5NKJjZE2DqhBaohECTvlkS9yt00jRXzfNCgj0xUnpjGvVITsdVqLxRzKNoDvlDi0AKe08ISTAWWp&#10;6BFqCRHYJqh/oIwSwaFr4kg4UwxEsiLEYjJ+os2HDrzMXEhq9EfR8f/BinfbVWCqrvgFZxYMXfj9&#10;5x8/P339dfeF1vvv39hFEqn3WFLstV2Fww79KiTGuyaY9CcubJeF3R+FlbvIBB1OZtPZbEyaC/K9&#10;vDyfvsrKF3+yfcD4RjrDklFxrWwiDiVs32KkihT6OyQda8v6il+eTc8IE2gKG7p9Mo0nJmjbnItO&#10;q/pGaZ0yMLTrax3YFtIk5C/xIty/wlKRJWA3xGXXMCOdhPq1rVnce9LI0tPgqQUja860pJeULAKE&#10;MoLSp0RSaW1TgsxzeuCZhB6kTdba1Xu6n40Pqu1Il0nuOXloHnL3h9lNA/d4T/bj97p4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AOr0TWAAAACAEAAA8AAAAAAAAAAQAgAAAAIgAAAGRycy9kb3du&#10;cmV2LnhtbFBLAQIUABQAAAAIAIdO4kCCQ+hIAQIAAPcDAAAOAAAAAAAAAAEAIAAAACUBAABkcnMv&#10;ZTJvRG9jLnhtbFBLBQYAAAAABgAGAFkBAACYBQAAAAA=&#10;">
                      <v:fill on="f" focussize="0,0"/>
                      <v:stroke color="#000000" joinstyle="round"/>
                      <v:imagedata o:title=""/>
                      <o:lock v:ext="edit" aspectratio="f"/>
                    </v:line>
                  </w:pict>
                </mc:Fallback>
              </mc:AlternateContent>
            </w:r>
          </w:p>
          <w:p w14:paraId="1AE6E09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中标金额（万元）</w:t>
            </w:r>
          </w:p>
        </w:tc>
        <w:tc>
          <w:tcPr>
            <w:tcW w:w="1841" w:type="dxa"/>
            <w:vAlign w:val="center"/>
          </w:tcPr>
          <w:p w14:paraId="4C25AB8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货物招标</w:t>
            </w:r>
          </w:p>
        </w:tc>
        <w:tc>
          <w:tcPr>
            <w:tcW w:w="1992" w:type="dxa"/>
            <w:vAlign w:val="center"/>
          </w:tcPr>
          <w:p w14:paraId="11C0C019">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服务招标</w:t>
            </w:r>
          </w:p>
        </w:tc>
        <w:tc>
          <w:tcPr>
            <w:tcW w:w="2293" w:type="dxa"/>
            <w:vAlign w:val="center"/>
          </w:tcPr>
          <w:p w14:paraId="20B411FA">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工程招标</w:t>
            </w:r>
          </w:p>
        </w:tc>
      </w:tr>
      <w:tr w14:paraId="4277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vAlign w:val="top"/>
          </w:tcPr>
          <w:p w14:paraId="7CD2C761">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100以下</w:t>
            </w:r>
          </w:p>
        </w:tc>
        <w:tc>
          <w:tcPr>
            <w:tcW w:w="1841" w:type="dxa"/>
            <w:vAlign w:val="top"/>
          </w:tcPr>
          <w:p w14:paraId="316C4919">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1.5%</w:t>
            </w:r>
          </w:p>
        </w:tc>
        <w:tc>
          <w:tcPr>
            <w:tcW w:w="1992" w:type="dxa"/>
            <w:vAlign w:val="top"/>
          </w:tcPr>
          <w:p w14:paraId="0C38D9C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1.5%</w:t>
            </w:r>
          </w:p>
        </w:tc>
        <w:tc>
          <w:tcPr>
            <w:tcW w:w="2293" w:type="dxa"/>
            <w:vAlign w:val="top"/>
          </w:tcPr>
          <w:p w14:paraId="37584B77">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w:t>
            </w:r>
          </w:p>
        </w:tc>
      </w:tr>
      <w:tr w14:paraId="7EB6D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vAlign w:val="top"/>
          </w:tcPr>
          <w:p w14:paraId="7C514AA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100-500</w:t>
            </w:r>
          </w:p>
        </w:tc>
        <w:tc>
          <w:tcPr>
            <w:tcW w:w="1841" w:type="dxa"/>
            <w:vAlign w:val="top"/>
          </w:tcPr>
          <w:p w14:paraId="4586CE8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1.1%</w:t>
            </w:r>
          </w:p>
        </w:tc>
        <w:tc>
          <w:tcPr>
            <w:tcW w:w="1992" w:type="dxa"/>
            <w:vAlign w:val="top"/>
          </w:tcPr>
          <w:p w14:paraId="65E82A9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0.8%</w:t>
            </w:r>
          </w:p>
        </w:tc>
        <w:tc>
          <w:tcPr>
            <w:tcW w:w="2293" w:type="dxa"/>
            <w:vAlign w:val="top"/>
          </w:tcPr>
          <w:p w14:paraId="3E917958">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0.7%</w:t>
            </w:r>
          </w:p>
        </w:tc>
      </w:tr>
      <w:tr w14:paraId="318E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25B70DF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500-1000</w:t>
            </w:r>
          </w:p>
        </w:tc>
        <w:tc>
          <w:tcPr>
            <w:tcW w:w="1841" w:type="dxa"/>
            <w:vAlign w:val="top"/>
          </w:tcPr>
          <w:p w14:paraId="227230C7">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0.8%</w:t>
            </w:r>
          </w:p>
        </w:tc>
        <w:tc>
          <w:tcPr>
            <w:tcW w:w="1992" w:type="dxa"/>
            <w:vAlign w:val="top"/>
          </w:tcPr>
          <w:p w14:paraId="5E7A3BEA">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0.45%</w:t>
            </w:r>
          </w:p>
        </w:tc>
        <w:tc>
          <w:tcPr>
            <w:tcW w:w="2293" w:type="dxa"/>
            <w:vAlign w:val="top"/>
          </w:tcPr>
          <w:p w14:paraId="5421035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0.55%</w:t>
            </w:r>
          </w:p>
        </w:tc>
      </w:tr>
      <w:tr w14:paraId="44F7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0B8298BB">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1000-5000</w:t>
            </w:r>
          </w:p>
        </w:tc>
        <w:tc>
          <w:tcPr>
            <w:tcW w:w="1841" w:type="dxa"/>
            <w:vAlign w:val="top"/>
          </w:tcPr>
          <w:p w14:paraId="42362E2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0.5%</w:t>
            </w:r>
          </w:p>
        </w:tc>
        <w:tc>
          <w:tcPr>
            <w:tcW w:w="1992" w:type="dxa"/>
            <w:vAlign w:val="top"/>
          </w:tcPr>
          <w:p w14:paraId="0E9DCB63">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0.25%</w:t>
            </w:r>
          </w:p>
        </w:tc>
        <w:tc>
          <w:tcPr>
            <w:tcW w:w="2293" w:type="dxa"/>
            <w:vAlign w:val="top"/>
          </w:tcPr>
          <w:p w14:paraId="29233940">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0.35%</w:t>
            </w:r>
          </w:p>
        </w:tc>
      </w:tr>
      <w:tr w14:paraId="038A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vAlign w:val="top"/>
          </w:tcPr>
          <w:p w14:paraId="368A23B9">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5000-10000</w:t>
            </w:r>
          </w:p>
        </w:tc>
        <w:tc>
          <w:tcPr>
            <w:tcW w:w="1841" w:type="dxa"/>
            <w:vAlign w:val="top"/>
          </w:tcPr>
          <w:p w14:paraId="05C5714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0.25%</w:t>
            </w:r>
          </w:p>
        </w:tc>
        <w:tc>
          <w:tcPr>
            <w:tcW w:w="1992" w:type="dxa"/>
            <w:vAlign w:val="top"/>
          </w:tcPr>
          <w:p w14:paraId="31950ADC">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0.1%</w:t>
            </w:r>
          </w:p>
        </w:tc>
        <w:tc>
          <w:tcPr>
            <w:tcW w:w="2293" w:type="dxa"/>
            <w:vAlign w:val="top"/>
          </w:tcPr>
          <w:p w14:paraId="5DEB2BEB">
            <w:pPr>
              <w:pageBreakBefore w:val="0"/>
              <w:widowControl/>
              <w:kinsoku w:val="0"/>
              <w:wordWrap/>
              <w:overflowPunct/>
              <w:topLinePunct w:val="0"/>
              <w:autoSpaceDE w:val="0"/>
              <w:autoSpaceDN w:val="0"/>
              <w:bidi w:val="0"/>
              <w:adjustRightInd w:val="0"/>
              <w:snapToGrid w:val="0"/>
              <w:spacing w:before="0" w:after="0" w:line="400" w:lineRule="exact"/>
              <w:ind w:left="23" w:firstLine="0" w:firstLineChars="0"/>
              <w:jc w:val="center"/>
              <w:textAlignment w:val="baseline"/>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0.2%</w:t>
            </w:r>
          </w:p>
        </w:tc>
      </w:tr>
    </w:tbl>
    <w:p w14:paraId="0D820AF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注：代理服务收费按差额定率累进法计算。</w:t>
      </w:r>
    </w:p>
    <w:p w14:paraId="5081C801">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31.采购代理机构银行账户（用于缴纳采购代理服务费）：</w:t>
      </w:r>
    </w:p>
    <w:p w14:paraId="7F976CA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开户名称：大华建设项目管理有限公司桂林分公司</w:t>
      </w:r>
    </w:p>
    <w:p w14:paraId="156A6DD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开户银行：中国建设银行股份有限公司桂林高新技术产业开发区支行</w:t>
      </w:r>
    </w:p>
    <w:p w14:paraId="7632210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银行账号：45050163004300000046</w:t>
      </w:r>
    </w:p>
    <w:p w14:paraId="35643B15">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32.解释权：</w:t>
      </w:r>
      <w:r>
        <w:rPr>
          <w:rFonts w:hint="eastAsia" w:ascii="宋体" w:hAnsi="宋体" w:eastAsia="宋体" w:cs="宋体"/>
          <w:color w:val="000000" w:themeColor="text1"/>
          <w:highlight w:val="none"/>
          <w:lang w:eastAsia="zh-CN"/>
          <w14:textFill>
            <w14:solidFill>
              <w14:schemeClr w14:val="tx1"/>
            </w14:solidFill>
          </w14:textFill>
        </w:rPr>
        <w:t>本竞争性谈判文件是根据《中华人民共和国政府采购法》、《中华人民共和国政府采购法实施条例》、《政府采购非招标采购方式管理办法》和政府采购管理有关规定编制，本竞争性谈判文件的解释权属于采购代理机构。</w:t>
      </w:r>
    </w:p>
    <w:p w14:paraId="4232A21B">
      <w:pPr>
        <w:pageBreakBefore w:val="0"/>
        <w:widowControl w:val="0"/>
        <w:overflowPunct/>
        <w:topLinePunct w:val="0"/>
        <w:bidi w:val="0"/>
        <w:spacing w:line="400" w:lineRule="exact"/>
        <w:ind w:firstLine="422" w:firstLineChars="200"/>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33.监督管理机构：</w:t>
      </w:r>
      <w:r>
        <w:rPr>
          <w:rFonts w:hint="eastAsia" w:ascii="宋体" w:hAnsi="宋体" w:eastAsia="宋体" w:cs="宋体"/>
          <w:snapToGrid w:val="0"/>
          <w:color w:val="000000" w:themeColor="text1"/>
          <w:spacing w:val="4"/>
          <w:kern w:val="0"/>
          <w:sz w:val="21"/>
          <w:szCs w:val="21"/>
          <w:highlight w:val="none"/>
          <w:lang w:val="en-US" w:eastAsia="en-US" w:bidi="ar-SA"/>
          <w14:textFill>
            <w14:solidFill>
              <w14:schemeClr w14:val="tx1"/>
            </w14:solidFill>
          </w14:textFill>
        </w:rPr>
        <w:t>广西壮族自治区财政厅政府采购监督管理处电话：0771-5331544</w:t>
      </w:r>
    </w:p>
    <w:p w14:paraId="5C69815C">
      <w:pPr>
        <w:widowControl w:val="0"/>
        <w:spacing w:line="400" w:lineRule="exact"/>
        <w:ind w:firstLine="422" w:firstLineChars="200"/>
        <w:contextualSpacing/>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bookmarkStart w:id="8" w:name="_Hlk65857140"/>
      <w:r>
        <w:rPr>
          <w:rFonts w:hint="eastAsia" w:ascii="宋体" w:hAnsi="宋体" w:eastAsia="宋体" w:cs="宋体"/>
          <w:b/>
          <w:bCs/>
          <w:snapToGrid w:val="0"/>
          <w:color w:val="000000" w:themeColor="text1"/>
          <w:sz w:val="21"/>
          <w:szCs w:val="21"/>
          <w:highlight w:val="none"/>
          <w:lang w:val="en-US" w:eastAsia="zh-CN" w:bidi="ar-SA"/>
          <w14:textFill>
            <w14:solidFill>
              <w14:schemeClr w14:val="tx1"/>
            </w14:solidFill>
          </w14:textFill>
        </w:rPr>
        <w:t>34.中小企业定义：</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本谈判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谈判文件规定的中小企业扶持政策：</w:t>
      </w:r>
    </w:p>
    <w:p w14:paraId="6E581BAF">
      <w:pPr>
        <w:widowControl w:val="0"/>
        <w:spacing w:line="400" w:lineRule="exact"/>
        <w:ind w:firstLine="420" w:firstLineChars="200"/>
        <w:contextualSpacing/>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14DADC96">
      <w:pPr>
        <w:widowControl w:val="0"/>
        <w:spacing w:line="400" w:lineRule="exact"/>
        <w:ind w:firstLine="420" w:firstLineChars="200"/>
        <w:contextualSpacing/>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（2）在工程采购项目中，工程由中小企业承建，即工程施工单位为中小企业，不对其中涉及的货物的制造商和服务的承接商作出要求；</w:t>
      </w:r>
    </w:p>
    <w:p w14:paraId="3E9D0D01">
      <w:pPr>
        <w:widowControl w:val="0"/>
        <w:spacing w:line="400" w:lineRule="exact"/>
        <w:ind w:firstLine="420" w:firstLineChars="200"/>
        <w:contextualSpacing/>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09A727B2">
      <w:pPr>
        <w:widowControl w:val="0"/>
        <w:spacing w:line="400" w:lineRule="exact"/>
        <w:ind w:firstLine="420" w:firstLineChars="200"/>
        <w:contextualSpacing/>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在货物采购项目中，供应商提供的货物既有中小企业制造货物，也有大型企业制造货物的，不享受本谈判文件规定的中小企业扶持政策。</w:t>
      </w:r>
    </w:p>
    <w:p w14:paraId="0AFA6010">
      <w:pPr>
        <w:widowControl w:val="0"/>
        <w:kinsoku/>
        <w:autoSpaceDE/>
        <w:autoSpaceDN/>
        <w:adjustRightInd/>
        <w:snapToGrid/>
        <w:spacing w:line="400" w:lineRule="exact"/>
        <w:ind w:firstLine="420" w:firstLineChars="200"/>
        <w:contextualSpacing/>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依据本谈判文件规定享受扶持政策获得政府采购合同的，小微企业不得将合同分包给大中型企业，中型企业不得将合同分包给大型企业。</w:t>
      </w:r>
      <w:bookmarkEnd w:id="8"/>
    </w:p>
    <w:p w14:paraId="406FBAF3">
      <w:pPr>
        <w:widowControl w:val="0"/>
        <w:spacing w:after="0" w:line="400" w:lineRule="exact"/>
        <w:ind w:left="0" w:leftChars="0" w:firstLine="420" w:firstLineChars="200"/>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本项目标的所属行业在第三章采购需求中规定。供应商根据中小企业划分标准（《关于印发中小企业划型标准规定的通知》（工信部联企业〔2011〕300号）（详见附件）判断是否为中小企业。</w:t>
      </w:r>
    </w:p>
    <w:p w14:paraId="38D5D47A">
      <w:pPr>
        <w:widowControl w:val="0"/>
        <w:kinsoku/>
        <w:autoSpaceDE/>
        <w:autoSpaceDN/>
        <w:adjustRightInd/>
        <w:snapToGrid/>
        <w:spacing w:line="400" w:lineRule="exact"/>
        <w:ind w:firstLine="422" w:firstLineChars="200"/>
        <w:jc w:val="both"/>
        <w:textAlignment w:val="auto"/>
        <w:rPr>
          <w:rFonts w:hint="eastAsia" w:ascii="宋体" w:hAnsi="宋体" w:eastAsia="宋体" w:cs="宋体"/>
          <w:b/>
          <w:snapToGrid/>
          <w:color w:val="000000" w:themeColor="text1"/>
          <w:kern w:val="2"/>
          <w:szCs w:val="21"/>
          <w:highlight w:val="none"/>
          <w:lang w:eastAsia="zh-CN"/>
          <w14:textFill>
            <w14:solidFill>
              <w14:schemeClr w14:val="tx1"/>
            </w14:solidFill>
          </w14:textFill>
        </w:rPr>
      </w:pPr>
      <w:r>
        <w:rPr>
          <w:rFonts w:hint="eastAsia" w:ascii="宋体" w:hAnsi="宋体" w:eastAsia="宋体" w:cs="宋体"/>
          <w:b/>
          <w:bCs/>
          <w:snapToGrid w:val="0"/>
          <w:color w:val="000000" w:themeColor="text1"/>
          <w:sz w:val="21"/>
          <w:szCs w:val="21"/>
          <w:highlight w:val="none"/>
          <w:lang w:val="en-US" w:eastAsia="zh-CN" w:bidi="ar-SA"/>
          <w14:textFill>
            <w14:solidFill>
              <w14:schemeClr w14:val="tx1"/>
            </w14:solidFill>
          </w14:textFill>
        </w:rPr>
        <w:t>35.视同中小企业情形：</w:t>
      </w:r>
    </w:p>
    <w:p w14:paraId="2B0232BC">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（1）符合中小企业划分标准的个体工商户，视同中小企业。</w:t>
      </w:r>
    </w:p>
    <w:p w14:paraId="200CD495">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（2）以联合体形式参加政府采购活动，联合体各方均为中小企业的，联合体视同中小企业。其中，联合体各方均为小微企业的，联合体视同小微企业。</w:t>
      </w:r>
    </w:p>
    <w:p w14:paraId="4E3E8CAB">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0030413B">
      <w:pPr>
        <w:widowControl w:val="0"/>
        <w:spacing w:line="400" w:lineRule="exact"/>
        <w:ind w:firstLine="482"/>
        <w:jc w:val="both"/>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符合条件的货物制造商、工程施工单位、服务承接单位为监狱企业或残疾人福利性单位的，应按采购文件规定在响应文件中提供相关证明文件。</w:t>
      </w:r>
    </w:p>
    <w:p w14:paraId="072C8D59">
      <w:pPr>
        <w:widowControl w:val="0"/>
        <w:kinsoku/>
        <w:autoSpaceDE/>
        <w:autoSpaceDN/>
        <w:adjustRightInd/>
        <w:snapToGrid/>
        <w:spacing w:line="400" w:lineRule="exact"/>
        <w:ind w:firstLine="422" w:firstLineChars="200"/>
        <w:jc w:val="both"/>
        <w:textAlignment w:val="auto"/>
        <w:rPr>
          <w:rFonts w:hint="eastAsia" w:ascii="宋体" w:hAnsi="宋体" w:eastAsia="宋体" w:cs="宋体"/>
          <w:b/>
          <w:bCs/>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z w:val="21"/>
          <w:szCs w:val="21"/>
          <w:highlight w:val="none"/>
          <w:lang w:val="en-US" w:eastAsia="zh-CN" w:bidi="ar-SA"/>
          <w14:textFill>
            <w14:solidFill>
              <w14:schemeClr w14:val="tx1"/>
            </w14:solidFill>
          </w14:textFill>
        </w:rPr>
        <w:t>36.对本国产品的支持政策</w:t>
      </w:r>
    </w:p>
    <w:p w14:paraId="1EB2CC35">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3</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6</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.1本国产品标准</w:t>
      </w:r>
    </w:p>
    <w:p w14:paraId="22073966">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“本国产品标准的产品”是指：符合《国务院办公厅关于在政府采购中实施本国产品标准及相关政策的通知》（国办发〔2025〕34号）规定的本国产品标准的产品。</w:t>
      </w:r>
    </w:p>
    <w:p w14:paraId="0069D3E6">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3</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6</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.2本国产品标准的适用范围</w:t>
      </w:r>
    </w:p>
    <w:p w14:paraId="49418EE0">
      <w:pPr>
        <w:widowControl w:val="0"/>
        <w:kinsoku/>
        <w:autoSpaceDE/>
        <w:autoSpaceDN/>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宋体"/>
          <w:bCs/>
          <w:snapToGrid/>
          <w:color w:val="000000" w:themeColor="text1"/>
          <w:kern w:val="2"/>
          <w:szCs w:val="21"/>
          <w:highlight w:val="none"/>
          <w:lang w:eastAsia="zh-CN"/>
          <w14:textFill>
            <w14:solidFill>
              <w14:schemeClr w14:val="tx1"/>
            </w14:solidFill>
          </w14:textFill>
        </w:rPr>
        <w:t>本项目是否适用对本国产品的支持政策详见第三章采购需求。</w:t>
      </w:r>
    </w:p>
    <w:p w14:paraId="13ED7AE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sectPr>
          <w:footerReference r:id="rId6"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83E8C42">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附表1：</w:t>
      </w:r>
    </w:p>
    <w:p w14:paraId="5F56212A">
      <w:pPr>
        <w:pageBreakBefore w:val="0"/>
        <w:widowControl w:val="0"/>
        <w:overflowPunct/>
        <w:topLinePunct w:val="0"/>
        <w:bidi w:val="0"/>
        <w:spacing w:line="240" w:lineRule="auto"/>
        <w:jc w:val="center"/>
        <w:rPr>
          <w:rFonts w:hint="eastAsia" w:ascii="宋体" w:hAnsi="宋体" w:eastAsia="宋体" w:cs="宋体"/>
          <w:color w:val="000000" w:themeColor="text1"/>
          <w:sz w:val="43"/>
          <w:szCs w:val="43"/>
          <w:highlight w:val="none"/>
          <w:lang w:eastAsia="zh-CN"/>
          <w14:textFill>
            <w14:solidFill>
              <w14:schemeClr w14:val="tx1"/>
            </w14:solidFill>
          </w14:textFill>
        </w:rPr>
      </w:pPr>
      <w:r>
        <w:rPr>
          <w:rFonts w:hint="eastAsia" w:ascii="宋体" w:hAnsi="宋体" w:eastAsia="宋体" w:cs="宋体"/>
          <w:color w:val="000000" w:themeColor="text1"/>
          <w:sz w:val="43"/>
          <w:szCs w:val="43"/>
          <w:highlight w:val="none"/>
          <w:lang w:eastAsia="zh-CN"/>
          <w14:textFill>
            <w14:solidFill>
              <w14:schemeClr w14:val="tx1"/>
            </w14:solidFill>
          </w14:textFill>
        </w:rPr>
        <w:t>质疑函（格式）</w:t>
      </w:r>
    </w:p>
    <w:p w14:paraId="64661AB4">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一、质疑供应商基本信息：</w:t>
      </w:r>
    </w:p>
    <w:p w14:paraId="0F0EC7BE">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质疑供应商：</w:t>
      </w:r>
    </w:p>
    <w:p w14:paraId="6C28C358">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p>
    <w:p w14:paraId="6F2AFFAC">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联系人：</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382A037">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授权代表：</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6ACF0E5E">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1478878F">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p>
    <w:p w14:paraId="2F386AB6">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二、质疑项目基本情况：</w:t>
      </w:r>
    </w:p>
    <w:p w14:paraId="2E98D96F">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质疑项目的名称：</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7DF824A3">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质疑项目的编号：</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5A609DE">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采购人名称：</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FC4D9DD">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质疑事项：</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08D0E79">
      <w:pPr>
        <w:pageBreakBefore w:val="0"/>
        <w:widowControl w:val="0"/>
        <w:overflowPunct/>
        <w:topLinePunct w:val="0"/>
        <w:bidi w:val="0"/>
        <w:spacing w:line="400" w:lineRule="exact"/>
        <w:ind w:firstLine="6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30"/>
          <w:szCs w:val="3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eastAsia="zh-CN"/>
          <w14:textFill>
            <w14:solidFill>
              <w14:schemeClr w14:val="tx1"/>
            </w14:solidFill>
          </w14:textFill>
        </w:rPr>
        <w:t>谈判文件   谈判文件获取日期：</w:t>
      </w:r>
    </w:p>
    <w:p w14:paraId="2093D28E">
      <w:pPr>
        <w:pageBreakBefore w:val="0"/>
        <w:widowControl w:val="0"/>
        <w:overflowPunct/>
        <w:topLinePunct w:val="0"/>
        <w:bidi w:val="0"/>
        <w:spacing w:line="400" w:lineRule="exact"/>
        <w:ind w:firstLine="6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30"/>
          <w:szCs w:val="3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eastAsia="zh-CN"/>
          <w14:textFill>
            <w14:solidFill>
              <w14:schemeClr w14:val="tx1"/>
            </w14:solidFill>
          </w14:textFill>
        </w:rPr>
        <w:t>采购过程</w:t>
      </w:r>
    </w:p>
    <w:p w14:paraId="0697037B">
      <w:pPr>
        <w:pageBreakBefore w:val="0"/>
        <w:widowControl w:val="0"/>
        <w:overflowPunct/>
        <w:topLinePunct w:val="0"/>
        <w:bidi w:val="0"/>
        <w:spacing w:line="400" w:lineRule="exact"/>
        <w:ind w:firstLine="6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30"/>
          <w:szCs w:val="3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eastAsia="zh-CN"/>
          <w14:textFill>
            <w14:solidFill>
              <w14:schemeClr w14:val="tx1"/>
            </w14:solidFill>
          </w14:textFill>
        </w:rPr>
        <w:t>成交结果</w:t>
      </w:r>
    </w:p>
    <w:p w14:paraId="3B16C71B">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三、质疑事项具体内容</w:t>
      </w:r>
    </w:p>
    <w:p w14:paraId="2D2DF7D3">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质疑事项 1：</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0173C0A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事实依据：</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ED0E06D">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法律依据：</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77F82CE8">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质疑事项 2</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254F75D">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w:t>
      </w:r>
    </w:p>
    <w:p w14:paraId="3284047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四、与质疑事项相关的质疑请求：</w:t>
      </w:r>
    </w:p>
    <w:p w14:paraId="536935C5">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请求：</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2A615B3B">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2909F61">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签字（签章）：                                         公章：</w:t>
      </w:r>
    </w:p>
    <w:p w14:paraId="66DFE64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13120A2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日期：</w:t>
      </w:r>
    </w:p>
    <w:p w14:paraId="0286F402">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说明：</w:t>
      </w:r>
    </w:p>
    <w:p w14:paraId="5E32E587">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1.供应商提出质疑时，应提交质疑函和必要的证明材料。</w:t>
      </w:r>
    </w:p>
    <w:p w14:paraId="0E754A4D">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32E3A0D">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3.质疑函的质疑事项应具体、明确，并有必要的事实依据和法律依据。</w:t>
      </w:r>
    </w:p>
    <w:p w14:paraId="1AAA78D1">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4.质疑函的质疑请求应与质疑事项相关。</w:t>
      </w:r>
    </w:p>
    <w:p w14:paraId="395DAE3F">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5.质疑供应商为自然人的，质疑函应由本人签字；质疑供应商为法人或者其他组织的，质疑函应由法定代表人、主要负责人，或者其授权代表签字或者盖章，并加盖公章。</w:t>
      </w:r>
    </w:p>
    <w:p w14:paraId="3310AA11">
      <w:pPr>
        <w:pageBreakBefore w:val="0"/>
        <w:widowControl w:val="0"/>
        <w:overflowPunct/>
        <w:topLinePunct w:val="0"/>
        <w:bidi w:val="0"/>
        <w:spacing w:line="400" w:lineRule="exact"/>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p>
    <w:p w14:paraId="57E4D181">
      <w:pPr>
        <w:pageBreakBefore w:val="0"/>
        <w:overflowPunct/>
        <w:topLinePunct w:val="0"/>
        <w:bidi w:val="0"/>
        <w:spacing w:line="400" w:lineRule="exact"/>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br w:type="page"/>
      </w:r>
    </w:p>
    <w:p w14:paraId="418218BD">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附表2：</w:t>
      </w:r>
    </w:p>
    <w:p w14:paraId="3B9A3405">
      <w:pPr>
        <w:pStyle w:val="8"/>
        <w:pageBreakBefore w:val="0"/>
        <w:widowControl w:val="0"/>
        <w:overflowPunct/>
        <w:topLinePunct w:val="0"/>
        <w:bidi w:val="0"/>
        <w:spacing w:line="24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4855E44">
      <w:pPr>
        <w:pageBreakBefore w:val="0"/>
        <w:widowControl w:val="0"/>
        <w:overflowPunct/>
        <w:topLinePunct w:val="0"/>
        <w:bidi w:val="0"/>
        <w:spacing w:line="240" w:lineRule="auto"/>
        <w:jc w:val="center"/>
        <w:rPr>
          <w:rFonts w:hint="eastAsia" w:ascii="宋体" w:hAnsi="宋体" w:eastAsia="宋体" w:cs="宋体"/>
          <w:color w:val="000000" w:themeColor="text1"/>
          <w:sz w:val="43"/>
          <w:szCs w:val="43"/>
          <w:highlight w:val="none"/>
          <w:lang w:eastAsia="zh-CN"/>
          <w14:textFill>
            <w14:solidFill>
              <w14:schemeClr w14:val="tx1"/>
            </w14:solidFill>
          </w14:textFill>
        </w:rPr>
      </w:pPr>
      <w:r>
        <w:rPr>
          <w:rFonts w:hint="eastAsia" w:ascii="宋体" w:hAnsi="宋体" w:eastAsia="宋体" w:cs="宋体"/>
          <w:color w:val="000000" w:themeColor="text1"/>
          <w:sz w:val="43"/>
          <w:szCs w:val="43"/>
          <w:highlight w:val="none"/>
          <w:lang w:eastAsia="zh-CN"/>
          <w14:textFill>
            <w14:solidFill>
              <w14:schemeClr w14:val="tx1"/>
            </w14:solidFill>
          </w14:textFill>
        </w:rPr>
        <w:t>投诉书（格式）</w:t>
      </w:r>
    </w:p>
    <w:p w14:paraId="2F318A7B">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一、投诉相关主体基本情况：</w:t>
      </w:r>
    </w:p>
    <w:p w14:paraId="777592D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供应商：</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77AA67B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1712956">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法定代表人/主要负责人：</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152AA993">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10BBA6F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授权代表：</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C9E706A">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23AD81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被投诉人 1：</w:t>
      </w:r>
    </w:p>
    <w:p w14:paraId="450AC425">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120975D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联系人：</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A1D2EC3">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被投诉人 2：</w:t>
      </w:r>
    </w:p>
    <w:p w14:paraId="4CCD4F9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w:t>
      </w:r>
    </w:p>
    <w:p w14:paraId="4314C79C">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相关供应商：</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F51667F">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地址：</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邮编：</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7F09CB5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联系人：</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联系电话：</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4468E839">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二、投诉项目基本情况：</w:t>
      </w:r>
    </w:p>
    <w:p w14:paraId="3BA2DECA">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u w:val="singl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采购项目的名称：</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3664CE1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采购项目的编号：</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278E11D7">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采购人名称：</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863BB8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u w:val="singl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代理机构名称：</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78F80F1F">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采购文件公告：</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是/否</w:t>
      </w:r>
      <w:r>
        <w:rPr>
          <w:rFonts w:hint="eastAsia" w:ascii="宋体" w:hAnsi="宋体" w:eastAsia="宋体" w:cs="宋体"/>
          <w:color w:val="000000" w:themeColor="text1"/>
          <w:sz w:val="20"/>
          <w:szCs w:val="20"/>
          <w:highlight w:val="none"/>
          <w:lang w:eastAsia="zh-CN"/>
          <w14:textFill>
            <w14:solidFill>
              <w14:schemeClr w14:val="tx1"/>
            </w14:solidFill>
          </w14:textFill>
        </w:rPr>
        <w:t>公告期限：</w:t>
      </w:r>
    </w:p>
    <w:p w14:paraId="3DDBC33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采购结果公告：</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是/否</w:t>
      </w:r>
      <w:r>
        <w:rPr>
          <w:rFonts w:hint="eastAsia" w:ascii="宋体" w:hAnsi="宋体" w:eastAsia="宋体" w:cs="宋体"/>
          <w:color w:val="000000" w:themeColor="text1"/>
          <w:sz w:val="20"/>
          <w:szCs w:val="20"/>
          <w:highlight w:val="none"/>
          <w:lang w:eastAsia="zh-CN"/>
          <w14:textFill>
            <w14:solidFill>
              <w14:schemeClr w14:val="tx1"/>
            </w14:solidFill>
          </w14:textFill>
        </w:rPr>
        <w:t>公告期限：</w:t>
      </w:r>
    </w:p>
    <w:p w14:paraId="4C271D92">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三、质疑基本情况</w:t>
      </w:r>
    </w:p>
    <w:p w14:paraId="2002961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投诉人于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年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月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日，向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提出质疑，质疑事项为：</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p>
    <w:p w14:paraId="5284CC4B">
      <w:pPr>
        <w:pageBreakBefore w:val="0"/>
        <w:widowControl w:val="0"/>
        <w:overflowPunct/>
        <w:topLinePunct w:val="0"/>
        <w:bidi w:val="0"/>
        <w:spacing w:line="400" w:lineRule="exact"/>
        <w:jc w:val="both"/>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u w:val="single"/>
          <w:lang w:eastAsia="zh-CN"/>
          <w14:textFill>
            <w14:solidFill>
              <w14:schemeClr w14:val="tx1"/>
            </w14:solidFill>
          </w14:textFill>
        </w:rPr>
        <w:t>采购人/代理机构</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于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年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月 </w:t>
      </w:r>
      <w:r>
        <w:rPr>
          <w:rFonts w:hint="eastAsia" w:ascii="宋体" w:hAnsi="宋体" w:eastAsia="宋体" w:cs="宋体"/>
          <w:color w:val="000000" w:themeColor="text1"/>
          <w:sz w:val="20"/>
          <w:szCs w:val="20"/>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日，就质疑事项作出了答复/没有在法定期限内作出答复。</w:t>
      </w:r>
    </w:p>
    <w:p w14:paraId="49242EDB">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四、投诉事项具体内容</w:t>
      </w:r>
    </w:p>
    <w:p w14:paraId="58C8FBE7">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投诉事项 1：</w:t>
      </w:r>
    </w:p>
    <w:p w14:paraId="2FD576D6">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事实依据：</w:t>
      </w:r>
    </w:p>
    <w:p w14:paraId="07336C1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681D4E6">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8596F7B">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法律依据：</w:t>
      </w:r>
    </w:p>
    <w:p w14:paraId="15D345C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2D8F92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879152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投诉事项 2</w:t>
      </w:r>
    </w:p>
    <w:p w14:paraId="429D0E16">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w:t>
      </w:r>
    </w:p>
    <w:p w14:paraId="024988F6">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五、与投诉事项相关的投诉请求：</w:t>
      </w:r>
    </w:p>
    <w:p w14:paraId="2410F56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请求：</w:t>
      </w:r>
    </w:p>
    <w:p w14:paraId="347B0AE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BC30F7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0937614">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签字（签章）：                                         公章：</w:t>
      </w:r>
    </w:p>
    <w:p w14:paraId="57BD6232">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3F3EBC4E">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D677FDB">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日期：</w:t>
      </w:r>
    </w:p>
    <w:p w14:paraId="41D4531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BACF021">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348DC9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EED3CF6">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说明：</w:t>
      </w:r>
    </w:p>
    <w:p w14:paraId="47C7E657">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1.投诉人提起投诉时，应当提交投诉书和必要的证明材料，并按照被投诉人和与投诉事项有关的供应商数量提供投诉书副本。</w:t>
      </w:r>
    </w:p>
    <w:p w14:paraId="5C31BB31">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AD679C5">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3.投诉书应简要列明质疑事项，质疑函、质疑答复等作为附件材料提供。</w:t>
      </w:r>
    </w:p>
    <w:p w14:paraId="38F555A7">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4.投诉书的投诉事项应具体、明确，并有必要的事实依据和法律依据。</w:t>
      </w:r>
    </w:p>
    <w:p w14:paraId="0835CB08">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5.投诉书的投诉请求应与投诉事项相关。</w:t>
      </w:r>
    </w:p>
    <w:p w14:paraId="7FD3A667">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6.投诉人为自然人的，投诉书应由本人签字；投诉人为法人或者其他组织的，投诉书应由法定代表人、主要负责人，或者其授权代表签字或者盖章，并加盖公章。</w:t>
      </w:r>
    </w:p>
    <w:p w14:paraId="5FD3B032">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7"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1E9EBA6B">
      <w:pPr>
        <w:pageBreakBefore w:val="0"/>
        <w:widowControl w:val="0"/>
        <w:overflowPunct/>
        <w:topLinePunct w:val="0"/>
        <w:bidi w:val="0"/>
        <w:spacing w:line="240" w:lineRule="auto"/>
        <w:jc w:val="center"/>
        <w:rPr>
          <w:rFonts w:hint="eastAsia" w:ascii="宋体" w:hAnsi="宋体" w:eastAsia="宋体" w:cs="宋体"/>
          <w:color w:val="000000" w:themeColor="text1"/>
          <w:sz w:val="43"/>
          <w:szCs w:val="43"/>
          <w:highlight w:val="none"/>
          <w:lang w:eastAsia="zh-CN"/>
          <w14:textFill>
            <w14:solidFill>
              <w14:schemeClr w14:val="tx1"/>
            </w14:solidFill>
          </w14:textFill>
        </w:rPr>
      </w:pPr>
      <w:r>
        <w:rPr>
          <w:rFonts w:hint="eastAsia" w:ascii="宋体" w:hAnsi="宋体" w:eastAsia="宋体" w:cs="宋体"/>
          <w:color w:val="000000" w:themeColor="text1"/>
          <w:sz w:val="43"/>
          <w:szCs w:val="43"/>
          <w:highlight w:val="none"/>
          <w:lang w:eastAsia="zh-CN"/>
          <w14:textFill>
            <w14:solidFill>
              <w14:schemeClr w14:val="tx1"/>
            </w14:solidFill>
          </w14:textFill>
        </w:rPr>
        <w:t>广西线上“政采贷”政策告知函</w:t>
      </w:r>
    </w:p>
    <w:p w14:paraId="64DE005E">
      <w:pPr>
        <w:pStyle w:val="8"/>
        <w:pageBreakBefore w:val="0"/>
        <w:widowControl w:val="0"/>
        <w:overflowPunct/>
        <w:topLinePunct w:val="0"/>
        <w:bidi w:val="0"/>
        <w:spacing w:line="240" w:lineRule="auto"/>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9466D0C">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2FF4C6E">
      <w:pPr>
        <w:pageBreakBefore w:val="0"/>
        <w:widowControl w:val="0"/>
        <w:overflowPunct/>
        <w:topLinePunct w:val="0"/>
        <w:bidi w:val="0"/>
        <w:spacing w:line="400" w:lineRule="exac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各供应商：</w:t>
      </w:r>
    </w:p>
    <w:p w14:paraId="06CB55E3">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欢迎贵公司参与广西政府采购活动！</w:t>
      </w:r>
    </w:p>
    <w:p w14:paraId="309CF111">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线上“政采贷”是人民银行南宁中心支行和自治区财政厅共同支持企业发展，针对参与政府采购活动的企业融资难、融资贵、融资慢、融资繁问题推出的一项融资政策。贵公司若成为本次政府采购项目的中标（中标）供应商，可持政府采购合同在线向银行业金融机构申请贷款，融资机构将根据《中国人民银行南宁中心支行广西壮族自治区财政厅关于推广线上“政采贷”融资模式的通知》（南宁银发〔2021〕258号），按照双方自愿的原则提供便捷、优惠的贷款服务。</w:t>
      </w:r>
    </w:p>
    <w:p w14:paraId="4EDE167B">
      <w:pPr>
        <w:pageBreakBefore w:val="0"/>
        <w:widowControl w:val="0"/>
        <w:overflowPunct/>
        <w:topLinePunct w:val="0"/>
        <w:bidi w:val="0"/>
        <w:spacing w:line="400" w:lineRule="exact"/>
        <w:ind w:firstLine="480" w:firstLineChars="200"/>
        <w:jc w:val="both"/>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相关金融产品和银行业金融机构联系方式，可在中征应收账款融资服务平台查询（网</w:t>
      </w:r>
      <w:bookmarkStart w:id="9" w:name="_Toc17355"/>
      <w:r>
        <w:rPr>
          <w:rFonts w:hint="eastAsia" w:ascii="宋体" w:hAnsi="宋体" w:eastAsia="宋体" w:cs="宋体"/>
          <w:color w:val="000000" w:themeColor="text1"/>
          <w:sz w:val="24"/>
          <w:szCs w:val="24"/>
          <w:highlight w:val="none"/>
          <w14:textFill>
            <w14:solidFill>
              <w14:schemeClr w14:val="tx1"/>
            </w14:solidFill>
          </w14:textFill>
        </w:rPr>
        <w:t>址：</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"https://www.crcrfsp.com/"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sz w:val="24"/>
          <w:szCs w:val="24"/>
          <w:highlight w:val="none"/>
          <w:u w:val="single"/>
          <w14:textFill>
            <w14:solidFill>
              <w14:schemeClr w14:val="tx1"/>
            </w14:solidFill>
          </w14:textFill>
        </w:rPr>
        <w:t>https://www.crcrfsp.com/</w:t>
      </w:r>
      <w:r>
        <w:rPr>
          <w:rFonts w:hint="eastAsia" w:ascii="宋体" w:hAnsi="宋体" w:eastAsia="宋体" w:cs="宋体"/>
          <w:color w:val="000000" w:themeColor="text1"/>
          <w:sz w:val="24"/>
          <w:szCs w:val="24"/>
          <w:highlight w:val="none"/>
          <w:u w:val="single"/>
          <w14:textFill>
            <w14:solidFill>
              <w14:schemeClr w14:val="tx1"/>
            </w14:solidFill>
          </w14:textFill>
        </w:rPr>
        <w:fldChar w:fldCharType="end"/>
      </w:r>
      <w:r>
        <w:rPr>
          <w:rFonts w:hint="eastAsia" w:ascii="宋体" w:hAnsi="宋体" w:eastAsia="宋体" w:cs="宋体"/>
          <w:color w:val="000000" w:themeColor="text1"/>
          <w:sz w:val="24"/>
          <w:szCs w:val="24"/>
          <w:highlight w:val="none"/>
          <w14:textFill>
            <w14:solidFill>
              <w14:schemeClr w14:val="tx1"/>
            </w14:solidFill>
          </w14:textFill>
        </w:rPr>
        <w:t>，客服电话：400-009-0001）。</w:t>
      </w:r>
      <w:bookmarkEnd w:id="9"/>
    </w:p>
    <w:p w14:paraId="233F9AD0">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3053F9BC">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sectPr>
          <w:footerReference r:id="rId8"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59C6AFA">
      <w:pPr>
        <w:pageBreakBefore w:val="0"/>
        <w:widowControl w:val="0"/>
        <w:overflowPunct/>
        <w:topLinePunct w:val="0"/>
        <w:bidi w:val="0"/>
        <w:spacing w:line="400" w:lineRule="exact"/>
        <w:jc w:val="center"/>
        <w:outlineLvl w:val="0"/>
        <w:rPr>
          <w:rFonts w:hint="eastAsia" w:ascii="宋体" w:hAnsi="宋体" w:eastAsia="宋体" w:cs="宋体"/>
          <w:color w:val="000000" w:themeColor="text1"/>
          <w:sz w:val="31"/>
          <w:szCs w:val="31"/>
          <w:highlight w:val="none"/>
          <w:lang w:eastAsia="zh-CN"/>
          <w14:textFill>
            <w14:solidFill>
              <w14:schemeClr w14:val="tx1"/>
            </w14:solidFill>
          </w14:textFill>
        </w:rPr>
      </w:pPr>
      <w:bookmarkStart w:id="10" w:name="_Toc4451"/>
      <w:r>
        <w:rPr>
          <w:rFonts w:hint="eastAsia" w:ascii="宋体" w:hAnsi="宋体" w:eastAsia="宋体" w:cs="宋体"/>
          <w:b/>
          <w:bCs/>
          <w:color w:val="000000" w:themeColor="text1"/>
          <w:sz w:val="31"/>
          <w:szCs w:val="31"/>
          <w:highlight w:val="none"/>
          <w:lang w:eastAsia="zh-CN"/>
          <w14:textFill>
            <w14:solidFill>
              <w14:schemeClr w14:val="tx1"/>
            </w14:solidFill>
          </w14:textFill>
        </w:rPr>
        <w:t>第三章</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采购需求</w:t>
      </w:r>
      <w:bookmarkEnd w:id="10"/>
    </w:p>
    <w:p w14:paraId="7CBA3DEA">
      <w:pPr>
        <w:keepNext w:val="0"/>
        <w:keepLines w:val="0"/>
        <w:pageBreakBefore w:val="0"/>
        <w:widowControl/>
        <w:kinsoku w:val="0"/>
        <w:wordWrap/>
        <w:overflowPunct/>
        <w:topLinePunct w:val="0"/>
        <w:autoSpaceDE w:val="0"/>
        <w:autoSpaceDN w:val="0"/>
        <w:bidi w:val="0"/>
        <w:adjustRightInd w:val="0"/>
        <w:snapToGrid w:val="0"/>
        <w:spacing w:after="120" w:afterLines="0" w:line="400" w:lineRule="exact"/>
        <w:ind w:left="0" w:leftChars="0" w:firstLine="0" w:firstLineChars="0"/>
        <w:textAlignment w:val="baseline"/>
        <w:rPr>
          <w:rFonts w:hint="eastAsia" w:ascii="宋体" w:hAnsi="宋体" w:eastAsia="宋体" w:cs="宋体"/>
          <w:b/>
          <w:snapToGrid w:val="0"/>
          <w:color w:val="000000" w:themeColor="text1"/>
          <w:kern w:val="0"/>
          <w:sz w:val="21"/>
          <w:szCs w:val="21"/>
          <w:highlight w:val="none"/>
          <w:lang w:val="en-US" w:eastAsia="en-US" w:bidi="ar"/>
          <w14:textFill>
            <w14:solidFill>
              <w14:schemeClr w14:val="tx1"/>
            </w14:solidFill>
          </w14:textFill>
        </w:rPr>
      </w:pPr>
      <w:r>
        <w:rPr>
          <w:rFonts w:hint="eastAsia" w:ascii="宋体" w:hAnsi="宋体" w:eastAsia="宋体" w:cs="宋体"/>
          <w:b/>
          <w:snapToGrid w:val="0"/>
          <w:color w:val="000000" w:themeColor="text1"/>
          <w:kern w:val="0"/>
          <w:sz w:val="21"/>
          <w:szCs w:val="21"/>
          <w:highlight w:val="none"/>
          <w:lang w:val="en-US" w:eastAsia="en-US" w:bidi="ar"/>
          <w14:textFill>
            <w14:solidFill>
              <w14:schemeClr w14:val="tx1"/>
            </w14:solidFill>
          </w14:textFill>
        </w:rPr>
        <w:t>说明：</w:t>
      </w:r>
    </w:p>
    <w:p w14:paraId="29B2B81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bCs/>
          <w:snapToGrid w:val="0"/>
          <w:color w:val="000000" w:themeColor="text1"/>
          <w:kern w:val="0"/>
          <w:szCs w:val="21"/>
          <w:highlight w:val="none"/>
          <w:lang w:eastAsia="en-US"/>
          <w14:textFill>
            <w14:solidFill>
              <w14:schemeClr w14:val="tx1"/>
            </w14:solidFill>
          </w14:textFill>
        </w:rPr>
        <w:t>1、</w:t>
      </w: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根据《关于调整优化节能</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产品、环境标志产品政府采购执行机制的通知》（财库〔2019〕9号）的规定，政府采购节能产品、环境标志产品实施品目清单管</w:t>
      </w: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供应商提交响应文件时须提供产品的相关证明材料。</w:t>
      </w:r>
    </w:p>
    <w:p w14:paraId="17122361">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《节能产品政府采购品目清单》中：</w:t>
      </w:r>
    </w:p>
    <w:p w14:paraId="406E4CC4">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1) 计算机设备（台式计算机、便携式计算机、平板式微型计算机）；</w:t>
      </w:r>
    </w:p>
    <w:p w14:paraId="74794EC8">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2) 输入输出设备【打印设备（激光打印机、针式打印机）、显示设备（液晶显示器）】；</w:t>
      </w:r>
    </w:p>
    <w:p w14:paraId="108A9726">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3) 制冷空调设备【制冷压缩机（冷水机组、水源热泵机组、溴化锂吸收式冷水机组）、空调机组（多联式空调（热泵）机组（制冷量＞14000W）、单元式空气调节机（制冷量＞14000W））、专用制冷、空调设备（机房空调）】；</w:t>
      </w:r>
    </w:p>
    <w:p w14:paraId="4CFE6F59">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4) 镇流器（管型荧光灯镇流器）；</w:t>
      </w:r>
    </w:p>
    <w:p w14:paraId="4C62F212">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5) 生活用电器｛空调机【房间空气调节器、多联式空调（热泵）机组（制冷量≤14000W）、单元式空气调节机（制冷量≤14000W）】、热水器（电热水器）｝；</w:t>
      </w:r>
    </w:p>
    <w:p w14:paraId="56B0108B">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6) 照明设备（普通照明用双端荧光灯）；</w:t>
      </w:r>
    </w:p>
    <w:p w14:paraId="4DDEC0CF">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7) 电视设备【普通电视设备（电视机）】；</w:t>
      </w:r>
    </w:p>
    <w:p w14:paraId="48CB1376">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bidi="ar"/>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8) 视频设备【视频监控设备（监视器）】；</w:t>
      </w:r>
    </w:p>
    <w:p w14:paraId="10F88143">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bidi="ar"/>
          <w14:textFill>
            <w14:solidFill>
              <w14:schemeClr w14:val="tx1"/>
            </w14:solidFill>
          </w14:textFill>
        </w:rPr>
        <w:t>9) 便</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器（坐便器、蹲便器、小便器）；</w:t>
      </w:r>
    </w:p>
    <w:p w14:paraId="2C67E68A">
      <w:pPr>
        <w:keepNext w:val="0"/>
        <w:keepLines w:val="0"/>
        <w:pageBreakBefore w:val="0"/>
        <w:widowControl/>
        <w:kinsoku w:val="0"/>
        <w:wordWrap/>
        <w:overflowPunct/>
        <w:topLinePunct w:val="0"/>
        <w:autoSpaceDE w:val="0"/>
        <w:autoSpaceDN w:val="0"/>
        <w:bidi w:val="0"/>
        <w:adjustRightInd w:val="0"/>
        <w:snapToGrid w:val="0"/>
        <w:spacing w:line="400" w:lineRule="exact"/>
        <w:ind w:firstLine="422" w:firstLineChars="200"/>
        <w:jc w:val="left"/>
        <w:textAlignment w:val="baseline"/>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10) 水嘴。</w:t>
      </w:r>
    </w:p>
    <w:p w14:paraId="7B84FAF3">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以上所罗列的设备为《节能产品政府采购品目清单》中政府强制采购节能产品，采购人拟采购的产品属于政府强制采购产品的，供应商提交响应文件时必须针对该产品出具依据国家确定的认证机构出具的、处于有效期之内的节能产品认证证书复印件，并加盖供应商公章，否则其响应文件无效。</w:t>
      </w:r>
    </w:p>
    <w:p w14:paraId="026B78D2">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2、根据《关于信息安全产品实施政府采购的通知》（财库〔2010〕48号）的规定，如采购需求中有涉及信息安全产品的设备，必须提供由中国信息安全认证中心按国家标准认证颁发的有效认证证书复印件。</w:t>
      </w:r>
    </w:p>
    <w:p w14:paraId="5B4A6F18">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3、供应商应对响应内容所涉及的专利承担法律责任，并负责保护业主的利益不受任何损害。一切由于文字、商标、技术和软件专利授权引起的法律裁决、诉讼和赔偿费用均由成交供应商负责。同时，具有产品专利的供应商应在其响应文件中提供与其自有产品专利相关的有效证明材料，否则，不能就其产品的专利在本项目投标过程中被侵权问题而提出异议。</w:t>
      </w:r>
    </w:p>
    <w:p w14:paraId="70D54251">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4、供应商应注意下列内容：</w:t>
      </w:r>
    </w:p>
    <w:p w14:paraId="15799176">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val="en-US"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1）“实质性要求”是指采购文件中已经指明不满足则响应无效的条款，或者不能负偏离的条款，或者采购需求中带“</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”的条款。</w:t>
      </w:r>
      <w:r>
        <w:rPr>
          <w:rFonts w:hint="eastAsia" w:ascii="宋体" w:hAnsi="宋体" w:eastAsia="宋体" w:cs="宋体"/>
          <w:b/>
          <w:bCs/>
          <w:snapToGrid w:val="0"/>
          <w:color w:val="000000" w:themeColor="text1"/>
          <w:kern w:val="0"/>
          <w:szCs w:val="21"/>
          <w:highlight w:val="none"/>
          <w:lang w:eastAsia="en-US"/>
          <w14:textFill>
            <w14:solidFill>
              <w14:schemeClr w14:val="tx1"/>
            </w14:solidFill>
          </w14:textFill>
        </w:rPr>
        <w:t>未</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标注“</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w:t>
      </w:r>
      <w:r>
        <w:rPr>
          <w:rFonts w:hint="eastAsia" w:ascii="宋体" w:hAnsi="宋体" w:eastAsia="宋体" w:cs="宋体"/>
          <w:b/>
          <w:bCs/>
          <w:snapToGrid w:val="0"/>
          <w:color w:val="000000" w:themeColor="text1"/>
          <w:kern w:val="0"/>
          <w:szCs w:val="21"/>
          <w:highlight w:val="none"/>
          <w:lang w:eastAsia="en-US"/>
          <w14:textFill>
            <w14:solidFill>
              <w14:schemeClr w14:val="tx1"/>
            </w14:solidFill>
          </w14:textFill>
        </w:rPr>
        <w:t>的条款或要求系指</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普通指标或技术参数，允许负偏离</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b/>
          <w:snapToGrid/>
          <w:color w:val="000000" w:themeColor="text1"/>
          <w:kern w:val="2"/>
          <w:szCs w:val="21"/>
          <w:highlight w:val="none"/>
          <w:lang w:eastAsia="zh-CN"/>
          <w14:textFill>
            <w14:solidFill>
              <w14:schemeClr w14:val="tx1"/>
            </w14:solidFill>
          </w14:textFill>
        </w:rPr>
        <w:t>商务要求评审中允许负偏离的条款数为</w:t>
      </w:r>
      <w:r>
        <w:rPr>
          <w:rFonts w:hint="eastAsia" w:ascii="宋体" w:hAnsi="宋体" w:eastAsia="宋体" w:cs="宋体"/>
          <w:b/>
          <w:snapToGrid/>
          <w:color w:val="000000" w:themeColor="text1"/>
          <w:kern w:val="2"/>
          <w:szCs w:val="21"/>
          <w:highlight w:val="none"/>
          <w:u w:val="single"/>
          <w:lang w:val="en-US" w:eastAsia="zh-CN"/>
          <w14:textFill>
            <w14:solidFill>
              <w14:schemeClr w14:val="tx1"/>
            </w14:solidFill>
          </w14:textFill>
        </w:rPr>
        <w:t xml:space="preserve"> 0 </w:t>
      </w:r>
      <w:r>
        <w:rPr>
          <w:rFonts w:hint="eastAsia" w:ascii="宋体" w:hAnsi="宋体" w:eastAsia="宋体" w:cs="宋体"/>
          <w:b/>
          <w:snapToGrid/>
          <w:color w:val="000000" w:themeColor="text1"/>
          <w:kern w:val="2"/>
          <w:szCs w:val="21"/>
          <w:highlight w:val="none"/>
          <w:lang w:eastAsia="zh-CN"/>
          <w14:textFill>
            <w14:solidFill>
              <w14:schemeClr w14:val="tx1"/>
            </w14:solidFill>
          </w14:textFill>
        </w:rPr>
        <w:t>项，技术要求评审中允许负偏离的条款数为</w:t>
      </w:r>
      <w:r>
        <w:rPr>
          <w:rFonts w:hint="eastAsia" w:ascii="宋体" w:hAnsi="宋体" w:eastAsia="宋体" w:cs="宋体"/>
          <w:b/>
          <w:snapToGrid/>
          <w:color w:val="000000" w:themeColor="text1"/>
          <w:kern w:val="2"/>
          <w:szCs w:val="21"/>
          <w:highlight w:val="none"/>
          <w:u w:val="single"/>
          <w:lang w:val="en-US" w:eastAsia="zh-CN"/>
          <w14:textFill>
            <w14:solidFill>
              <w14:schemeClr w14:val="tx1"/>
            </w14:solidFill>
          </w14:textFill>
        </w:rPr>
        <w:t xml:space="preserve"> 3 </w:t>
      </w:r>
      <w:r>
        <w:rPr>
          <w:rFonts w:hint="eastAsia" w:ascii="宋体" w:hAnsi="宋体" w:eastAsia="宋体" w:cs="宋体"/>
          <w:b/>
          <w:snapToGrid/>
          <w:color w:val="000000" w:themeColor="text1"/>
          <w:kern w:val="2"/>
          <w:szCs w:val="21"/>
          <w:highlight w:val="none"/>
          <w:lang w:eastAsia="zh-CN"/>
          <w14:textFill>
            <w14:solidFill>
              <w14:schemeClr w14:val="tx1"/>
            </w14:solidFill>
          </w14:textFill>
        </w:rPr>
        <w:t>项。</w:t>
      </w:r>
    </w:p>
    <w:p w14:paraId="7444460E">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2）供应商须在响应文件中填写/应答技术规格参数，当响应文件中技术参数与</w:t>
      </w:r>
      <w:r>
        <w:rPr>
          <w:rFonts w:hint="eastAsia" w:ascii="宋体" w:hAnsi="宋体" w:eastAsia="宋体" w:cs="宋体"/>
          <w:b/>
          <w:snapToGrid w:val="0"/>
          <w:color w:val="000000" w:themeColor="text1"/>
          <w:kern w:val="0"/>
          <w:szCs w:val="21"/>
          <w:highlight w:val="none"/>
          <w:lang w:val="en-US" w:eastAsia="zh-CN"/>
          <w14:textFill>
            <w14:solidFill>
              <w14:schemeClr w14:val="tx1"/>
            </w14:solidFill>
          </w14:textFill>
        </w:rPr>
        <w:t>谈判</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文件中技术参数有偏离时，须在“偏离”栏内如实注明是“正偏离”或“负偏离”，“正偏离”指投标设备的技术参数优于</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谈判</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文件中要求，“负偏离”指设备的技术参数低于</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谈判</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文件要求。响应文件中的技术参数、功能或其它内容有“正偏离”的，供应商须对“正偏离”的情况单独作出说明。</w:t>
      </w:r>
    </w:p>
    <w:p w14:paraId="44EACC51">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pPr>
      <w:r>
        <w:rPr>
          <w:rFonts w:hint="eastAsia" w:ascii="宋体" w:hAnsi="宋体" w:eastAsia="宋体" w:cs="宋体"/>
          <w:b/>
          <w:snapToGrid w:val="0"/>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本项目采购标的所属行业：</w:t>
      </w:r>
      <w:r>
        <w:rPr>
          <w:rFonts w:hint="eastAsia" w:ascii="宋体" w:hAnsi="宋体" w:eastAsia="宋体" w:cs="宋体"/>
          <w:b/>
          <w:snapToGrid w:val="0"/>
          <w:color w:val="000000" w:themeColor="text1"/>
          <w:kern w:val="0"/>
          <w:szCs w:val="21"/>
          <w:highlight w:val="none"/>
          <w:u w:val="single"/>
          <w:lang w:val="en-US" w:eastAsia="zh-CN"/>
          <w14:textFill>
            <w14:solidFill>
              <w14:schemeClr w14:val="tx1"/>
            </w14:solidFill>
          </w14:textFill>
        </w:rPr>
        <w:t xml:space="preserve"> 工业 </w:t>
      </w:r>
      <w:r>
        <w:rPr>
          <w:rFonts w:hint="eastAsia" w:ascii="宋体" w:hAnsi="宋体" w:eastAsia="宋体" w:cs="宋体"/>
          <w:b/>
          <w:snapToGrid w:val="0"/>
          <w:color w:val="000000" w:themeColor="text1"/>
          <w:kern w:val="0"/>
          <w:szCs w:val="21"/>
          <w:highlight w:val="none"/>
          <w:lang w:eastAsia="en-US"/>
          <w14:textFill>
            <w14:solidFill>
              <w14:schemeClr w14:val="tx1"/>
            </w14:solidFill>
          </w14:textFill>
        </w:rPr>
        <w:t>。</w:t>
      </w:r>
    </w:p>
    <w:p w14:paraId="4F10BACA">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val="0"/>
          <w:color w:val="000000" w:themeColor="text1"/>
          <w:kern w:val="0"/>
          <w:szCs w:val="21"/>
          <w:highlight w:val="none"/>
          <w:u w:val="single"/>
          <w:lang w:val="en-US"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val="en-US" w:eastAsia="zh-CN"/>
          <w14:textFill>
            <w14:solidFill>
              <w14:schemeClr w14:val="tx1"/>
            </w14:solidFill>
          </w14:textFill>
        </w:rPr>
        <w:t>4</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）本项目核心产品：</w:t>
      </w:r>
      <w:r>
        <w:rPr>
          <w:rFonts w:hint="eastAsia" w:ascii="宋体" w:hAnsi="宋体" w:eastAsia="宋体" w:cs="宋体"/>
          <w:b/>
          <w:snapToGrid w:val="0"/>
          <w:color w:val="000000" w:themeColor="text1"/>
          <w:kern w:val="0"/>
          <w:szCs w:val="21"/>
          <w:highlight w:val="none"/>
          <w:u w:val="single"/>
          <w:lang w:eastAsia="zh-CN"/>
          <w14:textFill>
            <w14:solidFill>
              <w14:schemeClr w14:val="tx1"/>
            </w14:solidFill>
          </w14:textFill>
        </w:rPr>
        <w:t>智能五参数水质分析仪、高锰酸盐指数水质分析仪、氨氮水质分析仪、总磷水质分析仪、总氮水质分析仪、质控</w:t>
      </w:r>
      <w:r>
        <w:rPr>
          <w:rFonts w:hint="eastAsia" w:ascii="宋体" w:hAnsi="宋体" w:eastAsia="宋体" w:cs="宋体"/>
          <w:b/>
          <w:snapToGrid w:val="0"/>
          <w:color w:val="000000" w:themeColor="text1"/>
          <w:kern w:val="0"/>
          <w:szCs w:val="21"/>
          <w:highlight w:val="none"/>
          <w:u w:val="single"/>
          <w:lang w:val="en-US" w:eastAsia="zh-CN"/>
          <w14:textFill>
            <w14:solidFill>
              <w14:schemeClr w14:val="tx1"/>
            </w14:solidFill>
          </w14:textFill>
        </w:rPr>
        <w:t>模块</w:t>
      </w:r>
    </w:p>
    <w:p w14:paraId="375B8A3F">
      <w:pPr>
        <w:keepNext w:val="0"/>
        <w:keepLines w:val="0"/>
        <w:pageBreakBefore w:val="0"/>
        <w:widowControl/>
        <w:kinsoku w:val="0"/>
        <w:wordWrap/>
        <w:overflowPunct/>
        <w:topLinePunct w:val="0"/>
        <w:autoSpaceDE w:val="0"/>
        <w:autoSpaceDN w:val="0"/>
        <w:bidi w:val="0"/>
        <w:adjustRightInd w:val="0"/>
        <w:snapToGrid w:val="0"/>
        <w:spacing w:line="400" w:lineRule="exact"/>
        <w:ind w:firstLine="431"/>
        <w:jc w:val="left"/>
        <w:textAlignment w:val="baseline"/>
        <w:rPr>
          <w:rFonts w:hint="eastAsia" w:ascii="宋体" w:hAnsi="宋体" w:eastAsia="宋体" w:cs="宋体"/>
          <w:b/>
          <w:snapToGrid/>
          <w:color w:val="000000" w:themeColor="text1"/>
          <w:kern w:val="2"/>
          <w:szCs w:val="21"/>
          <w:highlight w:val="none"/>
          <w:lang w:eastAsia="zh-CN"/>
          <w14:textFill>
            <w14:solidFill>
              <w14:schemeClr w14:val="tx1"/>
            </w14:solidFill>
          </w14:textFill>
        </w:rPr>
      </w:pP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注：根据《政府采购货物和服务招标投标管理办法》财政部令第87号）第三十一条第二款规定，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具体详见“供应商须知正文”</w:t>
      </w:r>
      <w:r>
        <w:rPr>
          <w:rFonts w:hint="eastAsia" w:ascii="宋体" w:hAnsi="宋体" w:eastAsia="宋体" w:cs="宋体"/>
          <w:b/>
          <w:snapToGrid w:val="0"/>
          <w:color w:val="000000" w:themeColor="text1"/>
          <w:kern w:val="0"/>
          <w:szCs w:val="21"/>
          <w:highlight w:val="none"/>
          <w:lang w:val="en-US" w:eastAsia="zh-CN"/>
          <w14:textFill>
            <w14:solidFill>
              <w14:schemeClr w14:val="tx1"/>
            </w14:solidFill>
          </w14:textFill>
        </w:rPr>
        <w:t>8.1</w:t>
      </w:r>
      <w:r>
        <w:rPr>
          <w:rFonts w:hint="eastAsia" w:ascii="宋体" w:hAnsi="宋体" w:eastAsia="宋体" w:cs="宋体"/>
          <w:b/>
          <w:snapToGrid w:val="0"/>
          <w:color w:val="000000" w:themeColor="text1"/>
          <w:kern w:val="0"/>
          <w:szCs w:val="21"/>
          <w:highlight w:val="none"/>
          <w:lang w:eastAsia="zh-CN"/>
          <w14:textFill>
            <w14:solidFill>
              <w14:schemeClr w14:val="tx1"/>
            </w14:solidFill>
          </w14:textFill>
        </w:rPr>
        <w:t>条款规定。</w:t>
      </w:r>
    </w:p>
    <w:p w14:paraId="05ABF104">
      <w:pPr>
        <w:pageBreakBefore w:val="0"/>
        <w:widowControl/>
        <w:kinsoku w:val="0"/>
        <w:overflowPunct/>
        <w:topLinePunct w:val="0"/>
        <w:autoSpaceDE w:val="0"/>
        <w:autoSpaceDN w:val="0"/>
        <w:bidi w:val="0"/>
        <w:adjustRightInd w:val="0"/>
        <w:snapToGrid w:val="0"/>
        <w:spacing w:line="400" w:lineRule="exact"/>
        <w:ind w:firstLine="470" w:firstLineChars="200"/>
        <w:jc w:val="left"/>
        <w:textAlignment w:val="baseline"/>
        <w:rPr>
          <w:rFonts w:hint="eastAsia" w:ascii="宋体" w:hAnsi="宋体" w:eastAsia="宋体" w:cs="宋体"/>
          <w:b/>
          <w:bCs/>
          <w:snapToGrid w:val="0"/>
          <w:color w:val="000000" w:themeColor="text1"/>
          <w:spacing w:val="7"/>
          <w:kern w:val="0"/>
          <w:sz w:val="22"/>
          <w:szCs w:val="22"/>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7"/>
          <w:kern w:val="0"/>
          <w:sz w:val="22"/>
          <w:szCs w:val="22"/>
          <w:highlight w:val="none"/>
          <w:lang w:val="en-US" w:eastAsia="zh-CN"/>
          <w14:textFill>
            <w14:solidFill>
              <w14:schemeClr w14:val="tx1"/>
            </w14:solidFill>
          </w14:textFill>
        </w:rPr>
        <w:t>5、支持本国产品：  ☑适用     □不适用</w:t>
      </w:r>
    </w:p>
    <w:p w14:paraId="259F73B6">
      <w:pPr>
        <w:pageBreakBefore w:val="0"/>
        <w:widowControl/>
        <w:kinsoku w:val="0"/>
        <w:overflowPunct/>
        <w:topLinePunct w:val="0"/>
        <w:autoSpaceDE w:val="0"/>
        <w:autoSpaceDN w:val="0"/>
        <w:bidi w:val="0"/>
        <w:adjustRightInd w:val="0"/>
        <w:snapToGrid w:val="0"/>
        <w:spacing w:line="400" w:lineRule="exact"/>
        <w:ind w:firstLine="510" w:firstLineChars="200"/>
        <w:jc w:val="left"/>
        <w:textAlignment w:val="baseline"/>
        <w:rPr>
          <w:rFonts w:hint="eastAsia" w:ascii="宋体" w:hAnsi="宋体" w:eastAsia="宋体" w:cs="宋体"/>
          <w:b/>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7"/>
          <w:kern w:val="0"/>
          <w:sz w:val="24"/>
          <w:szCs w:val="24"/>
          <w:highlight w:val="none"/>
          <w:lang w:eastAsia="en-US"/>
          <w14:textFill>
            <w14:solidFill>
              <w14:schemeClr w14:val="tx1"/>
            </w14:solidFill>
          </w14:textFill>
        </w:rPr>
        <w:t>一、采购内容及技术</w:t>
      </w:r>
      <w:r>
        <w:rPr>
          <w:rFonts w:hint="eastAsia" w:ascii="宋体" w:hAnsi="宋体" w:eastAsia="宋体" w:cs="宋体"/>
          <w:b/>
          <w:bCs/>
          <w:snapToGrid w:val="0"/>
          <w:color w:val="000000" w:themeColor="text1"/>
          <w:spacing w:val="7"/>
          <w:kern w:val="0"/>
          <w:sz w:val="24"/>
          <w:szCs w:val="24"/>
          <w:highlight w:val="none"/>
          <w:lang w:eastAsia="zh-CN"/>
          <w14:textFill>
            <w14:solidFill>
              <w14:schemeClr w14:val="tx1"/>
            </w14:solidFill>
          </w14:textFill>
        </w:rPr>
        <w:t>参数</w:t>
      </w:r>
    </w:p>
    <w:tbl>
      <w:tblPr>
        <w:tblStyle w:val="21"/>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834"/>
        <w:gridCol w:w="968"/>
        <w:gridCol w:w="6705"/>
      </w:tblGrid>
      <w:tr w14:paraId="518E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dxa"/>
            <w:vAlign w:val="center"/>
          </w:tcPr>
          <w:p w14:paraId="458EDE09">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t>序号</w:t>
            </w:r>
          </w:p>
        </w:tc>
        <w:tc>
          <w:tcPr>
            <w:tcW w:w="834" w:type="dxa"/>
            <w:vAlign w:val="center"/>
          </w:tcPr>
          <w:p w14:paraId="319DEC10">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t>标的名称</w:t>
            </w:r>
          </w:p>
        </w:tc>
        <w:tc>
          <w:tcPr>
            <w:tcW w:w="968" w:type="dxa"/>
            <w:vAlign w:val="center"/>
          </w:tcPr>
          <w:p w14:paraId="000A8120">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t>数量及单位</w:t>
            </w:r>
          </w:p>
        </w:tc>
        <w:tc>
          <w:tcPr>
            <w:tcW w:w="6705" w:type="dxa"/>
            <w:vAlign w:val="center"/>
          </w:tcPr>
          <w:p w14:paraId="3CAAC579">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宋体" w:hAnsi="宋体" w:eastAsia="宋体" w:cs="宋体"/>
                <w:b/>
                <w:bCs/>
                <w:iCs/>
                <w:color w:val="000000" w:themeColor="text1"/>
                <w:kern w:val="0"/>
                <w:sz w:val="24"/>
                <w:szCs w:val="24"/>
                <w:highlight w:val="none"/>
                <w:u w:val="none"/>
                <w:vertAlign w:val="baseline"/>
                <w:lang w:val="en-US" w:eastAsia="zh-CN"/>
                <w14:textFill>
                  <w14:solidFill>
                    <w14:schemeClr w14:val="tx1"/>
                  </w14:solidFill>
                </w14:textFill>
              </w:rPr>
              <w:t>技术参数要求</w:t>
            </w:r>
          </w:p>
        </w:tc>
      </w:tr>
      <w:tr w14:paraId="4172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6" w:type="dxa"/>
            <w:vAlign w:val="center"/>
          </w:tcPr>
          <w:p w14:paraId="1B2365BC">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楷体" w:hAnsi="楷体" w:eastAsia="楷体" w:cs="楷体"/>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楷体" w:hAnsi="楷体" w:eastAsia="楷体" w:cs="楷体"/>
                <w:iCs/>
                <w:color w:val="000000" w:themeColor="text1"/>
                <w:kern w:val="0"/>
                <w:sz w:val="24"/>
                <w:szCs w:val="24"/>
                <w:highlight w:val="none"/>
                <w:u w:val="none"/>
                <w:vertAlign w:val="baseline"/>
                <w:lang w:val="en-US" w:eastAsia="zh-CN"/>
                <w14:textFill>
                  <w14:solidFill>
                    <w14:schemeClr w14:val="tx1"/>
                  </w14:solidFill>
                </w14:textFill>
              </w:rPr>
              <w:t>1</w:t>
            </w:r>
          </w:p>
        </w:tc>
        <w:tc>
          <w:tcPr>
            <w:tcW w:w="834" w:type="dxa"/>
            <w:vAlign w:val="center"/>
          </w:tcPr>
          <w:p w14:paraId="7B2B8987">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楷体" w:hAnsi="楷体" w:eastAsia="楷体" w:cs="楷体"/>
                <w:iCs/>
                <w:color w:val="000000" w:themeColor="text1"/>
                <w:kern w:val="0"/>
                <w:sz w:val="24"/>
                <w:szCs w:val="24"/>
                <w:highlight w:val="none"/>
                <w:u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桂林市区控水质自动站智慧化改造</w:t>
            </w:r>
          </w:p>
        </w:tc>
        <w:tc>
          <w:tcPr>
            <w:tcW w:w="968" w:type="dxa"/>
            <w:vAlign w:val="center"/>
          </w:tcPr>
          <w:p w14:paraId="48A3133D">
            <w:pPr>
              <w:keepNext w:val="0"/>
              <w:keepLines w:val="0"/>
              <w:pageBreakBefore w:val="0"/>
              <w:widowControl/>
              <w:numPr>
                <w:ilvl w:val="0"/>
                <w:numId w:val="0"/>
              </w:numPr>
              <w:shd w:val="clear"/>
              <w:kinsoku/>
              <w:wordWrap/>
              <w:overflowPunct w:val="0"/>
              <w:topLinePunct w:val="0"/>
              <w:bidi w:val="0"/>
              <w:spacing w:line="586" w:lineRule="exact"/>
              <w:ind w:right="0" w:rightChars="0"/>
              <w:jc w:val="center"/>
              <w:textAlignment w:val="auto"/>
              <w:outlineLvl w:val="9"/>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2套</w:t>
            </w:r>
          </w:p>
        </w:tc>
        <w:tc>
          <w:tcPr>
            <w:tcW w:w="6705" w:type="dxa"/>
          </w:tcPr>
          <w:p w14:paraId="7B7EEA00">
            <w:pPr>
              <w:widowControl w:val="0"/>
              <w:jc w:val="both"/>
              <w:rPr>
                <w:rFonts w:hint="eastAsia"/>
                <w:color w:val="000000" w:themeColor="text1"/>
                <w:highlight w:val="none"/>
                <w:lang w:val="en-US" w:eastAsia="zh-CN"/>
                <w14:textFill>
                  <w14:solidFill>
                    <w14:schemeClr w14:val="tx1"/>
                  </w14:solidFill>
                </w14:textFill>
              </w:rPr>
            </w:pPr>
            <w:r>
              <w:rPr>
                <w:rFonts w:hint="eastAsia" w:ascii="宋体" w:cs="宋体"/>
                <w:b/>
                <w:color w:val="000000" w:themeColor="text1"/>
                <w:szCs w:val="21"/>
                <w:highlight w:val="none"/>
                <w:lang w:val="en-US" w:eastAsia="zh-CN"/>
                <w14:textFill>
                  <w14:solidFill>
                    <w14:schemeClr w14:val="tx1"/>
                  </w14:solidFill>
                </w14:textFill>
              </w:rPr>
              <w:t>一．</w:t>
            </w:r>
            <w:r>
              <w:rPr>
                <w:rFonts w:hint="eastAsia" w:ascii="宋体" w:hAnsi="宋体" w:cs="宋体"/>
                <w:b/>
                <w:color w:val="000000" w:themeColor="text1"/>
                <w:szCs w:val="21"/>
                <w:highlight w:val="none"/>
                <w:lang w:val="en-US" w:eastAsia="zh-CN"/>
                <w14:textFill>
                  <w14:solidFill>
                    <w14:schemeClr w14:val="tx1"/>
                  </w14:solidFill>
                </w14:textFill>
              </w:rPr>
              <w:t>总体要求：</w:t>
            </w:r>
          </w:p>
          <w:p w14:paraId="231E78C2">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（一）操作语言</w:t>
            </w:r>
          </w:p>
          <w:p w14:paraId="03393731">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水质自动分析仪器和控制单元所有显示须为中文，符合《信息交换用汉字编码字符集》（GB2312－1980）。</w:t>
            </w:r>
          </w:p>
          <w:p w14:paraId="0A6E4A87">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（二）供电要求</w:t>
            </w:r>
          </w:p>
          <w:p w14:paraId="7D014403">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设备的运行电压为：(220±22)V（固定站），交流频率为（50±0.5）Hz；所有设备的电源插头为中国制式A9120-9085-1。</w:t>
            </w:r>
          </w:p>
          <w:p w14:paraId="47FDDF7B">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（三）使用环境要求</w:t>
            </w:r>
          </w:p>
          <w:p w14:paraId="09F8099F">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所有设备在温度5～45℃、相对湿度小于90%环境下能够正常运行。</w:t>
            </w:r>
          </w:p>
          <w:p w14:paraId="7127482A">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（四）通讯协议要求</w:t>
            </w:r>
          </w:p>
          <w:p w14:paraId="4C2714A3">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质保期内，按照指定的传输协议要求，将所有监测数据传输至指定的平台，包括仪器的实时状态、关键参数和监测数据等。签订合同后提供所有仪器的底层通信协议。质保期内，按照国家最新的通信协议负责调整。</w:t>
            </w:r>
          </w:p>
          <w:p w14:paraId="7AE2AF38">
            <w:pPr>
              <w:widowControl w:val="0"/>
              <w:spacing w:line="400" w:lineRule="exact"/>
              <w:jc w:val="both"/>
              <w:rPr>
                <w:rFonts w:hint="eastAsia" w:ascii="宋体" w:hAnsi="宋体" w:cs="宋体"/>
                <w:color w:val="000000" w:themeColor="text1"/>
                <w:szCs w:val="21"/>
                <w:highlight w:val="none"/>
                <w:lang w:val="en-US" w:eastAsia="zh-CN" w:bidi="ar"/>
                <w14:textFill>
                  <w14:solidFill>
                    <w14:schemeClr w14:val="tx1"/>
                  </w14:solidFill>
                </w14:textFill>
              </w:rPr>
            </w:pPr>
            <w:r>
              <w:rPr>
                <w:rFonts w:hint="eastAsia" w:ascii="宋体" w:hAnsi="宋体" w:cs="宋体"/>
                <w:color w:val="000000" w:themeColor="text1"/>
                <w:szCs w:val="21"/>
                <w:highlight w:val="none"/>
                <w:lang w:val="en-US" w:eastAsia="zh-CN" w:bidi="ar"/>
                <w14:textFill>
                  <w14:solidFill>
                    <w14:schemeClr w14:val="tx1"/>
                  </w14:solidFill>
                </w14:textFill>
              </w:rPr>
              <w:t>（五）故障率：≤1次/40天。</w:t>
            </w:r>
          </w:p>
          <w:p w14:paraId="51B43C76">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cs="宋体"/>
                <w:b/>
                <w:color w:val="000000" w:themeColor="text1"/>
                <w:szCs w:val="21"/>
                <w:highlight w:val="none"/>
                <w:lang w:val="en-US" w:eastAsia="zh-CN"/>
                <w14:textFill>
                  <w14:solidFill>
                    <w14:schemeClr w14:val="tx1"/>
                  </w14:solidFill>
                </w14:textFill>
              </w:rPr>
              <w:t>二．</w:t>
            </w:r>
            <w:r>
              <w:rPr>
                <w:rFonts w:hint="eastAsia" w:ascii="宋体" w:hAnsi="宋体" w:cs="宋体"/>
                <w:b/>
                <w:color w:val="000000" w:themeColor="text1"/>
                <w:szCs w:val="21"/>
                <w:highlight w:val="none"/>
                <w14:textFill>
                  <w14:solidFill>
                    <w14:schemeClr w14:val="tx1"/>
                  </w14:solidFill>
                </w14:textFill>
              </w:rPr>
              <w:t>水质自动分析仪器技术要求（因子包括PH、温度、溶解氧、电导率、浊度、总氮、总磷、高锰酸盐指数、氨氮）：</w:t>
            </w:r>
          </w:p>
          <w:p w14:paraId="4FBC028A">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（一）</w:t>
            </w:r>
            <w:r>
              <w:rPr>
                <w:rFonts w:hint="eastAsia" w:ascii="宋体" w:hAnsi="宋体" w:cs="宋体"/>
                <w:b/>
                <w:bCs/>
                <w:color w:val="000000" w:themeColor="text1"/>
                <w:szCs w:val="21"/>
                <w:highlight w:val="none"/>
                <w14:textFill>
                  <w14:solidFill>
                    <w14:schemeClr w14:val="tx1"/>
                  </w14:solidFill>
                </w14:textFill>
              </w:rPr>
              <w:t>五参数（水温、pH值、溶解氧、电导率、浊度）</w:t>
            </w:r>
          </w:p>
          <w:p w14:paraId="77F27B68">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1.分析仪技术指标</w:t>
            </w:r>
          </w:p>
          <w:p w14:paraId="45C8FBD8">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1.1水温</w:t>
            </w:r>
          </w:p>
          <w:p w14:paraId="140AEF7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1.1.1 分析方法：热电阻/热电偶；</w:t>
            </w:r>
          </w:p>
          <w:p w14:paraId="002736A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1.1.2 检测范围：0℃～60℃；</w:t>
            </w:r>
          </w:p>
          <w:p w14:paraId="773F6AB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▲1.1.3 准确度：±0.5℃；</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25ACF63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w:t>
            </w:r>
            <w:r>
              <w:rPr>
                <w:rFonts w:hint="eastAsia" w:ascii="宋体" w:hAnsi="宋体" w:eastAsia="宋体" w:cs="宋体"/>
                <w:color w:val="000000" w:themeColor="text1"/>
                <w:szCs w:val="21"/>
                <w:highlight w:val="none"/>
                <w:lang w:val="en-US" w:eastAsia="zh-CN" w:bidi="ar"/>
                <w14:textFill>
                  <w14:solidFill>
                    <w14:schemeClr w14:val="tx1"/>
                  </w14:solidFill>
                </w14:textFill>
              </w:rPr>
              <w:t>4</w:t>
            </w:r>
            <w:r>
              <w:rPr>
                <w:rFonts w:hint="eastAsia" w:ascii="宋体" w:hAnsi="宋体" w:cs="宋体"/>
                <w:color w:val="000000" w:themeColor="text1"/>
                <w:szCs w:val="21"/>
                <w:highlight w:val="none"/>
                <w:lang w:bidi="ar"/>
                <w14:textFill>
                  <w14:solidFill>
                    <w14:schemeClr w14:val="tx1"/>
                  </w14:solidFill>
                </w14:textFill>
              </w:rPr>
              <w:t xml:space="preserve"> 实际水样比对：绝对误差≤±0.5℃。</w:t>
            </w:r>
          </w:p>
          <w:p w14:paraId="66F0F3EC">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1.2 pH值</w:t>
            </w:r>
          </w:p>
          <w:p w14:paraId="2A4C953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1.2.1 分析方法：玻璃电极法；</w:t>
            </w:r>
          </w:p>
          <w:p w14:paraId="79CBF01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1.2.2 检测范围：pH值0～14(0-40℃)，可调；</w:t>
            </w:r>
          </w:p>
          <w:p w14:paraId="21BA7AE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▲1.2.3 重复性：≤±0.1pH值；</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1.2.4 分辨率：0.01pH值；</w:t>
            </w:r>
          </w:p>
          <w:p w14:paraId="6BF0E2C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1.2.5 漂移（pH值=4、7、9）：≤±0.1pH值；</w:t>
            </w:r>
          </w:p>
          <w:p w14:paraId="2FFAE3E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1.2.6 响应时间：≤0.5min；</w:t>
            </w:r>
          </w:p>
          <w:p w14:paraId="63249D8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w:t>
            </w:r>
            <w:r>
              <w:rPr>
                <w:rFonts w:hint="eastAsia" w:ascii="宋体" w:hAnsi="宋体" w:eastAsia="宋体" w:cs="宋体"/>
                <w:color w:val="000000" w:themeColor="text1"/>
                <w:szCs w:val="21"/>
                <w:highlight w:val="none"/>
                <w:lang w:val="en-US" w:eastAsia="zh-CN" w:bidi="ar"/>
                <w14:textFill>
                  <w14:solidFill>
                    <w14:schemeClr w14:val="tx1"/>
                  </w14:solidFill>
                </w14:textFill>
              </w:rPr>
              <w:t>7</w:t>
            </w:r>
            <w:r>
              <w:rPr>
                <w:rFonts w:hint="eastAsia" w:ascii="宋体" w:hAnsi="宋体" w:cs="宋体"/>
                <w:color w:val="000000" w:themeColor="text1"/>
                <w:szCs w:val="21"/>
                <w:highlight w:val="none"/>
                <w:lang w:bidi="ar"/>
                <w14:textFill>
                  <w14:solidFill>
                    <w14:schemeClr w14:val="tx1"/>
                  </w14:solidFill>
                </w14:textFill>
              </w:rPr>
              <w:t xml:space="preserve"> 实际水样比对试验：≤±0.5pH值；</w:t>
            </w:r>
          </w:p>
          <w:p w14:paraId="7CA930F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标准溶液测试：绝对误差≤±0.15；</w:t>
            </w:r>
          </w:p>
          <w:p w14:paraId="3609C74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w:t>
            </w:r>
            <w:r>
              <w:rPr>
                <w:rFonts w:hint="eastAsia" w:ascii="宋体" w:hAnsi="宋体" w:eastAsia="宋体" w:cs="宋体"/>
                <w:color w:val="000000" w:themeColor="text1"/>
                <w:szCs w:val="21"/>
                <w:highlight w:val="none"/>
                <w:lang w:val="en-US" w:eastAsia="zh-CN"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 xml:space="preserve"> 温度补偿：自动温度补偿功能。</w:t>
            </w:r>
          </w:p>
          <w:p w14:paraId="4ED32C5C">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1.3 溶解氧</w:t>
            </w:r>
          </w:p>
          <w:p w14:paraId="5D30911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1.3.1 分析方法：电化学法/荧光法；</w:t>
            </w:r>
            <w:r>
              <w:rPr>
                <w:rFonts w:ascii="宋体" w:hAnsi="宋体" w:cs="宋体"/>
                <w:color w:val="000000" w:themeColor="text1"/>
                <w:szCs w:val="21"/>
                <w:highlight w:val="none"/>
                <w:lang w:bidi="ar"/>
                <w14:textFill>
                  <w14:solidFill>
                    <w14:schemeClr w14:val="tx1"/>
                  </w14:solidFill>
                </w14:textFill>
              </w:rPr>
              <w:t xml:space="preserve"> </w:t>
            </w:r>
          </w:p>
          <w:p w14:paraId="2075966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1.3.2 检测范围：0～20mg/L，可调；</w:t>
            </w:r>
          </w:p>
          <w:p w14:paraId="2526BD7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1.3.3 零点漂移：±0.3mg/L；</w:t>
            </w:r>
          </w:p>
          <w:p w14:paraId="793B74B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1.3.4 量程漂移：±0.3mg/L；</w:t>
            </w:r>
          </w:p>
          <w:p w14:paraId="0884F9D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▲1.3.5 重复性：±0.3mg/L；</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14AC81D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1.3.6 分辨率：0.01mg/L；</w:t>
            </w:r>
          </w:p>
          <w:p w14:paraId="701E02F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1.3.7 响应时间（T90）：≤2min；</w:t>
            </w:r>
          </w:p>
          <w:p w14:paraId="5F8C68A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实际水样比对试验：±0.8mg/L；</w:t>
            </w:r>
          </w:p>
          <w:p w14:paraId="6DC7229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w:t>
            </w:r>
            <w:r>
              <w:rPr>
                <w:rFonts w:hint="eastAsia" w:ascii="宋体" w:hAnsi="宋体" w:eastAsia="宋体" w:cs="宋体"/>
                <w:color w:val="000000" w:themeColor="text1"/>
                <w:szCs w:val="21"/>
                <w:highlight w:val="none"/>
                <w:lang w:val="en-US" w:eastAsia="zh-CN"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标准溶液测试：绝对误差≤±0.3mg/L；</w:t>
            </w:r>
            <w:r>
              <w:rPr>
                <w:rFonts w:ascii="宋体" w:hAnsi="宋体" w:cs="宋体"/>
                <w:color w:val="000000" w:themeColor="text1"/>
                <w:szCs w:val="21"/>
                <w:highlight w:val="none"/>
                <w:lang w:bidi="ar"/>
                <w14:textFill>
                  <w14:solidFill>
                    <w14:schemeClr w14:val="tx1"/>
                  </w14:solidFill>
                </w14:textFill>
              </w:rPr>
              <w:t xml:space="preserve"> </w:t>
            </w:r>
          </w:p>
          <w:p w14:paraId="5770032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1.3.1</w:t>
            </w:r>
            <w:r>
              <w:rPr>
                <w:rFonts w:hint="eastAsia" w:ascii="宋体" w:hAnsi="宋体" w:eastAsia="宋体" w:cs="宋体"/>
                <w:color w:val="000000" w:themeColor="text1"/>
                <w:szCs w:val="21"/>
                <w:highlight w:val="none"/>
                <w:lang w:val="en-US" w:eastAsia="zh-CN" w:bidi="ar"/>
                <w14:textFill>
                  <w14:solidFill>
                    <w14:schemeClr w14:val="tx1"/>
                  </w14:solidFill>
                </w14:textFill>
              </w:rPr>
              <w:t>0</w:t>
            </w:r>
            <w:r>
              <w:rPr>
                <w:rFonts w:hint="eastAsia" w:ascii="宋体" w:hAnsi="宋体" w:cs="宋体"/>
                <w:color w:val="000000" w:themeColor="text1"/>
                <w:szCs w:val="21"/>
                <w:highlight w:val="none"/>
                <w:lang w:bidi="ar"/>
                <w14:textFill>
                  <w14:solidFill>
                    <w14:schemeClr w14:val="tx1"/>
                  </w14:solidFill>
                </w14:textFill>
              </w:rPr>
              <w:t xml:space="preserve"> 温度补偿：自动温度补偿功能。</w:t>
            </w:r>
          </w:p>
          <w:p w14:paraId="6048A078">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1.4 电导率</w:t>
            </w:r>
          </w:p>
          <w:p w14:paraId="531550F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1.4.1 分析方法：电极法；</w:t>
            </w:r>
          </w:p>
          <w:p w14:paraId="36FAA5F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1.4.2 最小检测范围：0-500mS/m(0-40℃)，可调；</w:t>
            </w:r>
          </w:p>
          <w:p w14:paraId="0B5C70E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▲1.4.3 重复性误差：±1%；</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1.4.4 零点漂移：±1%；</w:t>
            </w:r>
          </w:p>
          <w:p w14:paraId="273E5F2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1.4.5 量程漂移：±1%；</w:t>
            </w:r>
          </w:p>
          <w:p w14:paraId="7A94341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1.4.6 响应时间（T90）：0.5min以内；</w:t>
            </w:r>
          </w:p>
          <w:p w14:paraId="15209F7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1.4.7 温度补偿精度：±1%；</w:t>
            </w:r>
          </w:p>
          <w:p w14:paraId="4091EDED">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标准溶液测试</w:t>
            </w:r>
            <w:r>
              <w:rPr>
                <w:rFonts w:hint="eastAsia" w:ascii="宋体" w:hAnsi="宋体" w:eastAsia="宋体" w:cs="宋体"/>
                <w:color w:val="000000" w:themeColor="text1"/>
                <w:szCs w:val="21"/>
                <w:highlight w:val="none"/>
                <w:lang w:eastAsia="zh-CN"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194DC36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（a）绝对误差：标准溶液值≤100μS/cm时，≤±5μS/cm；</w:t>
            </w:r>
          </w:p>
          <w:p w14:paraId="13311D7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（b）相对误差：＞100μS/cm时，≤±5%。</w:t>
            </w:r>
          </w:p>
          <w:p w14:paraId="77F97BA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w:t>
            </w:r>
            <w:r>
              <w:rPr>
                <w:rFonts w:hint="eastAsia" w:ascii="宋体" w:hAnsi="宋体" w:eastAsia="宋体" w:cs="宋体"/>
                <w:color w:val="000000" w:themeColor="text1"/>
                <w:szCs w:val="21"/>
                <w:highlight w:val="none"/>
                <w:lang w:val="en-US" w:eastAsia="zh-CN"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 xml:space="preserve"> 实际水样比对</w:t>
            </w:r>
          </w:p>
          <w:p w14:paraId="343D58D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（a）绝对误差：便携检测结果≤100μS/cm时，≤±10μS/cm；</w:t>
            </w:r>
          </w:p>
          <w:p w14:paraId="0FF0BDF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（b）相对误差：便携检测结果＞100μS/cm时，便携检测结果≤±10%。</w:t>
            </w:r>
          </w:p>
          <w:p w14:paraId="796919A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1.4.1</w:t>
            </w:r>
            <w:r>
              <w:rPr>
                <w:rFonts w:hint="eastAsia" w:ascii="宋体" w:hAnsi="宋体" w:eastAsia="宋体" w:cs="宋体"/>
                <w:color w:val="000000" w:themeColor="text1"/>
                <w:szCs w:val="21"/>
                <w:highlight w:val="none"/>
                <w:lang w:val="en-US" w:eastAsia="zh-CN" w:bidi="ar"/>
                <w14:textFill>
                  <w14:solidFill>
                    <w14:schemeClr w14:val="tx1"/>
                  </w14:solidFill>
                </w14:textFill>
              </w:rPr>
              <w:t>0</w:t>
            </w:r>
            <w:r>
              <w:rPr>
                <w:rFonts w:hint="eastAsia" w:ascii="宋体" w:hAnsi="宋体" w:cs="宋体"/>
                <w:color w:val="000000" w:themeColor="text1"/>
                <w:szCs w:val="21"/>
                <w:highlight w:val="none"/>
                <w:lang w:bidi="ar"/>
                <w14:textFill>
                  <w14:solidFill>
                    <w14:schemeClr w14:val="tx1"/>
                  </w14:solidFill>
                </w14:textFill>
              </w:rPr>
              <w:t xml:space="preserve"> 温度补偿：自动温度补偿功能。</w:t>
            </w:r>
          </w:p>
          <w:p w14:paraId="5EF0946F">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1.5 浊度</w:t>
            </w:r>
          </w:p>
          <w:p w14:paraId="4AF5D5F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1.5.1 分析方法：光散射法；</w:t>
            </w:r>
          </w:p>
          <w:p w14:paraId="279F61C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1.5.2 检测范围：0～2000NTU，可调；</w:t>
            </w:r>
          </w:p>
          <w:p w14:paraId="25374C4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▲1.5.3 重复性误差：±5%；</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1.5.4 零点漂移:±3%；</w:t>
            </w:r>
          </w:p>
          <w:p w14:paraId="3ACCD0D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1.5.5 量程漂移：±5%；</w:t>
            </w:r>
          </w:p>
          <w:p w14:paraId="1D197EE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1.5.6 线性误差：±5%；</w:t>
            </w:r>
          </w:p>
          <w:p w14:paraId="157CC7AA">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w:t>
            </w:r>
            <w:r>
              <w:rPr>
                <w:rFonts w:hint="eastAsia" w:ascii="宋体" w:hAnsi="宋体" w:eastAsia="宋体" w:cs="宋体"/>
                <w:color w:val="000000" w:themeColor="text1"/>
                <w:szCs w:val="21"/>
                <w:highlight w:val="none"/>
                <w:lang w:val="en-US" w:eastAsia="zh-CN" w:bidi="ar"/>
                <w14:textFill>
                  <w14:solidFill>
                    <w14:schemeClr w14:val="tx1"/>
                  </w14:solidFill>
                </w14:textFill>
              </w:rPr>
              <w:t>7</w:t>
            </w:r>
            <w:r>
              <w:rPr>
                <w:rFonts w:hint="eastAsia" w:ascii="宋体" w:hAnsi="宋体" w:cs="宋体"/>
                <w:color w:val="000000" w:themeColor="text1"/>
                <w:szCs w:val="21"/>
                <w:highlight w:val="none"/>
                <w:lang w:bidi="ar"/>
                <w14:textFill>
                  <w14:solidFill>
                    <w14:schemeClr w14:val="tx1"/>
                  </w14:solidFill>
                </w14:textFill>
              </w:rPr>
              <w:t xml:space="preserve"> 标准溶液测试：</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3582D6B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（a）相对误差：30NTU＜标准溶液值≤50NTU，≤±15%；</w:t>
            </w:r>
          </w:p>
          <w:p w14:paraId="336A375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（b）相对误差：50NTU＜标准溶液值≤1000NTU，≤±10%。</w:t>
            </w:r>
          </w:p>
          <w:p w14:paraId="47B8B88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实际水样比对：</w:t>
            </w:r>
          </w:p>
          <w:p w14:paraId="1DE62B2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（a）相对误差：便携检测结果≤50NTU，≤±30%；</w:t>
            </w:r>
          </w:p>
          <w:p w14:paraId="615E33A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（b）相对误差：便携检测结果＞50NTU，≤±20%；</w:t>
            </w:r>
          </w:p>
          <w:p w14:paraId="7AE2F6D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（c）当浊度自动监测仪与便携仪器检测结果均≤30NTU或者≥1000NTU时，判定比对结果合格。</w:t>
            </w:r>
          </w:p>
          <w:p w14:paraId="2F6F87DB">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2.通用要求</w:t>
            </w:r>
          </w:p>
          <w:p w14:paraId="50682ED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 显示屏:不小于5寸触摸屏(彩色)/800x480。</w:t>
            </w:r>
          </w:p>
          <w:p w14:paraId="07475DB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 供电:(85～260)VAC。</w:t>
            </w:r>
          </w:p>
          <w:p w14:paraId="5101F63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3</w:t>
            </w:r>
            <w:r>
              <w:rPr>
                <w:rFonts w:hint="eastAsia" w:ascii="宋体" w:hAnsi="宋体" w:cs="宋体"/>
                <w:color w:val="000000" w:themeColor="text1"/>
                <w:szCs w:val="21"/>
                <w:highlight w:val="none"/>
                <w:lang w:bidi="ar"/>
                <w14:textFill>
                  <w14:solidFill>
                    <w14:schemeClr w14:val="tx1"/>
                  </w14:solidFill>
                </w14:textFill>
              </w:rPr>
              <w:t xml:space="preserve"> 存储温度:(-20～70)℃。</w:t>
            </w:r>
          </w:p>
          <w:p w14:paraId="0E82E80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4</w:t>
            </w:r>
            <w:r>
              <w:rPr>
                <w:rFonts w:hint="eastAsia" w:ascii="宋体" w:hAnsi="宋体" w:cs="宋体"/>
                <w:color w:val="000000" w:themeColor="text1"/>
                <w:szCs w:val="21"/>
                <w:highlight w:val="none"/>
                <w:lang w:bidi="ar"/>
                <w14:textFill>
                  <w14:solidFill>
                    <w14:schemeClr w14:val="tx1"/>
                  </w14:solidFill>
                </w14:textFill>
              </w:rPr>
              <w:t xml:space="preserve"> 工作温度:(-10～60)℃</w:t>
            </w:r>
          </w:p>
          <w:p w14:paraId="1FD6272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5</w:t>
            </w:r>
            <w:r>
              <w:rPr>
                <w:rFonts w:hint="eastAsia" w:ascii="宋体" w:hAnsi="宋体" w:cs="宋体"/>
                <w:color w:val="000000" w:themeColor="text1"/>
                <w:szCs w:val="21"/>
                <w:highlight w:val="none"/>
                <w:lang w:bidi="ar"/>
                <w14:textFill>
                  <w14:solidFill>
                    <w14:schemeClr w14:val="tx1"/>
                  </w14:solidFill>
                </w14:textFill>
              </w:rPr>
              <w:t xml:space="preserve"> 设备外壳材料:PC、ABS等防腐防潮材料（整体设备满足要求）。</w:t>
            </w:r>
          </w:p>
          <w:p w14:paraId="5D557AD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6</w:t>
            </w:r>
            <w:r>
              <w:rPr>
                <w:rFonts w:hint="eastAsia" w:ascii="宋体" w:hAnsi="宋体" w:cs="宋体"/>
                <w:color w:val="000000" w:themeColor="text1"/>
                <w:szCs w:val="21"/>
                <w:highlight w:val="none"/>
                <w:lang w:bidi="ar"/>
                <w14:textFill>
                  <w14:solidFill>
                    <w14:schemeClr w14:val="tx1"/>
                  </w14:solidFill>
                </w14:textFill>
              </w:rPr>
              <w:t xml:space="preserve"> 防护等级:条款防护等级要求等于或优于IP65（整体设备满足要求）。</w:t>
            </w:r>
          </w:p>
          <w:p w14:paraId="67597A8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7</w:t>
            </w:r>
            <w:r>
              <w:rPr>
                <w:rFonts w:hint="eastAsia" w:ascii="宋体" w:hAnsi="宋体" w:cs="宋体"/>
                <w:color w:val="000000" w:themeColor="text1"/>
                <w:szCs w:val="21"/>
                <w:highlight w:val="none"/>
                <w:lang w:bidi="ar"/>
                <w14:textFill>
                  <w14:solidFill>
                    <w14:schemeClr w14:val="tx1"/>
                  </w14:solidFill>
                </w14:textFill>
              </w:rPr>
              <w:t xml:space="preserve"> 支持传感器数:不少于4个数字传感器。</w:t>
            </w:r>
          </w:p>
          <w:p w14:paraId="1022D09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继电器:不少于6路继电器(120VAC,24VD/1A)。</w:t>
            </w:r>
          </w:p>
          <w:p w14:paraId="48656C2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ascii="宋体" w:hAnsi="宋体" w:cs="宋体"/>
                <w:color w:val="000000" w:themeColor="text1"/>
                <w:szCs w:val="21"/>
                <w:highlight w:val="none"/>
                <w:lang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 xml:space="preserve"> 数字输出：至少满足1路RS485输出和1路RS232输出。</w:t>
            </w:r>
          </w:p>
          <w:p w14:paraId="58C4F157">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3.质控要求</w:t>
            </w:r>
          </w:p>
          <w:p w14:paraId="52F52F0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b/>
                <w:bCs/>
                <w:color w:val="000000" w:themeColor="text1"/>
                <w:spacing w:val="10"/>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3.1 自动周质控功能</w:t>
            </w:r>
          </w:p>
          <w:p w14:paraId="0E1D424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仪器每周自动使用标准溶液（购买标准溶液或自行配制）对自动监测仪器进行标样核查，每次标液核查结束均排空，确保每次核查使用新标液；可以自动实现水样以及标准溶液的替换、清洗等动作，达到无人化自动标样核查。</w:t>
            </w:r>
            <w:r>
              <w:rPr>
                <w:rFonts w:hint="eastAsia" w:ascii="宋体" w:hAnsi="宋体" w:cs="宋体"/>
                <w:color w:val="000000" w:themeColor="text1"/>
                <w:szCs w:val="21"/>
                <w:highlight w:val="none"/>
                <w14:textFill>
                  <w14:solidFill>
                    <w14:schemeClr w14:val="tx1"/>
                  </w14:solidFill>
                </w14:textFill>
              </w:rPr>
              <w:t>【投标时需提供</w:t>
            </w:r>
            <w:r>
              <w:rPr>
                <w:rFonts w:hint="eastAsia" w:ascii="宋体" w:hAnsi="宋体" w:eastAsia="宋体" w:cs="宋体"/>
                <w:color w:val="000000" w:themeColor="text1"/>
                <w:szCs w:val="21"/>
                <w:highlight w:val="none"/>
                <w:lang w:val="en-US" w:eastAsia="zh-CN"/>
                <w14:textFill>
                  <w14:solidFill>
                    <w14:schemeClr w14:val="tx1"/>
                  </w14:solidFill>
                </w14:textFill>
              </w:rPr>
              <w:t>该功能的相关证明材料，包括但不限于彩页、官网和功能截图等</w:t>
            </w:r>
            <w:r>
              <w:rPr>
                <w:rFonts w:hint="eastAsia" w:ascii="宋体" w:hAnsi="宋体" w:cs="宋体"/>
                <w:color w:val="000000" w:themeColor="text1"/>
                <w:szCs w:val="21"/>
                <w:highlight w:val="none"/>
                <w14:textFill>
                  <w14:solidFill>
                    <w14:schemeClr w14:val="tx1"/>
                  </w14:solidFill>
                </w14:textFill>
              </w:rPr>
              <w:t>并加盖投标人单位公章】</w:t>
            </w:r>
          </w:p>
          <w:p w14:paraId="6509F2F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 自动校准功能</w:t>
            </w:r>
          </w:p>
          <w:p w14:paraId="6D53C04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当水样数据发生异常时，可以自动进行标样核查检查，对于自动标样核查结果异常的站点，采用自动校准以判断传感器是否异常，在自动校准过程中，并对校准原始数据进行记录和判断。具备自动清洗五参数探头，清洗过程对水样测试环节无干扰。具备零氧水和饱和溶解氧水的自动制备的功能，可实现溶解氧的零氧、饱和氧的自动切换核查功能。</w:t>
            </w:r>
            <w:r>
              <w:rPr>
                <w:rFonts w:hint="eastAsia" w:ascii="宋体" w:hAnsi="宋体" w:cs="宋体"/>
                <w:color w:val="000000" w:themeColor="text1"/>
                <w:szCs w:val="21"/>
                <w:highlight w:val="none"/>
                <w14:textFill>
                  <w14:solidFill>
                    <w14:schemeClr w14:val="tx1"/>
                  </w14:solidFill>
                </w14:textFill>
              </w:rPr>
              <w:t>【投标时需提供</w:t>
            </w:r>
            <w:r>
              <w:rPr>
                <w:rFonts w:hint="eastAsia" w:ascii="宋体" w:hAnsi="宋体" w:eastAsia="宋体" w:cs="宋体"/>
                <w:color w:val="000000" w:themeColor="text1"/>
                <w:szCs w:val="21"/>
                <w:highlight w:val="none"/>
                <w:lang w:val="en-US" w:eastAsia="zh-CN"/>
                <w14:textFill>
                  <w14:solidFill>
                    <w14:schemeClr w14:val="tx1"/>
                  </w14:solidFill>
                </w14:textFill>
              </w:rPr>
              <w:t>该功能的相关证明材料，包括但不限于彩页、官网和功能截图等</w:t>
            </w:r>
            <w:r>
              <w:rPr>
                <w:rFonts w:hint="eastAsia" w:ascii="宋体" w:hAnsi="宋体" w:cs="宋体"/>
                <w:color w:val="000000" w:themeColor="text1"/>
                <w:szCs w:val="21"/>
                <w:highlight w:val="none"/>
                <w14:textFill>
                  <w14:solidFill>
                    <w14:schemeClr w14:val="tx1"/>
                  </w14:solidFill>
                </w14:textFill>
              </w:rPr>
              <w:t>并加盖投标人单位公章】</w:t>
            </w:r>
          </w:p>
          <w:p w14:paraId="5DFF8AC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 远程反控功能</w:t>
            </w:r>
          </w:p>
          <w:p w14:paraId="42DDC78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可以实现五参数分析仪的远程控制能力，支持远程设定核查标液、标样浓度、自动标液核查时间，pH值、电导率、浊度、溶解氧支持2种（或以上）任意浓度的标样进行核查，五参数可同步进行标样核查或校准。</w:t>
            </w:r>
            <w:r>
              <w:rPr>
                <w:rFonts w:hint="eastAsia" w:ascii="宋体" w:hAnsi="宋体" w:cs="宋体"/>
                <w:color w:val="000000" w:themeColor="text1"/>
                <w:szCs w:val="21"/>
                <w:highlight w:val="none"/>
                <w14:textFill>
                  <w14:solidFill>
                    <w14:schemeClr w14:val="tx1"/>
                  </w14:solidFill>
                </w14:textFill>
              </w:rPr>
              <w:t>【投标时需提供</w:t>
            </w:r>
            <w:r>
              <w:rPr>
                <w:rFonts w:hint="eastAsia" w:ascii="宋体" w:hAnsi="宋体" w:eastAsia="宋体" w:cs="宋体"/>
                <w:color w:val="000000" w:themeColor="text1"/>
                <w:szCs w:val="21"/>
                <w:highlight w:val="none"/>
                <w:lang w:val="en-US" w:eastAsia="zh-CN"/>
                <w14:textFill>
                  <w14:solidFill>
                    <w14:schemeClr w14:val="tx1"/>
                  </w14:solidFill>
                </w14:textFill>
              </w:rPr>
              <w:t>该功能的相关证明材料，包括但不限于彩页、官网和功能截图等</w:t>
            </w:r>
            <w:r>
              <w:rPr>
                <w:rFonts w:hint="eastAsia" w:ascii="宋体" w:hAnsi="宋体" w:cs="宋体"/>
                <w:color w:val="000000" w:themeColor="text1"/>
                <w:szCs w:val="21"/>
                <w:highlight w:val="none"/>
                <w14:textFill>
                  <w14:solidFill>
                    <w14:schemeClr w14:val="tx1"/>
                  </w14:solidFill>
                </w14:textFill>
              </w:rPr>
              <w:t>并加盖投标人单位公章】</w:t>
            </w:r>
          </w:p>
          <w:p w14:paraId="78DCF2F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3.4 自动进样功能</w:t>
            </w:r>
          </w:p>
          <w:p w14:paraId="7D0DA65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电导率、pH值、溶解氧、浊度标准溶液以及水样能够自动切换，自动进样。</w:t>
            </w:r>
          </w:p>
          <w:p w14:paraId="37F7641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3.5 具备关键参数上传功能。</w:t>
            </w:r>
          </w:p>
          <w:p w14:paraId="556F852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3.6 具备数据自动标识功能。</w:t>
            </w:r>
          </w:p>
          <w:p w14:paraId="48C66D9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3.7 具备试剂余量报警功能。</w:t>
            </w:r>
          </w:p>
          <w:p w14:paraId="7E754D0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3.8 具有电极状态诊断功能，可根据信号值判断电极的性能状态，性能不良时发出异常告警。</w:t>
            </w:r>
          </w:p>
          <w:p w14:paraId="1B1926C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3.9 具有电极自清洁功能，人工维护周期≥1个月。</w:t>
            </w:r>
          </w:p>
          <w:p w14:paraId="5B558142">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（二）四大表参数（高锰酸盐指数、氨氮、总磷、总氮）</w:t>
            </w:r>
          </w:p>
          <w:p w14:paraId="2AC94424">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1.工作条件</w:t>
            </w:r>
          </w:p>
          <w:p w14:paraId="457BB7D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 电源要求﹙220±22﹚VAC；﹙50±1﹚Hz；</w:t>
            </w:r>
          </w:p>
          <w:p w14:paraId="40B3384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 工作环境温度(5～45)℃。</w:t>
            </w:r>
          </w:p>
          <w:p w14:paraId="78C6929A">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2.通用要求</w:t>
            </w:r>
          </w:p>
          <w:p w14:paraId="674B14E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 显示屏：不小于5寸触摸屏(彩色)/600×1024；</w:t>
            </w:r>
          </w:p>
          <w:p w14:paraId="0C7C908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2</w:t>
            </w:r>
            <w:r>
              <w:rPr>
                <w:rFonts w:hint="eastAsia" w:ascii="宋体" w:hAnsi="宋体" w:cs="宋体"/>
                <w:color w:val="000000" w:themeColor="text1"/>
                <w:szCs w:val="21"/>
                <w:highlight w:val="none"/>
                <w:lang w:bidi="ar"/>
                <w14:textFill>
                  <w14:solidFill>
                    <w14:schemeClr w14:val="tx1"/>
                  </w14:solidFill>
                </w14:textFill>
              </w:rPr>
              <w:t xml:space="preserve"> 仪器检测周期：≤60min；</w:t>
            </w:r>
          </w:p>
          <w:p w14:paraId="2D3D623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3</w:t>
            </w:r>
            <w:r>
              <w:rPr>
                <w:rFonts w:hint="eastAsia" w:ascii="宋体" w:hAnsi="宋体" w:cs="宋体"/>
                <w:color w:val="000000" w:themeColor="text1"/>
                <w:szCs w:val="21"/>
                <w:highlight w:val="none"/>
                <w:lang w:bidi="ar"/>
                <w14:textFill>
                  <w14:solidFill>
                    <w14:schemeClr w14:val="tx1"/>
                  </w14:solidFill>
                </w14:textFill>
              </w:rPr>
              <w:t xml:space="preserve"> 绝缘阻抗：＞5MΩ；</w:t>
            </w:r>
          </w:p>
          <w:p w14:paraId="0C33320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4</w:t>
            </w:r>
            <w:r>
              <w:rPr>
                <w:rFonts w:hint="eastAsia" w:ascii="宋体" w:hAnsi="宋体" w:cs="宋体"/>
                <w:color w:val="000000" w:themeColor="text1"/>
                <w:szCs w:val="21"/>
                <w:highlight w:val="none"/>
                <w:lang w:bidi="ar"/>
                <w14:textFill>
                  <w14:solidFill>
                    <w14:schemeClr w14:val="tx1"/>
                  </w14:solidFill>
                </w14:textFill>
              </w:rPr>
              <w:t xml:space="preserve"> 数据有效率：≥90%；</w:t>
            </w:r>
          </w:p>
          <w:p w14:paraId="11783BE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5</w:t>
            </w:r>
            <w:r>
              <w:rPr>
                <w:rFonts w:hint="eastAsia" w:ascii="宋体" w:hAnsi="宋体" w:cs="宋体"/>
                <w:color w:val="000000" w:themeColor="text1"/>
                <w:szCs w:val="21"/>
                <w:highlight w:val="none"/>
                <w:lang w:bidi="ar"/>
                <w14:textFill>
                  <w14:solidFill>
                    <w14:schemeClr w14:val="tx1"/>
                  </w14:solidFill>
                </w14:textFill>
              </w:rPr>
              <w:t xml:space="preserve"> 试剂更换周期：90天≥周期≥31天；</w:t>
            </w:r>
            <w:r>
              <w:rPr>
                <w:rFonts w:ascii="宋体" w:hAnsi="宋体" w:cs="宋体"/>
                <w:color w:val="000000" w:themeColor="text1"/>
                <w:szCs w:val="21"/>
                <w:highlight w:val="none"/>
                <w:lang w:bidi="ar"/>
                <w14:textFill>
                  <w14:solidFill>
                    <w14:schemeClr w14:val="tx1"/>
                  </w14:solidFill>
                </w14:textFill>
              </w:rPr>
              <w:t xml:space="preserve"> </w:t>
            </w:r>
          </w:p>
          <w:p w14:paraId="018A302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6</w:t>
            </w:r>
            <w:r>
              <w:rPr>
                <w:rFonts w:hint="eastAsia" w:ascii="宋体" w:hAnsi="宋体" w:cs="宋体"/>
                <w:color w:val="000000" w:themeColor="text1"/>
                <w:szCs w:val="21"/>
                <w:highlight w:val="none"/>
                <w:lang w:bidi="ar"/>
                <w14:textFill>
                  <w14:solidFill>
                    <w14:schemeClr w14:val="tx1"/>
                  </w14:solidFill>
                </w14:textFill>
              </w:rPr>
              <w:t xml:space="preserve"> 数据存储不少于365天；</w:t>
            </w:r>
            <w:r>
              <w:rPr>
                <w:rFonts w:ascii="宋体" w:hAnsi="宋体" w:cs="宋体"/>
                <w:color w:val="000000" w:themeColor="text1"/>
                <w:szCs w:val="21"/>
                <w:highlight w:val="none"/>
                <w:lang w:bidi="ar"/>
                <w14:textFill>
                  <w14:solidFill>
                    <w14:schemeClr w14:val="tx1"/>
                  </w14:solidFill>
                </w14:textFill>
              </w:rPr>
              <w:t xml:space="preserve"> </w:t>
            </w:r>
          </w:p>
          <w:p w14:paraId="1E767EE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7</w:t>
            </w:r>
            <w:r>
              <w:rPr>
                <w:rFonts w:hint="eastAsia" w:ascii="宋体" w:hAnsi="宋体" w:cs="宋体"/>
                <w:color w:val="000000" w:themeColor="text1"/>
                <w:szCs w:val="21"/>
                <w:highlight w:val="none"/>
                <w:lang w:bidi="ar"/>
                <w14:textFill>
                  <w14:solidFill>
                    <w14:schemeClr w14:val="tx1"/>
                  </w14:solidFill>
                </w14:textFill>
              </w:rPr>
              <w:t xml:space="preserve"> 具有异常信息记录、上传功能，包括部件故障、超标报警、缺试剂报警等信息；</w:t>
            </w:r>
          </w:p>
          <w:p w14:paraId="591E91C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 xml:space="preserve"> 具有浊度干扰自动补偿功能；</w:t>
            </w:r>
          </w:p>
          <w:p w14:paraId="3B32235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hAnsi="宋体" w:eastAsia="宋体" w:cs="宋体"/>
                <w:color w:val="000000" w:themeColor="text1"/>
                <w:szCs w:val="21"/>
                <w:highlight w:val="none"/>
                <w:lang w:val="en-US" w:eastAsia="zh-CN"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 xml:space="preserve"> 具有RS-232/485、传输控制协议/网际协议（TCP/IP）等标准通讯接口；</w:t>
            </w:r>
          </w:p>
          <w:p w14:paraId="7006529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w:t>
            </w:r>
            <w:r>
              <w:rPr>
                <w:rFonts w:hint="eastAsia" w:ascii="宋体" w:hAnsi="宋体" w:eastAsia="宋体" w:cs="宋体"/>
                <w:color w:val="000000" w:themeColor="text1"/>
                <w:szCs w:val="21"/>
                <w:highlight w:val="none"/>
                <w:lang w:val="en-US" w:eastAsia="zh-CN" w:bidi="ar"/>
                <w14:textFill>
                  <w14:solidFill>
                    <w14:schemeClr w14:val="tx1"/>
                  </w14:solidFill>
                </w14:textFill>
              </w:rPr>
              <w:t>0</w:t>
            </w:r>
            <w:r>
              <w:rPr>
                <w:rFonts w:hint="eastAsia" w:ascii="宋体" w:hAnsi="宋体" w:cs="宋体"/>
                <w:color w:val="000000" w:themeColor="text1"/>
                <w:szCs w:val="21"/>
                <w:highlight w:val="none"/>
                <w:lang w:bidi="ar"/>
                <w14:textFill>
                  <w14:solidFill>
                    <w14:schemeClr w14:val="tx1"/>
                  </w14:solidFill>
                </w14:textFill>
              </w:rPr>
              <w:t xml:space="preserve"> 具有自动开展低浓度和高浓度标样核查、空白校准、标样校准等功能；</w:t>
            </w:r>
          </w:p>
          <w:p w14:paraId="7E5AF9A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w:t>
            </w:r>
            <w:r>
              <w:rPr>
                <w:rFonts w:hint="eastAsia" w:ascii="宋体" w:hAnsi="宋体" w:eastAsia="宋体" w:cs="宋体"/>
                <w:color w:val="000000" w:themeColor="text1"/>
                <w:szCs w:val="21"/>
                <w:highlight w:val="none"/>
                <w:lang w:val="en-US" w:eastAsia="zh-CN" w:bidi="ar"/>
                <w14:textFill>
                  <w14:solidFill>
                    <w14:schemeClr w14:val="tx1"/>
                  </w14:solidFill>
                </w14:textFill>
              </w:rPr>
              <w:t>1</w:t>
            </w:r>
            <w:r>
              <w:rPr>
                <w:rFonts w:hint="eastAsia" w:ascii="宋体" w:hAnsi="宋体" w:cs="宋体"/>
                <w:color w:val="000000" w:themeColor="text1"/>
                <w:szCs w:val="21"/>
                <w:highlight w:val="none"/>
                <w:lang w:bidi="ar"/>
                <w14:textFill>
                  <w14:solidFill>
                    <w14:schemeClr w14:val="tx1"/>
                  </w14:solidFill>
                </w14:textFill>
              </w:rPr>
              <w:t>具有量程切换功能；</w:t>
            </w:r>
          </w:p>
          <w:p w14:paraId="279EBE9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w:t>
            </w:r>
            <w:r>
              <w:rPr>
                <w:rFonts w:hint="eastAsia" w:ascii="宋体" w:hAnsi="宋体" w:eastAsia="宋体" w:cs="宋体"/>
                <w:color w:val="000000" w:themeColor="text1"/>
                <w:szCs w:val="21"/>
                <w:highlight w:val="none"/>
                <w:lang w:val="en-US" w:eastAsia="zh-CN" w:bidi="ar"/>
                <w14:textFill>
                  <w14:solidFill>
                    <w14:schemeClr w14:val="tx1"/>
                  </w14:solidFill>
                </w14:textFill>
              </w:rPr>
              <w:t>2</w:t>
            </w:r>
            <w:r>
              <w:rPr>
                <w:rFonts w:hint="eastAsia" w:ascii="宋体" w:hAnsi="宋体" w:cs="宋体"/>
                <w:color w:val="000000" w:themeColor="text1"/>
                <w:szCs w:val="21"/>
                <w:highlight w:val="none"/>
                <w:lang w:bidi="ar"/>
                <w14:textFill>
                  <w14:solidFill>
                    <w14:schemeClr w14:val="tx1"/>
                  </w14:solidFill>
                </w14:textFill>
              </w:rPr>
              <w:t>具有过程日志记录功能；</w:t>
            </w:r>
          </w:p>
          <w:p w14:paraId="7E82F36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w:t>
            </w:r>
            <w:r>
              <w:rPr>
                <w:rFonts w:hint="eastAsia" w:ascii="宋体" w:hAnsi="宋体" w:eastAsia="宋体" w:cs="宋体"/>
                <w:color w:val="000000" w:themeColor="text1"/>
                <w:szCs w:val="21"/>
                <w:highlight w:val="none"/>
                <w:lang w:val="en-US" w:eastAsia="zh-CN" w:bidi="ar"/>
                <w14:textFill>
                  <w14:solidFill>
                    <w14:schemeClr w14:val="tx1"/>
                  </w14:solidFill>
                </w14:textFill>
              </w:rPr>
              <w:t>3</w:t>
            </w:r>
            <w:r>
              <w:rPr>
                <w:rFonts w:hint="eastAsia" w:ascii="宋体" w:hAnsi="宋体" w:cs="宋体"/>
                <w:color w:val="000000" w:themeColor="text1"/>
                <w:szCs w:val="21"/>
                <w:highlight w:val="none"/>
                <w:lang w:bidi="ar"/>
                <w14:textFill>
                  <w14:solidFill>
                    <w14:schemeClr w14:val="tx1"/>
                  </w14:solidFill>
                </w14:textFill>
              </w:rPr>
              <w:t xml:space="preserve"> 具有远程参数设置、远程质控、远程启动测量、远程调阅设备运行日志等功能；按照设定周期或远程接受指令，实现水质自动分析仪器进行标样自动核查、自动加标回收率测试、自动多点线性核查、盲样考核等质控功能以及在异常情况下自动留样功能。</w:t>
            </w:r>
          </w:p>
          <w:p w14:paraId="129EBF7F">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3.高锰酸盐指数</w:t>
            </w:r>
          </w:p>
          <w:p w14:paraId="68AFD7C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3.1分析方法：高锰酸钾氧化-滴定法。</w:t>
            </w:r>
          </w:p>
          <w:p w14:paraId="465BE9E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 技术指标</w:t>
            </w:r>
          </w:p>
          <w:p w14:paraId="4428B48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3.2.1 测量范围：（0～50）mg/L（可扩展）；</w:t>
            </w:r>
            <w:r>
              <w:rPr>
                <w:rFonts w:ascii="宋体" w:hAnsi="宋体" w:cs="宋体"/>
                <w:color w:val="000000" w:themeColor="text1"/>
                <w:szCs w:val="21"/>
                <w:highlight w:val="none"/>
                <w:lang w:bidi="ar"/>
                <w14:textFill>
                  <w14:solidFill>
                    <w14:schemeClr w14:val="tx1"/>
                  </w14:solidFill>
                </w14:textFill>
              </w:rPr>
              <w:t xml:space="preserve"> </w:t>
            </w:r>
          </w:p>
          <w:p w14:paraId="6AB0D62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3.2.2 重复性：≤5%；</w:t>
            </w:r>
          </w:p>
          <w:p w14:paraId="1EB72DE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3.2.3 零点漂移：±5%；</w:t>
            </w:r>
          </w:p>
          <w:p w14:paraId="391A158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▲3.2.4 量程漂移：±5%；</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3.2.5 示值误差：</w:t>
            </w:r>
          </w:p>
          <w:p w14:paraId="1676317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20%量程液：±10%；</w:t>
            </w:r>
          </w:p>
          <w:p w14:paraId="3C55428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50%量程液：±8%；</w:t>
            </w:r>
          </w:p>
          <w:p w14:paraId="48908EA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80%量程液：±5%。</w:t>
            </w:r>
          </w:p>
          <w:p w14:paraId="2AB45AA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3.3.质量控制指标</w:t>
            </w:r>
          </w:p>
          <w:p w14:paraId="26D82F9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3.3.1 正确度：±10%以内；</w:t>
            </w:r>
          </w:p>
          <w:p w14:paraId="6F8D290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3.3.2 精密度：≤5%；</w:t>
            </w:r>
          </w:p>
          <w:p w14:paraId="26ACE59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3.3.3 检出限：≤0.5mg/L。</w:t>
            </w:r>
          </w:p>
          <w:p w14:paraId="00CD968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3.3.4 标准曲线：</w:t>
            </w:r>
          </w:p>
          <w:p w14:paraId="502DD29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（a）零点示值误差±1.0mg/L以内；</w:t>
            </w:r>
          </w:p>
          <w:p w14:paraId="08D66A6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（b）其他点示值误差±10%以内；</w:t>
            </w:r>
          </w:p>
          <w:p w14:paraId="49F1329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（c）相关系数≥0.998；</w:t>
            </w:r>
          </w:p>
          <w:p w14:paraId="7343779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3.3.5 实际水样比对相对误差：（B为GB3838规定的水质类别限值）</w:t>
            </w:r>
          </w:p>
          <w:p w14:paraId="6F21DC0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（a）实验室分析结果&gt;BⅣ时，相对误差≤20%；</w:t>
            </w:r>
          </w:p>
          <w:p w14:paraId="0F24A51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（b）BⅡ&lt;实验室分析结果≤BⅣ时，相对误差≤30%；</w:t>
            </w:r>
          </w:p>
          <w:p w14:paraId="695A5D6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（c）实验室分析结果≤BⅡ时，相对误差≤40%；</w:t>
            </w:r>
          </w:p>
          <w:p w14:paraId="55BCEA2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除湖库总磷外,当自动监测结果和实验室分析结果均低于BⅡ时,认定比对实验结果合格。当湖库总磷自动监测结果和实验室分析结果均低于BⅢ时,认定比对实验结果合格；</w:t>
            </w:r>
          </w:p>
          <w:p w14:paraId="73C457F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3.3.6 低浓度标样核查：</w:t>
            </w:r>
          </w:p>
          <w:p w14:paraId="34C8B07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（a）Ⅰ～Ⅲ类水绝对误差±1.0mg/L以内；</w:t>
            </w:r>
          </w:p>
          <w:p w14:paraId="70E8B08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（b）Ⅳ～劣Ⅴ类水相对误差±5%标样核查上限值以内。</w:t>
            </w:r>
          </w:p>
          <w:p w14:paraId="67E48AA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3.3.7 标准溶液核查：</w:t>
            </w:r>
          </w:p>
          <w:p w14:paraId="3B2D7CB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（a）零点核查误差：±1.0mg/L以内；</w:t>
            </w:r>
          </w:p>
          <w:p w14:paraId="13F0F6C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（b）20%F.S．以内低浓度核查误差：≤±1.0mg/L（Ⅰ～Ⅲ类水），或≤±5%标样核查上限值（Ⅳ～劣Ⅴ类水）；</w:t>
            </w:r>
          </w:p>
          <w:p w14:paraId="59C60F5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（c）其它核查浓度相对误差：≤±10%。</w:t>
            </w:r>
          </w:p>
          <w:p w14:paraId="237BACE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3.3.8 24h核查浓度漂移：≤±10%；</w:t>
            </w:r>
          </w:p>
          <w:p w14:paraId="5283DE6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3.3.9 加标回收率：80%～120%。</w:t>
            </w:r>
          </w:p>
          <w:p w14:paraId="3E22017D">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氨氮</w:t>
            </w:r>
          </w:p>
          <w:p w14:paraId="4F39A5F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4.1 分析方法：水杨酸分光光度法；</w:t>
            </w:r>
          </w:p>
          <w:p w14:paraId="7D79486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4.2 技术指标</w:t>
            </w:r>
          </w:p>
          <w:p w14:paraId="190055B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4.2.1 测定范围:0～30mg/L（可扩展）；</w:t>
            </w:r>
            <w:r>
              <w:rPr>
                <w:rFonts w:ascii="宋体" w:hAnsi="宋体" w:cs="宋体"/>
                <w:color w:val="000000" w:themeColor="text1"/>
                <w:szCs w:val="21"/>
                <w:highlight w:val="none"/>
                <w:lang w:bidi="ar"/>
                <w14:textFill>
                  <w14:solidFill>
                    <w14:schemeClr w14:val="tx1"/>
                  </w14:solidFill>
                </w14:textFill>
              </w:rPr>
              <w:t xml:space="preserve"> </w:t>
            </w:r>
          </w:p>
          <w:p w14:paraId="3D0ABE7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4.2.2 重复性:≤2.0%；</w:t>
            </w:r>
          </w:p>
          <w:p w14:paraId="1785F87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4.2.3 零点漂移:≤±5%F.S.；</w:t>
            </w:r>
          </w:p>
          <w:p w14:paraId="12E3C6C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▲4.2.4 量程漂移:±10%F.S.；</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4.2.5 示值误差：</w:t>
            </w:r>
          </w:p>
          <w:p w14:paraId="21200AE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20%量程液：±8%；</w:t>
            </w:r>
          </w:p>
          <w:p w14:paraId="7C3AF98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50%量程液：±5%；</w:t>
            </w:r>
          </w:p>
          <w:p w14:paraId="1D5953F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80%量程液：±3%；</w:t>
            </w:r>
          </w:p>
          <w:p w14:paraId="2C98B16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 质量控制指标</w:t>
            </w:r>
          </w:p>
          <w:p w14:paraId="2D9419D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4.3.1 正确度：±10%以内；</w:t>
            </w:r>
          </w:p>
          <w:p w14:paraId="6A3FAD3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4.3.2 精密度：≤5%；</w:t>
            </w:r>
          </w:p>
          <w:p w14:paraId="2640E1B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4.3.3 检出限：≤0.5mg/L；</w:t>
            </w:r>
          </w:p>
          <w:p w14:paraId="2951A16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4.3.4 标准曲线：</w:t>
            </w:r>
          </w:p>
          <w:p w14:paraId="1CAA2BE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（a）零点示值误差±0.2mg/L以内；</w:t>
            </w:r>
          </w:p>
          <w:p w14:paraId="76E65CB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（b）其他点示值误差±10%以内；</w:t>
            </w:r>
          </w:p>
          <w:p w14:paraId="51D221C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（c）相关系数≥0.998；</w:t>
            </w:r>
          </w:p>
          <w:p w14:paraId="1DFDF26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4.3.5 实际水样比对相对误差：（B为GB3838规定的水质类别限值）</w:t>
            </w:r>
          </w:p>
          <w:p w14:paraId="6716D5F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（a）实验室分析结果&gt;BⅣ时，相对误差≤20%；</w:t>
            </w:r>
          </w:p>
          <w:p w14:paraId="24BB933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（b）BⅡ&lt;实验室分析结果≤BⅣ时，相对误差≤30%；</w:t>
            </w:r>
          </w:p>
          <w:p w14:paraId="69C9A0B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（c）实验室分析结果≤BⅡ时，相对误差≤40%；</w:t>
            </w:r>
          </w:p>
          <w:p w14:paraId="589FFAB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除湖库总磷外,当自动监测结果和实验室分析结果均低于BⅡ时,认定比对实验结果合格。当湖库总磷自动监测结果和实验室分析结果均低于BⅢ时,认定比对实验结果合格。</w:t>
            </w:r>
          </w:p>
          <w:p w14:paraId="37D3715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4.3.6 标准溶液核查：</w:t>
            </w:r>
          </w:p>
          <w:p w14:paraId="79CB486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（a）零点核查误差：±0.2mg/L以内，</w:t>
            </w:r>
          </w:p>
          <w:p w14:paraId="35A0C6E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（b）20%F.S．以内低浓度核查误差：≤±0.2mg/L（Ⅰ～Ⅲ类水），或≤±5%标样核查上限值（Ⅳ～劣Ⅴ类水）；</w:t>
            </w:r>
          </w:p>
          <w:p w14:paraId="53732FA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（c）其它核查浓度相对误差：≤±10%。</w:t>
            </w:r>
          </w:p>
          <w:p w14:paraId="171B09E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4.3.7 核查浓度漂移：</w:t>
            </w:r>
          </w:p>
          <w:p w14:paraId="494E394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24h低浓度（20%F.S．以内）核查浓度漂移：≤±5%；</w:t>
            </w:r>
          </w:p>
          <w:p w14:paraId="1ECC77A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24h其他核查浓度漂移：≤±10%；</w:t>
            </w:r>
          </w:p>
          <w:p w14:paraId="4B4AC16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4.3.8 加标回收率：80%～120%。</w:t>
            </w:r>
          </w:p>
          <w:p w14:paraId="2A586FC9">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5. 总磷</w:t>
            </w:r>
          </w:p>
          <w:p w14:paraId="12BE4A4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5.1 分析方法：钼酸铵分光光度法；</w:t>
            </w:r>
          </w:p>
          <w:p w14:paraId="6A23D9E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5.2 技术指标：</w:t>
            </w:r>
          </w:p>
          <w:p w14:paraId="7B572BD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5.2.1 测定范围:0-20mg/L范围内可调；</w:t>
            </w:r>
          </w:p>
          <w:p w14:paraId="112219B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5.2.2 重复性:≤5.0%；</w:t>
            </w:r>
          </w:p>
          <w:p w14:paraId="356392F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5.2.3 零点漂移:≤±5%F.S.；</w:t>
            </w:r>
          </w:p>
          <w:p w14:paraId="59A4226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▲5.2.4 量程漂移:≤±10%F.S.；</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5.3.质量控制指标</w:t>
            </w:r>
          </w:p>
          <w:p w14:paraId="380C138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5.3.1 正确度：±10%以内；</w:t>
            </w:r>
          </w:p>
          <w:p w14:paraId="3DBCD29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5.3.2 精密度：≤5%；</w:t>
            </w:r>
          </w:p>
          <w:p w14:paraId="4EE3E3E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5.3.3 检出限：≤0.01mg/L。</w:t>
            </w:r>
          </w:p>
          <w:p w14:paraId="5F07867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5.3.4 标准曲线：</w:t>
            </w:r>
            <w:r>
              <w:rPr>
                <w:rFonts w:ascii="宋体" w:hAnsi="宋体" w:cs="宋体"/>
                <w:color w:val="000000" w:themeColor="text1"/>
                <w:szCs w:val="21"/>
                <w:highlight w:val="none"/>
                <w:lang w:bidi="ar"/>
                <w14:textFill>
                  <w14:solidFill>
                    <w14:schemeClr w14:val="tx1"/>
                  </w14:solidFill>
                </w14:textFill>
              </w:rPr>
              <w:t xml:space="preserve"> </w:t>
            </w:r>
          </w:p>
          <w:p w14:paraId="1DC0413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（a）零点示值误差±0.02mg/L以内；</w:t>
            </w:r>
          </w:p>
          <w:p w14:paraId="5EA0DC6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（b）其他点示值误差±10%以内；</w:t>
            </w:r>
          </w:p>
          <w:p w14:paraId="64599E3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（c）直线相关系数≥0.998；</w:t>
            </w:r>
          </w:p>
          <w:p w14:paraId="6B6B619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5.3.5 实际水样比对试验误差：（B为GB3838规定的水质类别限值）</w:t>
            </w:r>
          </w:p>
          <w:p w14:paraId="21D0B0D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（a）实验室分析结果&gt;BⅣ时，相对误差≤20%；</w:t>
            </w:r>
          </w:p>
          <w:p w14:paraId="740118A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（b）BⅡ&lt;实验室分析结果≤BⅣ时，相对误差≤30%；</w:t>
            </w:r>
          </w:p>
          <w:p w14:paraId="28A894F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（c）实验室分析结果≤BⅡ时，相对误差≤40%；</w:t>
            </w:r>
          </w:p>
          <w:p w14:paraId="58217DD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除湖库总磷外,当自动监测结果和实验室分析结果均低于BⅡ时,认定比对实验结果合格。当湖库总磷自动监测结果和实验室分析结果均低于BⅢ时,认定比对实验结果合格。</w:t>
            </w:r>
          </w:p>
          <w:p w14:paraId="06055EA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5.3.6 标准溶液核查：</w:t>
            </w:r>
          </w:p>
          <w:p w14:paraId="2F173E4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 xml:space="preserve">（a）零点核查误差：±0.02mg/L以内; </w:t>
            </w:r>
          </w:p>
          <w:p w14:paraId="6AEF2E6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（b）20%F.S．以内低浓度核查误差：≤±0.02mg/L（Ⅰ～Ⅲ类水），或≤±5%标样核查上限值（Ⅳ～劣Ⅴ类水）；</w:t>
            </w:r>
          </w:p>
          <w:p w14:paraId="2C8B26E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（c）其它核查浓度相对误差：≤±10%；</w:t>
            </w:r>
          </w:p>
          <w:p w14:paraId="494F05F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5.3.7 核查浓度漂移</w:t>
            </w:r>
          </w:p>
          <w:p w14:paraId="20BF986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（a）24h低浓度（20%F.S．以内）核查浓度漂移：≤±5%；</w:t>
            </w:r>
          </w:p>
          <w:p w14:paraId="1FA2255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（b）24h其他核查浓度漂移：≤±10%；</w:t>
            </w:r>
          </w:p>
          <w:p w14:paraId="0A6F90F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5.3.8 加标回收率：80%～120%。</w:t>
            </w:r>
          </w:p>
          <w:p w14:paraId="6DF3DCFC">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6. 总氮</w:t>
            </w:r>
          </w:p>
          <w:p w14:paraId="128796D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6.1 分析方法：碱性过硫酸钾消解紫外分光光度法/碱性过硫酸钾消解-NED比色法；</w:t>
            </w:r>
          </w:p>
          <w:p w14:paraId="798F426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6.2 技术指标：</w:t>
            </w:r>
          </w:p>
          <w:p w14:paraId="651A861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6.2.1 测定范围:0～50mg/L（可扩展）；</w:t>
            </w:r>
          </w:p>
          <w:p w14:paraId="6034C67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6.2.2  重复性:≤3%；</w:t>
            </w:r>
          </w:p>
          <w:p w14:paraId="7E4EB6D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6.2.3 零点漂移:≤±5%F.S.；</w:t>
            </w:r>
          </w:p>
          <w:p w14:paraId="58CC7CE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▲6.2.4 量程漂移:≤±10%F.S.</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6.3 质量控制指标</w:t>
            </w:r>
          </w:p>
          <w:p w14:paraId="1F36F37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6.3.1 正确度：±10%以内；</w:t>
            </w:r>
          </w:p>
          <w:p w14:paraId="2ADDD7B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6.3.2 精密度：≤5%；</w:t>
            </w:r>
          </w:p>
          <w:p w14:paraId="674E501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6.3.3 检出限：≤0.05mg/L；</w:t>
            </w:r>
            <w:r>
              <w:rPr>
                <w:rFonts w:ascii="宋体" w:hAnsi="宋体" w:cs="宋体"/>
                <w:color w:val="000000" w:themeColor="text1"/>
                <w:szCs w:val="21"/>
                <w:highlight w:val="none"/>
                <w:lang w:bidi="ar"/>
                <w14:textFill>
                  <w14:solidFill>
                    <w14:schemeClr w14:val="tx1"/>
                  </w14:solidFill>
                </w14:textFill>
              </w:rPr>
              <w:t xml:space="preserve"> </w:t>
            </w:r>
          </w:p>
          <w:p w14:paraId="493E71A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6.3.4 标准曲线：</w:t>
            </w:r>
          </w:p>
          <w:p w14:paraId="3BF074C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（a）零点示值误差±0.3mg/L以内；</w:t>
            </w:r>
          </w:p>
          <w:p w14:paraId="37CD97F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（b）其他点示值误差±10%以内；</w:t>
            </w:r>
          </w:p>
          <w:p w14:paraId="4ECD8A8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（c）直线相关系数≥0.998；</w:t>
            </w:r>
          </w:p>
          <w:p w14:paraId="691A25E5">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6.3.5 实际水样比对试验误差：（B为GB3838规定的水质类别限值）</w:t>
            </w:r>
          </w:p>
          <w:p w14:paraId="1E07BC0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（a）实验室分析结果&gt;BⅣ时，相对误差≤20%；</w:t>
            </w:r>
          </w:p>
          <w:p w14:paraId="197CFCD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（b）BⅡ&lt;实验室分析结果≤BⅣ时，相对误差≤30%；</w:t>
            </w:r>
          </w:p>
          <w:p w14:paraId="4C02A50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（c）实验室分析结果≤BⅡ时，相对误差≤40%；</w:t>
            </w:r>
          </w:p>
          <w:p w14:paraId="6859B2D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除湖库总磷外,当自动监测结果和实验室分析结果均低于BⅡ时,认定比对实验结果合格。当湖库总磷自动监测结果和实验室分析结果均低于BⅢ时,认定比对实验结果合格；</w:t>
            </w:r>
          </w:p>
          <w:p w14:paraId="2F8D391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6.3.6 标准溶液核查：</w:t>
            </w:r>
          </w:p>
          <w:p w14:paraId="716D094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（a）零点核查误差：±0.3mg/L以内；</w:t>
            </w:r>
          </w:p>
          <w:p w14:paraId="2188B5E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（b）20%F.S．以内低浓度核查误差：≤±0.3mg/L（Ⅰ～Ⅲ类水），或≤±5%标样核查上限值（Ⅳ～劣Ⅴ类水）；</w:t>
            </w:r>
          </w:p>
          <w:p w14:paraId="6B17AE4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（c）其它核查浓度相对误差：≤±10%；</w:t>
            </w:r>
          </w:p>
          <w:p w14:paraId="019CAD2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6.3.7 核查浓度漂移：</w:t>
            </w:r>
          </w:p>
          <w:p w14:paraId="136E507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（a）24h低浓度（20%F.S．以内）核查浓度漂移：≤±5%；</w:t>
            </w:r>
          </w:p>
          <w:p w14:paraId="15BF1A4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（b）24h其他核查浓度漂移：≤±10%；</w:t>
            </w:r>
          </w:p>
          <w:p w14:paraId="5E76E0B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6.3.8 加标回收率：80%～120%。</w:t>
            </w:r>
          </w:p>
          <w:p w14:paraId="7D59DA16">
            <w:pPr>
              <w:widowControl w:val="0"/>
              <w:tabs>
                <w:tab w:val="center" w:pos="4153"/>
                <w:tab w:val="right" w:pos="8306"/>
              </w:tabs>
              <w:spacing w:line="400" w:lineRule="exact"/>
              <w:jc w:val="both"/>
              <w:rPr>
                <w:rFonts w:ascii="宋体" w:hAnsi="宋体" w:cs="宋体"/>
                <w:color w:val="000000" w:themeColor="text1"/>
                <w:sz w:val="21"/>
                <w:szCs w:val="21"/>
                <w:highlight w:val="none"/>
                <w:lang w:bidi="ar"/>
                <w14:textFill>
                  <w14:solidFill>
                    <w14:schemeClr w14:val="tx1"/>
                  </w14:solidFill>
                </w14:textFill>
              </w:rPr>
            </w:pPr>
          </w:p>
          <w:p w14:paraId="21641F3E">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（三）高锰酸盐指数、氨氮、总磷、总氮质控模块技术要求</w:t>
            </w:r>
          </w:p>
          <w:p w14:paraId="1D4B796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系统仪器性能指标达到采购方的验收技术要求。智能化质控配样模块，可制备任意浓度标准样品，支撑多元化质控应用。实现远程化、智能化质控，异常数据无需现场质控复核。</w:t>
            </w:r>
          </w:p>
          <w:p w14:paraId="7F1D29EE">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 可自动制备任意浓度的标准样品。</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50AB85B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 可自动制备多点线性核查校正液，远程对仪器测量曲线进行线性核查或校准。</w:t>
            </w:r>
          </w:p>
          <w:p w14:paraId="2FEF0A1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1.3 样杯需具备防止水样被篡改功能。</w:t>
            </w:r>
          </w:p>
          <w:p w14:paraId="3013E22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1.4 可通过中心平台实现远程多点线性测试，减少前往现场频率，无需前往现场，可实现远程校准仪器。</w:t>
            </w:r>
          </w:p>
          <w:p w14:paraId="68FC7E0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1.5 具有将盲样考核结果传输至广西水环境监控平台的功能。</w:t>
            </w:r>
          </w:p>
          <w:p w14:paraId="62BF166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1.6 具备远程控制仪器自动无定量稀释倍数功能；具备远程控制仪器进行自动加标回收测试功能。</w:t>
            </w:r>
          </w:p>
          <w:p w14:paraId="029FA99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1.7 质控系统水样杯与标样杯互相独立，分别测试。双杯设计能有效避免交叉污染，保护待测水样，提高测量精度，保证数据的准确性与可靠性。</w:t>
            </w:r>
          </w:p>
          <w:p w14:paraId="533BCC1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1.8 具有实时更新质控模块的当前状态信息，并向平台和基站传输当前状态信息数据。具有加标及配标前推空管口部分与空气接触的母液的功能，避免变质母液影响测量结果。</w:t>
            </w:r>
          </w:p>
          <w:p w14:paraId="78C49F7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1.9 具有流程日志记录功能，直观反映仪器的工作进度及健康状态，提供了问题溯源的依据。</w:t>
            </w:r>
          </w:p>
          <w:p w14:paraId="26558EA2">
            <w:pPr>
              <w:widowControl w:val="0"/>
              <w:spacing w:line="400" w:lineRule="exact"/>
              <w:jc w:val="both"/>
              <w:rPr>
                <w:rFonts w:ascii="宋体" w:hAnsi="宋体" w:cs="宋体"/>
                <w:b/>
                <w:bCs/>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（四）站房建设及改建单元</w:t>
            </w:r>
          </w:p>
          <w:p w14:paraId="046E2A31">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1.按</w:t>
            </w:r>
            <w:r>
              <w:rPr>
                <w:rFonts w:hint="eastAsia" w:ascii="宋体" w:cs="宋体"/>
                <w:color w:val="000000" w:themeColor="text1"/>
                <w:szCs w:val="21"/>
                <w:highlight w:val="none"/>
                <w:lang w:val="en-US" w:eastAsia="zh-CN" w:bidi="ar"/>
                <w14:textFill>
                  <w14:solidFill>
                    <w14:schemeClr w14:val="tx1"/>
                  </w14:solidFill>
                </w14:textFill>
              </w:rPr>
              <w:t>采购</w:t>
            </w:r>
            <w:r>
              <w:rPr>
                <w:rFonts w:hint="eastAsia" w:ascii="宋体" w:hAnsi="宋体" w:cs="宋体"/>
                <w:color w:val="000000" w:themeColor="text1"/>
                <w:szCs w:val="21"/>
                <w:highlight w:val="none"/>
                <w:lang w:bidi="ar"/>
                <w14:textFill>
                  <w14:solidFill>
                    <w14:schemeClr w14:val="tx1"/>
                  </w14:solidFill>
                </w14:textFill>
              </w:rPr>
              <w:t>方要求，提供</w:t>
            </w:r>
            <w:r>
              <w:rPr>
                <w:rFonts w:hint="eastAsia" w:ascii="宋体" w:hAnsi="宋体" w:eastAsia="宋体" w:cs="宋体"/>
                <w:color w:val="000000" w:themeColor="text1"/>
                <w:szCs w:val="21"/>
                <w:highlight w:val="none"/>
                <w:lang w:val="en-US" w:eastAsia="zh-CN" w:bidi="ar"/>
                <w14:textFill>
                  <w14:solidFill>
                    <w14:schemeClr w14:val="tx1"/>
                  </w14:solidFill>
                </w14:textFill>
              </w:rPr>
              <w:t>恭城河口水站</w:t>
            </w:r>
            <w:r>
              <w:rPr>
                <w:rFonts w:hint="eastAsia" w:ascii="宋体" w:hAnsi="宋体" w:cs="宋体"/>
                <w:color w:val="000000" w:themeColor="text1"/>
                <w:szCs w:val="21"/>
                <w:highlight w:val="none"/>
                <w:lang w:bidi="ar"/>
                <w14:textFill>
                  <w14:solidFill>
                    <w14:schemeClr w14:val="tx1"/>
                  </w14:solidFill>
                </w14:textFill>
              </w:rPr>
              <w:t>站房（15-20平米）</w:t>
            </w:r>
            <w:r>
              <w:rPr>
                <w:rFonts w:hint="eastAsia" w:ascii="宋体" w:cs="宋体"/>
                <w:color w:val="000000" w:themeColor="text1"/>
                <w:szCs w:val="21"/>
                <w:highlight w:val="none"/>
                <w:lang w:val="en-US" w:eastAsia="zh-CN" w:bidi="ar"/>
                <w14:textFill>
                  <w14:solidFill>
                    <w14:schemeClr w14:val="tx1"/>
                  </w14:solidFill>
                </w14:textFill>
              </w:rPr>
              <w:t>和翻新</w:t>
            </w:r>
            <w:r>
              <w:rPr>
                <w:rFonts w:hint="eastAsia" w:ascii="宋体" w:hAnsi="宋体" w:eastAsia="宋体" w:cs="宋体"/>
                <w:color w:val="000000" w:themeColor="text1"/>
                <w:szCs w:val="21"/>
                <w:highlight w:val="none"/>
                <w:lang w:val="en-US" w:eastAsia="zh-CN" w:bidi="ar"/>
                <w14:textFill>
                  <w14:solidFill>
                    <w14:schemeClr w14:val="tx1"/>
                  </w14:solidFill>
                </w14:textFill>
              </w:rPr>
              <w:t>水库出水口水站</w:t>
            </w:r>
            <w:r>
              <w:rPr>
                <w:rFonts w:hint="eastAsia" w:ascii="宋体" w:cs="宋体"/>
                <w:color w:val="000000" w:themeColor="text1"/>
                <w:szCs w:val="21"/>
                <w:highlight w:val="none"/>
                <w:lang w:val="en-US" w:eastAsia="zh-CN" w:bidi="ar"/>
                <w14:textFill>
                  <w14:solidFill>
                    <w14:schemeClr w14:val="tx1"/>
                  </w14:solidFill>
                </w14:textFill>
              </w:rPr>
              <w:t>固定</w:t>
            </w:r>
            <w:r>
              <w:rPr>
                <w:rFonts w:hint="eastAsia" w:ascii="宋体" w:hAnsi="宋体" w:cs="宋体"/>
                <w:color w:val="000000" w:themeColor="text1"/>
                <w:szCs w:val="21"/>
                <w:highlight w:val="none"/>
                <w:lang w:bidi="ar"/>
                <w14:textFill>
                  <w14:solidFill>
                    <w14:schemeClr w14:val="tx1"/>
                  </w14:solidFill>
                </w14:textFill>
              </w:rPr>
              <w:t>站房，完成“四通一平”，所产生的一切费用由</w:t>
            </w:r>
            <w:r>
              <w:rPr>
                <w:rFonts w:hint="eastAsia" w:ascii="宋体" w:hAnsi="宋体" w:eastAsia="宋体" w:cs="宋体"/>
                <w:color w:val="000000" w:themeColor="text1"/>
                <w:szCs w:val="21"/>
                <w:highlight w:val="none"/>
                <w:lang w:val="en-US" w:eastAsia="zh-CN" w:bidi="ar"/>
                <w14:textFill>
                  <w14:solidFill>
                    <w14:schemeClr w14:val="tx1"/>
                  </w14:solidFill>
                </w14:textFill>
              </w:rPr>
              <w:t>采购</w:t>
            </w:r>
            <w:r>
              <w:rPr>
                <w:rFonts w:hint="eastAsia" w:ascii="宋体" w:hAnsi="宋体" w:cs="宋体"/>
                <w:color w:val="000000" w:themeColor="text1"/>
                <w:szCs w:val="21"/>
                <w:highlight w:val="none"/>
                <w:lang w:bidi="ar"/>
                <w14:textFill>
                  <w14:solidFill>
                    <w14:schemeClr w14:val="tx1"/>
                  </w14:solidFill>
                </w14:textFill>
              </w:rPr>
              <w:t>方负责</w:t>
            </w:r>
            <w:r>
              <w:rPr>
                <w:rFonts w:hint="eastAsia" w:ascii="宋体" w:cs="宋体"/>
                <w:color w:val="000000" w:themeColor="text1"/>
                <w:szCs w:val="21"/>
                <w:highlight w:val="none"/>
                <w:lang w:eastAsia="zh-CN" w:bidi="ar"/>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保证水站仪器设备长期、稳定运行</w:t>
            </w:r>
            <w:r>
              <w:rPr>
                <w:rFonts w:hint="eastAsia" w:ascii="宋体" w:cs="宋体"/>
                <w:color w:val="000000" w:themeColor="text1"/>
                <w:szCs w:val="21"/>
                <w:highlight w:val="none"/>
                <w:lang w:eastAsia="zh-CN" w:bidi="ar"/>
                <w14:textFill>
                  <w14:solidFill>
                    <w14:schemeClr w14:val="tx1"/>
                  </w14:solidFill>
                </w14:textFill>
              </w:rPr>
              <w:t>。</w:t>
            </w:r>
            <w:r>
              <w:rPr>
                <w:rFonts w:hint="eastAsia" w:ascii="宋体" w:hAnsi="宋体" w:cs="宋体"/>
                <w:color w:val="000000" w:themeColor="text1"/>
                <w:szCs w:val="21"/>
                <w:highlight w:val="none"/>
                <w:lang w:bidi="ar"/>
                <w14:textFill>
                  <w14:solidFill>
                    <w14:schemeClr w14:val="tx1"/>
                  </w14:solidFill>
                </w14:textFill>
              </w:rPr>
              <w:t>站房地面有排水孔的方向有一定的坡度，可使室内积水排出。仪器间内设有专用清洁水源管道，接口总管径不小于DN20，并装有截止阀。完成防雷检测，并出具检测报告。</w:t>
            </w:r>
          </w:p>
          <w:p w14:paraId="754CD96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2.供电:选用三相五线制进线，安装三相交流稳压器，配电箱。照明电、机泵用电、仪器、仪表控制柜用电分相使用。</w:t>
            </w:r>
          </w:p>
          <w:p w14:paraId="3D4C8858">
            <w:pPr>
              <w:widowControl w:val="0"/>
              <w:spacing w:line="400" w:lineRule="exact"/>
              <w:jc w:val="both"/>
              <w:rPr>
                <w:rFonts w:hint="eastAsia"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3.给水(自来水)排水:站房引入市政自来水，水质和水压满足市政用水要求。如果没有自来水可抽取井水作为给水，必须经预处理后，满足制取纯水的要求。如果不满足给水，需配置水桶，定期储水，满足水站运行用水。系统排水在墙角设置直径75毫米地漏，通往外面有足够的储水空间或返回河流。</w:t>
            </w:r>
          </w:p>
          <w:p w14:paraId="271C5615">
            <w:pPr>
              <w:widowControl w:val="0"/>
              <w:spacing w:line="400" w:lineRule="exact"/>
              <w:jc w:val="both"/>
              <w:rPr>
                <w:rFonts w:hint="eastAsia" w:ascii="宋体" w:cs="宋体"/>
                <w:color w:val="000000" w:themeColor="text1"/>
                <w:szCs w:val="21"/>
                <w:highlight w:val="none"/>
                <w:lang w:val="en-US" w:eastAsia="zh-CN"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4.按消防标准配备七氟丙烷灭火器，使用防火材料，加强消防安全。</w:t>
            </w:r>
          </w:p>
          <w:p w14:paraId="4F91C9E7">
            <w:pPr>
              <w:widowControl w:val="0"/>
              <w:spacing w:line="400" w:lineRule="exact"/>
              <w:jc w:val="both"/>
              <w:rPr>
                <w:rFonts w:hint="eastAsia" w:ascii="宋体" w:cs="宋体"/>
                <w:color w:val="000000" w:themeColor="text1"/>
                <w:szCs w:val="21"/>
                <w:highlight w:val="none"/>
                <w:lang w:val="en-US" w:eastAsia="zh-CN"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5.新建站点配备1台2P空调，空调具备来电自启功能。</w:t>
            </w:r>
          </w:p>
          <w:p w14:paraId="5CE39BB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6</w:t>
            </w:r>
            <w:r>
              <w:rPr>
                <w:rFonts w:hint="eastAsia" w:ascii="宋体" w:hAnsi="宋体" w:cs="宋体"/>
                <w:color w:val="000000" w:themeColor="text1"/>
                <w:szCs w:val="21"/>
                <w:highlight w:val="none"/>
                <w:lang w:bidi="ar"/>
                <w14:textFill>
                  <w14:solidFill>
                    <w14:schemeClr w14:val="tx1"/>
                  </w14:solidFill>
                </w14:textFill>
              </w:rPr>
              <w:t>.站房灯具安装以保证操作人员工作时有足够的亮度，开关位置应方便使用。</w:t>
            </w:r>
          </w:p>
          <w:p w14:paraId="34E300A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7</w:t>
            </w:r>
            <w:r>
              <w:rPr>
                <w:rFonts w:hint="eastAsia" w:ascii="宋体" w:hAnsi="宋体" w:cs="宋体"/>
                <w:color w:val="000000" w:themeColor="text1"/>
                <w:szCs w:val="21"/>
                <w:highlight w:val="none"/>
                <w:lang w:bidi="ar"/>
                <w14:textFill>
                  <w14:solidFill>
                    <w14:schemeClr w14:val="tx1"/>
                  </w14:solidFill>
                </w14:textFill>
              </w:rPr>
              <w:t>.站房应依照《民用建筑电气设计规范》(GB51348-2019)的要求制作保护地线，用于机柜、仪器外壳等的接地保护，接地电阻应小于4欧姆。</w:t>
            </w:r>
          </w:p>
          <w:p w14:paraId="2931751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8</w:t>
            </w:r>
            <w:r>
              <w:rPr>
                <w:rFonts w:hint="eastAsia" w:ascii="宋体" w:hAnsi="宋体" w:cs="宋体"/>
                <w:color w:val="000000" w:themeColor="text1"/>
                <w:szCs w:val="21"/>
                <w:highlight w:val="none"/>
                <w:lang w:bidi="ar"/>
                <w14:textFill>
                  <w14:solidFill>
                    <w14:schemeClr w14:val="tx1"/>
                  </w14:solidFill>
                </w14:textFill>
              </w:rPr>
              <w:t>.装修时管、电线布置尽量美观;站房顶部及四周需安装线槽，电线沿线槽走。</w:t>
            </w:r>
          </w:p>
          <w:p w14:paraId="11D94440">
            <w:pPr>
              <w:widowControl w:val="0"/>
              <w:spacing w:line="400" w:lineRule="exact"/>
              <w:jc w:val="both"/>
              <w:rPr>
                <w:rFonts w:hint="eastAsia" w:ascii="宋体" w:hAnsi="宋体" w:cs="宋体"/>
                <w:color w:val="000000" w:themeColor="text1"/>
                <w:szCs w:val="21"/>
                <w:highlight w:val="none"/>
                <w:lang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9</w:t>
            </w:r>
            <w:r>
              <w:rPr>
                <w:rFonts w:hint="eastAsia" w:ascii="宋体" w:hAnsi="宋体" w:cs="宋体"/>
                <w:color w:val="000000" w:themeColor="text1"/>
                <w:szCs w:val="21"/>
                <w:highlight w:val="none"/>
                <w:lang w:bidi="ar"/>
                <w14:textFill>
                  <w14:solidFill>
                    <w14:schemeClr w14:val="tx1"/>
                  </w14:solidFill>
                </w14:textFill>
              </w:rPr>
              <w:t>.站房内应配置工作桌、椅，满足日常办公需要。</w:t>
            </w:r>
          </w:p>
          <w:p w14:paraId="0D9895B7">
            <w:pPr>
              <w:widowControl w:val="0"/>
              <w:spacing w:line="400" w:lineRule="exact"/>
              <w:jc w:val="both"/>
              <w:rPr>
                <w:rFonts w:hint="eastAsia" w:ascii="宋体" w:hAnsi="宋体" w:eastAsia="仿宋_GB2312" w:cs="宋体"/>
                <w:i w:val="0"/>
                <w:iCs w:val="0"/>
                <w:snapToGrid/>
                <w:color w:val="000000" w:themeColor="text1"/>
                <w:kern w:val="0"/>
                <w:sz w:val="32"/>
                <w:szCs w:val="21"/>
                <w:highlight w:val="none"/>
                <w:u w:val="none"/>
                <w:lang w:eastAsia="zh-CN" w:bidi="ar"/>
                <w14:textFill>
                  <w14:solidFill>
                    <w14:schemeClr w14:val="tx1"/>
                  </w14:solidFill>
                </w14:textFill>
              </w:rPr>
            </w:pPr>
            <w:r>
              <w:rPr>
                <w:rFonts w:hint="eastAsia" w:ascii="宋体" w:cs="宋体"/>
                <w:color w:val="000000" w:themeColor="text1"/>
                <w:szCs w:val="21"/>
                <w:highlight w:val="none"/>
                <w:lang w:val="en-US" w:eastAsia="zh-CN" w:bidi="ar"/>
                <w14:textFill>
                  <w14:solidFill>
                    <w14:schemeClr w14:val="tx1"/>
                  </w14:solidFill>
                </w14:textFill>
              </w:rPr>
              <w:t>10.固定站房翻新要求：根据采购方要求，根据采购方要求，对固定站房进行翻新。包括但不限于内外墙补漏、刷漆；站房外部安装雨棚；水、电、网络、照明的布设；配置室内配电箱、电表；更换损坏门窗及五金等；站房内所有旧设备的搬迁；辅助设备更新(包括更新2台3P柜式空调、消防设施、防雷设施等)。</w:t>
            </w:r>
          </w:p>
          <w:p w14:paraId="2BDF557F">
            <w:pPr>
              <w:rPr>
                <w:color w:val="000000" w:themeColor="text1"/>
                <w:highlight w:val="none"/>
                <w14:textFill>
                  <w14:solidFill>
                    <w14:schemeClr w14:val="tx1"/>
                  </w14:solidFill>
                </w14:textFill>
              </w:rPr>
            </w:pPr>
          </w:p>
          <w:p w14:paraId="7B17E9EB">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（五）智慧站房系统技术要求</w:t>
            </w:r>
          </w:p>
          <w:p w14:paraId="5B25A2F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智慧站房系统集成站房动力监控、环境监控、视频监控等设备，通过对室内温度湿度、视频、动力环境（站房电流电压）、水浸、烟雾等进行监控，实现对站房环境、仪器设备等智能操作、监控等管理。对五参数设备自动清洗、五参数自动核查、水样液位观察、纯水液位、废液液位等实时可视化视频监控。</w:t>
            </w:r>
          </w:p>
          <w:p w14:paraId="52B6D9A4">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1.便携式数据处理器实时监控，远程掌握站房情况</w:t>
            </w:r>
          </w:p>
          <w:p w14:paraId="14F9D65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1.1每个站点配置1台便携式数据处理终端，共</w:t>
            </w:r>
            <w:r>
              <w:rPr>
                <w:rFonts w:hint="eastAsia" w:ascii="宋体" w:cs="宋体"/>
                <w:color w:val="000000" w:themeColor="text1"/>
                <w:szCs w:val="21"/>
                <w:highlight w:val="none"/>
                <w:lang w:val="en-US" w:eastAsia="zh-CN" w:bidi="ar"/>
                <w14:textFill>
                  <w14:solidFill>
                    <w14:schemeClr w14:val="tx1"/>
                  </w14:solidFill>
                </w14:textFill>
              </w:rPr>
              <w:t>2</w:t>
            </w:r>
            <w:r>
              <w:rPr>
                <w:rFonts w:hint="eastAsia" w:ascii="宋体" w:hAnsi="宋体" w:cs="宋体"/>
                <w:color w:val="000000" w:themeColor="text1"/>
                <w:szCs w:val="21"/>
                <w:highlight w:val="none"/>
                <w:lang w:bidi="ar"/>
                <w14:textFill>
                  <w14:solidFill>
                    <w14:schemeClr w14:val="tx1"/>
                  </w14:solidFill>
                </w14:textFill>
              </w:rPr>
              <w:t>台（配置便携式数据处理终端（i7处理器以上/16G内存以上/2T SSD以上/独立显卡并带独立展示屏/内置无线网卡（流量卡）插槽/具备外接多端口（USB3.0、USB2.0、HDMI、网口等）。</w:t>
            </w:r>
          </w:p>
          <w:p w14:paraId="7442ACB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1.2通过便携式数据处理器设备，可实现对站房环境参数监测数据远程查看。当环境参数监测数据发生异常，能主动提示日志信息，显示明显告警状态。另外，现场发生异常时，触发监控摄像机实现自动拍照及录像，也可实时通过监控画面查看站房内环境详情，实时查看站点的异常情况。维护人员采用便携式数据处理器实时掌握现场情况，及时进行针对性的人工维护，有效减少异常情况对于在线监测系统正常运行的影响，有效保障水质在线监测系统的数据有效率。</w:t>
            </w:r>
          </w:p>
          <w:p w14:paraId="2EEC4B9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b/>
                <w:bCs/>
                <w:color w:val="000000" w:themeColor="text1"/>
                <w:szCs w:val="21"/>
                <w:highlight w:val="none"/>
                <w:lang w:bidi="ar"/>
                <w14:textFill>
                  <w14:solidFill>
                    <w14:schemeClr w14:val="tx1"/>
                  </w14:solidFill>
                </w14:textFill>
              </w:rPr>
              <w:t>2.视频监控</w:t>
            </w:r>
          </w:p>
          <w:p w14:paraId="508341F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2.1视频终端：</w:t>
            </w:r>
          </w:p>
          <w:p w14:paraId="030BF2F4">
            <w:pPr>
              <w:widowControl w:val="0"/>
              <w:spacing w:line="400" w:lineRule="exact"/>
              <w:jc w:val="both"/>
              <w:rPr>
                <w:rFonts w:hint="eastAsia"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2.1.1 自动站装备站房内监控摄像机和站房进出口人脸识别摄像机等视频终端的，应统筹使用，避免重复建设。在覆盖范围上，视频监控原则上要能覆盖断面采水区域、采水口、采水管路、站房、上游≥100米河道及两边岸线、下游≥100米河道及两边岸线等所有需要重点监管的区域。电子围栏要具备7×24小时的无死角、全覆盖、可视化的监控。</w:t>
            </w:r>
          </w:p>
          <w:p w14:paraId="2F0C1E23">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cs="宋体"/>
                <w:color w:val="000000" w:themeColor="text1"/>
                <w:szCs w:val="21"/>
                <w:highlight w:val="none"/>
                <w:lang w:val="en-US" w:eastAsia="zh-CN" w:bidi="ar"/>
                <w14:textFill>
                  <w14:solidFill>
                    <w14:schemeClr w14:val="tx1"/>
                  </w14:solidFill>
                </w14:textFill>
              </w:rPr>
              <w:t>1</w:t>
            </w:r>
            <w:r>
              <w:rPr>
                <w:rFonts w:hint="eastAsia" w:ascii="宋体" w:hAnsi="宋体" w:cs="宋体"/>
                <w:color w:val="000000" w:themeColor="text1"/>
                <w:szCs w:val="21"/>
                <w:highlight w:val="none"/>
                <w:lang w:bidi="ar"/>
                <w14:textFill>
                  <w14:solidFill>
                    <w14:schemeClr w14:val="tx1"/>
                  </w14:solidFill>
                </w14:textFill>
              </w:rPr>
              <w:t>.2取水点摄像机功能：通过视频监控设置两级电子围栏，取水点摄像头AI图像识别应支持如下基本要求：</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cs="宋体"/>
                <w:color w:val="000000" w:themeColor="text1"/>
                <w:szCs w:val="21"/>
                <w:highlight w:val="none"/>
                <w14:textFill>
                  <w14:solidFill>
                    <w14:schemeClr w14:val="tx1"/>
                  </w14:solidFill>
                </w14:textFill>
              </w:rPr>
              <w:t>】</w:t>
            </w:r>
          </w:p>
          <w:p w14:paraId="52C675E9">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①监控区域内存在人员落水；</w:t>
            </w:r>
          </w:p>
          <w:p w14:paraId="151A2B0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②采水装置不在二级电子围栏区域内；</w:t>
            </w:r>
          </w:p>
          <w:p w14:paraId="00CD28C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③一级电子围栏区域内存在1分钟以上的人员/船只作业；一级电子围栏（采水装置1米）外二级电子围栏内，有船只/异物/漂浮物通过；一级电子围栏外2级电子围栏内存在人员活动</w:t>
            </w:r>
          </w:p>
          <w:p w14:paraId="4E2C124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④采水装置存在4小时以上被异物牵挂；</w:t>
            </w:r>
          </w:p>
          <w:p w14:paraId="2AFE264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⑤采水装置搁浅；</w:t>
            </w:r>
          </w:p>
          <w:p w14:paraId="124AC724">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⑥一级电子围栏内存在水质颜色突变的情况；</w:t>
            </w:r>
          </w:p>
          <w:p w14:paraId="7ECFA45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⑦监控装置存在异物遮挡；</w:t>
            </w:r>
          </w:p>
          <w:p w14:paraId="35F77F3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⑧监控装置存在花屏、白屏、黑屏、画质模糊、视频掉线等故障情况；</w:t>
            </w:r>
          </w:p>
          <w:p w14:paraId="2B2F220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⑨采水装置存在爆气装置；</w:t>
            </w:r>
          </w:p>
          <w:p w14:paraId="162B41E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⑩视频监控偏离预定区域，监控区域内存在暴雨；</w:t>
            </w:r>
          </w:p>
          <w:p w14:paraId="5A1CBC7B">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w:t>
            </w:r>
            <w:r>
              <w:rPr>
                <w:rFonts w:hint="eastAsia" w:ascii="宋体" w:cs="宋体"/>
                <w:color w:val="000000" w:themeColor="text1"/>
                <w:szCs w:val="21"/>
                <w:highlight w:val="none"/>
                <w:lang w:val="en-US" w:eastAsia="zh-CN" w:bidi="ar"/>
                <w14:textFill>
                  <w14:solidFill>
                    <w14:schemeClr w14:val="tx1"/>
                  </w14:solidFill>
                </w14:textFill>
              </w:rPr>
              <w:t>1</w:t>
            </w:r>
            <w:r>
              <w:rPr>
                <w:rFonts w:hint="eastAsia" w:ascii="宋体" w:hAnsi="宋体" w:cs="宋体"/>
                <w:color w:val="000000" w:themeColor="text1"/>
                <w:szCs w:val="21"/>
                <w:highlight w:val="none"/>
                <w:lang w:bidi="ar"/>
                <w14:textFill>
                  <w14:solidFill>
                    <w14:schemeClr w14:val="tx1"/>
                  </w14:solidFill>
                </w14:textFill>
              </w:rPr>
              <w:t>.</w:t>
            </w:r>
            <w:r>
              <w:rPr>
                <w:rFonts w:hint="eastAsia" w:ascii="宋体" w:cs="宋体"/>
                <w:color w:val="000000" w:themeColor="text1"/>
                <w:szCs w:val="21"/>
                <w:highlight w:val="none"/>
                <w:lang w:val="en-US" w:eastAsia="zh-CN" w:bidi="ar"/>
                <w14:textFill>
                  <w14:solidFill>
                    <w14:schemeClr w14:val="tx1"/>
                  </w14:solidFill>
                </w14:textFill>
              </w:rPr>
              <w:t>3</w:t>
            </w:r>
            <w:r>
              <w:rPr>
                <w:rFonts w:hint="eastAsia" w:ascii="宋体" w:hAnsi="宋体" w:cs="宋体"/>
                <w:color w:val="000000" w:themeColor="text1"/>
                <w:szCs w:val="21"/>
                <w:highlight w:val="none"/>
                <w:lang w:bidi="ar"/>
                <w14:textFill>
                  <w14:solidFill>
                    <w14:schemeClr w14:val="tx1"/>
                  </w14:solidFill>
                </w14:textFill>
              </w:rPr>
              <w:t xml:space="preserve"> 在视频终端设备选型方面，高点监控设备主视频分辨率不低于2560×1440，可提供高清画面质量，光学变焦大于等于40倍，可实现远距离的物体放大观察；低点监控设备要求具有400万及以上像素CMOS传感器，可获得清晰的图像细节，分辨率不小于2560×1440，光学变焦大于等于40倍，满足细节监管的需求。</w:t>
            </w:r>
          </w:p>
          <w:p w14:paraId="5B3B6710">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 视频监控单元功能要求：</w:t>
            </w:r>
          </w:p>
          <w:p w14:paraId="68906F1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2.2.1 实时监控功能：可实现24小时不间断监控，实时获取监控区域内清晰的监控图像。具有手机远程监控功能。</w:t>
            </w:r>
          </w:p>
          <w:p w14:paraId="477235DF">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2.2.2 云台操作功能：可实现全方位、多视角、无盲区、全天候式监控。</w:t>
            </w:r>
          </w:p>
          <w:p w14:paraId="45A0F3B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2.2.3 录像存储功能：满足大容量多通道并发的中心存储需要，存储至少满足60天的存储能力。</w:t>
            </w:r>
          </w:p>
          <w:p w14:paraId="3E8B0F6C">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2.2.4 语音监听功能。</w:t>
            </w:r>
          </w:p>
          <w:p w14:paraId="470B580D">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2.2.5 远程维护功能：可通过平台软件对前端设备进行校时、重启、修正参数、软件升级、远程维护等操作。</w:t>
            </w:r>
          </w:p>
          <w:p w14:paraId="7503CAC6">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 视频监控设备布设要求：</w:t>
            </w:r>
          </w:p>
          <w:p w14:paraId="431794B8">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至少在站房外取水口、站房外、站房仪器室三处位置安装视频监控设备。满足2.1视频终端技术要求的情况下，可统筹利用原有视频监控设备。</w:t>
            </w:r>
          </w:p>
          <w:p w14:paraId="7F1A155A">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2.3.1 站房外取水口（至少1台高清球机）：安装在靠近取水口岸边，并考虑50年一遇的防洪要求，用于监控取水口及站房周边情况。监控设备可水平360度旋转。</w:t>
            </w:r>
          </w:p>
          <w:p w14:paraId="01113967">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2.3.2 站房进门处（至少1台高清摄像头）：安装在站房进门处，用以监控站房的出入情况。监控设备应配置枪机，固定监控视角。可监控站房周围环境,视频照射距离≥200m。</w:t>
            </w:r>
          </w:p>
          <w:p w14:paraId="3566540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2.3.3 站房仪表间（至少1台高清球机）：安装在仪器设备集成机柜正面墙壁上，用于监控仪表间内部设备运行情况，固定监控视角且范围可覆盖仪器室内部所有仪器设备,视频照射距离≥30m。监控设备可水平360度旋转。</w:t>
            </w:r>
          </w:p>
          <w:p w14:paraId="0E77FC72">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2.3.4 视频监控系统具备断电自启功能。</w:t>
            </w:r>
          </w:p>
          <w:p w14:paraId="2616114E">
            <w:pPr>
              <w:widowControl w:val="0"/>
              <w:spacing w:line="400" w:lineRule="exact"/>
              <w:jc w:val="both"/>
              <w:rPr>
                <w:rFonts w:ascii="宋体" w:hAnsi="宋体" w:cs="宋体"/>
                <w:color w:val="000000" w:themeColor="text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2.3.5 高清网络摄像机应选用可接驳符合ONVIF、PSLA、RTSP标准及众多主流厂商的网络摄像机；支持不低于400万像素高清网络视频的预览、存储和回放；支持IPC集中管理；支持智能搜索、回放及备份。</w:t>
            </w:r>
          </w:p>
          <w:p w14:paraId="2E6311C7">
            <w:pPr>
              <w:rPr>
                <w:color w:val="000000" w:themeColor="text1"/>
                <w:highlight w:val="none"/>
                <w14:textFill>
                  <w14:solidFill>
                    <w14:schemeClr w14:val="tx1"/>
                  </w14:solidFill>
                </w14:textFill>
              </w:rPr>
            </w:pPr>
          </w:p>
          <w:p w14:paraId="7F3B974C">
            <w:pPr>
              <w:widowControl w:val="0"/>
              <w:spacing w:line="400" w:lineRule="exact"/>
              <w:jc w:val="both"/>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（六）系统集成技术要求</w:t>
            </w:r>
          </w:p>
          <w:p w14:paraId="181B2D9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通用技术要求</w:t>
            </w:r>
          </w:p>
          <w:p w14:paraId="794BA5AF">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1.1具有仪器及系统运行周期（连续或间歇）设置功能，至少具备常规、应急、质控等多种运行模式。</w:t>
            </w:r>
          </w:p>
          <w:p w14:paraId="0FCBC3F9">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 系统集成管路具备断电再度通电后自动排空水样、自动清洗管路、自动复位到待机状态的功能。</w:t>
            </w:r>
          </w:p>
          <w:p w14:paraId="4AF87D82">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 具有异常信息记录、上传功能，如采水故障、部件故障、超量程报警、超标报警、缺试剂报警、仪器内部异常报警（电极异常、光源异常等）信息，对系统过程的关键节点有记录，满足系统数据溯源的要求。</w:t>
            </w:r>
          </w:p>
          <w:p w14:paraId="1FD1F27F">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 具有仪器关键参数上传、远程设置功能，能接受远程控制指令。</w:t>
            </w:r>
          </w:p>
          <w:p w14:paraId="2B8D7FFC">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 能够按照设定周期或远程接受指令，实现五参数分析仪器进行自动标样核查及校准，高锰酸盐指数、氨氮、总磷和总氮水质自动分析仪器进行标样自动核查、自动加标回收率测试、多点线性核查等质控功能以及在异常情况下自动留样功能。【</w:t>
            </w:r>
            <w:r>
              <w:rPr>
                <w:rFonts w:hint="eastAsia" w:ascii="宋体" w:hAnsi="宋体" w:eastAsia="宋体" w:cs="宋体"/>
                <w:color w:val="000000" w:themeColor="text1"/>
                <w:szCs w:val="21"/>
                <w:highlight w:val="none"/>
                <w:lang w:val="en-US" w:eastAsia="zh-CN"/>
                <w14:textFill>
                  <w14:solidFill>
                    <w14:schemeClr w14:val="tx1"/>
                  </w14:solidFill>
                </w14:textFill>
              </w:rPr>
              <w:t>投</w:t>
            </w:r>
            <w:r>
              <w:rPr>
                <w:rFonts w:hint="eastAsia" w:ascii="宋体" w:hAnsi="宋体" w:eastAsia="宋体" w:cs="宋体"/>
                <w:color w:val="000000" w:themeColor="text1"/>
                <w:szCs w:val="21"/>
                <w:highlight w:val="none"/>
                <w:lang w:eastAsia="zh-CN"/>
                <w14:textFill>
                  <w14:solidFill>
                    <w14:schemeClr w14:val="tx1"/>
                  </w14:solidFill>
                </w14:textFill>
              </w:rPr>
              <w:t>标时需提供相关证明材料，包括但不限于彩页、官网和功能截图等，</w:t>
            </w:r>
            <w:r>
              <w:rPr>
                <w:rFonts w:hint="eastAsia" w:ascii="宋体" w:hAnsi="宋体" w:eastAsia="宋体" w:cs="宋体"/>
                <w:color w:val="000000" w:themeColor="text1"/>
                <w:szCs w:val="21"/>
                <w:highlight w:val="none"/>
                <w:lang w:val="en-US" w:eastAsia="zh-CN"/>
                <w14:textFill>
                  <w14:solidFill>
                    <w14:schemeClr w14:val="tx1"/>
                  </w14:solidFill>
                </w14:textFill>
              </w:rPr>
              <w:t>并加盖供应商单位公章，否则投标无效</w:t>
            </w:r>
            <w:r>
              <w:rPr>
                <w:rFonts w:hint="eastAsia" w:ascii="宋体" w:hAnsi="宋体" w:cs="宋体"/>
                <w:color w:val="000000" w:themeColor="text1"/>
                <w:szCs w:val="21"/>
                <w:highlight w:val="none"/>
                <w14:textFill>
                  <w14:solidFill>
                    <w14:schemeClr w14:val="tx1"/>
                  </w14:solidFill>
                </w14:textFill>
              </w:rPr>
              <w:t>】</w:t>
            </w:r>
          </w:p>
          <w:p w14:paraId="11BF56C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 确保仪器、系统运行的监测数据和状态信息等稳定传输。</w:t>
            </w:r>
          </w:p>
          <w:p w14:paraId="3C7DF92A">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 系统应具有良好的扩展性和兼容性，根据实际应用需要，可增加新的监测参数，并方便仪器安装与接入。</w:t>
            </w:r>
          </w:p>
          <w:p w14:paraId="41F0C91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 控制单元具有三级管理权限，根据登录用户的权限，调取权限范围内的操作功能，如查看数据、参数设置、网络设置、单点控制等，并同步记录所有操作日志；</w:t>
            </w:r>
          </w:p>
          <w:p w14:paraId="0568F1E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 所选管材机械强度及化学稳定性好、使用寿命长、便于安装维护，不会对水质造成影响；管路内径、压力、流量、流速满足仪器分析需要，并留有余量。</w:t>
            </w:r>
          </w:p>
          <w:p w14:paraId="3417B073">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1.10 具有水样预处理功能，满足仪器分析测试需要；</w:t>
            </w:r>
          </w:p>
          <w:p w14:paraId="0FF7127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1.11 针对不同水质情况（浊度、泥沙、色度等），控制系统满足复杂水样的监测要求，具有抗浊度模式、抗色度模式、抗泥沙模式等，并可一键配置，还可以灵活修改配置PLC的流程参数（如采水时间、沉降时间、清洗时间等）；</w:t>
            </w:r>
          </w:p>
          <w:p w14:paraId="3DBB83D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1.12 具有良好的防雷抗干扰能力，符合抗电磁辐射、电磁感应的相关规定，具备电源隔离和信号隔离措施。可提供水站运行的点位软件及可视化监控界面，并支持画面手动控制、参数设置、数据和报表显示，历史数据检索等功能；</w:t>
            </w:r>
          </w:p>
          <w:p w14:paraId="3D55293C">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1.13 集成系统需能连接智慧化站房，采集汇聚的多源数据，选定数据策略，开展高通量数据传输、数据接入、数据存储、数据监控、数据处理、数据挖掘、数据更新、数据共享服务和运维管理，构建统一数据资源管理、统一数据目录管理、统一数据共享交换能力，实现对内进行数据治理整合，对外进行数据获取和共享交换，全面支撑对智慧监管工作。</w:t>
            </w:r>
          </w:p>
          <w:p w14:paraId="320138B7">
            <w:pPr>
              <w:widowControl w:val="0"/>
              <w:spacing w:line="400" w:lineRule="exact"/>
              <w:jc w:val="both"/>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 采配水单元技术要求</w:t>
            </w:r>
          </w:p>
          <w:p w14:paraId="3DC645F8">
            <w:pPr>
              <w:widowControl w:val="0"/>
              <w:spacing w:line="400" w:lineRule="exact"/>
              <w:jc w:val="both"/>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2.1 采水单元技术要求</w:t>
            </w:r>
          </w:p>
          <w:p w14:paraId="4C07D14E">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2.1.1</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单元应结合现场水文、地质条件确定合适的采水方式，符合《地表水水质自动监测站选址与基础设施建设技术要求》(HJ915.1-2024)、《地表水水质自动监测站站房和采水建设规范》（DB45/T2822-2023）、《地表水环境质量监测技术规范》（HJ91.2-2022），保证运行的稳定性、水样的代表性、维护的方便性。</w:t>
            </w:r>
          </w:p>
          <w:p w14:paraId="429509D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2.1.2</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采水单元一般包括采水构筑物、采水泵、采水管道、清洗配套装置、防堵塞装置和保温配套装置。</w:t>
            </w:r>
          </w:p>
          <w:p w14:paraId="27A1A75C">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2.1.3</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采水装置取水口在不影响航道运行的前提下，应尽量靠近河道中泓线；取水口能够随水位变化调整，固定取水深度，同时与水体底部保持足够的距离，防止底质、淤泥对水样监测结果造成影响。</w:t>
            </w:r>
          </w:p>
          <w:p w14:paraId="76698A21">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2.1.4</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装置的吸水口应设在水下0.5～1米范围内，并能够随水位变化适时调整位置，同时与水体底部保持足够的距离，防止底部淤泥对采样水质的影响。做到既能保证采集到具有代表性的水样，又能保证采样单元能连续正常运行。</w:t>
            </w:r>
          </w:p>
          <w:p w14:paraId="15F0C7E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2.1.5</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采水系统应具备双泵/双管路轮换功能，配置双泵/双管路采水，一备一用；可进行自动或手动切换，满足实时不间断监测的要求。</w:t>
            </w:r>
          </w:p>
          <w:p w14:paraId="4662007C">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2.1.6</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管道材质应具有足够的强度，可以承受内压，可预埋保护套管，可选用镀锌钢管或高密度聚乙烯管，回填后应在管路施工铺设线路上做好警示，防止其他施工导致损毁。管道使用年限长、性能可靠、具有极好的化学稳定性，不与水样中被测物产生物力和化学反应，避免污染水样。</w:t>
            </w:r>
          </w:p>
          <w:p w14:paraId="2145BBF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2.1.7</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管道应具有防意外堵塞和方便泥沙沉积后的清洗功能和除藻功能，可以通过清洗水进行自动反冲洗。通过自动阀门切换可以将清洗水和高压振荡空气送至采样头，以消除采样头单向输水运行形成的淤泥，以防藻类生长、聚集和泥沙沉积，在藻类高发时采水单元配置专门防藻除藻结构。</w:t>
            </w:r>
          </w:p>
          <w:p w14:paraId="4910DB1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2.1.8</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管道采用排空设计，使管道内不存水，以防采水管路结冰和藻类孳生，留有比对试验用取水口。</w:t>
            </w:r>
          </w:p>
          <w:p w14:paraId="41A90D9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2.1.9</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采水构筑物建设在航道上时，应确保长期稳定安全运行，不应影响航运；宜在采水构筑物周围设置警示浮球防护圈及航标灯。</w:t>
            </w:r>
          </w:p>
          <w:p w14:paraId="115AAB6A">
            <w:pPr>
              <w:widowControl w:val="0"/>
              <w:spacing w:line="400" w:lineRule="exact"/>
              <w:jc w:val="both"/>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2.1.10</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采水管路回排水口应设置在采水点位下游，与采水点位间的距离应不小于20m，回排水总管公称直径不小于150mm（DN</w:t>
            </w: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 xml:space="preserve"> </w:t>
            </w:r>
            <w:r>
              <w:rPr>
                <w:rFonts w:hint="eastAsia" w:ascii="宋体" w:hAnsi="宋体" w:eastAsia="宋体" w:cs="宋体"/>
                <w:i w:val="0"/>
                <w:iCs w:val="0"/>
                <w:snapToGrid/>
                <w:color w:val="000000" w:themeColor="text1"/>
                <w:kern w:val="2"/>
                <w:sz w:val="21"/>
                <w:szCs w:val="21"/>
                <w:highlight w:val="none"/>
                <w:u w:val="none"/>
                <w:lang w:eastAsia="zh-CN"/>
                <w14:textFill>
                  <w14:solidFill>
                    <w14:schemeClr w14:val="tx1"/>
                  </w14:solidFill>
                </w14:textFill>
              </w:rPr>
              <w:t>150）。</w:t>
            </w:r>
          </w:p>
          <w:p w14:paraId="22EB301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 xml:space="preserve"> 配水及预处理单元技术要求</w:t>
            </w:r>
          </w:p>
          <w:p w14:paraId="11B1A18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配水及预处理单元由水样分配单元、预处理装置及管道等组成。预处理单元应根据国家标准分析方法要求为分析仪器配备相应的预处理装置，常规五参数分析仪使用原水直接分析。</w:t>
            </w:r>
          </w:p>
          <w:p w14:paraId="4742DBA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2.1 配水管路设计合理，流向清晰，便于维护；保证仪器分析测试的水样能代表断面水质情况并满足仪器测试需求；</w:t>
            </w:r>
          </w:p>
          <w:p w14:paraId="7B52531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2配水单元具备自动反清(吹)洗和自动除藻功能，防止菌类和藻类等微生物对样品污染或对系统工作造成不良影响，不能用对环境产生污染的清洗方法；</w:t>
            </w:r>
          </w:p>
          <w:p w14:paraId="61A18C6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2.3 配水主管路采用串联方式，各仪器之间管路采用并联方式，每台仪器从各自的取样杯中取水，任何仪器的配水管路出现故障不能影响其他仪器的测试；</w:t>
            </w:r>
          </w:p>
          <w:p w14:paraId="3BBFFB4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2.4 具备可扩展功能，水站预留不少于4台设备的接水口、排水口以及水样比对实验用的手动取水口；</w:t>
            </w:r>
          </w:p>
          <w:p w14:paraId="298D6BF1">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2.5 能配合系统实现水样自动分配、自动预处理、故障自动报警、关键部件工作状态的显示和反控等功能；</w:t>
            </w:r>
          </w:p>
          <w:p w14:paraId="7E61679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2.6 配水单元的所有操作均可通过控制单元实现，并接受平台端的远程控制；</w:t>
            </w:r>
          </w:p>
          <w:p w14:paraId="6EBAFC2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2.7 所选管材机械强度及化学稳定性好、使用寿命长、便于安装维护，不会对水样水质造成影响；管路内径、压力、流量、流速满足仪器分析需要，并留有余量；</w:t>
            </w:r>
          </w:p>
          <w:p w14:paraId="5FC3C38B">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2.8 除五参数分析仪器使用原水直接分析外，其他仪器根据测试方法要求采用沉降、超声过滤、离心、稀释测量等一种或多种预处理方式。</w:t>
            </w:r>
          </w:p>
          <w:p w14:paraId="45A2568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2.9针对泥沙较大水体、暴雨期间、泄洪、丰水期等浊度影响较大的情况，须有预处理备用管路，并具备自动切换预处理备用管路工作功能，可通过内置或外置等其他方式具备离心功能，转速≥2000r/min。对高锰酸盐指数、氨氮、总磷、总氮仪器抗浊度干扰功能能够达到相应的效果，在水体浊度大于100NTU时，实际水样比对符合《地表水水质自动监测站（常规五参数、COD</w:t>
            </w:r>
            <w:r>
              <w:rPr>
                <w:rFonts w:hint="eastAsia" w:ascii="宋体" w:hAnsi="宋体" w:cs="宋体"/>
                <w:color w:val="000000" w:themeColor="text1"/>
                <w:szCs w:val="21"/>
                <w:highlight w:val="none"/>
                <w:vertAlign w:val="subscript"/>
                <w14:textFill>
                  <w14:solidFill>
                    <w14:schemeClr w14:val="tx1"/>
                  </w14:solidFill>
                </w14:textFill>
              </w:rPr>
              <w:t>Mn</w:t>
            </w:r>
            <w:r>
              <w:rPr>
                <w:rFonts w:hint="eastAsia" w:ascii="宋体" w:hAnsi="宋体" w:cs="宋体"/>
                <w:color w:val="000000" w:themeColor="text1"/>
                <w:szCs w:val="21"/>
                <w:highlight w:val="none"/>
                <w14:textFill>
                  <w14:solidFill>
                    <w14:schemeClr w14:val="tx1"/>
                  </w14:solidFill>
                </w14:textFill>
              </w:rPr>
              <w:t>、NH</w:t>
            </w:r>
            <w:r>
              <w:rPr>
                <w:rFonts w:hint="eastAsia" w:ascii="宋体" w:hAnsi="宋体" w:cs="宋体"/>
                <w:color w:val="000000" w:themeColor="text1"/>
                <w:szCs w:val="21"/>
                <w:highlight w:val="none"/>
                <w:vertAlign w:val="subscript"/>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-N、TP、TN)安装验收技术规范》（HJ 915.2</w:t>
            </w:r>
            <w:r>
              <w:rPr>
                <w:rFonts w:hint="eastAsia" w:asci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2024）中的7.2.2要求。【投标时需提供</w:t>
            </w:r>
            <w:r>
              <w:rPr>
                <w:rFonts w:hint="eastAsia" w:ascii="宋体" w:hAnsi="宋体" w:eastAsia="宋体" w:cs="宋体"/>
                <w:color w:val="000000" w:themeColor="text1"/>
                <w:szCs w:val="21"/>
                <w:highlight w:val="none"/>
                <w:lang w:val="en-US" w:eastAsia="zh-CN"/>
                <w14:textFill>
                  <w14:solidFill>
                    <w14:schemeClr w14:val="tx1"/>
                  </w14:solidFill>
                </w14:textFill>
              </w:rPr>
              <w:t>技术说明文件、实物照片、软件功能截图、依照方法标准出具的</w:t>
            </w:r>
            <w:r>
              <w:rPr>
                <w:rFonts w:hint="eastAsia" w:ascii="宋体" w:hAnsi="宋体" w:cs="宋体"/>
                <w:color w:val="000000" w:themeColor="text1"/>
                <w:szCs w:val="21"/>
                <w:highlight w:val="none"/>
                <w14:textFill>
                  <w14:solidFill>
                    <w14:schemeClr w14:val="tx1"/>
                  </w14:solidFill>
                </w14:textFill>
              </w:rPr>
              <w:t>检测数据统计报告或其他同等及更高效力的检测报告</w:t>
            </w:r>
            <w:r>
              <w:rPr>
                <w:rFonts w:hint="eastAsia" w:ascii="宋体" w:hAnsi="宋体" w:eastAsia="宋体" w:cs="宋体"/>
                <w:color w:val="000000" w:themeColor="text1"/>
                <w:szCs w:val="21"/>
                <w:highlight w:val="none"/>
                <w:lang w:val="en-US" w:eastAsia="zh-CN"/>
                <w14:textFill>
                  <w14:solidFill>
                    <w14:schemeClr w14:val="tx1"/>
                  </w14:solidFill>
                </w14:textFill>
              </w:rPr>
              <w:t>等证明文件</w:t>
            </w:r>
            <w:r>
              <w:rPr>
                <w:rFonts w:hint="eastAsia" w:ascii="宋体" w:hAnsi="宋体" w:cs="宋体"/>
                <w:color w:val="000000" w:themeColor="text1"/>
                <w:szCs w:val="21"/>
                <w:highlight w:val="none"/>
                <w14:textFill>
                  <w14:solidFill>
                    <w14:schemeClr w14:val="tx1"/>
                  </w14:solidFill>
                </w14:textFill>
              </w:rPr>
              <w:t>，测试样品为浊度大于100NTU时，不少于6次样品数，并提供CMA报告】</w:t>
            </w:r>
          </w:p>
          <w:p w14:paraId="0A9B20E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10 五参数检测池、预处理装置单元和配水单元等均具有自动清洗功能。</w:t>
            </w:r>
          </w:p>
          <w:p w14:paraId="0784B4C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11 系统具备多种沉降模式，可设定沉降时间(时间模式)，可设定上层水样的浊度预值(浊度判断模式)，也可根据原水浊度的不同范围智能确定沉降时间(智能模式)。</w:t>
            </w:r>
          </w:p>
          <w:p w14:paraId="05758D94">
            <w:pPr>
              <w:widowControl w:val="0"/>
              <w:spacing w:line="400" w:lineRule="exact"/>
              <w:jc w:val="both"/>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eastAsia="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12预处理与配水应能实现水样自动分配、自动预处理、故障自动报警、关键部件工作状态的显示和反控等功能，具备实时监控配水泵的工作电压、电流、功率、功耗和流速、流量监测功能，并关联配水环节分析。（需提供技术说明文件、实物照片、软件功能截图等证明文件，需加盖制造商公章）</w:t>
            </w:r>
          </w:p>
          <w:p w14:paraId="19DB9D8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 控制单元技术要求</w:t>
            </w:r>
          </w:p>
          <w:p w14:paraId="514A36CE">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控制单元对采水单元、配水及预处理单元、分析单元、留样单元、辅助单元及视频单元进行控制，并实现数据采集与传输功能，保证系统连续、可靠和安全运行。</w:t>
            </w:r>
          </w:p>
          <w:p w14:paraId="4A76D16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 具有断电保护功能，能够在断电时保存系统参数和历史数据，在来电时自动恢复系统；</w:t>
            </w:r>
          </w:p>
          <w:p w14:paraId="3F55A571">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 具备自动采集数据功能，包括自动采集水质自动分析仪器数据、集成控制数据等，采集的数据应自动添加数据标识，异常监测数据能自动识别，并自动上传至广西水环境监控平台；</w:t>
            </w:r>
          </w:p>
          <w:p w14:paraId="69425DCB">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 具备单点控制功能，能够对单一控制点(阀、泵等)进行调试；</w:t>
            </w:r>
          </w:p>
          <w:p w14:paraId="624EB642">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3.4 具备对自动分析仪器的启停、校时、校准、质控测试等控制功能；</w:t>
            </w:r>
          </w:p>
          <w:p w14:paraId="6C00CCD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3.5 具备对留样单元的留样、排样的控制功能；</w:t>
            </w:r>
          </w:p>
          <w:p w14:paraId="5070F553">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3.6 具备兼容视频监控设备功能并能实现对视频设备校时、重新启动、参数设置、软件升级、远程维护等功能；</w:t>
            </w:r>
          </w:p>
          <w:p w14:paraId="266A4569">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3.7 具备参数设置功能，能够对小数位、单位、仪器测定上下限、报警(超标)上下限等参数进行设置；</w:t>
            </w:r>
          </w:p>
          <w:p w14:paraId="733A761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3.8 具备各仪器监测结果、状态参数、运行流程、报警信息等显示的功能；</w:t>
            </w:r>
          </w:p>
          <w:p w14:paraId="4BA8D04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3.9 具有监测数据查询、导出、自动备份功能，可分类查询水质周期数据、质控数据(空白测试数据、标样核查数据、加标回收率数据等)及其对应的仪器、系统日志流程信息。</w:t>
            </w:r>
          </w:p>
          <w:p w14:paraId="6F48A90F">
            <w:pPr>
              <w:widowControl w:val="0"/>
              <w:spacing w:line="400" w:lineRule="exact"/>
              <w:jc w:val="both"/>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3.10 工控机硬件性能：不低于16G内存，256G固态硬盘，21.5英寸屏幕。</w:t>
            </w:r>
          </w:p>
          <w:p w14:paraId="5EA86DF7">
            <w:pPr>
              <w:widowControl w:val="0"/>
              <w:spacing w:line="400" w:lineRule="exact"/>
              <w:jc w:val="both"/>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w:t>
            </w:r>
            <w:r>
              <w:rPr>
                <w:rFonts w:hint="eastAsia" w:ascii="宋体" w:hAnsi="宋体" w:cs="宋体"/>
                <w:color w:val="000000" w:themeColor="text1"/>
                <w:szCs w:val="21"/>
                <w:highlight w:val="none"/>
                <w:lang w:val="en-US" w:eastAsia="zh-CN"/>
                <w14:textFill>
                  <w14:solidFill>
                    <w14:schemeClr w14:val="tx1"/>
                  </w14:solidFill>
                </w14:textFill>
              </w:rPr>
              <w:t>1</w:t>
            </w:r>
            <w:r>
              <w:rPr>
                <w:rFonts w:hint="eastAsia" w:ascii="宋体" w:cs="宋体"/>
                <w:color w:val="000000" w:themeColor="text1"/>
                <w:szCs w:val="21"/>
                <w:highlight w:val="none"/>
                <w:lang w:val="en-US" w:eastAsia="zh-CN"/>
                <w14:textFill>
                  <w14:solidFill>
                    <w14:schemeClr w14:val="tx1"/>
                  </w14:solidFill>
                </w14:textFill>
              </w:rPr>
              <w:t xml:space="preserve"> </w:t>
            </w:r>
            <w:r>
              <w:rPr>
                <w:rFonts w:hint="eastAsia" w:ascii="宋体" w:hAnsi="宋体" w:cs="宋体"/>
                <w:color w:val="000000" w:themeColor="text1"/>
                <w:szCs w:val="21"/>
                <w:highlight w:val="none"/>
                <w:lang w:val="en-US" w:eastAsia="zh-CN"/>
                <w14:textFill>
                  <w14:solidFill>
                    <w14:schemeClr w14:val="tx1"/>
                  </w14:solidFill>
                </w14:textFill>
              </w:rPr>
              <w:t>控制界面应具备数字可视化，数字孪生式交互，实现监测数据和站点/监测仪器的控制与查看交互，数字显示界面与自动分析仪信息须保持一致、数字状态与现场实际状态须保持一致。（需提供技术说明文件、实物照片、软件功能截图等证明文件，需加盖制造商公章）</w:t>
            </w:r>
          </w:p>
          <w:p w14:paraId="2563E4A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 数据采集与传输技术要求</w:t>
            </w:r>
          </w:p>
          <w:p w14:paraId="7B59EE9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 数据采集与存储</w:t>
            </w:r>
          </w:p>
          <w:p w14:paraId="2720FF3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4.1.1 采集自动分析仪器的监测数据，并分类保存；</w:t>
            </w:r>
          </w:p>
          <w:p w14:paraId="217FF7D3">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4.1.2 采集自动分析仪器和集成系统各单元的工作状态量，并以运行日志的形式记录保存；</w:t>
            </w:r>
          </w:p>
          <w:p w14:paraId="1834BAD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4.1.3 采集关键性参数(测量量程、测量精度、测量间隔、测量检出限、消解温度、消解时长、空白校准时间、标样校准时间、测量信号曲线斜率(k)、曲线截距(b)、相关系数(R))；</w:t>
            </w:r>
          </w:p>
          <w:p w14:paraId="7879CECF">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4.1.4 能够实时采集视频信息，支持各类终端查看；</w:t>
            </w:r>
          </w:p>
          <w:p w14:paraId="5134616A">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4.1.5 断电后能自动保存历史数据和参数设置。</w:t>
            </w:r>
          </w:p>
          <w:p w14:paraId="6880A30B">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4.2 数据传输与通讯</w:t>
            </w:r>
          </w:p>
          <w:p w14:paraId="1861491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4.2.1 采用无线、有线的通讯方式满足数据传输要求；</w:t>
            </w:r>
          </w:p>
          <w:p w14:paraId="18CF0349">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4.2.2 具备对通信链路的自动诊断功能，具备超时补发功能。</w:t>
            </w:r>
          </w:p>
          <w:p w14:paraId="3CC3E9D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 留样单元技术要求</w:t>
            </w:r>
          </w:p>
          <w:p w14:paraId="2223A11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 具备水样冷藏功能，温度在（4±2）℃；</w:t>
            </w:r>
          </w:p>
          <w:p w14:paraId="44B412C2">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5.2 留样瓶由惰性材料制成，易清洗，容量应&gt;500mL，瓶数≥12个，有密封功能；</w:t>
            </w:r>
          </w:p>
          <w:p w14:paraId="7F5E443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5.3 具有留样前自动润洗，留样后自动排空的功能；</w:t>
            </w:r>
          </w:p>
          <w:p w14:paraId="6B9445F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5.4 具有人工留样、自动留样、超标留样和远程反控留样等功能配置门禁系统并具备开关门记录功能；</w:t>
            </w:r>
          </w:p>
          <w:p w14:paraId="4137B37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5.5 具有留样失败报警功能；</w:t>
            </w:r>
          </w:p>
          <w:p w14:paraId="4AFB695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5.6 具有全程温度记录、全时监控等功能。</w:t>
            </w:r>
          </w:p>
          <w:p w14:paraId="0193B7D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 质控单元技术要求</w:t>
            </w:r>
          </w:p>
          <w:p w14:paraId="06B211F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与分析单元联用，通过现场工控机上的控制软件协同控制分析单元和质控配样装置，实现分析仪器的质控测试。具体要求如下:</w:t>
            </w:r>
          </w:p>
          <w:p w14:paraId="05D28C9A">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6.1 须对水质自动分析仪器进行空白样测试、平行样测量、自动标样核查、自动多点线性核查、自动加标回收率测试、自动零点核查、自动跨度核查、24小时零点漂移、24小时跨度漂移等质控功能并具备远程质控功能；</w:t>
            </w:r>
          </w:p>
          <w:p w14:paraId="779A10F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 须有远程盲样考核功能。联动控制仪器启动抽样测试命令，该功能可随时考核仪器测试样品数据的准确稳定性；</w:t>
            </w:r>
          </w:p>
          <w:p w14:paraId="1B3BD6AB">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6.3 须有加标功能，可以根据水样测量值不同而自动调整加标体积。具有数据异常自动留样功能；</w:t>
            </w:r>
          </w:p>
          <w:p w14:paraId="618AF2EA">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6.4 系统须有自动诊断功能，数据出现异常波动时，自动追加的质控措施；</w:t>
            </w:r>
          </w:p>
          <w:p w14:paraId="78885BCA">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6.5 须动态监控水样杯中的水样量，周期测试时仪器未从水样杯中取样会触发报警，从而保证水样数据的真实性。可实时监控加标标液温度，保证质控样品准确、有效；</w:t>
            </w:r>
          </w:p>
          <w:p w14:paraId="43BAF95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6.6 须具备自动切换标样管和水样管的功能，以免交叉污染。每台仪器配备独立的质控装置，保证质控考核的独立性，可实现任意标液体积的精确加取；</w:t>
            </w:r>
          </w:p>
          <w:p w14:paraId="7C33436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6.7 须具备自动实现加标量、标液浓度和定容体积设置的功能，并将加标量、标液浓度和定容体积信息保存并上传至广西水环境监控平台。仪器设备、集成系统具备自动平行样测定功能，并能将平行样结果独立保存。</w:t>
            </w:r>
          </w:p>
          <w:p w14:paraId="23A1A162">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 辅助单元(试剂冰箱、废液收集单元)技术要求</w:t>
            </w:r>
          </w:p>
          <w:p w14:paraId="32B43A13">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 具有维护专用成套工具、试剂冰箱；</w:t>
            </w:r>
          </w:p>
          <w:p w14:paraId="3B4F7AF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 配备废液收集单元，满足不少于一个月废液量的收集；</w:t>
            </w:r>
          </w:p>
          <w:p w14:paraId="3D0B6C4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 配备UPS等应急电源设备，保证外部供电故障停电后，站房设备至少可以继续进行4小时的运行。</w:t>
            </w:r>
          </w:p>
          <w:p w14:paraId="652F90C9">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7.4配备纯水制备装置，可实现纯水机水质水量实时监控，具备滤芯累计制水量统计功能；纯水电导率异常时告警，提醒及时更换滤芯。</w:t>
            </w:r>
          </w:p>
          <w:p w14:paraId="7CC49BF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 配备废液，纯水，试剂余量监控模块，可实现液位余量及报警。</w:t>
            </w:r>
          </w:p>
          <w:p w14:paraId="3A39D30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 根据</w:t>
            </w:r>
            <w:r>
              <w:rPr>
                <w:rFonts w:hint="eastAsia" w:ascii="宋体" w:cs="宋体"/>
                <w:color w:val="000000" w:themeColor="text1"/>
                <w:szCs w:val="21"/>
                <w:highlight w:val="none"/>
                <w:lang w:val="en-US" w:eastAsia="zh-CN"/>
                <w14:textFill>
                  <w14:solidFill>
                    <w14:schemeClr w14:val="tx1"/>
                  </w14:solidFill>
                </w14:textFill>
              </w:rPr>
              <w:t>采购</w:t>
            </w:r>
            <w:r>
              <w:rPr>
                <w:rFonts w:hint="eastAsia" w:ascii="宋体" w:hAnsi="宋体" w:cs="宋体"/>
                <w:color w:val="000000" w:themeColor="text1"/>
                <w:szCs w:val="21"/>
                <w:highlight w:val="none"/>
                <w14:textFill>
                  <w14:solidFill>
                    <w14:schemeClr w14:val="tx1"/>
                  </w14:solidFill>
                </w14:textFill>
              </w:rPr>
              <w:t>方要求，配备废液自动快速转移模块，可实现废液的自动快速转移。</w:t>
            </w:r>
          </w:p>
          <w:p w14:paraId="116E43D1">
            <w:pPr>
              <w:widowControl w:val="0"/>
              <w:spacing w:line="400" w:lineRule="exact"/>
              <w:jc w:val="both"/>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7.7 根据</w:t>
            </w:r>
            <w:r>
              <w:rPr>
                <w:rFonts w:hint="eastAsia" w:ascii="宋体" w:cs="宋体"/>
                <w:color w:val="000000" w:themeColor="text1"/>
                <w:szCs w:val="21"/>
                <w:highlight w:val="none"/>
                <w:lang w:val="en-US" w:eastAsia="zh-CN"/>
                <w14:textFill>
                  <w14:solidFill>
                    <w14:schemeClr w14:val="tx1"/>
                  </w14:solidFill>
                </w14:textFill>
              </w:rPr>
              <w:t>采购</w:t>
            </w:r>
            <w:r>
              <w:rPr>
                <w:rFonts w:hint="eastAsia" w:ascii="宋体" w:hAnsi="宋体" w:cs="宋体"/>
                <w:color w:val="000000" w:themeColor="text1"/>
                <w:szCs w:val="21"/>
                <w:highlight w:val="none"/>
                <w14:textFill>
                  <w14:solidFill>
                    <w14:schemeClr w14:val="tx1"/>
                  </w14:solidFill>
                </w14:textFill>
              </w:rPr>
              <w:t>方要求，配备纯水自动快速更换模块，可实现纯水的快速补充。</w:t>
            </w:r>
          </w:p>
          <w:p w14:paraId="01F6D91D">
            <w:pPr>
              <w:widowControl w:val="0"/>
              <w:spacing w:line="400" w:lineRule="exact"/>
              <w:jc w:val="both"/>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（七）智慧平台技术要求</w:t>
            </w:r>
          </w:p>
          <w:p w14:paraId="4DD8EE8F">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具备数据智能审核、远程反控、AI预警等功能，采购方可以永久使用平台，中标方应免费更新升级平台最新功能。</w:t>
            </w:r>
          </w:p>
          <w:p w14:paraId="4E4BF7A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 远程反控</w:t>
            </w:r>
          </w:p>
          <w:p w14:paraId="392082C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 监测数据传输到采购人指定平台。远程查看水质监测仪器、数据采集器、传输模块等设备的运行状态，如电源状态、通信状态、故障信息等。</w:t>
            </w:r>
          </w:p>
          <w:p w14:paraId="5512C20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 远程查看监测设备、管理设备运行日志、操作日志、故障日志等。</w:t>
            </w:r>
          </w:p>
          <w:p w14:paraId="6D4192D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1.3 可远程设置和调整水质监测仪器的测量参数、校准参数、报警阈值等。</w:t>
            </w:r>
          </w:p>
          <w:p w14:paraId="12C4B6B6">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 可远程切换水质监测仪器的工作模式，如连续监测模式、定时监测模式等。</w:t>
            </w:r>
          </w:p>
          <w:p w14:paraId="1EAD9893">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 按技术要求设定五参数周核查。</w:t>
            </w:r>
          </w:p>
          <w:p w14:paraId="0BC45D98">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 对现场仪器设备进行远程自动校准、自动质控（如零点检查、跨度检查、多点线性检查、加标回收率测试、标样核查、盲样测试等）。</w:t>
            </w:r>
          </w:p>
          <w:p w14:paraId="5DCBCE01">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 远程控制采水、配水、清洗系统。</w:t>
            </w:r>
          </w:p>
          <w:p w14:paraId="4E7319A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 远程控制门禁、电源、安防、视频监控等运行保障设施。</w:t>
            </w:r>
          </w:p>
          <w:p w14:paraId="250A5A5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 远程设置试剂余量报警。</w:t>
            </w:r>
          </w:p>
          <w:p w14:paraId="6B1E233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1.10 远程留样方式控制。</w:t>
            </w:r>
          </w:p>
          <w:p w14:paraId="273A082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 AI预警</w:t>
            </w:r>
          </w:p>
          <w:p w14:paraId="3685D1BC">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 采水区域异常识别、故障预警（如：采水区域人为干扰情景记录与预警、采水区域外部水文环境情况变化的识别预警）。</w:t>
            </w:r>
          </w:p>
          <w:p w14:paraId="16D0D7C2">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 对门禁、电力、水浸、安防、视频监控等增加传感器及相关应用。实现对站房内部环境及周边环境的智能感知，当监测到异常事件或周边环境情况变化时，自动触发报警。</w:t>
            </w:r>
          </w:p>
          <w:p w14:paraId="28D57E9F">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 具备仪器设备异常信息预警（如缺试剂、超量程、试剂余量不足、耗材到期、缺水样、废液量等）。</w:t>
            </w:r>
          </w:p>
          <w:p w14:paraId="177E1A84">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 预留仪器接口</w:t>
            </w:r>
          </w:p>
          <w:p w14:paraId="0C68F48D">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预留重金属等其他自动监测设备接口。</w:t>
            </w:r>
          </w:p>
          <w:p w14:paraId="7D6EA975">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4.平台兼容</w:t>
            </w:r>
          </w:p>
          <w:p w14:paraId="2320706A">
            <w:pPr>
              <w:widowControl w:val="0"/>
              <w:spacing w:line="400" w:lineRule="exact"/>
              <w:jc w:val="both"/>
              <w:rPr>
                <w:rFonts w:hint="eastAsia" w:ascii="宋体" w:cs="宋体"/>
                <w:b/>
                <w:bCs/>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平台须预留相应接口，接入采购人指定的管理平台，中标方需配合采购人完成后期信创改造适配工作。</w:t>
            </w:r>
          </w:p>
          <w:p w14:paraId="2D8FA624">
            <w:pPr>
              <w:widowControl w:val="0"/>
              <w:numPr>
                <w:ilvl w:val="-1"/>
                <w:numId w:val="0"/>
              </w:numPr>
              <w:spacing w:line="400" w:lineRule="exact"/>
              <w:jc w:val="both"/>
              <w:rPr>
                <w:rFonts w:hint="eastAsia" w:ascii="宋体" w:hAnsi="宋体" w:cs="宋体"/>
                <w:b/>
                <w:bCs/>
                <w:color w:val="000000" w:themeColor="text1"/>
                <w:szCs w:val="21"/>
                <w:highlight w:val="none"/>
                <w14:textFill>
                  <w14:solidFill>
                    <w14:schemeClr w14:val="tx1"/>
                  </w14:solidFill>
                </w14:textFill>
              </w:rPr>
            </w:pPr>
            <w:r>
              <w:rPr>
                <w:rFonts w:hint="eastAsia" w:ascii="宋体" w:cs="宋体"/>
                <w:b/>
                <w:bCs/>
                <w:color w:val="000000" w:themeColor="text1"/>
                <w:szCs w:val="21"/>
                <w:highlight w:val="none"/>
                <w:lang w:eastAsia="zh-CN"/>
                <w14:textFill>
                  <w14:solidFill>
                    <w14:schemeClr w14:val="tx1"/>
                  </w14:solidFill>
                </w14:textFill>
              </w:rPr>
              <w:t>（</w:t>
            </w:r>
            <w:r>
              <w:rPr>
                <w:rFonts w:hint="eastAsia" w:ascii="宋体" w:cs="宋体"/>
                <w:b/>
                <w:bCs/>
                <w:color w:val="000000" w:themeColor="text1"/>
                <w:szCs w:val="21"/>
                <w:highlight w:val="none"/>
                <w:lang w:val="en-US" w:eastAsia="zh-CN"/>
                <w14:textFill>
                  <w14:solidFill>
                    <w14:schemeClr w14:val="tx1"/>
                  </w14:solidFill>
                </w14:textFill>
              </w:rPr>
              <w:t>八</w:t>
            </w:r>
            <w:r>
              <w:rPr>
                <w:rFonts w:hint="eastAsia" w:asci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水站整体性能要求</w:t>
            </w:r>
          </w:p>
          <w:p w14:paraId="03855480">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1.数智化水站实现智能巡检和自动诊断功能，帮助水站维护运行人员对设备运行状态的准确识别与判断，对需要维修设备部位准确判断。</w:t>
            </w:r>
          </w:p>
          <w:p w14:paraId="46791D27">
            <w:pPr>
              <w:widowControl w:val="0"/>
              <w:spacing w:line="400" w:lineRule="exact"/>
              <w:jc w:val="both"/>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2.对设备关键零部件的寿命管理（或健康智能诊断）实现智能管理。</w:t>
            </w:r>
          </w:p>
          <w:p w14:paraId="51480FE3">
            <w:pPr>
              <w:widowControl w:val="0"/>
              <w:spacing w:line="400" w:lineRule="exact"/>
              <w:jc w:val="both"/>
              <w:rPr>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3.对水质突变、雨量增加等情况，设备可实现自动触发加密监测功能。</w:t>
            </w:r>
            <w:r>
              <w:rPr>
                <w:rFonts w:hint="eastAsia" w:ascii="宋体" w:cs="宋体"/>
                <w:color w:val="000000" w:themeColor="text1"/>
                <w:szCs w:val="21"/>
                <w:highlight w:val="none"/>
                <w:lang w:val="en-US" w:eastAsia="zh-CN"/>
                <w14:textFill>
                  <w14:solidFill>
                    <w14:schemeClr w14:val="tx1"/>
                  </w14:solidFill>
                </w14:textFill>
              </w:rPr>
              <w:t xml:space="preserve">    </w:t>
            </w:r>
          </w:p>
          <w:p w14:paraId="3A7688B6">
            <w:pPr>
              <w:widowControl w:val="0"/>
              <w:spacing w:line="400" w:lineRule="exact"/>
              <w:ind w:firstLine="0" w:firstLineChars="0"/>
              <w:jc w:val="both"/>
              <w:rPr>
                <w:rFonts w:hint="eastAsia" w:ascii="楷体" w:hAnsi="楷体" w:eastAsia="楷体" w:cs="楷体"/>
                <w:iCs/>
                <w:color w:val="000000" w:themeColor="text1"/>
                <w:kern w:val="0"/>
                <w:sz w:val="32"/>
                <w:szCs w:val="32"/>
                <w:highlight w:val="none"/>
                <w:u w:val="none"/>
                <w:vertAlign w:val="baseli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数智化水站配套的管理平台或系统，可实现对水站智能巡检、智能维护、智能质控、智能派单等。适配于采购方管理系统的建设与智能升级，形成“人机料法环测”监测要素的标准化监管和贯穿监测全过程的穿透式管理，最终实现环境监测从人工管理向数字智能驱动的转变，从而最终实现降本、提质、增效、防风险的目标</w:t>
            </w:r>
            <w:r>
              <w:rPr>
                <w:rFonts w:hint="eastAsia" w:ascii="宋体" w:cs="宋体"/>
                <w:color w:val="000000" w:themeColor="text1"/>
                <w:szCs w:val="21"/>
                <w:highlight w:val="none"/>
                <w:lang w:eastAsia="zh-CN"/>
                <w14:textFill>
                  <w14:solidFill>
                    <w14:schemeClr w14:val="tx1"/>
                  </w14:solidFill>
                </w14:textFill>
              </w:rPr>
              <w:t>。</w:t>
            </w:r>
          </w:p>
        </w:tc>
      </w:tr>
    </w:tbl>
    <w:p w14:paraId="162D7CE6">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pPr>
    </w:p>
    <w:p w14:paraId="36D28DBA">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pPr>
    </w:p>
    <w:p w14:paraId="0A150C99">
      <w:pPr>
        <w:pageBreakBefore w:val="0"/>
        <w:widowControl/>
        <w:kinsoku w:val="0"/>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二、</w:t>
      </w:r>
      <w:r>
        <w:rPr>
          <w:rFonts w:hint="eastAsia" w:ascii="宋体" w:hAnsi="宋体" w:eastAsia="宋体" w:cs="宋体"/>
          <w:b/>
          <w:bCs/>
          <w:snapToGrid w:val="0"/>
          <w:color w:val="000000" w:themeColor="text1"/>
          <w:kern w:val="0"/>
          <w:sz w:val="24"/>
          <w:szCs w:val="24"/>
          <w:highlight w:val="none"/>
          <w:lang w:eastAsia="en-US"/>
          <w14:textFill>
            <w14:solidFill>
              <w14:schemeClr w14:val="tx1"/>
            </w14:solidFill>
          </w14:textFill>
        </w:rPr>
        <w:t>商务要求</w:t>
      </w:r>
      <w:r>
        <w:rPr>
          <w:rFonts w:hint="eastAsia" w:ascii="宋体" w:hAnsi="宋体" w:eastAsia="宋体" w:cs="宋体"/>
          <w:b/>
          <w:bCs/>
          <w:snapToGrid w:val="0"/>
          <w:color w:val="000000" w:themeColor="text1"/>
          <w:kern w:val="0"/>
          <w:sz w:val="24"/>
          <w:szCs w:val="24"/>
          <w:highlight w:val="none"/>
          <w:lang w:eastAsia="zh-CN"/>
          <w14:textFill>
            <w14:solidFill>
              <w14:schemeClr w14:val="tx1"/>
            </w14:solidFill>
          </w14:textFill>
        </w:rPr>
        <w:t>：</w:t>
      </w:r>
    </w:p>
    <w:tbl>
      <w:tblPr>
        <w:tblStyle w:val="20"/>
        <w:tblW w:w="9252" w:type="dxa"/>
        <w:tblInd w:w="0" w:type="dxa"/>
        <w:tblLayout w:type="fixed"/>
        <w:tblCellMar>
          <w:top w:w="0" w:type="dxa"/>
          <w:left w:w="108" w:type="dxa"/>
          <w:bottom w:w="0" w:type="dxa"/>
          <w:right w:w="108" w:type="dxa"/>
        </w:tblCellMar>
      </w:tblPr>
      <w:tblGrid>
        <w:gridCol w:w="2182"/>
        <w:gridCol w:w="7070"/>
      </w:tblGrid>
      <w:tr w14:paraId="6E918251">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5360DA9B">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（一）</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报价要求</w:t>
            </w:r>
          </w:p>
        </w:tc>
        <w:tc>
          <w:tcPr>
            <w:tcW w:w="7070" w:type="dxa"/>
            <w:tcBorders>
              <w:top w:val="single" w:color="000000" w:sz="4" w:space="0"/>
              <w:left w:val="single" w:color="000000" w:sz="4" w:space="0"/>
              <w:bottom w:val="single" w:color="000000" w:sz="4" w:space="0"/>
              <w:right w:val="single" w:color="000000" w:sz="4" w:space="0"/>
            </w:tcBorders>
            <w:vAlign w:val="top"/>
          </w:tcPr>
          <w:p w14:paraId="23DAA4B6">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本项目按总包报价（采购人不再支付任何费用），包括但不限于：</w:t>
            </w:r>
          </w:p>
          <w:p w14:paraId="7297CB0C">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项目的价格包括站房及仪器设备更换、站房及仪器设备运输（包括旧站房及仪器设备的运输）、四通一平、安装调试费（仪器安装所需要水电气改造及实验室改造费用）、运维费用、备品备件、工具、网络费、水电费、防雷检测和整改、消防设备、站房和采水系统维护费、水站基础保障费用、仪器设备维修、配件置换和保养费、技术指导费、培训费、材料费、试剂和标准物质费、废液处置费、仪器设备按规定需要第三方检测公司检测及检定的费用、工作人员差旅费和劳务费、水站安全保障费（包括资产被偷盗、人为损毁、人为火灾等费用）、必要的保险费用和各项税费、不确定因素的风险等产生的费用及其他所有成本费等。此价格为安装调试期及售后三年服务期的价格。</w:t>
            </w:r>
          </w:p>
          <w:p w14:paraId="179839FD">
            <w:pPr>
              <w:keepNext w:val="0"/>
              <w:keepLines w:val="0"/>
              <w:pageBreakBefore w:val="0"/>
              <w:widowControl/>
              <w:kinsoku w:val="0"/>
              <w:wordWrap/>
              <w:overflowPunct/>
              <w:topLinePunct w:val="0"/>
              <w:autoSpaceDE w:val="0"/>
              <w:autoSpaceDN w:val="0"/>
              <w:bidi w:val="0"/>
              <w:adjustRightInd w:val="0"/>
              <w:snapToGrid w:val="0"/>
              <w:spacing w:before="66" w:line="400" w:lineRule="exact"/>
              <w:jc w:val="left"/>
              <w:textAlignment w:val="baseline"/>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对于</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竞争性谈判</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文件中明确列明必须报价的货物，</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供应商</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应报价；对于</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竞争性谈判</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文件中未列明，而</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供应商</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认为必需的费用也需列入总报价；在合同实施时，采购方将不予支付</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成交供应商</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没有列入的项目费用，并认为此项目的费用已包括在合同总价中。</w:t>
            </w:r>
          </w:p>
        </w:tc>
      </w:tr>
      <w:tr w14:paraId="09DD15A3">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070512A6">
            <w:pPr>
              <w:keepNext w:val="0"/>
              <w:keepLines w:val="0"/>
              <w:pageBreakBefore w:val="0"/>
              <w:widowControl/>
              <w:kinsoku w:val="0"/>
              <w:wordWrap/>
              <w:overflowPunct/>
              <w:topLinePunct w:val="0"/>
              <w:autoSpaceDE w:val="0"/>
              <w:autoSpaceDN w:val="0"/>
              <w:bidi w:val="0"/>
              <w:adjustRightInd w:val="0"/>
              <w:snapToGrid w:val="0"/>
              <w:spacing w:before="9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（二）</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规范标准</w:t>
            </w:r>
          </w:p>
        </w:tc>
        <w:tc>
          <w:tcPr>
            <w:tcW w:w="7070" w:type="dxa"/>
            <w:tcBorders>
              <w:top w:val="single" w:color="000000" w:sz="4" w:space="0"/>
              <w:left w:val="single" w:color="000000" w:sz="4" w:space="0"/>
              <w:bottom w:val="single" w:color="000000" w:sz="4" w:space="0"/>
              <w:right w:val="single" w:color="000000" w:sz="4" w:space="0"/>
            </w:tcBorders>
            <w:vAlign w:val="top"/>
          </w:tcPr>
          <w:p w14:paraId="2F505BBA">
            <w:pPr>
              <w:keepNext w:val="0"/>
              <w:keepLines w:val="0"/>
              <w:pageBreakBefore w:val="0"/>
              <w:widowControl/>
              <w:kinsoku w:val="0"/>
              <w:wordWrap/>
              <w:overflowPunct/>
              <w:topLinePunct w:val="0"/>
              <w:autoSpaceDE w:val="0"/>
              <w:autoSpaceDN w:val="0"/>
              <w:bidi w:val="0"/>
              <w:adjustRightInd w:val="0"/>
              <w:snapToGrid w:val="0"/>
              <w:spacing w:before="94" w:line="400" w:lineRule="exact"/>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本项目如有国家相关标准、行业标准、地方标准或者其他标准、规范的，应执行相应的标准、规范。如具体采购需求与标准、规范不一致的，高于标准、规范的按具体采购需求执行，低于标准、规范的按标准、规范执行。</w:t>
            </w:r>
          </w:p>
        </w:tc>
      </w:tr>
      <w:tr w14:paraId="1AB3D833">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54BCFE6D">
            <w:pPr>
              <w:keepNext w:val="0"/>
              <w:keepLines w:val="0"/>
              <w:pageBreakBefore w:val="0"/>
              <w:widowControl/>
              <w:kinsoku w:val="0"/>
              <w:wordWrap/>
              <w:overflowPunct/>
              <w:topLinePunct w:val="0"/>
              <w:autoSpaceDE w:val="0"/>
              <w:autoSpaceDN w:val="0"/>
              <w:bidi w:val="0"/>
              <w:adjustRightInd w:val="0"/>
              <w:snapToGrid w:val="0"/>
              <w:spacing w:before="9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（三）</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2个水站的运维服务</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要求</w:t>
            </w:r>
          </w:p>
        </w:tc>
        <w:tc>
          <w:tcPr>
            <w:tcW w:w="7070" w:type="dxa"/>
            <w:tcBorders>
              <w:top w:val="single" w:color="000000" w:sz="4" w:space="0"/>
              <w:left w:val="single" w:color="000000" w:sz="4" w:space="0"/>
              <w:bottom w:val="single" w:color="000000" w:sz="4" w:space="0"/>
              <w:right w:val="single" w:color="000000" w:sz="4" w:space="0"/>
            </w:tcBorders>
            <w:vAlign w:val="top"/>
          </w:tcPr>
          <w:p w14:paraId="4FF670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1.技术指导服务</w:t>
            </w:r>
          </w:p>
          <w:p w14:paraId="1491A23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对采购人自行运维水站提供技术指导：</w:t>
            </w:r>
          </w:p>
          <w:p w14:paraId="53C537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1.1按要求对采购人的技术人员进行水站日常运维理论及实操培训。</w:t>
            </w:r>
          </w:p>
          <w:p w14:paraId="57CDD2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1.2按要求现场指导采购人的技术人员在技术规范规定时限内完成辖区范围内所有水站仪器设备异常和故障的维修维护。</w:t>
            </w:r>
          </w:p>
          <w:p w14:paraId="49AB40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2.售后服务要求</w:t>
            </w:r>
          </w:p>
          <w:p w14:paraId="34521D5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改造验收合格后，负责运行维护不低于36个月，质保不低于36个月。</w:t>
            </w:r>
          </w:p>
          <w:p w14:paraId="52B7CD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3.项目人员</w:t>
            </w:r>
          </w:p>
          <w:p w14:paraId="4347D3B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3.1项目负责人</w:t>
            </w:r>
          </w:p>
          <w:p w14:paraId="16BAA3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3.1.1 配备项目负责人1人，需具备5年以上地表水水站项目建设、运维管理等相关工作经验，全面负责项目各项事务，严格按照合同约定，完成相关工作目标。项目负责人如不能按照采购方要求推进工作开展，采购人有权要求更换项目负责人。</w:t>
            </w:r>
          </w:p>
          <w:p w14:paraId="154FD5D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3.2 负责统筹解决本项目涉及水站的技术问题。</w:t>
            </w:r>
          </w:p>
          <w:p w14:paraId="14CD3D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3.3 负责项目质量、进度、施工、组织协调等工作。</w:t>
            </w:r>
          </w:p>
          <w:p w14:paraId="15E7A74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3.4 负责组织项目的日常管理工作，协调安排项目成员的各项工作任务。</w:t>
            </w:r>
          </w:p>
          <w:p w14:paraId="64879E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3.5 负责组织项目安装调试、试运行及验收，形成验收报告提交采购人。</w:t>
            </w:r>
          </w:p>
          <w:p w14:paraId="65AF1F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3.2实施人员</w:t>
            </w:r>
          </w:p>
          <w:p w14:paraId="019414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3.2.</w:t>
            </w: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1 配备项目实施人员不少于2人。进行本项目的水站运维工作，按照规范做好水站的检查维护、质量保证和质量控制等工作，按照管理需求记录水站运行情况和维护情况。</w:t>
            </w:r>
          </w:p>
          <w:p w14:paraId="25D66A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3.2</w:t>
            </w: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.2 仪器状态异常或仪器故障时，实施人员应及时响应（响应时间不超过4小时），24小时内到达现场检修，并在48小时内解决所有故障；若48小时内无法排除仪器故障，应在72小时内更换备机，并保证后续的正常控量和数据正常传输。</w:t>
            </w:r>
          </w:p>
          <w:p w14:paraId="4FBE8C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3.2</w:t>
            </w: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.3 水站原则上应连续运行，因电力故障、采水故障、水位过低、自然断流等不可抗力因素导致停运的，应及时向采购人报告。</w:t>
            </w:r>
          </w:p>
          <w:p w14:paraId="25D1945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3.2</w:t>
            </w: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.4 安排专人专职负责管理和监控数据，每日对数据进行审核并标记、核实异常和无效数据，超标数据必须核实原因并及时汇报。</w:t>
            </w:r>
          </w:p>
          <w:p w14:paraId="1DB77D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val="0"/>
                <w:bCs w:val="0"/>
                <w:i w:val="0"/>
                <w:iCs w:val="0"/>
                <w:snapToGrid/>
                <w:color w:val="000000" w:themeColor="text1"/>
                <w:kern w:val="2"/>
                <w:sz w:val="21"/>
                <w:szCs w:val="21"/>
                <w:highlight w:val="none"/>
                <w:u w:val="none"/>
                <w:lang w:val="en-US" w:eastAsia="zh-CN"/>
                <w14:textFill>
                  <w14:solidFill>
                    <w14:schemeClr w14:val="tx1"/>
                  </w14:solidFill>
                </w14:textFill>
              </w:rPr>
              <w:t>3.3驻点人员</w:t>
            </w:r>
          </w:p>
          <w:p w14:paraId="0018C5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配备驻点人员1名，在采购人指定的地点开展工作，期限为自项目验收之日起3年。驻点人员应做好与采购人沟通协调具体工作，定期汇报项目进度及问题，并为采购人辖区内所有区控水站提供维修维护技术指导服务，要求每三个月提供技术指导不少于12次。</w:t>
            </w:r>
          </w:p>
          <w:p w14:paraId="76ECA8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注：上述需提供项目人员实施一览表，项目人员须为供应商在职在岗正式员工，同时提供项目人员与供应商签订的劳动合同或其他在职在岗相关证明材料并加盖供应商公章。</w:t>
            </w:r>
          </w:p>
          <w:p w14:paraId="153266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4.备品备件</w:t>
            </w:r>
          </w:p>
          <w:p w14:paraId="3B38958D">
            <w:pPr>
              <w:keepNext w:val="0"/>
              <w:keepLines w:val="0"/>
              <w:pageBreakBefore w:val="0"/>
              <w:widowControl/>
              <w:suppressLineNumbers w:val="0"/>
              <w:kinsoku/>
              <w:wordWrap/>
              <w:overflowPunct/>
              <w:topLinePunct w:val="0"/>
              <w:autoSpaceDE/>
              <w:autoSpaceDN/>
              <w:bidi w:val="0"/>
              <w:adjustRightInd/>
              <w:snapToGrid/>
              <w:spacing w:line="400" w:lineRule="exact"/>
              <w:ind w:firstLine="210" w:firstLineChars="100"/>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做好本项目的水站的基础保障，仓库必须储备有充足的常用试剂、耗材、备品备件并规范管理。</w:t>
            </w:r>
          </w:p>
          <w:p w14:paraId="025FFB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5.车辆保障</w:t>
            </w:r>
          </w:p>
          <w:p w14:paraId="7A1A4D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 xml:space="preserve">  运维车辆的数量及性能满足运维人员工作需求，至少保证1辆运维专用车辆。</w:t>
            </w:r>
          </w:p>
          <w:p w14:paraId="6516F92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snapToGrid/>
                <w:color w:val="000000" w:themeColor="text1"/>
                <w:kern w:val="2"/>
                <w:sz w:val="21"/>
                <w:szCs w:val="21"/>
                <w:highlight w:val="none"/>
                <w:u w:val="none"/>
                <w:lang w:val="en-US" w:eastAsia="zh-CN"/>
                <w14:textFill>
                  <w14:solidFill>
                    <w14:schemeClr w14:val="tx1"/>
                  </w14:solidFill>
                </w14:textFill>
              </w:rPr>
              <w:t>6.运维考核要求采购人自验收正式通过后开始每三个月对成交方开展一次运维工作考核，具体考核内容见附件1。考核分满分为100分，根据所有站点的平均分情况支付运维服务费，方式如下：</w:t>
            </w:r>
          </w:p>
          <w:p w14:paraId="1DE6A8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6.1所有站点考核平均分：得分≥93分为合格，全额支付合同款5%的运维费用。</w:t>
            </w:r>
          </w:p>
          <w:p w14:paraId="3EC497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6.2所有站点考核平均分：85分≤得分＜93分，为初级警告，支付合同款3%的运维费用，并责令整改。</w:t>
            </w:r>
          </w:p>
          <w:p w14:paraId="4E0C0C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6.3所有站点考核平均分：得分＜85分，为二级警告，不予支付当期运维费用，并责令整改。</w:t>
            </w:r>
          </w:p>
          <w:p w14:paraId="04E788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6.4运维方拒不整改的，采购人有权终止运营合同，且保留向运维方追究责任和赔偿的权利。</w:t>
            </w:r>
          </w:p>
          <w:p w14:paraId="5DD161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6.5运行维护考核要求详见附件1《区控水站服务考核表》。</w:t>
            </w:r>
          </w:p>
          <w:p w14:paraId="7BEE6B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6.6运维方须维护采集的数据必须真实客观，如有弄虚作假的，采购人有权终止合同，同时运维方须按当期维护费的双倍支付违约金。</w:t>
            </w:r>
          </w:p>
          <w:p w14:paraId="2BB8A9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6.7运维方有下列情形之一的，也将视情况扣除合同总额的5%：被中国环境监测总站、自治区生态环境监测中心书面通报批评的；拖延、阻碍、拒绝质量检查或飞行检查的；发现采样、分析、数据采集和传输等过程人为干扰，未按要求及时向桂林监测中心报告的；因工作疏漏，未发现采样、分析、数据采集和传输等过程人为干扰的；其他不履行规定职责的情形。</w:t>
            </w:r>
          </w:p>
          <w:p w14:paraId="5AE594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6.8因运维不当或者管理不到位，导致仪器设备等损毁造成损失的，运维方应依照运维合同的约定，给予等价赔偿。</w:t>
            </w:r>
          </w:p>
          <w:p w14:paraId="41B208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snapToGrid/>
                <w:color w:val="000000" w:themeColor="text1"/>
                <w:kern w:val="2"/>
                <w:sz w:val="21"/>
                <w:szCs w:val="21"/>
                <w:highlight w:val="none"/>
                <w:u w:val="none"/>
                <w:lang w:val="en-US" w:eastAsia="zh-CN"/>
                <w14:textFill>
                  <w14:solidFill>
                    <w14:schemeClr w14:val="tx1"/>
                  </w14:solidFill>
                </w14:textFill>
              </w:rPr>
              <w:t>6.9采购人有权根据相关规定对扣除的运维费进行重新支配，用于开展与区控水站自动监测运维管理相关的工作。</w:t>
            </w:r>
          </w:p>
        </w:tc>
      </w:tr>
      <w:tr w14:paraId="7BDD316F">
        <w:tblPrEx>
          <w:tblCellMar>
            <w:top w:w="0" w:type="dxa"/>
            <w:left w:w="108" w:type="dxa"/>
            <w:bottom w:w="0" w:type="dxa"/>
            <w:right w:w="108" w:type="dxa"/>
          </w:tblCellMar>
        </w:tblPrEx>
        <w:trPr>
          <w:trHeight w:val="4068"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6BD9B2EF">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1"/>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pacing w:val="-1"/>
                <w:sz w:val="21"/>
                <w:szCs w:val="21"/>
                <w:highlight w:val="none"/>
                <w:lang w:val="en-US" w:eastAsia="zh-CN" w:bidi="ar-SA"/>
                <w14:textFill>
                  <w14:solidFill>
                    <w14:schemeClr w14:val="tx1"/>
                  </w14:solidFill>
                </w14:textFill>
              </w:rPr>
              <w:t>四</w:t>
            </w:r>
            <w:r>
              <w:rPr>
                <w:rFonts w:hint="eastAsia" w:ascii="宋体" w:hAnsi="宋体" w:eastAsia="宋体" w:cs="宋体"/>
                <w:b w:val="0"/>
                <w:bCs w:val="0"/>
                <w:snapToGrid w:val="0"/>
                <w:color w:val="000000" w:themeColor="text1"/>
                <w:spacing w:val="-1"/>
                <w:sz w:val="21"/>
                <w:szCs w:val="21"/>
                <w:highlight w:val="none"/>
                <w:lang w:val="en-US" w:eastAsia="en-US" w:bidi="ar-SA"/>
                <w14:textFill>
                  <w14:solidFill>
                    <w14:schemeClr w14:val="tx1"/>
                  </w14:solidFill>
                </w14:textFill>
              </w:rPr>
              <w:t>）交付使用时间及地点</w:t>
            </w:r>
          </w:p>
        </w:tc>
        <w:tc>
          <w:tcPr>
            <w:tcW w:w="7070" w:type="dxa"/>
            <w:tcBorders>
              <w:top w:val="single" w:color="000000" w:sz="4" w:space="0"/>
              <w:left w:val="single" w:color="000000" w:sz="4" w:space="0"/>
              <w:bottom w:val="single" w:color="000000" w:sz="4" w:space="0"/>
              <w:right w:val="single" w:color="000000" w:sz="4" w:space="0"/>
            </w:tcBorders>
            <w:vAlign w:val="top"/>
          </w:tcPr>
          <w:p w14:paraId="36F31C26">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1.交付使用时间：</w:t>
            </w:r>
          </w:p>
          <w:p w14:paraId="068D3D1E">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1.1签订合同后，设备安装前，成交供应商向采购人针对每站点提供改造方案，方案内容包括但不限于，每个站房的设备拆旧，站房布置，人员安排，运行管理，进度安排等，并经采购人确认。</w:t>
            </w:r>
          </w:p>
          <w:p w14:paraId="183FED88">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1.2自签订合同后，采购人通知之日起，两个月内完成安装调试、试运行、验收。</w:t>
            </w:r>
          </w:p>
          <w:p w14:paraId="73623E4F">
            <w:pPr>
              <w:keepNext w:val="0"/>
              <w:keepLines w:val="0"/>
              <w:pageBreakBefore w:val="0"/>
              <w:widowControl/>
              <w:kinsoku w:val="0"/>
              <w:wordWrap/>
              <w:overflowPunct/>
              <w:topLinePunct w:val="0"/>
              <w:autoSpaceDE w:val="0"/>
              <w:autoSpaceDN w:val="0"/>
              <w:bidi w:val="0"/>
              <w:adjustRightInd w:val="0"/>
              <w:snapToGrid w:val="0"/>
              <w:spacing w:line="400" w:lineRule="exact"/>
              <w:ind w:left="108" w:right="108" w:firstLine="6"/>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2.交货地点：广西区内采购人指定地点。成交供应商必须承担设备运输、安装调试、验收检测和提供设备操作说明书、图纸等其他类似的义务。送货前，成交供应商需电话通知采购人，确定送货时间、送货方式和送货地点。</w:t>
            </w:r>
          </w:p>
        </w:tc>
      </w:tr>
      <w:tr w14:paraId="4CB741C3">
        <w:tblPrEx>
          <w:tblCellMar>
            <w:top w:w="0" w:type="dxa"/>
            <w:left w:w="108" w:type="dxa"/>
            <w:bottom w:w="0" w:type="dxa"/>
            <w:right w:w="108" w:type="dxa"/>
          </w:tblCellMar>
        </w:tblPrEx>
        <w:trPr>
          <w:trHeight w:val="487"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5709C5F2">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6B3221F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3A2D5524">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spacing w:val="-1"/>
                <w:sz w:val="21"/>
                <w:szCs w:val="21"/>
                <w:highlight w:val="none"/>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五</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）质量保证期</w:t>
            </w:r>
          </w:p>
        </w:tc>
        <w:tc>
          <w:tcPr>
            <w:tcW w:w="7070" w:type="dxa"/>
            <w:tcBorders>
              <w:top w:val="single" w:color="000000" w:sz="4" w:space="0"/>
              <w:left w:val="single" w:color="000000" w:sz="4" w:space="0"/>
              <w:bottom w:val="single" w:color="000000" w:sz="4" w:space="0"/>
              <w:right w:val="single" w:color="000000" w:sz="4" w:space="0"/>
            </w:tcBorders>
            <w:vAlign w:val="center"/>
          </w:tcPr>
          <w:p w14:paraId="63EC650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1.成交供应商向采购人提供的货物必须是全新的原装产品，禁止提供组装设备，出厂日期不超过10个月，产品质量须符合国家相关标准及安全规范。</w:t>
            </w:r>
          </w:p>
          <w:p w14:paraId="2EED87B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2.质保期及整站保障性运行从采购人验收合格之日起计算，质保期至少3年，整站保障性运行3年（保障性运行要求见附表），实际时间以成交供应商承诺的时间为准（详见合同承诺书）。技术参数要求表中有特别要求的则以技术参数要求表为准。质保期（非保障性运行期）内免费提供上门维修、更换零部件等服务。</w:t>
            </w:r>
          </w:p>
          <w:p w14:paraId="2DE05A4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3.属于国家规定“三包”范围的，其质量保证期不得低于“三包”规定。成交供应商承诺质量保证期优于国家“三包”规定的，或优于竞争性谈判文件规定的，按成交供应商实际承诺执行。</w:t>
            </w:r>
          </w:p>
          <w:p w14:paraId="2420A74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4.合同产品或服务由制造商（指产品生产制造商或服务实际提供人）负责标准售后服务的，应当在响应文件中予以明确说明。</w:t>
            </w:r>
          </w:p>
        </w:tc>
      </w:tr>
      <w:tr w14:paraId="11AE53AC">
        <w:tblPrEx>
          <w:tblCellMar>
            <w:top w:w="0" w:type="dxa"/>
            <w:left w:w="108" w:type="dxa"/>
            <w:bottom w:w="0" w:type="dxa"/>
            <w:right w:w="108" w:type="dxa"/>
          </w:tblCellMar>
        </w:tblPrEx>
        <w:trPr>
          <w:trHeight w:val="286" w:hRule="atLeast"/>
        </w:trPr>
        <w:tc>
          <w:tcPr>
            <w:tcW w:w="2182" w:type="dxa"/>
            <w:tcBorders>
              <w:top w:val="single" w:color="000000" w:sz="4" w:space="0"/>
              <w:left w:val="single" w:color="000000" w:sz="4" w:space="0"/>
              <w:bottom w:val="single" w:color="000000" w:sz="4" w:space="0"/>
              <w:right w:val="single" w:color="000000" w:sz="4" w:space="0"/>
            </w:tcBorders>
            <w:vAlign w:val="center"/>
          </w:tcPr>
          <w:p w14:paraId="39445E65">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六</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）付款条件</w:t>
            </w:r>
          </w:p>
        </w:tc>
        <w:tc>
          <w:tcPr>
            <w:tcW w:w="7070" w:type="dxa"/>
            <w:tcBorders>
              <w:top w:val="single" w:color="000000" w:sz="4" w:space="0"/>
              <w:left w:val="single" w:color="000000" w:sz="4" w:space="0"/>
              <w:bottom w:val="single" w:color="auto" w:sz="4" w:space="0"/>
              <w:right w:val="single" w:color="000000" w:sz="4" w:space="0"/>
            </w:tcBorders>
            <w:vAlign w:val="center"/>
          </w:tcPr>
          <w:p w14:paraId="429EB51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1.付款方式</w:t>
            </w:r>
          </w:p>
          <w:p w14:paraId="4EECD610">
            <w:pPr>
              <w:pStyle w:val="8"/>
              <w:keepNext w:val="0"/>
              <w:keepLines w:val="0"/>
              <w:pageBreakBefore w:val="0"/>
              <w:shd w:val="clear" w:fill="FFFFFF" w:themeFill="background1"/>
              <w:kinsoku w:val="0"/>
              <w:wordWrap/>
              <w:overflowPunct/>
              <w:topLinePunct w:val="0"/>
              <w:autoSpaceDE w:val="0"/>
              <w:autoSpaceDN w:val="0"/>
              <w:bidi w:val="0"/>
              <w:adjustRightInd w:val="0"/>
              <w:snapToGrid w:val="0"/>
              <w:spacing w:line="400" w:lineRule="exact"/>
              <w:ind w:firstLine="228" w:firstLineChars="100"/>
              <w:textAlignment w:val="baseline"/>
              <w:outlineLvl w:val="9"/>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1.1</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成交供应商提交全部改造方案并经采购人书面确认后10个工作日内，采购人向成交供应商预付40%合同款，成交供应商在收到采购人预付款5个工作日内开具合同总额40%的发票。货物到达采购人指定地点，采购人对货物初步验收合格，成交供应商委托银行托管60%合同款的运维经费后，应将银行凭证及合同总额60%的发票提交采购人，采购人据此拨付60%合同款给成交供应商。采购人将银行代管60%合同款的运维经费以运维服务期限分期结算，并根据实际运维的考核结果计算实际应付的运维费，经采购人书面确认后，由银行每三个月代为拨付实际运维经费（最高为合同总额的5%）。每个运维考核周期考核不合格的，采购人有权扣除对应周期运维经费；连续两个考核周期考核不合格的，采购人有权单方解除运维服务相关约定，并要求成交供应商退还剩余未履约部分的运维经费。采购人、成交供应商、银行需同时签署三方协议。采购人对成交供应商的运维考核结果拥有最终解释权，考核结果需经采购人书面确认方作为付款依据。成交供应商对考核结果有异议的，应在收到考核结果之日起7日内以书面形式向采购人提出；逾期未提出的，视为成交供应商认可该考核结果</w:t>
            </w:r>
            <w:r>
              <w:rPr>
                <w:rFonts w:hint="eastAsia" w:ascii="宋体" w:hAnsi="宋体" w:eastAsia="宋体" w:cs="宋体"/>
                <w:color w:val="000000" w:themeColor="text1"/>
                <w:spacing w:val="9"/>
                <w:sz w:val="21"/>
                <w:szCs w:val="21"/>
                <w:highlight w:val="none"/>
                <w14:textFill>
                  <w14:solidFill>
                    <w14:schemeClr w14:val="tx1"/>
                  </w14:solidFill>
                </w14:textFill>
              </w:rPr>
              <w:t>。</w:t>
            </w:r>
          </w:p>
          <w:p w14:paraId="452BFAC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1.2如成交供应商无法履行竞标时对运行期限和质保期限的承诺，采购人有权要求成交供应商按合同金额退回相应的费用。</w:t>
            </w:r>
          </w:p>
        </w:tc>
      </w:tr>
      <w:tr w14:paraId="0B2EE601">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431DB3B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1B1C5AF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3F58338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689AE7B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七</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其他要求</w:t>
            </w:r>
          </w:p>
          <w:p w14:paraId="5B38BC8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0A79975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6437B95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3DDA26D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02D2893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1610355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p>
          <w:p w14:paraId="1AD54E1E">
            <w:pPr>
              <w:keepNext w:val="0"/>
              <w:keepLines w:val="0"/>
              <w:pageBreakBefore w:val="0"/>
              <w:widowControl/>
              <w:kinsoku w:val="0"/>
              <w:wordWrap/>
              <w:overflowPunct/>
              <w:topLinePunct w:val="0"/>
              <w:autoSpaceDE w:val="0"/>
              <w:autoSpaceDN w:val="0"/>
              <w:bidi w:val="0"/>
              <w:adjustRightInd w:val="0"/>
              <w:snapToGrid w:val="0"/>
              <w:spacing w:before="65"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p>
        </w:tc>
        <w:tc>
          <w:tcPr>
            <w:tcW w:w="7070" w:type="dxa"/>
            <w:tcBorders>
              <w:top w:val="single" w:color="auto" w:sz="4" w:space="0"/>
              <w:left w:val="single" w:color="auto" w:sz="4" w:space="0"/>
              <w:bottom w:val="single" w:color="auto" w:sz="4" w:space="0"/>
              <w:right w:val="single" w:color="auto" w:sz="4" w:space="0"/>
            </w:tcBorders>
            <w:vAlign w:val="center"/>
          </w:tcPr>
          <w:p w14:paraId="4F8B62A1">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总体要求</w:t>
            </w:r>
          </w:p>
          <w:p w14:paraId="3F26064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ind w:leftChars="0" w:right="0" w:rightChars="0" w:firstLine="420" w:firstLineChars="20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本项目中的货物，技术参数中标记为“▲”的参数应提供相关证明材料，包括但不限于彩页、官网和功能截图等。当响应文件提供的设备性能参数与该设备生产商提供的性能参数不符合时，以后者为准。</w:t>
            </w:r>
          </w:p>
          <w:p w14:paraId="375CEE6D">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二、售后及其它要求</w:t>
            </w:r>
          </w:p>
          <w:p w14:paraId="04303BB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1.成交供应商和制造商在质量保证期内应当为采购人提供以下技术支持和服务：</w:t>
            </w:r>
          </w:p>
          <w:p w14:paraId="167AFE7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1.1免费送货上门，免费安装调试合格，按国家有关规定实行“三包”，免费定期回访及维护。</w:t>
            </w:r>
          </w:p>
          <w:p w14:paraId="5BC12DE8">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1.2仪器设备故障或采购人有服务需求的，须立即赶赴现场进行维修维护。</w:t>
            </w:r>
          </w:p>
          <w:p w14:paraId="4BA909E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1.3技术升级</w:t>
            </w:r>
          </w:p>
          <w:p w14:paraId="07D3C531">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成交供应商须提供货物操作软件终身免费升级服务。</w:t>
            </w:r>
          </w:p>
          <w:p w14:paraId="79BC027B">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2.质保期外服务要求</w:t>
            </w:r>
          </w:p>
          <w:p w14:paraId="31C7904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 xml:space="preserve">   质量保证期过后，成交供应商和制造商应同样提供免费电话咨询服务，并应承诺提供产品或服务上门维护。</w:t>
            </w:r>
          </w:p>
          <w:p w14:paraId="4D3A4B9A">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3.备品备件及易损件</w:t>
            </w:r>
          </w:p>
          <w:p w14:paraId="7853A91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成交供应商和制造商售后服务中，维修使用的备品备件及易损件应为原厂配件，未经采购人同意不得使用非原厂配件，常用的、容易损坏的备品备件及易损件的价格清单须在投标文件中列出。</w:t>
            </w:r>
          </w:p>
          <w:p w14:paraId="0582BB59">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4.成交供应商应在设备安装调试完毕和系统建成后，免费对采购人的操作人员现场进行基本的使用及维护培训，培训内容为如何进行设备调试、维护、排除故障进行指导和演示（以上培训内容包括仪器的原理、操作、日常维护、故障排除、软件使用等）。成交供应商免费提供仪器现场3-5天的技术培训。培训后采购人仍未熟练掌握仪器的使用方法，则再继续进行培训，直至采购人熟练掌握为止。仪器验收后6个月内回访并免费培训一次。培训期间所产生的消耗品、技术资料和培训费均由成交供应商承担，培训时间由采购人确定，采购人确定培训时间并提前通知成交供应商，成交供应商在规定时间内到场培训。</w:t>
            </w:r>
          </w:p>
          <w:p w14:paraId="1ED85020">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5.在正常安装、使用过程中，凡是因产品质量问题所造成采购人损失的，成交供应商负责赔偿采购人的一切经济损失。</w:t>
            </w:r>
          </w:p>
          <w:p w14:paraId="6079B0B3">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6.知识产权：采购人在中华人民共和国境内使用供应商提供的产品及服务时免受第三方提出的侵犯其专利权或其它知识产权的起诉。如果第三方提出侵权指控，成交供应商应承担由此而引起的一切法律责任和费用。</w:t>
            </w:r>
          </w:p>
          <w:p w14:paraId="14DF2187">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left"/>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7.供应商竞标时请在响应文件中提供具体的项目实施方案、售后服务承诺。</w:t>
            </w:r>
          </w:p>
        </w:tc>
      </w:tr>
      <w:tr w14:paraId="08D4238C">
        <w:tblPrEx>
          <w:tblCellMar>
            <w:top w:w="0" w:type="dxa"/>
            <w:left w:w="108" w:type="dxa"/>
            <w:bottom w:w="0" w:type="dxa"/>
            <w:right w:w="108" w:type="dxa"/>
          </w:tblCellMar>
        </w:tblPrEx>
        <w:trPr>
          <w:trHeight w:val="90"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47364326">
            <w:pPr>
              <w:keepNext w:val="0"/>
              <w:keepLines w:val="0"/>
              <w:pageBreakBefore w:val="0"/>
              <w:widowControl/>
              <w:kinsoku w:val="0"/>
              <w:wordWrap/>
              <w:overflowPunct/>
              <w:topLinePunct w:val="0"/>
              <w:autoSpaceDE w:val="0"/>
              <w:autoSpaceDN w:val="0"/>
              <w:bidi w:val="0"/>
              <w:adjustRightInd w:val="0"/>
              <w:snapToGrid w:val="0"/>
              <w:spacing w:before="176" w:line="400" w:lineRule="exact"/>
              <w:ind w:left="0" w:leftChars="0" w:right="0" w:rightChars="0" w:firstLine="0" w:firstLineChars="0"/>
              <w:jc w:val="center"/>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八</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）采购标的验收标准</w:t>
            </w:r>
          </w:p>
        </w:tc>
        <w:tc>
          <w:tcPr>
            <w:tcW w:w="7070" w:type="dxa"/>
            <w:tcBorders>
              <w:top w:val="single" w:color="auto" w:sz="4" w:space="0"/>
              <w:left w:val="single" w:color="auto" w:sz="4" w:space="0"/>
              <w:bottom w:val="single" w:color="auto" w:sz="4" w:space="0"/>
              <w:right w:val="single" w:color="auto" w:sz="4" w:space="0"/>
            </w:tcBorders>
            <w:vAlign w:val="top"/>
          </w:tcPr>
          <w:p w14:paraId="6216EC55">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1.货物数量、外观由成交供应商、原厂仪器商与采购人共同开箱验收。采购人监视、协助货物的安装、调试。</w:t>
            </w:r>
          </w:p>
          <w:p w14:paraId="477CADA7">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2.技术指标按竞争性谈判文件要求验收。验收方法以中华人民共和国计量检定规程为准。对没有检定规程的，按制造商提供的验收方法验收，该验收应溯源到标准物质。</w:t>
            </w:r>
          </w:p>
          <w:p w14:paraId="4C02AC75">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3.对无法在用户场地验收的技术指标，成交供应商提供该参数的出厂验收报告及验收方法文本（须有中文版本1份）。</w:t>
            </w:r>
          </w:p>
          <w:p w14:paraId="6F6580BF">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4.采用分析标准物质的方式验收的，标准物质由成交供应商负责提供，其费用包括在报价内。</w:t>
            </w:r>
          </w:p>
          <w:p w14:paraId="1E921317">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5.仪器设备验收时间：两个月内完成安装调试、试运行、验收，附验收报告，特殊原因不能在规定时间内供货或验收，采购人、成交供应商双方应明确供货或验收时间，验收时间不超过2026年12月31日。如因成交供应商原因，超期未验收，采购人有权解除合同并追究成交供应商的法律责任。</w:t>
            </w:r>
          </w:p>
          <w:p w14:paraId="478A79E0">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6.仪器设备不满足竞争性谈判文件要求，验收不合格的，采购人有权解除合同并追究成交供应商的法律责任。</w:t>
            </w:r>
          </w:p>
          <w:p w14:paraId="7AF6C715">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7.关于验收：</w:t>
            </w:r>
          </w:p>
          <w:p w14:paraId="45CF5262">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7.1根据采购人提供的验收方案开展验收。</w:t>
            </w:r>
          </w:p>
          <w:p w14:paraId="5DCA817F">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7.2产品保修期自验收合格之日起算，由成交供应商提供产品保修文件。</w:t>
            </w:r>
          </w:p>
          <w:p w14:paraId="705A73AE">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7.3成交供应商应提供完备的技术或服务资料、装箱单和合格证等，并派遣专业人员进行现场安装调试。验收合格条件如下：</w:t>
            </w:r>
          </w:p>
          <w:p w14:paraId="50B17721">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7.3.1货物或服务技术参数与采购合同一致，性能或指标达到规定的标准。</w:t>
            </w:r>
          </w:p>
          <w:p w14:paraId="44E76E44">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7.3.2技术或资料、装箱单、合格证等资料齐全。</w:t>
            </w:r>
          </w:p>
          <w:p w14:paraId="1D45B9D6">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7.3.3 在规定时间内完成交货及验收，并经采购人确认。</w:t>
            </w:r>
          </w:p>
          <w:p w14:paraId="5592CC3C">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8.产品或服务在安装调试并试运行符合要求后，才作为最终验收。</w:t>
            </w:r>
          </w:p>
          <w:p w14:paraId="33EAA70B">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9.采购人需要制造商对成交供应商交付的产品或服务（包括质量、参数等）进行确认的，制造商应予以配合，并出具书面意见。</w:t>
            </w:r>
          </w:p>
          <w:p w14:paraId="05332D5E">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10.成交供应商按相关要求自行开展所有参数实际水样验收比对，成交供应商实验室可自行开展或委托具备资质并经业主认可的第三方监测机构开展验收比对工作。</w:t>
            </w:r>
          </w:p>
          <w:p w14:paraId="31419497">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11.产品包装材料归采购人所有。</w:t>
            </w:r>
          </w:p>
          <w:p w14:paraId="14361034">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12.验收过程中所产生的一切费用均由成交供应商承担。</w:t>
            </w:r>
          </w:p>
          <w:p w14:paraId="7D4A8CCC">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13.验收未尽事宜按照《关于印发广西壮族自治区政府采购项目履约验收管理办法的通知》（桂财采〔2015〕22号）以及《财政部关于进一步加强政府采购需求和履约验收管理的指导意见》（财库〔2016〕205号）规定执行。</w:t>
            </w:r>
          </w:p>
          <w:p w14:paraId="25295369">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14.服务期间，成交供应商不能以任何形式外包合同规定的运行维护服务。</w:t>
            </w:r>
          </w:p>
        </w:tc>
      </w:tr>
      <w:tr w14:paraId="3A9D11FC">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top"/>
          </w:tcPr>
          <w:p w14:paraId="2B0A0B72">
            <w:pPr>
              <w:keepNext w:val="0"/>
              <w:keepLines w:val="0"/>
              <w:pageBreakBefore w:val="0"/>
              <w:widowControl/>
              <w:kinsoku w:val="0"/>
              <w:wordWrap/>
              <w:overflowPunct/>
              <w:topLinePunct w:val="0"/>
              <w:autoSpaceDE w:val="0"/>
              <w:autoSpaceDN w:val="0"/>
              <w:bidi w:val="0"/>
              <w:adjustRightInd w:val="0"/>
              <w:snapToGrid w:val="0"/>
              <w:spacing w:before="267" w:line="400" w:lineRule="exact"/>
              <w:ind w:left="118"/>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z w:val="21"/>
                <w:szCs w:val="21"/>
                <w:highlight w:val="none"/>
                <w:lang w:val="en-US" w:eastAsia="zh-CN" w:bidi="ar-SA"/>
                <w14:textFill>
                  <w14:solidFill>
                    <w14:schemeClr w14:val="tx1"/>
                  </w14:solidFill>
                </w14:textFill>
              </w:rPr>
              <w:t>九</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）采购预</w:t>
            </w:r>
            <w:r>
              <w:rPr>
                <w:rFonts w:hint="eastAsia" w:ascii="宋体" w:hAnsi="宋体" w:eastAsia="宋体" w:cs="宋体"/>
                <w:b w:val="0"/>
                <w:bCs w:val="0"/>
                <w:snapToGrid w:val="0"/>
                <w:color w:val="000000" w:themeColor="text1"/>
                <w:spacing w:val="7"/>
                <w:sz w:val="21"/>
                <w:szCs w:val="21"/>
                <w:highlight w:val="none"/>
                <w:lang w:val="en-US" w:eastAsia="en-US" w:bidi="ar-SA"/>
                <w14:textFill>
                  <w14:solidFill>
                    <w14:schemeClr w14:val="tx1"/>
                  </w14:solidFill>
                </w14:textFill>
              </w:rPr>
              <w:t>算金额及单价</w:t>
            </w:r>
            <w:r>
              <w:rPr>
                <w:rFonts w:hint="eastAsia" w:ascii="宋体" w:hAnsi="宋体" w:eastAsia="宋体" w:cs="宋体"/>
                <w:b w:val="0"/>
                <w:bCs w:val="0"/>
                <w:snapToGrid w:val="0"/>
                <w:color w:val="000000" w:themeColor="text1"/>
                <w:spacing w:val="5"/>
                <w:sz w:val="21"/>
                <w:szCs w:val="21"/>
                <w:highlight w:val="none"/>
                <w:lang w:val="en-US" w:eastAsia="en-US" w:bidi="ar-SA"/>
                <w14:textFill>
                  <w14:solidFill>
                    <w14:schemeClr w14:val="tx1"/>
                  </w14:solidFill>
                </w14:textFill>
              </w:rPr>
              <w:t>最高限价</w:t>
            </w:r>
          </w:p>
        </w:tc>
        <w:tc>
          <w:tcPr>
            <w:tcW w:w="7070" w:type="dxa"/>
            <w:tcBorders>
              <w:top w:val="single" w:color="auto" w:sz="4" w:space="0"/>
              <w:left w:val="single" w:color="auto" w:sz="4" w:space="0"/>
              <w:bottom w:val="single" w:color="auto" w:sz="4" w:space="0"/>
              <w:right w:val="single" w:color="auto" w:sz="4" w:space="0"/>
            </w:tcBorders>
            <w:vAlign w:val="top"/>
          </w:tcPr>
          <w:p w14:paraId="5CDEEF3B">
            <w:pPr>
              <w:keepNext w:val="0"/>
              <w:keepLines w:val="0"/>
              <w:pageBreakBefore w:val="0"/>
              <w:widowControl/>
              <w:kinsoku w:val="0"/>
              <w:wordWrap/>
              <w:overflowPunct/>
              <w:topLinePunct w:val="0"/>
              <w:autoSpaceDE w:val="0"/>
              <w:autoSpaceDN w:val="0"/>
              <w:bidi w:val="0"/>
              <w:adjustRightInd w:val="0"/>
              <w:snapToGrid w:val="0"/>
              <w:spacing w:line="380" w:lineRule="exact"/>
              <w:ind w:right="115"/>
              <w:textAlignment w:val="baseline"/>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pPr>
            <w:r>
              <w:rPr>
                <w:rFonts w:hint="eastAsia" w:ascii="宋体" w:hAnsi="宋体" w:eastAsia="宋体" w:cs="宋体"/>
                <w:b w:val="0"/>
                <w:bCs w:val="0"/>
                <w:snapToGrid w:val="0"/>
                <w:color w:val="000000" w:themeColor="text1"/>
                <w:spacing w:val="6"/>
                <w:sz w:val="21"/>
                <w:szCs w:val="21"/>
                <w:highlight w:val="none"/>
                <w:lang w:val="en-US" w:eastAsia="en-US" w:bidi="ar-SA"/>
                <w14:textFill>
                  <w14:solidFill>
                    <w14:schemeClr w14:val="tx1"/>
                  </w14:solidFill>
                </w14:textFill>
              </w:rPr>
              <w:t>1.本</w:t>
            </w:r>
            <w:r>
              <w:rPr>
                <w:rFonts w:hint="eastAsia" w:ascii="宋体" w:hAnsi="宋体" w:eastAsia="宋体" w:cs="宋体"/>
                <w:b w:val="0"/>
                <w:bCs w:val="0"/>
                <w:snapToGrid w:val="0"/>
                <w:color w:val="000000" w:themeColor="text1"/>
                <w:spacing w:val="6"/>
                <w:sz w:val="21"/>
                <w:szCs w:val="21"/>
                <w:highlight w:val="none"/>
                <w:lang w:val="en-US" w:eastAsia="zh-CN" w:bidi="ar-SA"/>
                <w14:textFill>
                  <w14:solidFill>
                    <w14:schemeClr w14:val="tx1"/>
                  </w14:solidFill>
                </w14:textFill>
              </w:rPr>
              <w:t>项目</w:t>
            </w:r>
            <w:r>
              <w:rPr>
                <w:rFonts w:hint="eastAsia" w:ascii="宋体" w:hAnsi="宋体" w:eastAsia="宋体" w:cs="宋体"/>
                <w:b w:val="0"/>
                <w:bCs w:val="0"/>
                <w:snapToGrid w:val="0"/>
                <w:color w:val="000000" w:themeColor="text1"/>
                <w:spacing w:val="6"/>
                <w:sz w:val="21"/>
                <w:szCs w:val="21"/>
                <w:highlight w:val="none"/>
                <w:lang w:val="en-US" w:eastAsia="en-US" w:bidi="ar-SA"/>
                <w14:textFill>
                  <w14:solidFill>
                    <w14:schemeClr w14:val="tx1"/>
                  </w14:solidFill>
                </w14:textFill>
              </w:rPr>
              <w:t>政府采购预算金额为人民币</w:t>
            </w:r>
            <w:r>
              <w:rPr>
                <w:rFonts w:hint="eastAsia" w:ascii="宋体" w:hAnsi="宋体" w:eastAsia="宋体" w:cs="宋体"/>
                <w:b/>
                <w:bCs/>
                <w:snapToGrid w:val="0"/>
                <w:color w:val="000000" w:themeColor="text1"/>
                <w:spacing w:val="6"/>
                <w:sz w:val="21"/>
                <w:szCs w:val="21"/>
                <w:highlight w:val="none"/>
                <w:lang w:val="en-US" w:eastAsia="zh-CN" w:bidi="ar-SA"/>
                <w14:textFill>
                  <w14:solidFill>
                    <w14:schemeClr w14:val="tx1"/>
                  </w14:solidFill>
                </w14:textFill>
              </w:rPr>
              <w:t>壹佰叁拾万元整</w:t>
            </w:r>
            <w:r>
              <w:rPr>
                <w:rFonts w:hint="eastAsia" w:ascii="宋体" w:hAnsi="宋体" w:eastAsia="宋体" w:cs="宋体"/>
                <w:b/>
                <w:bCs/>
                <w:snapToGrid w:val="0"/>
                <w:color w:val="000000" w:themeColor="text1"/>
                <w:spacing w:val="6"/>
                <w:sz w:val="21"/>
                <w:szCs w:val="21"/>
                <w:highlight w:val="none"/>
                <w:lang w:val="en-US" w:eastAsia="en-US" w:bidi="ar-SA"/>
                <w14:textFill>
                  <w14:solidFill>
                    <w14:schemeClr w14:val="tx1"/>
                  </w14:solidFill>
                </w14:textFill>
              </w:rPr>
              <w:t>(¥</w:t>
            </w:r>
            <w:r>
              <w:rPr>
                <w:rFonts w:hint="eastAsia" w:ascii="宋体" w:hAnsi="宋体" w:eastAsia="宋体" w:cs="宋体"/>
                <w:b/>
                <w:bCs/>
                <w:snapToGrid w:val="0"/>
                <w:color w:val="000000" w:themeColor="text1"/>
                <w:spacing w:val="6"/>
                <w:sz w:val="21"/>
                <w:szCs w:val="21"/>
                <w:highlight w:val="none"/>
                <w:lang w:val="en-US" w:eastAsia="zh-CN" w:bidi="ar-SA"/>
                <w14:textFill>
                  <w14:solidFill>
                    <w14:schemeClr w14:val="tx1"/>
                  </w14:solidFill>
                </w14:textFill>
              </w:rPr>
              <w:t>1300000.00</w:t>
            </w:r>
            <w:r>
              <w:rPr>
                <w:rFonts w:hint="eastAsia" w:ascii="宋体" w:hAnsi="宋体" w:eastAsia="宋体" w:cs="宋体"/>
                <w:b/>
                <w:bCs/>
                <w:snapToGrid w:val="0"/>
                <w:color w:val="000000" w:themeColor="text1"/>
                <w:spacing w:val="22"/>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pacing w:val="22"/>
                <w:sz w:val="21"/>
                <w:szCs w:val="21"/>
                <w:highlight w:val="none"/>
                <w:lang w:val="en-US" w:eastAsia="en-US" w:bidi="ar-SA"/>
                <w14:textFill>
                  <w14:solidFill>
                    <w14:schemeClr w14:val="tx1"/>
                  </w14:solidFill>
                </w14:textFill>
              </w:rPr>
              <w:t>，</w:t>
            </w:r>
            <w:r>
              <w:rPr>
                <w:rFonts w:hint="eastAsia" w:ascii="宋体" w:hAnsi="宋体" w:eastAsia="宋体" w:cs="宋体"/>
                <w:b w:val="0"/>
                <w:bCs w:val="0"/>
                <w:snapToGrid w:val="0"/>
                <w:color w:val="000000" w:themeColor="text1"/>
                <w:spacing w:val="6"/>
                <w:sz w:val="21"/>
                <w:szCs w:val="21"/>
                <w:highlight w:val="none"/>
                <w:lang w:val="en-US" w:eastAsia="zh-CN" w:bidi="ar-SA"/>
                <w14:textFill>
                  <w14:solidFill>
                    <w14:schemeClr w14:val="tx1"/>
                  </w14:solidFill>
                </w14:textFill>
              </w:rPr>
              <w:t>谈判</w:t>
            </w:r>
            <w:r>
              <w:rPr>
                <w:rFonts w:hint="eastAsia" w:ascii="宋体" w:hAnsi="宋体" w:eastAsia="宋体" w:cs="宋体"/>
                <w:b w:val="0"/>
                <w:bCs w:val="0"/>
                <w:snapToGrid w:val="0"/>
                <w:color w:val="000000" w:themeColor="text1"/>
                <w:spacing w:val="6"/>
                <w:sz w:val="21"/>
                <w:szCs w:val="21"/>
                <w:highlight w:val="none"/>
                <w:lang w:val="en-US" w:eastAsia="en-US" w:bidi="ar-SA"/>
                <w14:textFill>
                  <w14:solidFill>
                    <w14:schemeClr w14:val="tx1"/>
                  </w14:solidFill>
                </w14:textFill>
              </w:rPr>
              <w:t>报价超出采购预算</w:t>
            </w:r>
            <w:r>
              <w:rPr>
                <w:rFonts w:hint="eastAsia" w:ascii="宋体" w:hAnsi="宋体" w:eastAsia="宋体" w:cs="宋体"/>
                <w:b w:val="0"/>
                <w:bCs w:val="0"/>
                <w:snapToGrid w:val="0"/>
                <w:color w:val="000000" w:themeColor="text1"/>
                <w:spacing w:val="7"/>
                <w:sz w:val="21"/>
                <w:szCs w:val="21"/>
                <w:highlight w:val="none"/>
                <w:lang w:val="en-US" w:eastAsia="en-US" w:bidi="ar-SA"/>
                <w14:textFill>
                  <w14:solidFill>
                    <w14:schemeClr w14:val="tx1"/>
                  </w14:solidFill>
                </w14:textFill>
              </w:rPr>
              <w:t>金额的，</w:t>
            </w:r>
            <w:r>
              <w:rPr>
                <w:rFonts w:hint="eastAsia" w:ascii="宋体" w:hAnsi="宋体" w:eastAsia="宋体" w:cs="宋体"/>
                <w:b w:val="0"/>
                <w:bCs w:val="0"/>
                <w:snapToGrid w:val="0"/>
                <w:color w:val="000000" w:themeColor="text1"/>
                <w:spacing w:val="7"/>
                <w:sz w:val="21"/>
                <w:szCs w:val="21"/>
                <w:highlight w:val="none"/>
                <w:lang w:val="en-US" w:eastAsia="zh-CN" w:bidi="ar-SA"/>
                <w14:textFill>
                  <w14:solidFill>
                    <w14:schemeClr w14:val="tx1"/>
                  </w14:solidFill>
                </w14:textFill>
              </w:rPr>
              <w:t>响应</w:t>
            </w:r>
            <w:r>
              <w:rPr>
                <w:rFonts w:hint="eastAsia" w:ascii="宋体" w:hAnsi="宋体" w:eastAsia="宋体" w:cs="宋体"/>
                <w:b w:val="0"/>
                <w:bCs w:val="0"/>
                <w:snapToGrid w:val="0"/>
                <w:color w:val="000000" w:themeColor="text1"/>
                <w:spacing w:val="7"/>
                <w:sz w:val="21"/>
                <w:szCs w:val="21"/>
                <w:highlight w:val="none"/>
                <w:lang w:val="en-US" w:eastAsia="en-US" w:bidi="ar-SA"/>
                <w14:textFill>
                  <w14:solidFill>
                    <w14:schemeClr w14:val="tx1"/>
                  </w14:solidFill>
                </w14:textFill>
              </w:rPr>
              <w:t>文件按无效处理。</w:t>
            </w:r>
          </w:p>
          <w:p w14:paraId="37D10CB6">
            <w:pPr>
              <w:keepNext w:val="0"/>
              <w:keepLines w:val="0"/>
              <w:pageBreakBefore w:val="0"/>
              <w:widowControl/>
              <w:kinsoku w:val="0"/>
              <w:wordWrap/>
              <w:overflowPunct/>
              <w:topLinePunct w:val="0"/>
              <w:autoSpaceDE w:val="0"/>
              <w:autoSpaceDN w:val="0"/>
              <w:bidi w:val="0"/>
              <w:adjustRightInd w:val="0"/>
              <w:snapToGrid w:val="0"/>
              <w:spacing w:line="380" w:lineRule="exact"/>
              <w:ind w:right="123" w:rightChars="0"/>
              <w:textAlignment w:val="baseline"/>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8"/>
                <w:sz w:val="21"/>
                <w:szCs w:val="21"/>
                <w:highlight w:val="none"/>
                <w:lang w:val="en-US" w:eastAsia="en-US" w:bidi="ar-SA"/>
                <w14:textFill>
                  <w14:solidFill>
                    <w14:schemeClr w14:val="tx1"/>
                  </w14:solidFill>
                </w14:textFill>
              </w:rPr>
              <w:t>2.各采购标的的单价报价不得超相应标的的单价最高限价，否则，</w:t>
            </w:r>
            <w:r>
              <w:rPr>
                <w:rFonts w:hint="eastAsia" w:ascii="宋体" w:hAnsi="宋体" w:eastAsia="宋体" w:cs="宋体"/>
                <w:b w:val="0"/>
                <w:bCs w:val="0"/>
                <w:snapToGrid w:val="0"/>
                <w:color w:val="000000" w:themeColor="text1"/>
                <w:spacing w:val="8"/>
                <w:sz w:val="21"/>
                <w:szCs w:val="21"/>
                <w:highlight w:val="none"/>
                <w:lang w:val="en-US" w:eastAsia="zh-CN" w:bidi="ar-SA"/>
                <w14:textFill>
                  <w14:solidFill>
                    <w14:schemeClr w14:val="tx1"/>
                  </w14:solidFill>
                </w14:textFill>
              </w:rPr>
              <w:t>响应</w:t>
            </w:r>
            <w:r>
              <w:rPr>
                <w:rFonts w:hint="eastAsia" w:ascii="宋体" w:hAnsi="宋体" w:eastAsia="宋体" w:cs="宋体"/>
                <w:b w:val="0"/>
                <w:bCs w:val="0"/>
                <w:snapToGrid w:val="0"/>
                <w:color w:val="000000" w:themeColor="text1"/>
                <w:spacing w:val="8"/>
                <w:sz w:val="21"/>
                <w:szCs w:val="21"/>
                <w:highlight w:val="none"/>
                <w:lang w:val="en-US" w:eastAsia="en-US" w:bidi="ar-SA"/>
                <w14:textFill>
                  <w14:solidFill>
                    <w14:schemeClr w14:val="tx1"/>
                  </w14:solidFill>
                </w14:textFill>
              </w:rPr>
              <w:t>文件按无效</w:t>
            </w: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处理。</w:t>
            </w:r>
          </w:p>
        </w:tc>
      </w:tr>
      <w:tr w14:paraId="3B74FBE0">
        <w:tblPrEx>
          <w:tblCellMar>
            <w:top w:w="0" w:type="dxa"/>
            <w:left w:w="108" w:type="dxa"/>
            <w:bottom w:w="0" w:type="dxa"/>
            <w:right w:w="108" w:type="dxa"/>
          </w:tblCellMar>
        </w:tblPrEx>
        <w:trPr>
          <w:trHeight w:val="522" w:hRule="atLeast"/>
        </w:trPr>
        <w:tc>
          <w:tcPr>
            <w:tcW w:w="2182" w:type="dxa"/>
            <w:tcBorders>
              <w:top w:val="single" w:color="000000" w:sz="4" w:space="0"/>
              <w:left w:val="single" w:color="000000" w:sz="4" w:space="0"/>
              <w:bottom w:val="single" w:color="000000" w:sz="4" w:space="0"/>
              <w:right w:val="single" w:color="auto" w:sz="4" w:space="0"/>
            </w:tcBorders>
            <w:vAlign w:val="center"/>
          </w:tcPr>
          <w:p w14:paraId="160AC06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val="0"/>
                <w:bCs w:val="0"/>
                <w:snapToGrid w:val="0"/>
                <w:color w:val="000000" w:themeColor="text1"/>
                <w:kern w:val="0"/>
                <w:sz w:val="21"/>
                <w:szCs w:val="21"/>
                <w:highlight w:val="none"/>
                <w:lang w:eastAsia="en-US" w:bidi="ar"/>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（十）售后服务/运行要求</w:t>
            </w:r>
          </w:p>
        </w:tc>
        <w:tc>
          <w:tcPr>
            <w:tcW w:w="7070" w:type="dxa"/>
            <w:tcBorders>
              <w:top w:val="single" w:color="auto" w:sz="4" w:space="0"/>
              <w:left w:val="single" w:color="auto" w:sz="4" w:space="0"/>
              <w:bottom w:val="single" w:color="auto" w:sz="4" w:space="0"/>
              <w:right w:val="single" w:color="auto" w:sz="4" w:space="0"/>
            </w:tcBorders>
            <w:vAlign w:val="center"/>
          </w:tcPr>
          <w:p w14:paraId="5246B8E5">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1</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运行要求见附表及国家相关标准、行业标准、地方标准或者其他标准、规范。</w:t>
            </w:r>
          </w:p>
          <w:p w14:paraId="602E4E59">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2</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应当提供每周7天、每天24小时的电话支持服务。</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接到</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采购人</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保修通知后2个小时内响应，12个小时内排除故障。货物出现重大故障或维修时限超过2日的，</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应在24个小时内免费更换备品备件。并保证后续的正常测量和数据正常传输，所涉及备机须由</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自行提供。</w:t>
            </w:r>
          </w:p>
          <w:p w14:paraId="345368AB">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3</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对于质保期内同一站点同一设备连续故障时长≥72小时次数达到2次（含2次）的，</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需直接更换相应设备。</w:t>
            </w:r>
          </w:p>
          <w:p w14:paraId="22AA3339">
            <w:pPr>
              <w:keepNext w:val="0"/>
              <w:keepLines w:val="0"/>
              <w:pageBreakBefore w:val="0"/>
              <w:widowControl/>
              <w:kinsoku w:val="0"/>
              <w:wordWrap/>
              <w:overflowPunct/>
              <w:topLinePunct w:val="0"/>
              <w:autoSpaceDE w:val="0"/>
              <w:autoSpaceDN w:val="0"/>
              <w:bidi w:val="0"/>
              <w:adjustRightInd w:val="0"/>
              <w:snapToGrid w:val="0"/>
              <w:spacing w:line="380" w:lineRule="exact"/>
              <w:jc w:val="left"/>
              <w:textAlignment w:val="baseline"/>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pP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4</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质保期结束后，采购人将组织对所有更新改造设备进行仪器性能测试，测试不合格的设备，</w:t>
            </w:r>
            <w:r>
              <w:rPr>
                <w:rFonts w:hint="eastAsia" w:ascii="宋体" w:hAnsi="宋体" w:eastAsia="宋体" w:cs="宋体"/>
                <w:b w:val="0"/>
                <w:bCs w:val="0"/>
                <w:snapToGrid w:val="0"/>
                <w:color w:val="000000" w:themeColor="text1"/>
                <w:kern w:val="0"/>
                <w:sz w:val="21"/>
                <w:szCs w:val="21"/>
                <w:highlight w:val="none"/>
                <w:lang w:eastAsia="zh-CN"/>
                <w14:textFill>
                  <w14:solidFill>
                    <w14:schemeClr w14:val="tx1"/>
                  </w14:solidFill>
                </w14:textFill>
              </w:rPr>
              <w:t>成交供应商</w:t>
            </w:r>
            <w:r>
              <w:rPr>
                <w:rFonts w:hint="eastAsia" w:ascii="宋体" w:hAnsi="宋体" w:eastAsia="宋体" w:cs="宋体"/>
                <w:b w:val="0"/>
                <w:bCs w:val="0"/>
                <w:snapToGrid w:val="0"/>
                <w:color w:val="000000" w:themeColor="text1"/>
                <w:kern w:val="0"/>
                <w:sz w:val="21"/>
                <w:szCs w:val="21"/>
                <w:highlight w:val="none"/>
                <w:lang w:eastAsia="en-US"/>
                <w14:textFill>
                  <w14:solidFill>
                    <w14:schemeClr w14:val="tx1"/>
                  </w14:solidFill>
                </w14:textFill>
              </w:rPr>
              <w:t>需更换新设备，并满足性能测试要求。性能测试依据采购人提供的相关文件要求开展。所有测试合格后交付仪器给采购人。</w:t>
            </w:r>
          </w:p>
        </w:tc>
      </w:tr>
    </w:tbl>
    <w:p w14:paraId="7CD40FCC">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A28B1D5">
      <w:pPr>
        <w:shd w:val="clear" w:color="auto" w:fill="FFFFFF"/>
        <w:kinsoku/>
        <w:autoSpaceDE/>
        <w:autoSpaceDN/>
        <w:adjustRightInd/>
        <w:snapToGrid/>
        <w:spacing w:line="600" w:lineRule="exact"/>
        <w:ind w:firstLine="640" w:firstLineChars="200"/>
        <w:jc w:val="left"/>
        <w:textAlignment w:val="auto"/>
        <w:rPr>
          <w:rFonts w:hint="default" w:ascii="Times New Roman" w:hAnsi="Times New Roman" w:eastAsia="宋体" w:cs="Times New Roman"/>
          <w:snapToGrid/>
          <w:color w:val="000000" w:themeColor="text1"/>
          <w:sz w:val="32"/>
          <w:szCs w:val="32"/>
          <w:highlight w:val="none"/>
          <w:lang w:val="en-US" w:eastAsia="zh-CN"/>
          <w14:textFill>
            <w14:solidFill>
              <w14:schemeClr w14:val="tx1"/>
            </w14:solidFill>
          </w14:textFill>
        </w:rPr>
      </w:pPr>
      <w:bookmarkStart w:id="11" w:name="bookmark4"/>
      <w:bookmarkEnd w:id="11"/>
      <w:r>
        <w:rPr>
          <w:rFonts w:hint="default" w:ascii="Times New Roman" w:hAnsi="Times New Roman" w:eastAsia="宋体" w:cs="Times New Roman"/>
          <w:snapToGrid/>
          <w:color w:val="000000" w:themeColor="text1"/>
          <w:sz w:val="32"/>
          <w:szCs w:val="32"/>
          <w:highlight w:val="none"/>
          <w:lang w:val="en-US" w:eastAsia="zh-CN"/>
          <w14:textFill>
            <w14:solidFill>
              <w14:schemeClr w14:val="tx1"/>
            </w14:solidFill>
          </w14:textFill>
        </w:rPr>
        <w:t>附件1</w:t>
      </w:r>
    </w:p>
    <w:p w14:paraId="5298AAD5">
      <w:pPr>
        <w:keepNext w:val="0"/>
        <w:keepLines w:val="0"/>
        <w:pageBreakBefore w:val="0"/>
        <w:widowControl w:val="0"/>
        <w:shd w:val="clear" w:color="auto" w:fill="FFFFFF"/>
        <w:kinsoku/>
        <w:wordWrap/>
        <w:overflowPunct/>
        <w:topLinePunct w:val="0"/>
        <w:autoSpaceDE/>
        <w:autoSpaceDN/>
        <w:bidi w:val="0"/>
        <w:adjustRightInd/>
        <w:snapToGrid/>
        <w:spacing w:line="592" w:lineRule="exact"/>
        <w:ind w:firstLine="640" w:firstLineChars="200"/>
        <w:jc w:val="center"/>
        <w:textAlignment w:val="auto"/>
        <w:rPr>
          <w:rFonts w:hint="default" w:ascii="Times New Roman" w:hAnsi="Times New Roman" w:eastAsia="宋体" w:cs="Times New Roman"/>
          <w:snapToGrid/>
          <w:color w:val="000000" w:themeColor="text1"/>
          <w:sz w:val="32"/>
          <w:szCs w:val="32"/>
          <w:highlight w:val="none"/>
          <w:lang w:val="en-US" w:eastAsia="zh-CN"/>
          <w14:textFill>
            <w14:solidFill>
              <w14:schemeClr w14:val="tx1"/>
            </w14:solidFill>
          </w14:textFill>
        </w:rPr>
      </w:pPr>
      <w:r>
        <w:rPr>
          <w:rFonts w:hint="default" w:ascii="Times New Roman" w:hAnsi="Times New Roman" w:eastAsia="宋体" w:cs="Times New Roman"/>
          <w:snapToGrid/>
          <w:color w:val="000000" w:themeColor="text1"/>
          <w:sz w:val="32"/>
          <w:szCs w:val="32"/>
          <w:highlight w:val="none"/>
          <w:lang w:val="en-US" w:eastAsia="zh-CN"/>
          <w14:textFill>
            <w14:solidFill>
              <w14:schemeClr w14:val="tx1"/>
            </w14:solidFill>
          </w14:textFill>
        </w:rPr>
        <w:t>附表1.0 区控水站服务考核表</w:t>
      </w:r>
    </w:p>
    <w:tbl>
      <w:tblPr>
        <w:tblStyle w:val="20"/>
        <w:tblW w:w="13973"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0"/>
        <w:gridCol w:w="1950"/>
        <w:gridCol w:w="8441"/>
        <w:gridCol w:w="701"/>
        <w:gridCol w:w="607"/>
        <w:gridCol w:w="1164"/>
      </w:tblGrid>
      <w:tr w14:paraId="5BCC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right"/>
        </w:trPr>
        <w:tc>
          <w:tcPr>
            <w:tcW w:w="30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7DD7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1" w:firstLineChars="20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考核内容</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8B8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1" w:firstLineChars="20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考核要求及扣分条件</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BA5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分值</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2E1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得分</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824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备注</w:t>
            </w:r>
          </w:p>
        </w:tc>
      </w:tr>
      <w:tr w14:paraId="31684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79FC0A2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质量保证和质量控制</w:t>
            </w: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（60分）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F4E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数据有效率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C98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所有参数数据有效率≥80%（除去断流、停电、不可抗力因素引起的故障或停运，以及采购方认为可以扣除的时间段），有效率每降低1%（四舍五入），扣2.5分，扣完为止。注：考核参数最低的有效率，不考核平均有效率。</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5CF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40</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1CF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nil"/>
              <w:left w:val="single" w:color="000000" w:sz="4" w:space="0"/>
              <w:bottom w:val="single" w:color="000000" w:sz="4" w:space="0"/>
              <w:right w:val="single" w:color="000000" w:sz="4" w:space="0"/>
            </w:tcBorders>
            <w:shd w:val="clear" w:color="auto" w:fill="auto"/>
            <w:vAlign w:val="center"/>
          </w:tcPr>
          <w:p w14:paraId="64BC800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36557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right"/>
        </w:trPr>
        <w:tc>
          <w:tcPr>
            <w:tcW w:w="1110" w:type="dxa"/>
            <w:vMerge w:val="continue"/>
            <w:tcBorders>
              <w:left w:val="single" w:color="000000" w:sz="4" w:space="0"/>
              <w:right w:val="single" w:color="000000" w:sz="4" w:space="0"/>
            </w:tcBorders>
            <w:shd w:val="clear" w:color="auto" w:fill="auto"/>
            <w:vAlign w:val="center"/>
          </w:tcPr>
          <w:p w14:paraId="469A8B5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52B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每周标样核查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5B1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周对五参数进行标样核查，两次核查时间间隔不能超过9天，核查结果满足HJ915.3-2024标准规范要求，如未能满足核查时间间隔的1次扣1分。如有核查参数未达到要求，按一个指标1次扣1分，如当月存在未开展周核查的1次扣2分，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1675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6</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71F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950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76763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right w:val="single" w:color="000000" w:sz="4" w:space="0"/>
            </w:tcBorders>
            <w:shd w:val="clear" w:color="auto" w:fill="auto"/>
            <w:vAlign w:val="center"/>
          </w:tcPr>
          <w:p w14:paraId="284E200B">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EAA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每季度实际水样比对</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1B0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季度开展一次所有参数（除藻密度和叶绿素a外）实际水样比对，并出具比对报告上传至广西水环境监控平台。比对结果满足HJ915.3-2024标准规范要求。如不按时开展比对监测，一次扣完4分。开展比对监测结果，如有比对结果未达到要求，按照一项指标一次扣1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E45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241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A9E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38AA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right w:val="single" w:color="000000" w:sz="4" w:space="0"/>
            </w:tcBorders>
            <w:shd w:val="clear" w:color="auto" w:fill="auto"/>
            <w:vAlign w:val="center"/>
          </w:tcPr>
          <w:p w14:paraId="4475F07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2C2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每月多点线性核查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6A1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每月对所有参数（除五参数外）开展多点线性核查，核查结果满足HJ915.3-2024标准规范要求。如果不开展该项工作，一次扣完4分，如果核查未达到要求，按照一项指标一次扣1分方式统计，扣完为止。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4E7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2A2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4F4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6D18D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right"/>
        </w:trPr>
        <w:tc>
          <w:tcPr>
            <w:tcW w:w="1110" w:type="dxa"/>
            <w:vMerge w:val="continue"/>
            <w:tcBorders>
              <w:left w:val="single" w:color="000000" w:sz="4" w:space="0"/>
              <w:right w:val="single" w:color="000000" w:sz="4" w:space="0"/>
            </w:tcBorders>
            <w:shd w:val="clear" w:color="auto" w:fill="auto"/>
            <w:vAlign w:val="center"/>
          </w:tcPr>
          <w:p w14:paraId="56FFB05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5DD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每月加标回收测试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98D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对所有参数（除五参数、藻密度和叶绿素a外）开展加标回收测试，测试结果满足HJ915.3-2024标准规范要求。如果不开展该项工作，一次扣完2分，如果测试未达到要求，按照一项指标一次扣0.5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2B9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D28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91E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2A02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right"/>
        </w:trPr>
        <w:tc>
          <w:tcPr>
            <w:tcW w:w="1110" w:type="dxa"/>
            <w:vMerge w:val="continue"/>
            <w:tcBorders>
              <w:left w:val="single" w:color="000000" w:sz="4" w:space="0"/>
              <w:right w:val="single" w:color="000000" w:sz="4" w:space="0"/>
            </w:tcBorders>
            <w:shd w:val="clear" w:color="auto" w:fill="auto"/>
            <w:vAlign w:val="center"/>
          </w:tcPr>
          <w:p w14:paraId="498F883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EE5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每月集成干预检查</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AF6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对所有参数（除五参数、藻密度和叶绿素a外）开展集成干预检查，检查结果满足HJ915.3-2024标准规范要求。依据HJ915.3-2024标准要求当需要开展此项工作时，如未开展，一次扣完2分，如果检查未达到要求，按照一项指标一次扣0.5分方式统计，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B21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2B2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45D9">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2AF5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1989A43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134A">
            <w:pPr>
              <w:shd w:val="clear" w:color="auto" w:fill="FFFFFF"/>
              <w:kinsoku/>
              <w:autoSpaceDE/>
              <w:autoSpaceDN/>
              <w:adjustRightInd/>
              <w:snapToGrid/>
              <w:spacing w:line="240" w:lineRule="exact"/>
              <w:ind w:firstLine="360" w:firstLineChars="200"/>
              <w:jc w:val="left"/>
              <w:textAlignment w:val="auto"/>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snapToGrid/>
                <w:color w:val="000000" w:themeColor="text1"/>
                <w:sz w:val="18"/>
                <w:szCs w:val="18"/>
                <w:highlight w:val="none"/>
                <w:lang w:eastAsia="zh-CN"/>
                <w14:textFill>
                  <w14:solidFill>
                    <w14:schemeClr w14:val="tx1"/>
                  </w14:solidFill>
                </w14:textFill>
              </w:rPr>
              <w:t>季度盲样测试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856A">
            <w:pPr>
              <w:shd w:val="clear" w:color="auto" w:fill="FFFFFF"/>
              <w:kinsoku/>
              <w:autoSpaceDE/>
              <w:autoSpaceDN/>
              <w:adjustRightInd/>
              <w:snapToGrid/>
              <w:spacing w:line="240" w:lineRule="exact"/>
              <w:ind w:firstLine="360" w:firstLineChars="200"/>
              <w:textAlignment w:val="auto"/>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snapToGrid/>
                <w:color w:val="000000" w:themeColor="text1"/>
                <w:sz w:val="18"/>
                <w:szCs w:val="18"/>
                <w:highlight w:val="none"/>
                <w:lang w:val="en-US" w:eastAsia="zh-CN"/>
                <w14:textFill>
                  <w14:solidFill>
                    <w14:schemeClr w14:val="tx1"/>
                  </w14:solidFill>
                </w14:textFill>
              </w:rPr>
              <w:t>每季度</w:t>
            </w:r>
            <w:r>
              <w:rPr>
                <w:rFonts w:hint="default" w:ascii="Times New Roman" w:hAnsi="Times New Roman" w:eastAsia="宋体" w:cs="Times New Roman"/>
                <w:snapToGrid/>
                <w:color w:val="000000" w:themeColor="text1"/>
                <w:sz w:val="18"/>
                <w:szCs w:val="18"/>
                <w:highlight w:val="none"/>
                <w:lang w:eastAsia="zh-CN"/>
                <w14:textFill>
                  <w14:solidFill>
                    <w14:schemeClr w14:val="tx1"/>
                  </w14:solidFill>
                </w14:textFill>
              </w:rPr>
              <w:t>按监测方案要求开展季度盲样测试，并上传测试结果，未按要求开展或测试不合格，每个指标扣1分，扣完为止。</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697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F39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595F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78B18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jc w:val="righ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B802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运行与日常维护（14分）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F281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站房、辅助设备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B31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保持站房周围防护设施安全完整，内外环境卫生干净整齐，防虫防蚁，无杂物堆积，站房所有辅助设备、安防设备工作正常，标识牌清晰，摄像头监控位置正确无遮挡，视频正常上传。分数视现场检查情况打0-3分。有安全隐患不得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22A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3</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04D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both"/>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AA6D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65B0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DA70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85F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采水、排水及内部管路</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EED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取水口位置根据水位调整，现场可以实现切换采水泵采水管路，定期检查和维护采水浮筒固定情况（须有明显标识）和水泵运行情况，定期维护和清洁采配水系统（包括浮筒、吊桶、泵体、沉砂池、过滤头、水样杯、阀门、管路等），保证内部管路通畅，防止堵塞和泄漏。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E6C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B3F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3CA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440" w:firstLineChars="200"/>
              <w:jc w:val="center"/>
              <w:textAlignment w:val="auto"/>
              <w:rPr>
                <w:rFonts w:hint="default" w:ascii="Times New Roman" w:hAnsi="Times New Roman" w:eastAsia="宋体" w:cs="Times New Roman"/>
                <w:i w:val="0"/>
                <w:iCs w:val="0"/>
                <w:snapToGrid/>
                <w:color w:val="000000" w:themeColor="text1"/>
                <w:sz w:val="22"/>
                <w:szCs w:val="22"/>
                <w:highlight w:val="none"/>
                <w:u w:val="none"/>
                <w:lang w:eastAsia="zh-CN"/>
                <w14:textFill>
                  <w14:solidFill>
                    <w14:schemeClr w14:val="tx1"/>
                  </w14:solidFill>
                </w14:textFill>
              </w:rPr>
            </w:pPr>
          </w:p>
        </w:tc>
      </w:tr>
      <w:tr w14:paraId="1BC4F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9DD3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90A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取水点代表性</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C82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浮筒取水口位置不具备代表性（包括采水口受干扰、采水泵靠岸不处理等）的，分数视现场检查情况打0-2分。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26E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758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F4C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50EC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9239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FD1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自动分析仪</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177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查看仪器的运行状态和主要技术参数，判断运行是否正常；定期清洗和更换试剂（标签清晰内容完整），更换易耗品，定期校准仪器。要求留样器正常工作。分数视现场检查情况打0-2分。试剂过期0分。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0C3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19F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A83F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700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1406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FD1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电路、仪器传输</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74E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保持电路、仪器联网传输系统正常工作，定期检查上传至平台数据和现场监测仪器数据的一致性。数据传输率≥90%的得</w:t>
            </w:r>
            <w:r>
              <w:rPr>
                <w:rFonts w:hint="eastAsia"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1</w:t>
            </w: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分，数据传输率＜90%的，视实际情况打0-1分。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B61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444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7E7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5EE85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jc w:val="righ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7303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7AF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废液处理</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958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做好废液收集并妥善处理处置废液，废液桶标识清晰，分数视现场检查情况打0-4分。废液放置站房外长期存放打0分。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166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19F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CF1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698DB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0B01EA9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运行与日常维护（10</w:t>
            </w: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分</w:t>
            </w: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B02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监测数据审核和管理</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2AD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安排专人专职负责管理和监控数据，每日对数据进行审核并标记核实异常和无效数据，超标数据必须核实原因并及时汇报。分数视现场检查情况打0-2分。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35C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228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3F4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1898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right"/>
        </w:trPr>
        <w:tc>
          <w:tcPr>
            <w:tcW w:w="1110" w:type="dxa"/>
            <w:vMerge w:val="continue"/>
            <w:tcBorders>
              <w:left w:val="single" w:color="000000" w:sz="4" w:space="0"/>
              <w:right w:val="single" w:color="000000" w:sz="4" w:space="0"/>
            </w:tcBorders>
            <w:shd w:val="clear" w:color="auto" w:fill="auto"/>
            <w:vAlign w:val="center"/>
          </w:tcPr>
          <w:p w14:paraId="7C3AD14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66D9">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人员配备</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1B7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每2个水站至少指定1人专职负责运维工作，视实际情况打0-1分。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D97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0C2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F8A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E0A2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right"/>
        </w:trPr>
        <w:tc>
          <w:tcPr>
            <w:tcW w:w="1110" w:type="dxa"/>
            <w:vMerge w:val="continue"/>
            <w:tcBorders>
              <w:left w:val="single" w:color="000000" w:sz="4" w:space="0"/>
              <w:right w:val="single" w:color="000000" w:sz="4" w:space="0"/>
            </w:tcBorders>
            <w:shd w:val="clear" w:color="auto" w:fill="auto"/>
            <w:vAlign w:val="center"/>
          </w:tcPr>
          <w:p w14:paraId="2CF90F1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72B3">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车辆、备机</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134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配备1辆运维专用车辆，配备1套备机，视实际情况打0-2分。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A58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433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BAE8">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2A851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 w:hRule="atLeast"/>
          <w:jc w:val="right"/>
        </w:trPr>
        <w:tc>
          <w:tcPr>
            <w:tcW w:w="1110" w:type="dxa"/>
            <w:vMerge w:val="continue"/>
            <w:tcBorders>
              <w:left w:val="single" w:color="000000" w:sz="4" w:space="0"/>
              <w:right w:val="single" w:color="000000" w:sz="4" w:space="0"/>
            </w:tcBorders>
            <w:shd w:val="clear" w:color="auto" w:fill="auto"/>
            <w:vAlign w:val="center"/>
          </w:tcPr>
          <w:p w14:paraId="7AE2912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247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基础保障、耗材、备品备件</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E7BD">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做好水站基础保障，仓库必须储备有充足的常用试剂、耗材、备品备件并规范管理，分数视现场检查情况打0-</w:t>
            </w:r>
            <w:r>
              <w:rPr>
                <w:rFonts w:hint="eastAsia"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1</w:t>
            </w:r>
            <w:r>
              <w:rPr>
                <w:rFonts w:hint="default"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分，故障更换备品备件时间超过2天或管路污染严重的情况都打0分。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7BC8">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831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6EC6">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4390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7FC6CE9B">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915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异常情况响应速度</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77A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b w:val="0"/>
                <w:bCs w:val="0"/>
                <w:i w:val="0"/>
                <w:iCs w:val="0"/>
                <w:snapToGrid/>
                <w:color w:val="000000" w:themeColor="text1"/>
                <w:kern w:val="2"/>
                <w:sz w:val="18"/>
                <w:szCs w:val="18"/>
                <w:highlight w:val="none"/>
                <w:u w:val="none"/>
                <w:lang w:val="en-US" w:eastAsia="zh-CN" w:bidi="ar-SA"/>
                <w14:textFill>
                  <w14:solidFill>
                    <w14:schemeClr w14:val="tx1"/>
                  </w14:solidFill>
                </w14:textFill>
              </w:rPr>
            </w:pPr>
            <w:r>
              <w:rPr>
                <w:rFonts w:hint="default" w:ascii="Times New Roman" w:hAnsi="Times New Roman" w:eastAsia="宋体" w:cs="Times New Roman"/>
                <w:b w:val="0"/>
                <w:bCs w:val="0"/>
                <w:i w:val="0"/>
                <w:iCs w:val="0"/>
                <w:snapToGrid/>
                <w:color w:val="000000" w:themeColor="text1"/>
                <w:kern w:val="0"/>
                <w:sz w:val="18"/>
                <w:szCs w:val="18"/>
                <w:highlight w:val="none"/>
                <w:u w:val="none"/>
                <w:lang w:val="en-US" w:eastAsia="zh-CN" w:bidi="ar"/>
                <w14:textFill>
                  <w14:solidFill>
                    <w14:schemeClr w14:val="tx1"/>
                  </w14:solidFill>
                </w14:textFill>
              </w:rPr>
              <w:t>仪器设备出现异常或故障时须在4小时内响应，立即向采购方汇报，并在24小时内解决，且更换设备或修复后的仪器在运行之前按规定进行必要的检测和校准，各项指标达到要求。分数视现场检查情况打0-4分。有异常、超标、故障或紧急情况未汇报至少扣3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FB9B">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4</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C634">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553C">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185F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right"/>
        </w:trPr>
        <w:tc>
          <w:tcPr>
            <w:tcW w:w="1110" w:type="dxa"/>
            <w:vMerge w:val="restart"/>
            <w:tcBorders>
              <w:top w:val="single" w:color="000000" w:sz="4" w:space="0"/>
              <w:left w:val="single" w:color="000000" w:sz="4" w:space="0"/>
              <w:right w:val="single" w:color="000000" w:sz="4" w:space="0"/>
            </w:tcBorders>
            <w:shd w:val="clear" w:color="auto" w:fill="auto"/>
            <w:vAlign w:val="center"/>
          </w:tcPr>
          <w:p w14:paraId="1B5E2EF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仪器技术档案（6分）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92B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每周运维记录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5D5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按要求在广西水环境监控平台填写记录清单、巡检汇总表、巡检表、校准核查表，并且记录清晰、完整，视现场情况打0-</w:t>
            </w:r>
            <w:r>
              <w:rPr>
                <w:rFonts w:hint="eastAsia"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879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DFC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9D4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7187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right"/>
        </w:trPr>
        <w:tc>
          <w:tcPr>
            <w:tcW w:w="1110" w:type="dxa"/>
            <w:vMerge w:val="continue"/>
            <w:tcBorders>
              <w:left w:val="single" w:color="000000" w:sz="4" w:space="0"/>
              <w:right w:val="single" w:color="000000" w:sz="4" w:space="0"/>
            </w:tcBorders>
            <w:shd w:val="clear" w:color="auto" w:fill="auto"/>
            <w:vAlign w:val="center"/>
          </w:tcPr>
          <w:p w14:paraId="3AAF5E01">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386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每月运维记录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921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按要求在广西水环境监控平台填写设备检修、人员来访、参数设置、更换试剂、废液处置、耗材更换、多点线性、集成干扰、加标回收、试剂水样比对和月运维报告，并且记录清晰、完整，则视现场检查情况打0-</w:t>
            </w:r>
            <w:r>
              <w:rPr>
                <w:rFonts w:hint="eastAsia"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2</w:t>
            </w: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2B3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D36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109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1778B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continue"/>
            <w:tcBorders>
              <w:left w:val="single" w:color="000000" w:sz="4" w:space="0"/>
              <w:bottom w:val="single" w:color="000000" w:sz="4" w:space="0"/>
              <w:right w:val="single" w:color="000000" w:sz="4" w:space="0"/>
            </w:tcBorders>
            <w:shd w:val="clear" w:color="auto" w:fill="auto"/>
            <w:vAlign w:val="center"/>
          </w:tcPr>
          <w:p w14:paraId="09FC688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AE0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snapToGrid/>
                <w:color w:val="000000" w:themeColor="text1"/>
                <w:kern w:val="2"/>
                <w:sz w:val="18"/>
                <w:szCs w:val="18"/>
                <w:highlight w:val="none"/>
                <w:lang w:val="en-US" w:eastAsia="zh-CN" w:bidi="ar"/>
                <w14:textFill>
                  <w14:solidFill>
                    <w14:schemeClr w14:val="tx1"/>
                  </w14:solidFill>
                </w14:textFill>
              </w:rPr>
              <w:t>关键记录</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465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snapToGrid/>
                <w:color w:val="000000" w:themeColor="text1"/>
                <w:kern w:val="2"/>
                <w:sz w:val="18"/>
                <w:szCs w:val="18"/>
                <w:highlight w:val="none"/>
                <w:lang w:val="en-US" w:eastAsia="zh-CN" w:bidi="ar"/>
                <w14:textFill>
                  <w14:solidFill>
                    <w14:schemeClr w14:val="tx1"/>
                  </w14:solidFill>
                </w14:textFill>
              </w:rPr>
              <w:t>检查仪器关键参数设置与平台备案（更改）记录，发现关键参数记录不一致的情况，无主观恶意篡改且对站点运行及数据质量没有影响的，扣2分。注：平台无关键参数备案记录，考核现场备案不扣分。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1D07">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64DF">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AFD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2574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righ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2955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应急监测（4分）</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6B6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异常数据</w:t>
            </w:r>
          </w:p>
        </w:tc>
        <w:tc>
          <w:tcPr>
            <w:tcW w:w="8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FDD2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配合桂林监测中心做好地表水水质自动站的水质异常应急监测工作，视情况打0-2分，不配合0分。</w:t>
            </w:r>
          </w:p>
        </w:tc>
        <w:tc>
          <w:tcPr>
            <w:tcW w:w="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35B2">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3B7F3">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D390">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7ADDE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right"/>
        </w:trPr>
        <w:tc>
          <w:tcPr>
            <w:tcW w:w="111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DA7699D">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p>
        </w:tc>
        <w:tc>
          <w:tcPr>
            <w:tcW w:w="1950" w:type="dxa"/>
            <w:tcBorders>
              <w:top w:val="single" w:color="000000" w:sz="4" w:space="0"/>
              <w:left w:val="single" w:color="000000" w:sz="4" w:space="0"/>
              <w:bottom w:val="single" w:color="auto" w:sz="4" w:space="0"/>
              <w:right w:val="single" w:color="000000" w:sz="4" w:space="0"/>
            </w:tcBorders>
            <w:shd w:val="clear" w:color="auto" w:fill="auto"/>
            <w:vAlign w:val="center"/>
          </w:tcPr>
          <w:p w14:paraId="71A8E55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超标比对</w:t>
            </w:r>
          </w:p>
        </w:tc>
        <w:tc>
          <w:tcPr>
            <w:tcW w:w="8441" w:type="dxa"/>
            <w:tcBorders>
              <w:top w:val="single" w:color="000000" w:sz="4" w:space="0"/>
              <w:left w:val="single" w:color="000000" w:sz="4" w:space="0"/>
              <w:bottom w:val="single" w:color="auto" w:sz="4" w:space="0"/>
              <w:right w:val="single" w:color="000000" w:sz="4" w:space="0"/>
            </w:tcBorders>
            <w:shd w:val="clear" w:color="auto" w:fill="auto"/>
            <w:vAlign w:val="center"/>
          </w:tcPr>
          <w:p w14:paraId="59FEFE56">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及时响应做好地表水水质自动站数据异常超标比对工作，视情况打0-2分，不配合0分。</w:t>
            </w:r>
          </w:p>
        </w:tc>
        <w:tc>
          <w:tcPr>
            <w:tcW w:w="701" w:type="dxa"/>
            <w:tcBorders>
              <w:top w:val="single" w:color="000000" w:sz="4" w:space="0"/>
              <w:left w:val="single" w:color="000000" w:sz="4" w:space="0"/>
              <w:bottom w:val="single" w:color="auto" w:sz="4" w:space="0"/>
              <w:right w:val="single" w:color="000000" w:sz="4" w:space="0"/>
            </w:tcBorders>
            <w:shd w:val="clear" w:color="auto" w:fill="auto"/>
            <w:vAlign w:val="center"/>
          </w:tcPr>
          <w:p w14:paraId="06F9398E">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2</w:t>
            </w:r>
          </w:p>
        </w:tc>
        <w:tc>
          <w:tcPr>
            <w:tcW w:w="607" w:type="dxa"/>
            <w:tcBorders>
              <w:top w:val="single" w:color="000000" w:sz="4" w:space="0"/>
              <w:left w:val="single" w:color="000000" w:sz="4" w:space="0"/>
              <w:bottom w:val="single" w:color="auto" w:sz="4" w:space="0"/>
              <w:right w:val="single" w:color="000000" w:sz="4" w:space="0"/>
            </w:tcBorders>
            <w:shd w:val="clear" w:color="auto" w:fill="auto"/>
            <w:vAlign w:val="center"/>
          </w:tcPr>
          <w:p w14:paraId="202B8FF8">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000000" w:sz="4" w:space="0"/>
              <w:left w:val="single" w:color="000000" w:sz="4" w:space="0"/>
              <w:bottom w:val="single" w:color="auto" w:sz="4" w:space="0"/>
              <w:right w:val="single" w:color="000000" w:sz="4" w:space="0"/>
            </w:tcBorders>
            <w:shd w:val="clear" w:color="auto" w:fill="auto"/>
            <w:vAlign w:val="center"/>
          </w:tcPr>
          <w:p w14:paraId="2B43B4D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33167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right"/>
        </w:trPr>
        <w:tc>
          <w:tcPr>
            <w:tcW w:w="1110" w:type="dxa"/>
            <w:tcBorders>
              <w:top w:val="single" w:color="auto" w:sz="4" w:space="0"/>
              <w:left w:val="single" w:color="auto" w:sz="4" w:space="0"/>
              <w:bottom w:val="single" w:color="auto" w:sz="4" w:space="0"/>
              <w:right w:val="single" w:color="auto" w:sz="4" w:space="0"/>
            </w:tcBorders>
            <w:shd w:val="clear" w:color="auto" w:fill="auto"/>
            <w:vAlign w:val="center"/>
          </w:tcPr>
          <w:p w14:paraId="205877A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技术指导（6分）</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center"/>
          </w:tcPr>
          <w:p w14:paraId="38C538D1">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现场技术指导</w:t>
            </w:r>
          </w:p>
        </w:tc>
        <w:tc>
          <w:tcPr>
            <w:tcW w:w="8441" w:type="dxa"/>
            <w:tcBorders>
              <w:top w:val="single" w:color="auto" w:sz="4" w:space="0"/>
              <w:left w:val="single" w:color="auto" w:sz="4" w:space="0"/>
              <w:bottom w:val="single" w:color="auto" w:sz="4" w:space="0"/>
              <w:right w:val="single" w:color="auto" w:sz="4" w:space="0"/>
            </w:tcBorders>
            <w:shd w:val="clear" w:color="auto" w:fill="auto"/>
            <w:vAlign w:val="center"/>
          </w:tcPr>
          <w:p w14:paraId="2389C63A">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按要求现场技术指导桂林监测中心技术人员在规范规定时限内维修维护好水站仪器设备各类异常和故障，每季度不少于12次，少于1次扣0.5分，扣完为止。</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14:paraId="2CEDD1EF">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b/>
                <w:bCs/>
                <w:i w:val="0"/>
                <w:iCs w:val="0"/>
                <w:snapToGrid/>
                <w:color w:val="000000" w:themeColor="text1"/>
                <w:kern w:val="0"/>
                <w:sz w:val="18"/>
                <w:szCs w:val="18"/>
                <w:highlight w:val="none"/>
                <w:u w:val="none"/>
                <w:lang w:val="en-US" w:eastAsia="zh-CN" w:bidi="ar"/>
                <w14:textFill>
                  <w14:solidFill>
                    <w14:schemeClr w14:val="tx1"/>
                  </w14:solidFill>
                </w14:textFill>
              </w:rPr>
              <w:t>6</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14:paraId="755EDE3A">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5788FCAE">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8A2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150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9E4C2B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center"/>
              <w:textAlignment w:val="center"/>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合计</w:t>
            </w:r>
          </w:p>
        </w:tc>
        <w:tc>
          <w:tcPr>
            <w:tcW w:w="701" w:type="dxa"/>
            <w:tcBorders>
              <w:top w:val="single" w:color="auto" w:sz="4" w:space="0"/>
              <w:left w:val="single" w:color="auto" w:sz="4" w:space="0"/>
              <w:bottom w:val="single" w:color="auto" w:sz="4" w:space="0"/>
              <w:right w:val="single" w:color="auto" w:sz="4" w:space="0"/>
            </w:tcBorders>
            <w:shd w:val="clear" w:color="auto" w:fill="auto"/>
            <w:vAlign w:val="center"/>
          </w:tcPr>
          <w:p w14:paraId="73387FE7">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i w:val="0"/>
                <w:iCs w:val="0"/>
                <w:snapToGrid/>
                <w:color w:val="000000" w:themeColor="text1"/>
                <w:sz w:val="18"/>
                <w:szCs w:val="18"/>
                <w:highlight w:val="none"/>
                <w:u w:val="none"/>
                <w:lang w:val="en-US" w:eastAsia="zh-CN"/>
                <w14:textFill>
                  <w14:solidFill>
                    <w14:schemeClr w14:val="tx1"/>
                  </w14:solidFill>
                </w14:textFill>
              </w:rPr>
            </w:pPr>
            <w:r>
              <w:rPr>
                <w:rFonts w:hint="default" w:ascii="Times New Roman" w:hAnsi="Times New Roman" w:eastAsia="宋体" w:cs="Times New Roman"/>
                <w:b/>
                <w:bCs/>
                <w:i w:val="0"/>
                <w:iCs w:val="0"/>
                <w:snapToGrid/>
                <w:color w:val="000000" w:themeColor="text1"/>
                <w:sz w:val="18"/>
                <w:szCs w:val="18"/>
                <w:highlight w:val="none"/>
                <w:u w:val="none"/>
                <w:lang w:val="en-US" w:eastAsia="zh-CN"/>
                <w14:textFill>
                  <w14:solidFill>
                    <w14:schemeClr w14:val="tx1"/>
                  </w14:solidFill>
                </w14:textFill>
              </w:rPr>
              <w:t>100</w:t>
            </w:r>
          </w:p>
        </w:tc>
        <w:tc>
          <w:tcPr>
            <w:tcW w:w="607" w:type="dxa"/>
            <w:tcBorders>
              <w:top w:val="single" w:color="auto" w:sz="4" w:space="0"/>
              <w:left w:val="single" w:color="auto" w:sz="4" w:space="0"/>
              <w:bottom w:val="single" w:color="auto" w:sz="4" w:space="0"/>
              <w:right w:val="single" w:color="auto" w:sz="4" w:space="0"/>
            </w:tcBorders>
            <w:shd w:val="clear" w:color="auto" w:fill="auto"/>
            <w:vAlign w:val="center"/>
          </w:tcPr>
          <w:p w14:paraId="1012D2C2">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c>
          <w:tcPr>
            <w:tcW w:w="1164" w:type="dxa"/>
            <w:tcBorders>
              <w:top w:val="single" w:color="auto" w:sz="4" w:space="0"/>
              <w:left w:val="single" w:color="auto" w:sz="4" w:space="0"/>
              <w:bottom w:val="single" w:color="auto" w:sz="4" w:space="0"/>
              <w:right w:val="single" w:color="auto" w:sz="4" w:space="0"/>
            </w:tcBorders>
            <w:shd w:val="clear" w:color="auto" w:fill="auto"/>
            <w:vAlign w:val="center"/>
          </w:tcPr>
          <w:p w14:paraId="0F28E165">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firstLine="360" w:firstLineChars="200"/>
              <w:jc w:val="center"/>
              <w:textAlignment w:val="auto"/>
              <w:rPr>
                <w:rFonts w:hint="default" w:ascii="Times New Roman" w:hAnsi="Times New Roman" w:eastAsia="宋体" w:cs="Times New Roman"/>
                <w:i w:val="0"/>
                <w:iCs w:val="0"/>
                <w:snapToGrid/>
                <w:color w:val="000000" w:themeColor="text1"/>
                <w:sz w:val="18"/>
                <w:szCs w:val="18"/>
                <w:highlight w:val="none"/>
                <w:u w:val="none"/>
                <w:lang w:eastAsia="zh-CN"/>
                <w14:textFill>
                  <w14:solidFill>
                    <w14:schemeClr w14:val="tx1"/>
                  </w14:solidFill>
                </w14:textFill>
              </w:rPr>
            </w:pPr>
          </w:p>
        </w:tc>
      </w:tr>
      <w:tr w14:paraId="0B766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right"/>
        </w:trPr>
        <w:tc>
          <w:tcPr>
            <w:tcW w:w="13973"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14:paraId="409A4545">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t>备注：</w:t>
            </w:r>
          </w:p>
          <w:p w14:paraId="177BF144">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p>
          <w:p w14:paraId="6AB3D0AC">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360" w:firstLineChars="200"/>
              <w:jc w:val="left"/>
              <w:textAlignment w:val="center"/>
              <w:rPr>
                <w:rFonts w:hint="default" w:ascii="Times New Roman" w:hAnsi="Times New Roman" w:eastAsia="宋体" w:cs="Times New Roman"/>
                <w:i w:val="0"/>
                <w:iCs w:val="0"/>
                <w:snapToGrid/>
                <w:color w:val="000000" w:themeColor="text1"/>
                <w:kern w:val="0"/>
                <w:sz w:val="18"/>
                <w:szCs w:val="18"/>
                <w:highlight w:val="none"/>
                <w:u w:val="none"/>
                <w:lang w:val="en-US" w:eastAsia="zh-CN" w:bidi="ar"/>
                <w14:textFill>
                  <w14:solidFill>
                    <w14:schemeClr w14:val="tx1"/>
                  </w14:solidFill>
                </w14:textFill>
              </w:rPr>
            </w:pPr>
          </w:p>
        </w:tc>
      </w:tr>
      <w:tr w14:paraId="41F63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right"/>
        </w:trPr>
        <w:tc>
          <w:tcPr>
            <w:tcW w:w="1397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636610">
            <w:pPr>
              <w:keepNext w:val="0"/>
              <w:keepLines w:val="0"/>
              <w:pageBreakBefore w:val="0"/>
              <w:widowControl/>
              <w:suppressLineNumbers w:val="0"/>
              <w:shd w:val="clear" w:color="auto" w:fill="FFFFFF"/>
              <w:kinsoku/>
              <w:wordWrap/>
              <w:overflowPunct/>
              <w:topLinePunct w:val="0"/>
              <w:autoSpaceDE/>
              <w:autoSpaceDN/>
              <w:bidi w:val="0"/>
              <w:adjustRightInd w:val="0"/>
              <w:snapToGrid w:val="0"/>
              <w:spacing w:line="240" w:lineRule="auto"/>
              <w:ind w:firstLine="440" w:firstLineChars="200"/>
              <w:jc w:val="left"/>
              <w:textAlignment w:val="center"/>
              <w:rPr>
                <w:rFonts w:hint="default" w:ascii="Times New Roman" w:hAnsi="Times New Roman" w:eastAsia="宋体" w:cs="Times New Roman"/>
                <w:i w:val="0"/>
                <w:iCs w:val="0"/>
                <w:snapToGrid/>
                <w:color w:val="000000" w:themeColor="text1"/>
                <w:sz w:val="22"/>
                <w:szCs w:val="22"/>
                <w:highlight w:val="none"/>
                <w:u w:val="none"/>
                <w:lang w:eastAsia="zh-CN"/>
                <w14:textFill>
                  <w14:solidFill>
                    <w14:schemeClr w14:val="tx1"/>
                  </w14:solidFill>
                </w14:textFill>
              </w:rPr>
            </w:pPr>
            <w:r>
              <w:rPr>
                <w:rFonts w:hint="default" w:ascii="Times New Roman" w:hAnsi="Times New Roman" w:eastAsia="宋体" w:cs="Times New Roman"/>
                <w:i w:val="0"/>
                <w:iCs w:val="0"/>
                <w:snapToGrid/>
                <w:color w:val="000000" w:themeColor="text1"/>
                <w:kern w:val="0"/>
                <w:sz w:val="22"/>
                <w:szCs w:val="22"/>
                <w:highlight w:val="none"/>
                <w:u w:val="none"/>
                <w:lang w:val="en-US" w:eastAsia="zh-CN" w:bidi="ar"/>
                <w14:textFill>
                  <w14:solidFill>
                    <w14:schemeClr w14:val="tx1"/>
                  </w14:solidFill>
                </w14:textFill>
              </w:rPr>
              <w:t xml:space="preserve"> 考核日期：                                检查人员：                           运维公司代表（电话）:                      </w:t>
            </w:r>
          </w:p>
        </w:tc>
      </w:tr>
    </w:tbl>
    <w:p w14:paraId="4697413A">
      <w:pPr>
        <w:shd w:val="clear" w:color="auto" w:fill="FFFFFF"/>
        <w:kinsoku/>
        <w:autoSpaceDE/>
        <w:autoSpaceDN/>
        <w:adjustRightInd/>
        <w:snapToGrid/>
        <w:spacing w:line="600" w:lineRule="exact"/>
        <w:ind w:firstLine="640" w:firstLineChars="200"/>
        <w:jc w:val="left"/>
        <w:textAlignment w:val="auto"/>
        <w:rPr>
          <w:rFonts w:hint="eastAsia" w:ascii="宋体" w:hAnsi="宋体" w:eastAsia="宋体" w:cs="宋体"/>
          <w:snapToGrid/>
          <w:color w:val="000000" w:themeColor="text1"/>
          <w:sz w:val="32"/>
          <w:szCs w:val="32"/>
          <w:highlight w:val="none"/>
          <w:lang w:val="en-US" w:eastAsia="zh-CN"/>
          <w14:textFill>
            <w14:solidFill>
              <w14:schemeClr w14:val="tx1"/>
            </w14:solidFill>
          </w14:textFill>
        </w:rPr>
      </w:pPr>
      <w:r>
        <w:rPr>
          <w:rFonts w:hint="eastAsia" w:ascii="宋体" w:hAnsi="宋体" w:eastAsia="宋体" w:cs="宋体"/>
          <w:snapToGrid/>
          <w:color w:val="000000" w:themeColor="text1"/>
          <w:sz w:val="32"/>
          <w:szCs w:val="32"/>
          <w:highlight w:val="none"/>
          <w:lang w:val="en-US" w:eastAsia="zh-CN"/>
          <w14:textFill>
            <w14:solidFill>
              <w14:schemeClr w14:val="tx1"/>
            </w14:solidFill>
          </w14:textFill>
        </w:rPr>
        <w:t>附件2</w:t>
      </w:r>
    </w:p>
    <w:p w14:paraId="2F6E8FFA">
      <w:pPr>
        <w:keepNext w:val="0"/>
        <w:keepLines w:val="0"/>
        <w:pageBreakBefore w:val="0"/>
        <w:widowControl/>
        <w:shd w:val="clear" w:color="auto" w:fill="FFFFFF"/>
        <w:kinsoku/>
        <w:wordWrap/>
        <w:overflowPunct w:val="0"/>
        <w:topLinePunct w:val="0"/>
        <w:autoSpaceDE/>
        <w:autoSpaceDN/>
        <w:bidi w:val="0"/>
        <w:adjustRightInd/>
        <w:snapToGrid/>
        <w:spacing w:line="586" w:lineRule="exact"/>
        <w:ind w:left="0" w:leftChars="0" w:right="0" w:rightChars="0" w:firstLine="0" w:firstLineChars="0"/>
        <w:textAlignment w:val="auto"/>
        <w:outlineLvl w:val="9"/>
        <w:rPr>
          <w:rFonts w:hint="eastAsia" w:ascii="宋体" w:hAnsi="宋体" w:eastAsia="宋体" w:cs="宋体"/>
          <w:snapToGrid/>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drawing>
          <wp:anchor distT="0" distB="0" distL="114300" distR="114300" simplePos="0" relativeHeight="251661312" behindDoc="1" locked="0" layoutInCell="1" allowOverlap="1">
            <wp:simplePos x="0" y="0"/>
            <wp:positionH relativeFrom="column">
              <wp:posOffset>1177290</wp:posOffset>
            </wp:positionH>
            <wp:positionV relativeFrom="paragraph">
              <wp:posOffset>31115</wp:posOffset>
            </wp:positionV>
            <wp:extent cx="5753735" cy="4876800"/>
            <wp:effectExtent l="0" t="0" r="18415" b="0"/>
            <wp:wrapTight wrapText="bothSides">
              <wp:wrapPolygon>
                <wp:start x="0" y="0"/>
                <wp:lineTo x="0" y="21516"/>
                <wp:lineTo x="21526" y="21516"/>
                <wp:lineTo x="21526" y="0"/>
                <wp:lineTo x="0" y="0"/>
              </wp:wrapPolygon>
            </wp:wrapTight>
            <wp:docPr id="4" name="图片 4" descr="微信图片_2026-09-09_115953_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9-09_115953_746"/>
                    <pic:cNvPicPr>
                      <a:picLocks noChangeAspect="1"/>
                    </pic:cNvPicPr>
                  </pic:nvPicPr>
                  <pic:blipFill>
                    <a:blip r:embed="rId21"/>
                    <a:stretch>
                      <a:fillRect/>
                    </a:stretch>
                  </pic:blipFill>
                  <pic:spPr>
                    <a:xfrm>
                      <a:off x="0" y="0"/>
                      <a:ext cx="5753735" cy="4876800"/>
                    </a:xfrm>
                    <a:prstGeom prst="rect">
                      <a:avLst/>
                    </a:prstGeom>
                  </pic:spPr>
                </pic:pic>
              </a:graphicData>
            </a:graphic>
          </wp:anchor>
        </w:drawing>
      </w:r>
    </w:p>
    <w:p w14:paraId="20716B24">
      <w:pPr>
        <w:keepNext w:val="0"/>
        <w:keepLines w:val="0"/>
        <w:pageBreakBefore w:val="0"/>
        <w:widowControl/>
        <w:kinsoku/>
        <w:wordWrap/>
        <w:overflowPunct w:val="0"/>
        <w:topLinePunct w:val="0"/>
        <w:bidi w:val="0"/>
        <w:spacing w:line="240" w:lineRule="auto"/>
        <w:ind w:left="0" w:leftChars="0" w:right="0" w:rightChars="0" w:firstLine="0" w:firstLineChars="0"/>
        <w:jc w:val="center"/>
        <w:textAlignment w:val="auto"/>
        <w:outlineLvl w:val="9"/>
        <w:rPr>
          <w:rFonts w:hint="eastAsia" w:ascii="宋体" w:hAnsi="宋体" w:eastAsia="宋体" w:cs="宋体"/>
          <w:color w:val="000000" w:themeColor="text1"/>
          <w:sz w:val="32"/>
          <w:szCs w:val="32"/>
          <w:highlight w:val="none"/>
          <w:lang w:val="en-US" w:eastAsia="zh-CN"/>
          <w14:textFill>
            <w14:solidFill>
              <w14:schemeClr w14:val="tx1"/>
            </w14:solidFill>
          </w14:textFill>
        </w:rPr>
        <w:sectPr>
          <w:footerReference r:id="rId9" w:type="default"/>
          <w:pgSz w:w="16838" w:h="11906" w:orient="landscape"/>
          <w:pgMar w:top="1304" w:right="2098" w:bottom="1191" w:left="1304" w:header="851" w:footer="992" w:gutter="0"/>
          <w:pgBorders>
            <w:top w:val="none" w:sz="0" w:space="0"/>
            <w:left w:val="none" w:sz="0" w:space="0"/>
            <w:bottom w:val="none" w:sz="0" w:space="0"/>
            <w:right w:val="none" w:sz="0" w:space="0"/>
          </w:pgBorders>
          <w:cols w:space="0" w:num="1"/>
          <w:rtlGutter w:val="0"/>
          <w:docGrid w:type="lines" w:linePitch="447" w:charSpace="0"/>
        </w:sectPr>
      </w:pPr>
    </w:p>
    <w:p w14:paraId="0E6B3DE0">
      <w:pPr>
        <w:shd w:val="clear" w:color="auto" w:fill="FFFFFF"/>
        <w:kinsoku/>
        <w:autoSpaceDE/>
        <w:autoSpaceDN/>
        <w:adjustRightInd/>
        <w:snapToGrid/>
        <w:spacing w:line="600" w:lineRule="exact"/>
        <w:ind w:firstLine="640" w:firstLineChars="200"/>
        <w:jc w:val="left"/>
        <w:textAlignment w:val="auto"/>
        <w:rPr>
          <w:rFonts w:hint="eastAsia" w:ascii="宋体" w:hAnsi="宋体" w:eastAsia="宋体" w:cs="宋体"/>
          <w:snapToGrid/>
          <w:color w:val="000000" w:themeColor="text1"/>
          <w:sz w:val="32"/>
          <w:szCs w:val="32"/>
          <w:highlight w:val="none"/>
          <w:lang w:val="en-US" w:eastAsia="zh-CN"/>
          <w14:textFill>
            <w14:solidFill>
              <w14:schemeClr w14:val="tx1"/>
            </w14:solidFill>
          </w14:textFill>
        </w:rPr>
      </w:pPr>
      <w:r>
        <w:rPr>
          <w:rFonts w:hint="eastAsia" w:ascii="宋体" w:hAnsi="宋体" w:eastAsia="宋体" w:cs="宋体"/>
          <w:snapToGrid/>
          <w:color w:val="000000" w:themeColor="text1"/>
          <w:sz w:val="32"/>
          <w:szCs w:val="32"/>
          <w:highlight w:val="none"/>
          <w:lang w:val="en-US" w:eastAsia="zh-CN"/>
          <w14:textFill>
            <w14:solidFill>
              <w14:schemeClr w14:val="tx1"/>
            </w14:solidFill>
          </w14:textFill>
        </w:rPr>
        <w:t>附件3</w:t>
      </w:r>
    </w:p>
    <w:p w14:paraId="1E2AEE12">
      <w:pPr>
        <w:keepNext w:val="0"/>
        <w:keepLines w:val="0"/>
        <w:pageBreakBefore w:val="0"/>
        <w:widowControl/>
        <w:shd w:val="clear" w:color="auto" w:fill="FFFFFF"/>
        <w:kinsoku/>
        <w:wordWrap/>
        <w:overflowPunct w:val="0"/>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snapToGrid/>
          <w:color w:val="000000" w:themeColor="text1"/>
          <w:sz w:val="32"/>
          <w:szCs w:val="32"/>
          <w:highlight w:val="none"/>
          <w:lang w:val="en-US" w:eastAsia="zh-CN"/>
          <w14:textFill>
            <w14:solidFill>
              <w14:schemeClr w14:val="tx1"/>
            </w14:solidFill>
          </w14:textFill>
        </w:rPr>
      </w:pPr>
      <w:r>
        <w:rPr>
          <w:rFonts w:hint="eastAsia" w:ascii="宋体" w:hAnsi="宋体" w:eastAsia="宋体" w:cs="宋体"/>
          <w:snapToGrid/>
          <w:color w:val="000000" w:themeColor="text1"/>
          <w:sz w:val="32"/>
          <w:szCs w:val="32"/>
          <w:highlight w:val="none"/>
          <w:lang w:val="en-US" w:eastAsia="zh-CN"/>
          <w14:textFill>
            <w14:solidFill>
              <w14:schemeClr w14:val="tx1"/>
            </w14:solidFill>
          </w14:textFill>
        </w:rPr>
        <w:drawing>
          <wp:inline distT="0" distB="0" distL="114300" distR="114300">
            <wp:extent cx="4638040" cy="7181215"/>
            <wp:effectExtent l="0" t="0" r="10160" b="635"/>
            <wp:docPr id="2" name="图片 2" descr="微信图片_2026-09-09_120533_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09_120533_422"/>
                    <pic:cNvPicPr>
                      <a:picLocks noChangeAspect="1"/>
                    </pic:cNvPicPr>
                  </pic:nvPicPr>
                  <pic:blipFill>
                    <a:blip r:embed="rId22"/>
                    <a:stretch>
                      <a:fillRect/>
                    </a:stretch>
                  </pic:blipFill>
                  <pic:spPr>
                    <a:xfrm>
                      <a:off x="0" y="0"/>
                      <a:ext cx="4638040" cy="7181215"/>
                    </a:xfrm>
                    <a:prstGeom prst="rect">
                      <a:avLst/>
                    </a:prstGeom>
                  </pic:spPr>
                </pic:pic>
              </a:graphicData>
            </a:graphic>
          </wp:inline>
        </w:drawing>
      </w:r>
    </w:p>
    <w:p w14:paraId="44583364">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bCs/>
          <w:snapToGrid w:val="0"/>
          <w:color w:val="000000" w:themeColor="text1"/>
          <w:kern w:val="44"/>
          <w:sz w:val="31"/>
          <w:szCs w:val="31"/>
          <w:highlight w:val="none"/>
          <w:lang w:val="en-US" w:eastAsia="en-US" w:bidi="ar-SA"/>
          <w14:textFill>
            <w14:solidFill>
              <w14:schemeClr w14:val="tx1"/>
            </w14:solidFill>
          </w14:textFill>
        </w:rPr>
        <w:sectPr>
          <w:footerReference r:id="rId10"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480445B">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
          <w:bCs/>
          <w:snapToGrid w:val="0"/>
          <w:color w:val="000000" w:themeColor="text1"/>
          <w:kern w:val="44"/>
          <w:sz w:val="31"/>
          <w:szCs w:val="31"/>
          <w:highlight w:val="none"/>
          <w:lang w:val="en-US" w:eastAsia="en-US" w:bidi="ar-SA"/>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snapToGrid/>
          <w:color w:val="000000" w:themeColor="text1"/>
          <w:sz w:val="32"/>
          <w:szCs w:val="32"/>
          <w:highlight w:val="none"/>
          <w:lang w:val="en-US" w:eastAsia="zh-CN"/>
          <w14:textFill>
            <w14:solidFill>
              <w14:schemeClr w14:val="tx1"/>
            </w14:solidFill>
          </w14:textFill>
        </w:rPr>
        <w:drawing>
          <wp:anchor distT="0" distB="0" distL="114300" distR="114300" simplePos="0" relativeHeight="251662336" behindDoc="1" locked="0" layoutInCell="1" allowOverlap="1">
            <wp:simplePos x="0" y="0"/>
            <wp:positionH relativeFrom="column">
              <wp:posOffset>578485</wp:posOffset>
            </wp:positionH>
            <wp:positionV relativeFrom="paragraph">
              <wp:posOffset>1308735</wp:posOffset>
            </wp:positionV>
            <wp:extent cx="4599940" cy="2933065"/>
            <wp:effectExtent l="0" t="0" r="10160" b="635"/>
            <wp:wrapTight wrapText="bothSides">
              <wp:wrapPolygon>
                <wp:start x="0" y="0"/>
                <wp:lineTo x="0" y="21464"/>
                <wp:lineTo x="21469" y="21464"/>
                <wp:lineTo x="21469" y="0"/>
                <wp:lineTo x="0" y="0"/>
              </wp:wrapPolygon>
            </wp:wrapTight>
            <wp:docPr id="1" name="图片 1" descr="微信图片_2026-09-09_120609_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9-09_120609_959"/>
                    <pic:cNvPicPr>
                      <a:picLocks noChangeAspect="1"/>
                    </pic:cNvPicPr>
                  </pic:nvPicPr>
                  <pic:blipFill>
                    <a:blip r:embed="rId23"/>
                    <a:stretch>
                      <a:fillRect/>
                    </a:stretch>
                  </pic:blipFill>
                  <pic:spPr>
                    <a:xfrm>
                      <a:off x="0" y="0"/>
                      <a:ext cx="4599940" cy="2933065"/>
                    </a:xfrm>
                    <a:prstGeom prst="rect">
                      <a:avLst/>
                    </a:prstGeom>
                  </pic:spPr>
                </pic:pic>
              </a:graphicData>
            </a:graphic>
          </wp:anchor>
        </w:drawing>
      </w:r>
    </w:p>
    <w:p w14:paraId="7222B04A">
      <w:pPr>
        <w:pStyle w:val="2"/>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00" w:lineRule="exact"/>
        <w:jc w:val="center"/>
        <w:textAlignment w:val="baseline"/>
        <w:rPr>
          <w:rFonts w:hint="eastAsia" w:ascii="宋体" w:hAnsi="宋体" w:eastAsia="宋体" w:cs="宋体"/>
          <w:bCs/>
          <w:color w:val="000000" w:themeColor="text1"/>
          <w:sz w:val="31"/>
          <w:szCs w:val="31"/>
          <w:highlight w:val="none"/>
          <w14:textFill>
            <w14:solidFill>
              <w14:schemeClr w14:val="tx1"/>
            </w14:solidFill>
          </w14:textFill>
        </w:rPr>
      </w:pPr>
      <w:bookmarkStart w:id="12" w:name="_Toc7582"/>
      <w:r>
        <w:rPr>
          <w:rFonts w:hint="eastAsia" w:ascii="宋体" w:hAnsi="宋体" w:eastAsia="宋体" w:cs="宋体"/>
          <w:b/>
          <w:bCs/>
          <w:snapToGrid w:val="0"/>
          <w:color w:val="000000" w:themeColor="text1"/>
          <w:kern w:val="44"/>
          <w:sz w:val="31"/>
          <w:szCs w:val="31"/>
          <w:highlight w:val="none"/>
          <w:lang w:val="en-US" w:eastAsia="en-US" w:bidi="ar-SA"/>
          <w14:textFill>
            <w14:solidFill>
              <w14:schemeClr w14:val="tx1"/>
            </w14:solidFill>
          </w14:textFill>
        </w:rPr>
        <w:t>第四章</w:t>
      </w:r>
      <w:r>
        <w:rPr>
          <w:rFonts w:hint="eastAsia" w:ascii="宋体" w:hAnsi="宋体" w:eastAsia="宋体" w:cs="宋体"/>
          <w:b/>
          <w:bCs/>
          <w:snapToGrid w:val="0"/>
          <w:color w:val="000000" w:themeColor="text1"/>
          <w:kern w:val="44"/>
          <w:sz w:val="31"/>
          <w:szCs w:val="31"/>
          <w:highlight w:val="none"/>
          <w:lang w:val="en-US" w:eastAsia="zh-CN" w:bidi="ar-SA"/>
          <w14:textFill>
            <w14:solidFill>
              <w14:schemeClr w14:val="tx1"/>
            </w14:solidFill>
          </w14:textFill>
        </w:rPr>
        <w:t xml:space="preserve"> </w:t>
      </w:r>
      <w:r>
        <w:rPr>
          <w:rFonts w:hint="eastAsia" w:ascii="宋体" w:hAnsi="宋体" w:eastAsia="宋体" w:cs="宋体"/>
          <w:bCs/>
          <w:color w:val="000000" w:themeColor="text1"/>
          <w:sz w:val="31"/>
          <w:szCs w:val="31"/>
          <w:highlight w:val="none"/>
          <w14:textFill>
            <w14:solidFill>
              <w14:schemeClr w14:val="tx1"/>
            </w14:solidFill>
          </w14:textFill>
        </w:rPr>
        <w:t>评审办法</w:t>
      </w:r>
      <w:bookmarkEnd w:id="12"/>
    </w:p>
    <w:p w14:paraId="17BB347A">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一、评审依据</w:t>
      </w:r>
    </w:p>
    <w:p w14:paraId="059399F2">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1. 评审依据：谈判小组以谈判文件和响应文件为评审依据。</w:t>
      </w:r>
    </w:p>
    <w:p w14:paraId="6D6A4B3C">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2. 采购人和采购代理机构、竞争性谈判小组成员要严格遵守政府采购相关法律制度，依法履行各自职责，公正、客观、审慎地组织和参与评审工作。</w:t>
      </w:r>
    </w:p>
    <w:p w14:paraId="0FC30389">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二、评审办法</w:t>
      </w:r>
    </w:p>
    <w:p w14:paraId="6784BCD4">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1. 谈判小组应当从质量和服务均能满足竞争性谈判文件全部实质性响应要求的供应商中，按照评审报价由低到高顺序提出3名以上（含3名）成交候选供应商。</w:t>
      </w:r>
    </w:p>
    <w:p w14:paraId="0BF09037">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2. 根据</w:t>
      </w:r>
      <w:r>
        <w:rPr>
          <w:rFonts w:hint="eastAsia" w:ascii="宋体" w:hAnsi="宋体" w:eastAsia="宋体" w:cs="宋体"/>
          <w:bCs w:val="0"/>
          <w:snapToGrid/>
          <w:color w:val="000000" w:themeColor="text1"/>
          <w:kern w:val="2"/>
          <w:szCs w:val="21"/>
          <w:highlight w:val="none"/>
          <w:lang w:eastAsia="zh-CN"/>
          <w14:textFill>
            <w14:solidFill>
              <w14:schemeClr w14:val="tx1"/>
            </w14:solidFill>
          </w14:textFill>
        </w:rPr>
        <w:t>《广西壮族自治区财政厅关于持续优化政府采购营商环境推动高质量发展的通知》（桂财采〔2024〕55号）</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，凡符合《政府采购促进中小企业发展管理办法》（财库〔2020〕46号）规定条件且按该办法中规定的格式提供了《中小企业声明函》的小型和微型企业，对其最后报价给予</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20</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%的扣除，扣除后的价格为评审报价，即评审报价=最后报价×（1-</w:t>
      </w: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2</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0%）。</w:t>
      </w:r>
    </w:p>
    <w:p w14:paraId="332BE911">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除上述情况外，评审报价=最后报价。</w:t>
      </w:r>
    </w:p>
    <w:p w14:paraId="5F229997">
      <w:pPr>
        <w:pageBreakBefore w:val="0"/>
        <w:widowControl w:val="0"/>
        <w:wordWrap/>
        <w:overflowPunct/>
        <w:topLinePunct w:val="0"/>
        <w:bidi w:val="0"/>
        <w:spacing w:line="400" w:lineRule="exact"/>
        <w:ind w:firstLine="422" w:firstLineChars="200"/>
        <w:jc w:val="both"/>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注：①谈判小组应当按扣除后的报价由低到高进行排序，该扣除后报价仅作为评审报价排序，不作为合同签订报价，合同将按实际最后报价签订。</w:t>
      </w:r>
    </w:p>
    <w:p w14:paraId="2C309BBD">
      <w:pPr>
        <w:pageBreakBefore w:val="0"/>
        <w:widowControl w:val="0"/>
        <w:wordWrap/>
        <w:overflowPunct/>
        <w:topLinePunct w:val="0"/>
        <w:bidi w:val="0"/>
        <w:spacing w:line="400" w:lineRule="exact"/>
        <w:ind w:firstLine="422" w:firstLineChars="200"/>
        <w:jc w:val="both"/>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②中小微型企业划分标准按照《国家统计局关于印发&lt;统计上大中小微型企业划分办法〔2017〕&gt;的通知》（国统字〔2017〕213号）执行，具体划分标准见附表《统计上大中小微型企业划分标准》。</w:t>
      </w:r>
    </w:p>
    <w:p w14:paraId="076AD80A">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3. 根据按《关于政府采购支持监狱企业发展有关问题的通知》(财库〔2014〕68号)和《关于促进残疾人就业政府采购政策的通知》（财库〔2017〕141号）监狱企业和符合条件的残疾人福利性单位视同小型、微型企业，享受小型、微型企业评审中价格扣除的政府采购政策。残疾人福利性单位属于小型、微型企业的，不重复享受政策。监狱企业参加政府采购活动时，应当提供由省级以上监狱管理局、戒毒管理局(含新疆生产建设兵团)出具的属于监狱企业的证明文件；符合条件的残疾人福利性单位在参加政府采购活动时，应当提供本通知规定的《残疾人福利性单位声明函》，并对声明的真实性负责。</w:t>
      </w:r>
    </w:p>
    <w:p w14:paraId="6963AEB9">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b/>
          <w:bCs/>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val="en-US" w:eastAsia="zh-CN"/>
          <w14:textFill>
            <w14:solidFill>
              <w14:schemeClr w14:val="tx1"/>
            </w14:solidFill>
          </w14:textFill>
        </w:rPr>
        <w:t>4</w:t>
      </w:r>
      <w:r>
        <w:rPr>
          <w:rFonts w:hint="eastAsia" w:ascii="宋体" w:hAnsi="宋体" w:eastAsia="宋体" w:cs="宋体"/>
          <w:snapToGrid/>
          <w:color w:val="000000" w:themeColor="text1"/>
          <w:kern w:val="2"/>
          <w:szCs w:val="21"/>
          <w:highlight w:val="none"/>
          <w:lang w:eastAsia="zh-CN"/>
          <w14:textFill>
            <w14:solidFill>
              <w14:schemeClr w14:val="tx1"/>
            </w14:solidFill>
          </w14:textFill>
        </w:rPr>
        <w:t>.评审时，应当将通过资格性审查和符合性审查各供应商的评审报价，按照由低到高顺序排序，当评审报价相同时，按照故障响应时间由短到长顺序排序，当故障响应时间相同时，由谈判小组按照抽签的方式决定排名次序。</w:t>
      </w:r>
    </w:p>
    <w:p w14:paraId="170C3CF6">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000000" w:themeColor="text1"/>
          <w:kern w:val="2"/>
          <w:szCs w:val="24"/>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4"/>
          <w:highlight w:val="none"/>
          <w:lang w:eastAsia="zh-CN"/>
          <w14:textFill>
            <w14:solidFill>
              <w14:schemeClr w14:val="tx1"/>
            </w14:solidFill>
          </w14:textFill>
        </w:rPr>
        <w:t>三、成交候选人推荐原则</w:t>
      </w:r>
    </w:p>
    <w:p w14:paraId="081B4FC6">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1）采购单位应当确定谈判小组推荐排名第一的成交候选人为成交供应商。若评审报价相同的，由谈判小组按照采购文件中的技术指标、售后服务承诺书、项目实施方案优劣确定一个供应商获得成交推荐资格，如上诉均相同，则由谈判小组现场抽签决定排序。</w:t>
      </w:r>
    </w:p>
    <w:p w14:paraId="6453D868">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2）排名第一的成交候选人放弃成交、因不可抗力提出不能履行合同，或者竞争性谈判文件规定应当提交履约保证金而在规定的期限内未能提交的，或因失信行为被取消成交候选人资格的，采购单位可以确定排名第二的成交候选人为成交供应商。</w:t>
      </w:r>
    </w:p>
    <w:p w14:paraId="3ADD945A">
      <w:pPr>
        <w:pageBreakBefore w:val="0"/>
        <w:widowControl w:val="0"/>
        <w:kinsoku/>
        <w:wordWrap/>
        <w:overflowPunct/>
        <w:topLinePunct w:val="0"/>
        <w:autoSpaceDE/>
        <w:autoSpaceDN/>
        <w:bidi w:val="0"/>
        <w:adjustRightInd/>
        <w:snapToGrid/>
        <w:spacing w:line="40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（3）排名第二的成交候选人因前款规定的同样原因不能签订合同的，采购单位可以确定排名第三的成交候选人为成交供应商。</w:t>
      </w:r>
    </w:p>
    <w:p w14:paraId="2DDE1EF1">
      <w:pPr>
        <w:pageBreakBefore w:val="0"/>
        <w:widowControl w:val="0"/>
        <w:kinsoku/>
        <w:wordWrap/>
        <w:overflowPunct/>
        <w:topLinePunct w:val="0"/>
        <w:autoSpaceDE/>
        <w:autoSpaceDN/>
        <w:bidi w:val="0"/>
        <w:adjustRightInd/>
        <w:snapToGrid/>
        <w:spacing w:line="400" w:lineRule="exact"/>
        <w:ind w:firstLine="422" w:firstLineChars="200"/>
        <w:jc w:val="both"/>
        <w:textAlignment w:val="auto"/>
        <w:rPr>
          <w:rFonts w:hint="eastAsia" w:ascii="宋体" w:hAnsi="宋体" w:eastAsia="宋体" w:cs="宋体"/>
          <w:b/>
          <w:bCs/>
          <w:snapToGrid/>
          <w:color w:val="000000" w:themeColor="text1"/>
          <w:kern w:val="2"/>
          <w:szCs w:val="21"/>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四、特别说明</w:t>
      </w:r>
    </w:p>
    <w:p w14:paraId="0644C4F7">
      <w:pPr>
        <w:pageBreakBefore w:val="0"/>
        <w:widowControl w:val="0"/>
        <w:kinsoku/>
        <w:wordWrap/>
        <w:overflowPunct/>
        <w:topLinePunct w:val="0"/>
        <w:autoSpaceDE/>
        <w:autoSpaceDN/>
        <w:bidi w:val="0"/>
        <w:adjustRightInd/>
        <w:snapToGrid/>
        <w:spacing w:line="400" w:lineRule="exact"/>
        <w:ind w:firstLine="632" w:firstLineChars="300"/>
        <w:jc w:val="both"/>
        <w:textAlignment w:val="auto"/>
        <w:rPr>
          <w:rFonts w:hint="eastAsia" w:ascii="宋体" w:hAnsi="宋体" w:eastAsia="宋体" w:cs="宋体"/>
          <w:b/>
          <w:bCs/>
          <w:snapToGrid/>
          <w:color w:val="000000" w:themeColor="text1"/>
          <w:kern w:val="2"/>
          <w:szCs w:val="21"/>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1"/>
          <w:szCs w:val="21"/>
          <w:highlight w:val="none"/>
          <w:lang w:val="en-US" w:eastAsia="zh-CN"/>
          <w14:textFill>
            <w14:solidFill>
              <w14:schemeClr w14:val="tx1"/>
            </w14:solidFill>
          </w14:textFill>
        </w:rPr>
        <w:t>评审时，谈判小组根据《关于推动解决政府采购异常低价问题的通知》（财库〔2026〕2号）相关规定启动异常低价投标（响应）审查程序。</w:t>
      </w: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启动异常低价投标（响应）审查后，</w:t>
      </w:r>
      <w:r>
        <w:rPr>
          <w:rStyle w:val="30"/>
          <w:rFonts w:hint="eastAsia" w:ascii="宋体" w:hAnsi="宋体" w:eastAsia="宋体" w:cs="宋体"/>
          <w:b/>
          <w:bCs/>
          <w:snapToGrid/>
          <w:color w:val="000000" w:themeColor="text1"/>
          <w:kern w:val="2"/>
          <w:szCs w:val="21"/>
          <w:highlight w:val="none"/>
          <w:lang w:eastAsia="zh-CN"/>
          <w14:textFill>
            <w14:solidFill>
              <w14:schemeClr w14:val="tx1"/>
            </w14:solidFill>
          </w14:textFill>
        </w:rPr>
        <w:t>应当要求供应商在</w:t>
      </w:r>
      <w:r>
        <w:rPr>
          <w:rStyle w:val="30"/>
          <w:rFonts w:hint="eastAsia" w:ascii="宋体" w:hAnsi="宋体" w:eastAsia="宋体" w:cs="宋体"/>
          <w:b/>
          <w:bCs/>
          <w:snapToGrid/>
          <w:color w:val="000000" w:themeColor="text1"/>
          <w:kern w:val="2"/>
          <w:szCs w:val="21"/>
          <w:highlight w:val="none"/>
          <w:lang w:val="en-US" w:eastAsia="zh-CN"/>
          <w14:textFill>
            <w14:solidFill>
              <w14:schemeClr w14:val="tx1"/>
            </w14:solidFill>
          </w14:textFill>
        </w:rPr>
        <w:t>谈判小组要求的时间内</w:t>
      </w: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对投标（响应）价格作出解释，</w:t>
      </w:r>
      <w:r>
        <w:rPr>
          <w:rFonts w:hint="eastAsia" w:ascii="宋体" w:hAnsi="宋体" w:eastAsia="宋体" w:cs="宋体"/>
          <w:b/>
          <w:bCs/>
          <w:snapToGrid/>
          <w:color w:val="000000" w:themeColor="text1"/>
          <w:kern w:val="2"/>
          <w:szCs w:val="21"/>
          <w:highlight w:val="none"/>
          <w:shd w:val="clear" w:color="auto" w:fill="FFFFFF"/>
          <w:lang w:eastAsia="zh-CN"/>
          <w14:textFill>
            <w14:solidFill>
              <w14:schemeClr w14:val="tx1"/>
            </w14:solidFill>
          </w14:textFill>
        </w:rPr>
        <w:t>提供项目具体成本测算等与报价合理性相关的书面说明及必要的证明材料（包括但不限于原材料成本、人工成本、制造费用等）。</w:t>
      </w: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投标（响应）供应商不能提供书面说明、证明材料，或者提供的书面说明、证明材料不能证明其报价合理性的，</w:t>
      </w:r>
      <w:r>
        <w:rPr>
          <w:rFonts w:hint="eastAsia" w:ascii="宋体" w:hAnsi="宋体" w:eastAsia="宋体" w:cs="宋体"/>
          <w:b/>
          <w:bCs/>
          <w:snapToGrid/>
          <w:color w:val="000000" w:themeColor="text1"/>
          <w:kern w:val="2"/>
          <w:szCs w:val="21"/>
          <w:highlight w:val="none"/>
          <w:lang w:val="en-US" w:eastAsia="zh-CN"/>
          <w14:textFill>
            <w14:solidFill>
              <w14:schemeClr w14:val="tx1"/>
            </w14:solidFill>
          </w14:textFill>
        </w:rPr>
        <w:t>谈判小组</w:t>
      </w: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应当将其作为无效投标（响应）处理。 异常低价投标（响应）审查的启动原因、审查意见和审查结果应当在评审报告中记录。</w:t>
      </w:r>
    </w:p>
    <w:p w14:paraId="5395C00F">
      <w:pPr>
        <w:pageBreakBefore w:val="0"/>
        <w:widowControl w:val="0"/>
        <w:kinsoku/>
        <w:wordWrap/>
        <w:overflowPunct/>
        <w:topLinePunct w:val="0"/>
        <w:autoSpaceDE/>
        <w:autoSpaceDN/>
        <w:bidi w:val="0"/>
        <w:adjustRightInd/>
        <w:snapToGrid/>
        <w:spacing w:line="400" w:lineRule="exact"/>
        <w:ind w:firstLine="632" w:firstLineChars="300"/>
        <w:jc w:val="both"/>
        <w:textAlignment w:val="auto"/>
        <w:rPr>
          <w:rFonts w:hint="eastAsia" w:ascii="宋体" w:hAnsi="宋体" w:eastAsia="宋体" w:cs="宋体"/>
          <w:b/>
          <w:bCs/>
          <w:snapToGrid/>
          <w:color w:val="000000" w:themeColor="text1"/>
          <w:kern w:val="2"/>
          <w:sz w:val="21"/>
          <w:szCs w:val="21"/>
          <w:highlight w:val="none"/>
          <w:lang w:eastAsia="zh-CN"/>
          <w14:textFill>
            <w14:solidFill>
              <w14:schemeClr w14:val="tx1"/>
            </w14:solidFill>
          </w14:textFill>
        </w:rPr>
      </w:pPr>
      <w:r>
        <w:rPr>
          <w:rFonts w:hint="eastAsia" w:ascii="宋体" w:hAnsi="宋体" w:eastAsia="宋体" w:cs="宋体"/>
          <w:b/>
          <w:bCs/>
          <w:snapToGrid/>
          <w:color w:val="000000" w:themeColor="text1"/>
          <w:kern w:val="2"/>
          <w:szCs w:val="21"/>
          <w:highlight w:val="none"/>
          <w:lang w:eastAsia="zh-CN"/>
          <w14:textFill>
            <w14:solidFill>
              <w14:schemeClr w14:val="tx1"/>
            </w14:solidFill>
          </w14:textFill>
        </w:rPr>
        <w:t>为避免因未能及时提供说明而导致被评审委员会作为无效投标情形，</w:t>
      </w:r>
      <w:r>
        <w:rPr>
          <w:rFonts w:hint="eastAsia" w:ascii="宋体" w:hAnsi="宋体" w:eastAsia="宋体" w:cs="宋体"/>
          <w:b/>
          <w:bCs/>
          <w:snapToGrid/>
          <w:color w:val="000000" w:themeColor="text1"/>
          <w:kern w:val="2"/>
          <w:szCs w:val="21"/>
          <w:highlight w:val="none"/>
          <w:shd w:val="clear" w:color="auto" w:fill="auto"/>
          <w:lang w:eastAsia="zh-CN"/>
          <w14:textFill>
            <w14:solidFill>
              <w14:schemeClr w14:val="tx1"/>
            </w14:solidFill>
          </w14:textFill>
        </w:rPr>
        <w:t>供应商可提前准备或随投标（响应）文件一并提交相关书面说明及必要的证明材料。</w:t>
      </w:r>
    </w:p>
    <w:p w14:paraId="0F48803F">
      <w:pPr>
        <w:pStyle w:val="3"/>
        <w:pageBreakBefore w:val="0"/>
        <w:widowControl w:val="0"/>
        <w:wordWrap/>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1103B382">
      <w:pPr>
        <w:pageBreakBefore w:val="0"/>
        <w:widowControl w:val="0"/>
        <w:kinsoku/>
        <w:wordWrap w:val="0"/>
        <w:overflowPunct/>
        <w:topLinePunct w:val="0"/>
        <w:bidi w:val="0"/>
        <w:spacing w:before="120" w:beforeLines="50" w:after="120" w:afterLines="50" w:line="400" w:lineRule="exact"/>
        <w:jc w:val="center"/>
        <w:rPr>
          <w:rFonts w:hint="eastAsia" w:ascii="宋体" w:hAnsi="宋体" w:eastAsia="宋体" w:cs="宋体"/>
          <w:b/>
          <w:bCs/>
          <w:color w:val="000000" w:themeColor="text1"/>
          <w:sz w:val="30"/>
          <w:szCs w:val="30"/>
          <w:highlight w:val="none"/>
          <w:lang w:eastAsia="zh-CN"/>
          <w14:textFill>
            <w14:solidFill>
              <w14:schemeClr w14:val="tx1"/>
            </w14:solidFill>
          </w14:textFill>
        </w:rPr>
      </w:pPr>
      <w:bookmarkStart w:id="13" w:name="_Toc28361_WPSOffice_Level2"/>
      <w:r>
        <w:rPr>
          <w:rFonts w:hint="eastAsia" w:ascii="宋体" w:hAnsi="宋体" w:eastAsia="宋体" w:cs="宋体"/>
          <w:b/>
          <w:bCs/>
          <w:color w:val="000000" w:themeColor="text1"/>
          <w:sz w:val="30"/>
          <w:szCs w:val="30"/>
          <w:highlight w:val="none"/>
          <w:lang w:eastAsia="zh-CN"/>
          <w14:textFill>
            <w14:solidFill>
              <w14:schemeClr w14:val="tx1"/>
            </w14:solidFill>
          </w14:textFill>
        </w:rPr>
        <w:t>附</w:t>
      </w:r>
      <w:r>
        <w:rPr>
          <w:rFonts w:hint="eastAsia" w:ascii="宋体" w:hAnsi="宋体" w:eastAsia="宋体" w:cs="宋体"/>
          <w:b/>
          <w:bCs/>
          <w:color w:val="000000" w:themeColor="text1"/>
          <w:sz w:val="30"/>
          <w:szCs w:val="30"/>
          <w:highlight w:val="none"/>
          <w:lang w:val="en-US" w:eastAsia="zh-CN"/>
          <w14:textFill>
            <w14:solidFill>
              <w14:schemeClr w14:val="tx1"/>
            </w14:solidFill>
          </w14:textFill>
        </w:rPr>
        <w:t>:</w:t>
      </w:r>
      <w:r>
        <w:rPr>
          <w:rFonts w:hint="eastAsia" w:ascii="宋体" w:hAnsi="宋体" w:eastAsia="宋体" w:cs="宋体"/>
          <w:b/>
          <w:bCs/>
          <w:color w:val="000000" w:themeColor="text1"/>
          <w:sz w:val="30"/>
          <w:szCs w:val="30"/>
          <w:highlight w:val="none"/>
          <w:lang w:eastAsia="zh-CN"/>
          <w14:textFill>
            <w14:solidFill>
              <w14:schemeClr w14:val="tx1"/>
            </w14:solidFill>
          </w14:textFill>
        </w:rPr>
        <w:t>统计上大中小微型企业划分标准</w:t>
      </w:r>
      <w:bookmarkEnd w:id="13"/>
    </w:p>
    <w:tbl>
      <w:tblPr>
        <w:tblStyle w:val="20"/>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00F7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exact"/>
          <w:tblHeader/>
          <w:jc w:val="center"/>
        </w:trPr>
        <w:tc>
          <w:tcPr>
            <w:tcW w:w="2113" w:type="dxa"/>
            <w:shd w:val="clear" w:color="auto" w:fill="FFFFFF"/>
            <w:vAlign w:val="center"/>
          </w:tcPr>
          <w:p w14:paraId="1A1EC828">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highlight w:val="none"/>
                <w14:textFill>
                  <w14:solidFill>
                    <w14:schemeClr w14:val="tx1"/>
                  </w14:solidFill>
                </w14:textFill>
              </w:rPr>
            </w:pPr>
            <w:r>
              <w:rPr>
                <w:rFonts w:hint="eastAsia" w:ascii="宋体" w:hAnsi="宋体" w:eastAsia="宋体" w:cs="宋体"/>
                <w:b/>
                <w:bCs/>
                <w:color w:val="000000" w:themeColor="text1"/>
                <w:sz w:val="18"/>
                <w:highlight w:val="none"/>
                <w14:textFill>
                  <w14:solidFill>
                    <w14:schemeClr w14:val="tx1"/>
                  </w14:solidFill>
                </w14:textFill>
              </w:rPr>
              <w:t>行业名称</w:t>
            </w:r>
          </w:p>
        </w:tc>
        <w:tc>
          <w:tcPr>
            <w:tcW w:w="1369" w:type="dxa"/>
            <w:shd w:val="clear" w:color="auto" w:fill="FFFFFF"/>
            <w:vAlign w:val="center"/>
          </w:tcPr>
          <w:p w14:paraId="672AC14E">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指标名称</w:t>
            </w:r>
          </w:p>
        </w:tc>
        <w:tc>
          <w:tcPr>
            <w:tcW w:w="709" w:type="dxa"/>
            <w:shd w:val="clear" w:color="auto" w:fill="FFFFFF"/>
            <w:vAlign w:val="center"/>
          </w:tcPr>
          <w:p w14:paraId="795D3469">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lang w:eastAsia="zh-CN"/>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计量</w:t>
            </w:r>
          </w:p>
          <w:p w14:paraId="6BCFD146">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单位</w:t>
            </w:r>
          </w:p>
        </w:tc>
        <w:tc>
          <w:tcPr>
            <w:tcW w:w="1125" w:type="dxa"/>
            <w:shd w:val="clear" w:color="auto" w:fill="FFFFFF"/>
            <w:vAlign w:val="center"/>
          </w:tcPr>
          <w:p w14:paraId="190CC9C2">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大型</w:t>
            </w:r>
          </w:p>
        </w:tc>
        <w:tc>
          <w:tcPr>
            <w:tcW w:w="1701" w:type="dxa"/>
            <w:shd w:val="clear" w:color="auto" w:fill="FFFFFF"/>
            <w:vAlign w:val="center"/>
          </w:tcPr>
          <w:p w14:paraId="40221A8E">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中型</w:t>
            </w:r>
          </w:p>
        </w:tc>
        <w:tc>
          <w:tcPr>
            <w:tcW w:w="1426" w:type="dxa"/>
            <w:shd w:val="clear" w:color="auto" w:fill="FFFFFF"/>
            <w:vAlign w:val="center"/>
          </w:tcPr>
          <w:p w14:paraId="19F4E660">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小型</w:t>
            </w:r>
          </w:p>
        </w:tc>
        <w:tc>
          <w:tcPr>
            <w:tcW w:w="992" w:type="dxa"/>
            <w:shd w:val="clear" w:color="auto" w:fill="FFFFFF"/>
            <w:vAlign w:val="center"/>
          </w:tcPr>
          <w:p w14:paraId="528FBFC7">
            <w:pPr>
              <w:pageBreakBefore w:val="0"/>
              <w:widowControl w:val="0"/>
              <w:kinsoku/>
              <w:wordWrap w:val="0"/>
              <w:overflowPunct/>
              <w:topLinePunct w:val="0"/>
              <w:bidi w:val="0"/>
              <w:spacing w:line="400" w:lineRule="exact"/>
              <w:jc w:val="center"/>
              <w:rPr>
                <w:rFonts w:hint="eastAsia" w:ascii="宋体" w:hAnsi="宋体" w:eastAsia="宋体" w:cs="宋体"/>
                <w:b/>
                <w:bCs/>
                <w:color w:val="000000" w:themeColor="text1"/>
                <w:sz w:val="18"/>
                <w:szCs w:val="18"/>
                <w:highlight w:val="none"/>
                <w14:textFill>
                  <w14:solidFill>
                    <w14:schemeClr w14:val="tx1"/>
                  </w14:solidFill>
                </w14:textFill>
              </w:rPr>
            </w:pPr>
            <w:r>
              <w:rPr>
                <w:rFonts w:hint="eastAsia" w:ascii="宋体" w:hAnsi="宋体" w:eastAsia="宋体" w:cs="宋体"/>
                <w:b/>
                <w:bCs/>
                <w:color w:val="000000" w:themeColor="text1"/>
                <w:sz w:val="18"/>
                <w:szCs w:val="18"/>
                <w:highlight w:val="none"/>
                <w14:textFill>
                  <w14:solidFill>
                    <w14:schemeClr w14:val="tx1"/>
                  </w14:solidFill>
                </w14:textFill>
              </w:rPr>
              <w:t>微型</w:t>
            </w:r>
          </w:p>
        </w:tc>
      </w:tr>
      <w:tr w14:paraId="5BFD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1D3A6210">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农、林、牧、渔业</w:t>
            </w:r>
          </w:p>
        </w:tc>
        <w:tc>
          <w:tcPr>
            <w:tcW w:w="1369" w:type="dxa"/>
            <w:vAlign w:val="center"/>
          </w:tcPr>
          <w:p w14:paraId="3AE4CD0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22B8BA7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640A896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w:t>
            </w:r>
          </w:p>
        </w:tc>
        <w:tc>
          <w:tcPr>
            <w:tcW w:w="1701" w:type="dxa"/>
            <w:vAlign w:val="center"/>
          </w:tcPr>
          <w:p w14:paraId="4502FC5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500≤Y＜20000</w:t>
            </w:r>
          </w:p>
        </w:tc>
        <w:tc>
          <w:tcPr>
            <w:tcW w:w="1426" w:type="dxa"/>
            <w:vAlign w:val="center"/>
          </w:tcPr>
          <w:p w14:paraId="728CDCD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50≤Y＜500</w:t>
            </w:r>
          </w:p>
        </w:tc>
        <w:tc>
          <w:tcPr>
            <w:tcW w:w="992" w:type="dxa"/>
            <w:vAlign w:val="center"/>
          </w:tcPr>
          <w:p w14:paraId="42553F3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w:t>
            </w:r>
          </w:p>
        </w:tc>
      </w:tr>
      <w:tr w14:paraId="3E6A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F197A17">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工业 *</w:t>
            </w:r>
          </w:p>
        </w:tc>
        <w:tc>
          <w:tcPr>
            <w:tcW w:w="1369" w:type="dxa"/>
            <w:vAlign w:val="center"/>
          </w:tcPr>
          <w:p w14:paraId="3BD99E9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30C9E97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1ED8578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vAlign w:val="center"/>
          </w:tcPr>
          <w:p w14:paraId="5CE91BA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vAlign w:val="center"/>
          </w:tcPr>
          <w:p w14:paraId="26672F2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vAlign w:val="center"/>
          </w:tcPr>
          <w:p w14:paraId="66097A7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6D32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B111B75">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66A84F9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4D0C5AA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0D293DE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Y≥40000</w:t>
            </w:r>
          </w:p>
        </w:tc>
        <w:tc>
          <w:tcPr>
            <w:tcW w:w="1701" w:type="dxa"/>
            <w:vAlign w:val="center"/>
          </w:tcPr>
          <w:p w14:paraId="3F37990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2000≤Y＜40000</w:t>
            </w:r>
          </w:p>
        </w:tc>
        <w:tc>
          <w:tcPr>
            <w:tcW w:w="1426" w:type="dxa"/>
            <w:vAlign w:val="center"/>
          </w:tcPr>
          <w:p w14:paraId="0BB0A44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300≤Y＜2000</w:t>
            </w:r>
          </w:p>
        </w:tc>
        <w:tc>
          <w:tcPr>
            <w:tcW w:w="992" w:type="dxa"/>
            <w:vAlign w:val="center"/>
          </w:tcPr>
          <w:p w14:paraId="32A3772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w:t>
            </w:r>
          </w:p>
        </w:tc>
      </w:tr>
      <w:tr w14:paraId="72BF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C5248E8">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建筑业</w:t>
            </w:r>
          </w:p>
        </w:tc>
        <w:tc>
          <w:tcPr>
            <w:tcW w:w="1369" w:type="dxa"/>
            <w:vAlign w:val="center"/>
          </w:tcPr>
          <w:p w14:paraId="32E5359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1383B5B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3306E34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Y≥80000</w:t>
            </w:r>
          </w:p>
        </w:tc>
        <w:tc>
          <w:tcPr>
            <w:tcW w:w="1701" w:type="dxa"/>
            <w:vAlign w:val="center"/>
          </w:tcPr>
          <w:p w14:paraId="4CA5754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6000≤Y＜80000</w:t>
            </w:r>
          </w:p>
        </w:tc>
        <w:tc>
          <w:tcPr>
            <w:tcW w:w="1426" w:type="dxa"/>
            <w:vAlign w:val="center"/>
          </w:tcPr>
          <w:p w14:paraId="566391A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300≤Y＜6000</w:t>
            </w:r>
          </w:p>
        </w:tc>
        <w:tc>
          <w:tcPr>
            <w:tcW w:w="992" w:type="dxa"/>
            <w:vAlign w:val="center"/>
          </w:tcPr>
          <w:p w14:paraId="7786AF6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w:t>
            </w:r>
          </w:p>
        </w:tc>
      </w:tr>
      <w:tr w14:paraId="7AC7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69D5682">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41649BF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vAlign w:val="center"/>
          </w:tcPr>
          <w:p w14:paraId="5F200AF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28EBD58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Z≥80000</w:t>
            </w:r>
          </w:p>
        </w:tc>
        <w:tc>
          <w:tcPr>
            <w:tcW w:w="1701" w:type="dxa"/>
            <w:vAlign w:val="center"/>
          </w:tcPr>
          <w:p w14:paraId="6E311EA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5000≤Z＜80000</w:t>
            </w:r>
          </w:p>
        </w:tc>
        <w:tc>
          <w:tcPr>
            <w:tcW w:w="1426" w:type="dxa"/>
            <w:vAlign w:val="center"/>
          </w:tcPr>
          <w:p w14:paraId="5FEEB1C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300≤Z＜5000</w:t>
            </w:r>
          </w:p>
        </w:tc>
        <w:tc>
          <w:tcPr>
            <w:tcW w:w="992" w:type="dxa"/>
            <w:vAlign w:val="center"/>
          </w:tcPr>
          <w:p w14:paraId="68561E2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Z＜300</w:t>
            </w:r>
          </w:p>
        </w:tc>
      </w:tr>
      <w:tr w14:paraId="705C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1C78D6D">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批发业</w:t>
            </w:r>
          </w:p>
        </w:tc>
        <w:tc>
          <w:tcPr>
            <w:tcW w:w="1369" w:type="dxa"/>
            <w:vAlign w:val="center"/>
          </w:tcPr>
          <w:p w14:paraId="70FDF55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277E1F7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00C7781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w:t>
            </w:r>
          </w:p>
        </w:tc>
        <w:tc>
          <w:tcPr>
            <w:tcW w:w="1701" w:type="dxa"/>
            <w:vAlign w:val="center"/>
          </w:tcPr>
          <w:p w14:paraId="3682466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20≤X＜200</w:t>
            </w:r>
          </w:p>
        </w:tc>
        <w:tc>
          <w:tcPr>
            <w:tcW w:w="1426" w:type="dxa"/>
            <w:vAlign w:val="center"/>
          </w:tcPr>
          <w:p w14:paraId="2B56628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5≤X＜20</w:t>
            </w:r>
          </w:p>
        </w:tc>
        <w:tc>
          <w:tcPr>
            <w:tcW w:w="992" w:type="dxa"/>
            <w:vAlign w:val="center"/>
          </w:tcPr>
          <w:p w14:paraId="74FC796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X＜5</w:t>
            </w:r>
          </w:p>
        </w:tc>
      </w:tr>
      <w:tr w14:paraId="6423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FA91AD8">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57EECBF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38B92FB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29772E4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Y≥40000</w:t>
            </w:r>
          </w:p>
        </w:tc>
        <w:tc>
          <w:tcPr>
            <w:tcW w:w="1701" w:type="dxa"/>
            <w:vAlign w:val="center"/>
          </w:tcPr>
          <w:p w14:paraId="492FF30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5000≤Y＜40000</w:t>
            </w:r>
          </w:p>
        </w:tc>
        <w:tc>
          <w:tcPr>
            <w:tcW w:w="1426" w:type="dxa"/>
            <w:vAlign w:val="center"/>
          </w:tcPr>
          <w:p w14:paraId="70F15669">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1000≤Y＜5000</w:t>
            </w:r>
          </w:p>
        </w:tc>
        <w:tc>
          <w:tcPr>
            <w:tcW w:w="992" w:type="dxa"/>
            <w:vAlign w:val="center"/>
          </w:tcPr>
          <w:p w14:paraId="2F8437D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w:t>
            </w:r>
          </w:p>
        </w:tc>
      </w:tr>
      <w:tr w14:paraId="0A63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0BDA1B9">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零售业</w:t>
            </w:r>
          </w:p>
        </w:tc>
        <w:tc>
          <w:tcPr>
            <w:tcW w:w="1369" w:type="dxa"/>
            <w:vAlign w:val="center"/>
          </w:tcPr>
          <w:p w14:paraId="7655860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0B70542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39703B9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53DC1AF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50≤X＜300</w:t>
            </w:r>
          </w:p>
        </w:tc>
        <w:tc>
          <w:tcPr>
            <w:tcW w:w="1426" w:type="dxa"/>
            <w:vAlign w:val="center"/>
          </w:tcPr>
          <w:p w14:paraId="17537688">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000000" w:themeColor="text1"/>
                <w:sz w:val="18"/>
                <w:szCs w:val="18"/>
                <w:highlight w:val="none"/>
                <w:lang w:eastAsia="zh-CN"/>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10≤X＜50</w:t>
            </w:r>
          </w:p>
        </w:tc>
        <w:tc>
          <w:tcPr>
            <w:tcW w:w="992" w:type="dxa"/>
            <w:vAlign w:val="center"/>
          </w:tcPr>
          <w:p w14:paraId="48A27B0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79D3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5957482">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7621B2E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7C4348C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61013B4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w:t>
            </w:r>
          </w:p>
        </w:tc>
        <w:tc>
          <w:tcPr>
            <w:tcW w:w="1701" w:type="dxa"/>
            <w:vAlign w:val="center"/>
          </w:tcPr>
          <w:p w14:paraId="43AB7CB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500≤Y＜20000</w:t>
            </w:r>
          </w:p>
        </w:tc>
        <w:tc>
          <w:tcPr>
            <w:tcW w:w="1426" w:type="dxa"/>
            <w:vAlign w:val="center"/>
          </w:tcPr>
          <w:p w14:paraId="590934D7">
            <w:pPr>
              <w:pageBreakBefore w:val="0"/>
              <w:widowControl w:val="0"/>
              <w:kinsoku/>
              <w:wordWrap w:val="0"/>
              <w:overflowPunct/>
              <w:topLinePunct w:val="0"/>
              <w:bidi w:val="0"/>
              <w:spacing w:line="400" w:lineRule="exact"/>
              <w:ind w:left="-1" w:leftChars="-1" w:hanging="1"/>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100≤Y＜500</w:t>
            </w:r>
          </w:p>
        </w:tc>
        <w:tc>
          <w:tcPr>
            <w:tcW w:w="992" w:type="dxa"/>
            <w:vAlign w:val="center"/>
          </w:tcPr>
          <w:p w14:paraId="66C2450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7B49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0C2FE5D">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交通运输业 *</w:t>
            </w:r>
          </w:p>
        </w:tc>
        <w:tc>
          <w:tcPr>
            <w:tcW w:w="1369" w:type="dxa"/>
            <w:vAlign w:val="center"/>
          </w:tcPr>
          <w:p w14:paraId="7977C92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1A730FB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49ED3A4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vAlign w:val="center"/>
          </w:tcPr>
          <w:p w14:paraId="1760CCB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vAlign w:val="center"/>
          </w:tcPr>
          <w:p w14:paraId="45C485B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vAlign w:val="center"/>
          </w:tcPr>
          <w:p w14:paraId="37B4AFF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6CDF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F3C5338">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5482474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30F9122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799CF8D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vAlign w:val="center"/>
          </w:tcPr>
          <w:p w14:paraId="4371394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3000≤Y＜30000</w:t>
            </w:r>
          </w:p>
        </w:tc>
        <w:tc>
          <w:tcPr>
            <w:tcW w:w="1426" w:type="dxa"/>
            <w:vAlign w:val="center"/>
          </w:tcPr>
          <w:p w14:paraId="6F8D66F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200≤Y＜3000</w:t>
            </w:r>
          </w:p>
        </w:tc>
        <w:tc>
          <w:tcPr>
            <w:tcW w:w="992" w:type="dxa"/>
            <w:vAlign w:val="center"/>
          </w:tcPr>
          <w:p w14:paraId="760FD48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w:t>
            </w:r>
          </w:p>
        </w:tc>
      </w:tr>
      <w:tr w14:paraId="3153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ABA0FEC">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仓储业*</w:t>
            </w:r>
          </w:p>
        </w:tc>
        <w:tc>
          <w:tcPr>
            <w:tcW w:w="1369" w:type="dxa"/>
            <w:vAlign w:val="center"/>
          </w:tcPr>
          <w:p w14:paraId="3AF3DDC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430DBDB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0A79147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w:t>
            </w:r>
          </w:p>
        </w:tc>
        <w:tc>
          <w:tcPr>
            <w:tcW w:w="1701" w:type="dxa"/>
            <w:vAlign w:val="center"/>
          </w:tcPr>
          <w:p w14:paraId="12175772">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100≤X＜200</w:t>
            </w:r>
          </w:p>
        </w:tc>
        <w:tc>
          <w:tcPr>
            <w:tcW w:w="1426" w:type="dxa"/>
            <w:vAlign w:val="center"/>
          </w:tcPr>
          <w:p w14:paraId="7A721FE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20≤X＜100</w:t>
            </w:r>
          </w:p>
        </w:tc>
        <w:tc>
          <w:tcPr>
            <w:tcW w:w="992" w:type="dxa"/>
            <w:vAlign w:val="center"/>
          </w:tcPr>
          <w:p w14:paraId="499D96B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1269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7B7A3D5">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56A26FB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520EC08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6BA74E5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vAlign w:val="center"/>
          </w:tcPr>
          <w:p w14:paraId="010B871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1000≤Y＜30000</w:t>
            </w:r>
          </w:p>
        </w:tc>
        <w:tc>
          <w:tcPr>
            <w:tcW w:w="1426" w:type="dxa"/>
            <w:vAlign w:val="center"/>
          </w:tcPr>
          <w:p w14:paraId="2E6E681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vAlign w:val="center"/>
          </w:tcPr>
          <w:p w14:paraId="3C9CE22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1327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44D74D0">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邮政业</w:t>
            </w:r>
          </w:p>
        </w:tc>
        <w:tc>
          <w:tcPr>
            <w:tcW w:w="1369" w:type="dxa"/>
            <w:vAlign w:val="center"/>
          </w:tcPr>
          <w:p w14:paraId="25CE361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0EE19E0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24519EF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vAlign w:val="center"/>
          </w:tcPr>
          <w:p w14:paraId="75F51EE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vAlign w:val="center"/>
          </w:tcPr>
          <w:p w14:paraId="20BFFE8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20≤X＜300</w:t>
            </w:r>
          </w:p>
        </w:tc>
        <w:tc>
          <w:tcPr>
            <w:tcW w:w="992" w:type="dxa"/>
            <w:vAlign w:val="center"/>
          </w:tcPr>
          <w:p w14:paraId="35F3ABA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w:t>
            </w:r>
          </w:p>
        </w:tc>
      </w:tr>
      <w:tr w14:paraId="59986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94F5D7C">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2D85103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64446E0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7F2698A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Y≥30000</w:t>
            </w:r>
          </w:p>
        </w:tc>
        <w:tc>
          <w:tcPr>
            <w:tcW w:w="1701" w:type="dxa"/>
            <w:vAlign w:val="center"/>
          </w:tcPr>
          <w:p w14:paraId="602F38B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2000≤Y＜30000</w:t>
            </w:r>
          </w:p>
        </w:tc>
        <w:tc>
          <w:tcPr>
            <w:tcW w:w="1426" w:type="dxa"/>
            <w:vAlign w:val="center"/>
          </w:tcPr>
          <w:p w14:paraId="2C7C777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vAlign w:val="center"/>
          </w:tcPr>
          <w:p w14:paraId="5220160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2F3E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6382877">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住宿业</w:t>
            </w:r>
          </w:p>
        </w:tc>
        <w:tc>
          <w:tcPr>
            <w:tcW w:w="1369" w:type="dxa"/>
            <w:vAlign w:val="center"/>
          </w:tcPr>
          <w:p w14:paraId="390EE71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22E6348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4006BF6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69D13935">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vAlign w:val="center"/>
          </w:tcPr>
          <w:p w14:paraId="5C76AC2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35D448D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23F9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13CA6E7">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61FC963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2578DBB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2DB0F79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vAlign w:val="center"/>
          </w:tcPr>
          <w:p w14:paraId="5497B3A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2000≤Y＜10000</w:t>
            </w:r>
          </w:p>
        </w:tc>
        <w:tc>
          <w:tcPr>
            <w:tcW w:w="1426" w:type="dxa"/>
            <w:vAlign w:val="center"/>
          </w:tcPr>
          <w:p w14:paraId="6CBEAEA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vAlign w:val="center"/>
          </w:tcPr>
          <w:p w14:paraId="67FDB2B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1E63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750DBD5">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餐饮业</w:t>
            </w:r>
          </w:p>
        </w:tc>
        <w:tc>
          <w:tcPr>
            <w:tcW w:w="1369" w:type="dxa"/>
            <w:vAlign w:val="center"/>
          </w:tcPr>
          <w:p w14:paraId="5979BD1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7443F19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53A5F96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2389A0A8">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100≤X＜300 </w:t>
            </w:r>
          </w:p>
        </w:tc>
        <w:tc>
          <w:tcPr>
            <w:tcW w:w="1426" w:type="dxa"/>
            <w:vAlign w:val="center"/>
          </w:tcPr>
          <w:p w14:paraId="0C70766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042A20B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23A2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5F2DA7B">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4DE358B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64179C9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3FBA24A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vAlign w:val="center"/>
          </w:tcPr>
          <w:p w14:paraId="4B9B8EA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2000≤Y＜10000</w:t>
            </w:r>
          </w:p>
        </w:tc>
        <w:tc>
          <w:tcPr>
            <w:tcW w:w="1426" w:type="dxa"/>
            <w:vAlign w:val="center"/>
          </w:tcPr>
          <w:p w14:paraId="0BA6171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100≤Y＜2000</w:t>
            </w:r>
          </w:p>
        </w:tc>
        <w:tc>
          <w:tcPr>
            <w:tcW w:w="992" w:type="dxa"/>
            <w:vAlign w:val="center"/>
          </w:tcPr>
          <w:p w14:paraId="674D657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5036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216AC0E">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信息传输业 *</w:t>
            </w:r>
          </w:p>
        </w:tc>
        <w:tc>
          <w:tcPr>
            <w:tcW w:w="1369" w:type="dxa"/>
            <w:vAlign w:val="center"/>
          </w:tcPr>
          <w:p w14:paraId="2DA73D7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71C2B85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1157463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X≥2000</w:t>
            </w:r>
          </w:p>
        </w:tc>
        <w:tc>
          <w:tcPr>
            <w:tcW w:w="1701" w:type="dxa"/>
            <w:vAlign w:val="center"/>
          </w:tcPr>
          <w:p w14:paraId="7FF8A88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100≤X＜2000</w:t>
            </w:r>
          </w:p>
        </w:tc>
        <w:tc>
          <w:tcPr>
            <w:tcW w:w="1426" w:type="dxa"/>
            <w:vAlign w:val="center"/>
          </w:tcPr>
          <w:p w14:paraId="3CD7182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0B2A63D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08D6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03273D6">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79C7B42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09EABA1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6D822ED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Y≥100000</w:t>
            </w:r>
          </w:p>
        </w:tc>
        <w:tc>
          <w:tcPr>
            <w:tcW w:w="1701" w:type="dxa"/>
            <w:vAlign w:val="center"/>
          </w:tcPr>
          <w:p w14:paraId="131AA02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1000≤Y＜100000</w:t>
            </w:r>
          </w:p>
        </w:tc>
        <w:tc>
          <w:tcPr>
            <w:tcW w:w="1426" w:type="dxa"/>
            <w:vAlign w:val="center"/>
          </w:tcPr>
          <w:p w14:paraId="07D32A8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vAlign w:val="center"/>
          </w:tcPr>
          <w:p w14:paraId="4C0FC49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2E95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368A33B4">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lang w:eastAsia="zh-CN"/>
                <w14:textFill>
                  <w14:solidFill>
                    <w14:schemeClr w14:val="tx1"/>
                  </w14:solidFill>
                </w14:textFill>
              </w:rPr>
            </w:pPr>
            <w:r>
              <w:rPr>
                <w:rFonts w:hint="eastAsia" w:ascii="宋体" w:hAnsi="宋体" w:eastAsia="宋体" w:cs="宋体"/>
                <w:color w:val="000000" w:themeColor="text1"/>
                <w:sz w:val="18"/>
                <w:szCs w:val="18"/>
                <w:highlight w:val="none"/>
                <w:lang w:eastAsia="zh-CN"/>
                <w14:textFill>
                  <w14:solidFill>
                    <w14:schemeClr w14:val="tx1"/>
                  </w14:solidFill>
                </w14:textFill>
              </w:rPr>
              <w:t>软件和信息技术服务业</w:t>
            </w:r>
          </w:p>
        </w:tc>
        <w:tc>
          <w:tcPr>
            <w:tcW w:w="1369" w:type="dxa"/>
            <w:vAlign w:val="center"/>
          </w:tcPr>
          <w:p w14:paraId="6724424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6BC1407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0502107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2ECEE5A5">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 xml:space="preserve">100≤X＜300 </w:t>
            </w:r>
          </w:p>
        </w:tc>
        <w:tc>
          <w:tcPr>
            <w:tcW w:w="1426" w:type="dxa"/>
            <w:vAlign w:val="center"/>
          </w:tcPr>
          <w:p w14:paraId="3A2ED182">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16710BD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59F9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CC3EA1A">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1B5D3E4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6E29DC0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5BF47C7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Y≥10000</w:t>
            </w:r>
          </w:p>
        </w:tc>
        <w:tc>
          <w:tcPr>
            <w:tcW w:w="1701" w:type="dxa"/>
            <w:vAlign w:val="center"/>
          </w:tcPr>
          <w:p w14:paraId="1FECB76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1000≤Y＜10000</w:t>
            </w:r>
          </w:p>
        </w:tc>
        <w:tc>
          <w:tcPr>
            <w:tcW w:w="1426" w:type="dxa"/>
            <w:vAlign w:val="center"/>
          </w:tcPr>
          <w:p w14:paraId="56A1D3D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50≤Y＜1000</w:t>
            </w:r>
          </w:p>
        </w:tc>
        <w:tc>
          <w:tcPr>
            <w:tcW w:w="992" w:type="dxa"/>
            <w:vAlign w:val="center"/>
          </w:tcPr>
          <w:p w14:paraId="5C2EC65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w:t>
            </w:r>
          </w:p>
        </w:tc>
      </w:tr>
      <w:tr w14:paraId="1523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16F0D08">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房地产开发经营</w:t>
            </w:r>
          </w:p>
        </w:tc>
        <w:tc>
          <w:tcPr>
            <w:tcW w:w="1369" w:type="dxa"/>
            <w:vAlign w:val="center"/>
          </w:tcPr>
          <w:p w14:paraId="01B051E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33C79D3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49AB174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Y≥200000</w:t>
            </w:r>
          </w:p>
        </w:tc>
        <w:tc>
          <w:tcPr>
            <w:tcW w:w="1701" w:type="dxa"/>
            <w:vAlign w:val="center"/>
          </w:tcPr>
          <w:p w14:paraId="49A8184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1000≤Y＜200000</w:t>
            </w:r>
          </w:p>
        </w:tc>
        <w:tc>
          <w:tcPr>
            <w:tcW w:w="1426" w:type="dxa"/>
            <w:vAlign w:val="center"/>
          </w:tcPr>
          <w:p w14:paraId="016EF1B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100≤Y＜1000</w:t>
            </w:r>
          </w:p>
        </w:tc>
        <w:tc>
          <w:tcPr>
            <w:tcW w:w="992" w:type="dxa"/>
            <w:vAlign w:val="center"/>
          </w:tcPr>
          <w:p w14:paraId="274D997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Y＜100</w:t>
            </w:r>
          </w:p>
        </w:tc>
      </w:tr>
      <w:tr w14:paraId="79B0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573B4307">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24CBBF7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vAlign w:val="center"/>
          </w:tcPr>
          <w:p w14:paraId="6C2FB8B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73378CF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Z≥10000</w:t>
            </w:r>
          </w:p>
        </w:tc>
        <w:tc>
          <w:tcPr>
            <w:tcW w:w="1701" w:type="dxa"/>
            <w:vAlign w:val="center"/>
          </w:tcPr>
          <w:p w14:paraId="10D3466D">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5000≤Z＜10000</w:t>
            </w:r>
          </w:p>
        </w:tc>
        <w:tc>
          <w:tcPr>
            <w:tcW w:w="1426" w:type="dxa"/>
            <w:vAlign w:val="center"/>
          </w:tcPr>
          <w:p w14:paraId="77124A7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2000≤Z＜5000</w:t>
            </w:r>
          </w:p>
        </w:tc>
        <w:tc>
          <w:tcPr>
            <w:tcW w:w="992" w:type="dxa"/>
            <w:vAlign w:val="center"/>
          </w:tcPr>
          <w:p w14:paraId="6084772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Z＜2000</w:t>
            </w:r>
          </w:p>
        </w:tc>
      </w:tr>
      <w:tr w14:paraId="04503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781F5553">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物业管理</w:t>
            </w:r>
          </w:p>
        </w:tc>
        <w:tc>
          <w:tcPr>
            <w:tcW w:w="1369" w:type="dxa"/>
            <w:vAlign w:val="center"/>
          </w:tcPr>
          <w:p w14:paraId="1CC628D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5BD4C3B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1074016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X≥1000</w:t>
            </w:r>
          </w:p>
        </w:tc>
        <w:tc>
          <w:tcPr>
            <w:tcW w:w="1701" w:type="dxa"/>
            <w:vAlign w:val="center"/>
          </w:tcPr>
          <w:p w14:paraId="24B9D611">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300≤X＜1000</w:t>
            </w:r>
          </w:p>
        </w:tc>
        <w:tc>
          <w:tcPr>
            <w:tcW w:w="1426" w:type="dxa"/>
            <w:vAlign w:val="center"/>
          </w:tcPr>
          <w:p w14:paraId="10EE2ED6">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992" w:type="dxa"/>
            <w:vAlign w:val="center"/>
          </w:tcPr>
          <w:p w14:paraId="18E9F2F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X＜100</w:t>
            </w:r>
          </w:p>
        </w:tc>
      </w:tr>
      <w:tr w14:paraId="0193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41E6223">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51E41187">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营业收入(Y)</w:t>
            </w:r>
          </w:p>
        </w:tc>
        <w:tc>
          <w:tcPr>
            <w:tcW w:w="709" w:type="dxa"/>
            <w:vAlign w:val="center"/>
          </w:tcPr>
          <w:p w14:paraId="476787F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0B25BC2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Y≥5000</w:t>
            </w:r>
          </w:p>
        </w:tc>
        <w:tc>
          <w:tcPr>
            <w:tcW w:w="1701" w:type="dxa"/>
            <w:vAlign w:val="center"/>
          </w:tcPr>
          <w:p w14:paraId="6A38347F">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1000≤Y＜5000</w:t>
            </w:r>
          </w:p>
        </w:tc>
        <w:tc>
          <w:tcPr>
            <w:tcW w:w="1426" w:type="dxa"/>
            <w:vAlign w:val="center"/>
          </w:tcPr>
          <w:p w14:paraId="3C13A4F4">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500≤Y＜1000</w:t>
            </w:r>
          </w:p>
        </w:tc>
        <w:tc>
          <w:tcPr>
            <w:tcW w:w="992" w:type="dxa"/>
            <w:vAlign w:val="center"/>
          </w:tcPr>
          <w:p w14:paraId="5716530E">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Y＜500</w:t>
            </w:r>
          </w:p>
        </w:tc>
      </w:tr>
      <w:tr w14:paraId="3FF8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EE90710">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租赁和商务服务业</w:t>
            </w:r>
          </w:p>
        </w:tc>
        <w:tc>
          <w:tcPr>
            <w:tcW w:w="1369" w:type="dxa"/>
            <w:vAlign w:val="center"/>
          </w:tcPr>
          <w:p w14:paraId="0B5FF99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1E1E43DB">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4EBEF0E5">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3A4A053B">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vAlign w:val="center"/>
          </w:tcPr>
          <w:p w14:paraId="3261385F">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6319E3F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r w14:paraId="2951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C36D096">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p>
        </w:tc>
        <w:tc>
          <w:tcPr>
            <w:tcW w:w="1369" w:type="dxa"/>
            <w:vAlign w:val="center"/>
          </w:tcPr>
          <w:p w14:paraId="50BCAAB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资产总额(Z)</w:t>
            </w:r>
          </w:p>
        </w:tc>
        <w:tc>
          <w:tcPr>
            <w:tcW w:w="709" w:type="dxa"/>
            <w:vAlign w:val="center"/>
          </w:tcPr>
          <w:p w14:paraId="4FF7B63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万元</w:t>
            </w:r>
          </w:p>
        </w:tc>
        <w:tc>
          <w:tcPr>
            <w:tcW w:w="1125" w:type="dxa"/>
            <w:vAlign w:val="center"/>
          </w:tcPr>
          <w:p w14:paraId="59E5F489">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Z≥120000</w:t>
            </w:r>
          </w:p>
        </w:tc>
        <w:tc>
          <w:tcPr>
            <w:tcW w:w="1701" w:type="dxa"/>
            <w:vAlign w:val="center"/>
          </w:tcPr>
          <w:p w14:paraId="0AEF4068">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8000≤Z＜120000</w:t>
            </w:r>
          </w:p>
        </w:tc>
        <w:tc>
          <w:tcPr>
            <w:tcW w:w="1426" w:type="dxa"/>
            <w:vAlign w:val="center"/>
          </w:tcPr>
          <w:p w14:paraId="7D2F338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100≤Z＜8000</w:t>
            </w:r>
          </w:p>
        </w:tc>
        <w:tc>
          <w:tcPr>
            <w:tcW w:w="992" w:type="dxa"/>
            <w:vAlign w:val="center"/>
          </w:tcPr>
          <w:p w14:paraId="1386913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Z＜100</w:t>
            </w:r>
          </w:p>
        </w:tc>
      </w:tr>
      <w:tr w14:paraId="6740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AAABBB8">
            <w:pPr>
              <w:pageBreakBefore w:val="0"/>
              <w:widowControl w:val="0"/>
              <w:kinsoku/>
              <w:wordWrap w:val="0"/>
              <w:overflowPunct/>
              <w:topLinePunct w:val="0"/>
              <w:bidi w:val="0"/>
              <w:spacing w:line="400" w:lineRule="exact"/>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其他未列明行业 *</w:t>
            </w:r>
          </w:p>
        </w:tc>
        <w:tc>
          <w:tcPr>
            <w:tcW w:w="1369" w:type="dxa"/>
            <w:vAlign w:val="center"/>
          </w:tcPr>
          <w:p w14:paraId="4611C010">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从业人员(X)</w:t>
            </w:r>
          </w:p>
        </w:tc>
        <w:tc>
          <w:tcPr>
            <w:tcW w:w="709" w:type="dxa"/>
            <w:vAlign w:val="center"/>
          </w:tcPr>
          <w:p w14:paraId="34E957EA">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人</w:t>
            </w:r>
          </w:p>
        </w:tc>
        <w:tc>
          <w:tcPr>
            <w:tcW w:w="1125" w:type="dxa"/>
            <w:vAlign w:val="center"/>
          </w:tcPr>
          <w:p w14:paraId="33E4196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X≥300</w:t>
            </w:r>
          </w:p>
        </w:tc>
        <w:tc>
          <w:tcPr>
            <w:tcW w:w="1701" w:type="dxa"/>
            <w:vAlign w:val="center"/>
          </w:tcPr>
          <w:p w14:paraId="32F3D23D">
            <w:pPr>
              <w:pageBreakBefore w:val="0"/>
              <w:widowControl w:val="0"/>
              <w:kinsoku/>
              <w:wordWrap w:val="0"/>
              <w:overflowPunct/>
              <w:topLinePunct w:val="0"/>
              <w:bidi w:val="0"/>
              <w:spacing w:line="400" w:lineRule="exact"/>
              <w:ind w:left="1" w:leftChars="-51" w:hanging="108" w:hangingChars="6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100≤X＜300</w:t>
            </w:r>
          </w:p>
        </w:tc>
        <w:tc>
          <w:tcPr>
            <w:tcW w:w="1426" w:type="dxa"/>
            <w:vAlign w:val="center"/>
          </w:tcPr>
          <w:p w14:paraId="25A0F96C">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10≤X＜100</w:t>
            </w:r>
          </w:p>
        </w:tc>
        <w:tc>
          <w:tcPr>
            <w:tcW w:w="992" w:type="dxa"/>
            <w:vAlign w:val="center"/>
          </w:tcPr>
          <w:p w14:paraId="3591D413">
            <w:pPr>
              <w:pageBreakBefore w:val="0"/>
              <w:widowControl w:val="0"/>
              <w:kinsoku/>
              <w:wordWrap w:val="0"/>
              <w:overflowPunct/>
              <w:topLinePunct w:val="0"/>
              <w:bidi w:val="0"/>
              <w:spacing w:line="400" w:lineRule="exact"/>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X＜10</w:t>
            </w:r>
          </w:p>
        </w:tc>
      </w:tr>
    </w:tbl>
    <w:p w14:paraId="0AED80E9">
      <w:pPr>
        <w:pageBreakBefore w:val="0"/>
        <w:widowControl w:val="0"/>
        <w:kinsoku/>
        <w:wordWrap w:val="0"/>
        <w:overflowPunct/>
        <w:topLinePunct w:val="0"/>
        <w:bidi w:val="0"/>
        <w:spacing w:line="400" w:lineRule="exact"/>
        <w:rPr>
          <w:rFonts w:hint="eastAsia" w:ascii="宋体" w:hAnsi="宋体" w:eastAsia="宋体" w:cs="宋体"/>
          <w:color w:val="000000" w:themeColor="text1"/>
          <w:sz w:val="24"/>
          <w:highlight w:val="none"/>
          <w14:textFill>
            <w14:solidFill>
              <w14:schemeClr w14:val="tx1"/>
            </w14:solidFill>
          </w14:textFill>
        </w:rPr>
      </w:pPr>
    </w:p>
    <w:p w14:paraId="2759F141">
      <w:pPr>
        <w:pageBreakBefore w:val="0"/>
        <w:widowControl w:val="0"/>
        <w:kinsoku/>
        <w:wordWrap w:val="0"/>
        <w:overflowPunct/>
        <w:topLinePunct w:val="0"/>
        <w:bidi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说明：</w:t>
      </w:r>
    </w:p>
    <w:p w14:paraId="69766824">
      <w:pPr>
        <w:pStyle w:val="11"/>
        <w:pageBreakBefore w:val="0"/>
        <w:widowControl w:val="0"/>
        <w:kinsoku/>
        <w:wordWrap w:val="0"/>
        <w:overflowPunct/>
        <w:topLinePunct w:val="0"/>
        <w:autoSpaceDE/>
        <w:autoSpaceDN/>
        <w:bidi w:val="0"/>
        <w:snapToGrid/>
        <w:spacing w:line="400" w:lineRule="exact"/>
        <w:ind w:firstLine="420" w:firstLineChars="200"/>
        <w:contextualSpacing/>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1.大型、中型和小型企业须同时满足所列指标的下限，否则下划一档；微型企业只须满足所列指标中的一项即可。</w:t>
      </w:r>
    </w:p>
    <w:p w14:paraId="1B3354E1">
      <w:pPr>
        <w:pStyle w:val="11"/>
        <w:pageBreakBefore w:val="0"/>
        <w:widowControl w:val="0"/>
        <w:kinsoku/>
        <w:wordWrap w:val="0"/>
        <w:overflowPunct/>
        <w:topLinePunct w:val="0"/>
        <w:autoSpaceDE/>
        <w:autoSpaceDN/>
        <w:bidi w:val="0"/>
        <w:snapToGrid/>
        <w:spacing w:line="400" w:lineRule="exact"/>
        <w:ind w:firstLine="420" w:firstLineChars="200"/>
        <w:contextualSpacing/>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90FE919">
      <w:pPr>
        <w:pStyle w:val="11"/>
        <w:pageBreakBefore w:val="0"/>
        <w:widowControl w:val="0"/>
        <w:kinsoku/>
        <w:wordWrap w:val="0"/>
        <w:overflowPunct/>
        <w:topLinePunct w:val="0"/>
        <w:autoSpaceDE/>
        <w:autoSpaceDN/>
        <w:bidi w:val="0"/>
        <w:snapToGrid/>
        <w:spacing w:line="400" w:lineRule="exact"/>
        <w:ind w:firstLine="420" w:firstLineChars="200"/>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D9EDC79">
      <w:pPr>
        <w:pStyle w:val="6"/>
        <w:pageBreakBefore w:val="0"/>
        <w:widowControl w:val="0"/>
        <w:kinsoku/>
        <w:wordWrap w:val="0"/>
        <w:overflowPunct/>
        <w:topLinePunct w:val="0"/>
        <w:autoSpaceDE/>
        <w:autoSpaceDN/>
        <w:bidi w:val="0"/>
        <w:snapToGrid/>
        <w:spacing w:line="400" w:lineRule="exact"/>
        <w:textAlignment w:val="auto"/>
        <w:rPr>
          <w:rFonts w:hint="eastAsia" w:ascii="宋体" w:hAnsi="宋体" w:eastAsia="宋体" w:cs="宋体"/>
          <w:color w:val="000000" w:themeColor="text1"/>
          <w:sz w:val="24"/>
          <w:highlight w:val="none"/>
          <w:lang w:eastAsia="zh-CN"/>
          <w14:textFill>
            <w14:solidFill>
              <w14:schemeClr w14:val="tx1"/>
            </w14:solidFill>
          </w14:textFill>
        </w:rPr>
      </w:pPr>
    </w:p>
    <w:p w14:paraId="69ED903B">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31AC1FB7">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583E3A41">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308F4A36">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338D2EBB">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607425E2">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0EF2CD89">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600ABA2A">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0E05D1DC">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703ECDB5">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6EEE0735">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3B96F241">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4A9C562B">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0C6A5655">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64EEE3E1">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2DAD418C">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1282F821">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4116EAA1">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489659BF">
      <w:pPr>
        <w:pageBreakBefore w:val="0"/>
        <w:widowControl w:val="0"/>
        <w:overflowPunct/>
        <w:topLinePunct w:val="0"/>
        <w:bidi w:val="0"/>
        <w:spacing w:line="400" w:lineRule="exact"/>
        <w:rPr>
          <w:rFonts w:hint="eastAsia" w:ascii="宋体" w:hAnsi="宋体" w:eastAsia="宋体" w:cs="宋体"/>
          <w:color w:val="000000" w:themeColor="text1"/>
          <w:sz w:val="24"/>
          <w:highlight w:val="none"/>
          <w:lang w:eastAsia="zh-CN"/>
          <w14:textFill>
            <w14:solidFill>
              <w14:schemeClr w14:val="tx1"/>
            </w14:solidFill>
          </w14:textFill>
        </w:rPr>
      </w:pPr>
    </w:p>
    <w:p w14:paraId="6E6AAB83">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532D13AE">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1C25CFB6">
      <w:pPr>
        <w:keepNext w:val="0"/>
        <w:keepLines w:val="0"/>
        <w:pageBreakBefore w:val="0"/>
        <w:widowControl w:val="0"/>
        <w:kinsoku w:val="0"/>
        <w:wordWrap/>
        <w:overflowPunct/>
        <w:topLinePunct w:val="0"/>
        <w:autoSpaceDE w:val="0"/>
        <w:autoSpaceDN w:val="0"/>
        <w:bidi w:val="0"/>
        <w:adjustRightInd w:val="0"/>
        <w:snapToGrid w:val="0"/>
        <w:spacing w:line="400" w:lineRule="exact"/>
        <w:jc w:val="center"/>
        <w:textAlignment w:val="baseline"/>
        <w:outlineLvl w:val="0"/>
        <w:rPr>
          <w:rFonts w:hint="eastAsia" w:ascii="宋体" w:hAnsi="宋体" w:eastAsia="宋体" w:cs="宋体"/>
          <w:color w:val="000000" w:themeColor="text1"/>
          <w:sz w:val="31"/>
          <w:szCs w:val="31"/>
          <w:highlight w:val="none"/>
          <w:lang w:eastAsia="zh-CN"/>
          <w14:textFill>
            <w14:solidFill>
              <w14:schemeClr w14:val="tx1"/>
            </w14:solidFill>
          </w14:textFill>
        </w:rPr>
      </w:pPr>
      <w:bookmarkStart w:id="14" w:name="_Toc24024"/>
      <w:r>
        <w:rPr>
          <w:rFonts w:hint="eastAsia" w:ascii="宋体" w:hAnsi="宋体" w:eastAsia="宋体" w:cs="宋体"/>
          <w:b/>
          <w:bCs/>
          <w:color w:val="000000" w:themeColor="text1"/>
          <w:sz w:val="31"/>
          <w:szCs w:val="31"/>
          <w:highlight w:val="none"/>
          <w:lang w:eastAsia="zh-CN"/>
          <w14:textFill>
            <w14:solidFill>
              <w14:schemeClr w14:val="tx1"/>
            </w14:solidFill>
          </w14:textFill>
        </w:rPr>
        <w:t>第五章</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政府采购合同（合同主要条款及格式）</w:t>
      </w:r>
      <w:bookmarkEnd w:id="14"/>
    </w:p>
    <w:p w14:paraId="05C20566">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28"/>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合同编号：</w:t>
      </w:r>
    </w:p>
    <w:p w14:paraId="515429C8">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31"/>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项目名称：</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2026年桂林市区控水质自动站智慧化改造项目（重）</w:t>
      </w:r>
    </w:p>
    <w:p w14:paraId="68D42CAF">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31"/>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项目编号：</w:t>
      </w:r>
      <w:r>
        <w:rPr>
          <w:rFonts w:hint="eastAsia" w:ascii="宋体" w:hAnsi="宋体" w:eastAsia="宋体" w:cs="宋体"/>
          <w:color w:val="000000" w:themeColor="text1"/>
          <w:highlight w:val="none"/>
          <w:lang w:eastAsia="zh-CN"/>
          <w14:textFill>
            <w14:solidFill>
              <w14:schemeClr w14:val="tx1"/>
            </w14:solidFill>
          </w14:textFill>
        </w:rPr>
        <w:t>GXZC2026-J1-003396-DHGS</w:t>
      </w:r>
    </w:p>
    <w:p w14:paraId="2B1D972B">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54"/>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甲方</w:t>
      </w:r>
      <w:r>
        <w:rPr>
          <w:rFonts w:hint="eastAsia" w:ascii="宋体" w:hAnsi="宋体" w:eastAsia="宋体" w:cs="宋体"/>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6"/>
          <w:sz w:val="21"/>
          <w:szCs w:val="21"/>
          <w:highlight w:val="none"/>
          <w14:textFill>
            <w14:solidFill>
              <w14:schemeClr w14:val="tx1"/>
            </w14:solidFill>
          </w14:textFill>
        </w:rPr>
        <w:t>采购人）</w:t>
      </w:r>
    </w:p>
    <w:p w14:paraId="15341C59">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48"/>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乙方</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成交</w:t>
      </w:r>
      <w:r>
        <w:rPr>
          <w:rFonts w:hint="eastAsia" w:ascii="宋体" w:hAnsi="宋体" w:eastAsia="宋体" w:cs="宋体"/>
          <w:color w:val="000000" w:themeColor="text1"/>
          <w:spacing w:val="8"/>
          <w:sz w:val="21"/>
          <w:szCs w:val="21"/>
          <w:highlight w:val="none"/>
          <w14:textFill>
            <w14:solidFill>
              <w14:schemeClr w14:val="tx1"/>
            </w14:solidFill>
          </w14:textFill>
        </w:rPr>
        <w:t>供应商）</w:t>
      </w:r>
    </w:p>
    <w:p w14:paraId="1771C43B">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48" w:right="157" w:firstLine="399"/>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0"/>
          <w:sz w:val="21"/>
          <w:szCs w:val="21"/>
          <w:highlight w:val="none"/>
          <w14:textFill>
            <w14:solidFill>
              <w14:schemeClr w14:val="tx1"/>
            </w14:solidFill>
          </w14:textFill>
        </w:rPr>
        <w:t>根据《中华人民共和国政府采购法》、《中华人民共和国政府采购法实施</w:t>
      </w:r>
      <w:r>
        <w:rPr>
          <w:rFonts w:hint="eastAsia" w:ascii="宋体" w:hAnsi="宋体" w:eastAsia="宋体" w:cs="宋体"/>
          <w:color w:val="000000" w:themeColor="text1"/>
          <w:spacing w:val="9"/>
          <w:sz w:val="21"/>
          <w:szCs w:val="21"/>
          <w:highlight w:val="none"/>
          <w14:textFill>
            <w14:solidFill>
              <w14:schemeClr w14:val="tx1"/>
            </w14:solidFill>
          </w14:textFill>
        </w:rPr>
        <w:t>条例》、《中华人民共和国</w:t>
      </w:r>
      <w:r>
        <w:rPr>
          <w:rFonts w:hint="eastAsia" w:ascii="宋体" w:hAnsi="宋体" w:eastAsia="宋体" w:cs="宋体"/>
          <w:color w:val="000000" w:themeColor="text1"/>
          <w:spacing w:val="8"/>
          <w:sz w:val="21"/>
          <w:szCs w:val="21"/>
          <w:highlight w:val="none"/>
          <w14:textFill>
            <w14:solidFill>
              <w14:schemeClr w14:val="tx1"/>
            </w14:solidFill>
          </w14:textFill>
        </w:rPr>
        <w:t>民法典》等法律、法规规定，按照</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谈判</w:t>
      </w:r>
      <w:r>
        <w:rPr>
          <w:rFonts w:hint="eastAsia" w:ascii="宋体" w:hAnsi="宋体" w:eastAsia="宋体" w:cs="宋体"/>
          <w:color w:val="000000" w:themeColor="text1"/>
          <w:spacing w:val="8"/>
          <w:sz w:val="21"/>
          <w:szCs w:val="21"/>
          <w:highlight w:val="none"/>
          <w14:textFill>
            <w14:solidFill>
              <w14:schemeClr w14:val="tx1"/>
            </w14:solidFill>
          </w14:textFill>
        </w:rPr>
        <w:t>文件、响应文件规定条款和</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8"/>
          <w:sz w:val="21"/>
          <w:szCs w:val="21"/>
          <w:highlight w:val="none"/>
          <w14:textFill>
            <w14:solidFill>
              <w14:schemeClr w14:val="tx1"/>
            </w14:solidFill>
          </w14:textFill>
        </w:rPr>
        <w:t>承诺、甲乙双方签订本采购合同。</w:t>
      </w:r>
    </w:p>
    <w:p w14:paraId="53EAB9F1">
      <w:pPr>
        <w:pStyle w:val="8"/>
        <w:keepNext w:val="0"/>
        <w:keepLines w:val="0"/>
        <w:pageBreakBefore w:val="0"/>
        <w:widowControl/>
        <w:kinsoku w:val="0"/>
        <w:wordWrap/>
        <w:overflowPunct/>
        <w:topLinePunct w:val="0"/>
        <w:autoSpaceDE w:val="0"/>
        <w:autoSpaceDN w:val="0"/>
        <w:bidi w:val="0"/>
        <w:adjustRightInd w:val="0"/>
        <w:snapToGrid w:val="0"/>
        <w:spacing w:line="400" w:lineRule="exact"/>
        <w:ind w:left="440"/>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15" w:name="bookmark53"/>
      <w:bookmarkEnd w:id="15"/>
      <w:r>
        <w:rPr>
          <w:rFonts w:hint="eastAsia" w:ascii="宋体" w:hAnsi="宋体" w:eastAsia="宋体" w:cs="宋体"/>
          <w:b/>
          <w:bCs/>
          <w:color w:val="000000" w:themeColor="text1"/>
          <w:spacing w:val="7"/>
          <w:sz w:val="21"/>
          <w:szCs w:val="21"/>
          <w:highlight w:val="none"/>
          <w14:textFill>
            <w14:solidFill>
              <w14:schemeClr w14:val="tx1"/>
            </w14:solidFill>
          </w14:textFill>
        </w:rPr>
        <w:t>第一条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合同标的及合同金额</w:t>
      </w:r>
    </w:p>
    <w:tbl>
      <w:tblPr>
        <w:tblStyle w:val="26"/>
        <w:tblW w:w="91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1150"/>
        <w:gridCol w:w="1128"/>
        <w:gridCol w:w="816"/>
        <w:gridCol w:w="961"/>
        <w:gridCol w:w="961"/>
        <w:gridCol w:w="932"/>
        <w:gridCol w:w="1282"/>
        <w:gridCol w:w="1240"/>
      </w:tblGrid>
      <w:tr w14:paraId="37DEE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666" w:type="dxa"/>
            <w:shd w:val="clear" w:color="auto" w:fill="FFFFFF" w:themeFill="background1"/>
            <w:vAlign w:val="center"/>
          </w:tcPr>
          <w:p w14:paraId="45B58019">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2"/>
                <w:sz w:val="21"/>
                <w:szCs w:val="21"/>
                <w:highlight w:val="none"/>
                <w14:textFill>
                  <w14:solidFill>
                    <w14:schemeClr w14:val="tx1"/>
                  </w14:solidFill>
                </w14:textFill>
              </w:rPr>
              <w:t>项号</w:t>
            </w:r>
          </w:p>
        </w:tc>
        <w:tc>
          <w:tcPr>
            <w:tcW w:w="1150" w:type="dxa"/>
            <w:shd w:val="clear" w:color="auto" w:fill="FFFFFF" w:themeFill="background1"/>
            <w:vAlign w:val="center"/>
          </w:tcPr>
          <w:p w14:paraId="54239FC1">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5"/>
                <w:sz w:val="21"/>
                <w:szCs w:val="21"/>
                <w:highlight w:val="none"/>
                <w14:textFill>
                  <w14:solidFill>
                    <w14:schemeClr w14:val="tx1"/>
                  </w14:solidFill>
                </w14:textFill>
              </w:rPr>
              <w:t>货物名称</w:t>
            </w:r>
          </w:p>
        </w:tc>
        <w:tc>
          <w:tcPr>
            <w:tcW w:w="1128" w:type="dxa"/>
            <w:tcBorders>
              <w:right w:val="single" w:color="auto" w:sz="4" w:space="0"/>
            </w:tcBorders>
            <w:shd w:val="clear" w:color="auto" w:fill="FFFFFF" w:themeFill="background1"/>
            <w:vAlign w:val="center"/>
          </w:tcPr>
          <w:p w14:paraId="10160AFE">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1"/>
                <w:sz w:val="21"/>
                <w:szCs w:val="21"/>
                <w:highlight w:val="none"/>
                <w14:textFill>
                  <w14:solidFill>
                    <w14:schemeClr w14:val="tx1"/>
                  </w14:solidFill>
                </w14:textFill>
              </w:rPr>
              <w:t>生产厂家</w:t>
            </w:r>
          </w:p>
        </w:tc>
        <w:tc>
          <w:tcPr>
            <w:tcW w:w="816" w:type="dxa"/>
            <w:tcBorders>
              <w:left w:val="single" w:color="auto" w:sz="4" w:space="0"/>
              <w:right w:val="single" w:color="auto" w:sz="4" w:space="0"/>
            </w:tcBorders>
            <w:shd w:val="clear" w:color="auto" w:fill="FFFFFF" w:themeFill="background1"/>
            <w:vAlign w:val="center"/>
          </w:tcPr>
          <w:p w14:paraId="0BFF2BAD">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bCs/>
                <w:color w:val="000000" w:themeColor="text1"/>
                <w:spacing w:val="1"/>
                <w:sz w:val="21"/>
                <w:szCs w:val="21"/>
                <w:highlight w:val="none"/>
                <w14:textFill>
                  <w14:solidFill>
                    <w14:schemeClr w14:val="tx1"/>
                  </w14:solidFill>
                </w14:textFill>
              </w:rPr>
            </w:pPr>
            <w:r>
              <w:rPr>
                <w:rFonts w:hint="eastAsia" w:ascii="宋体" w:hAnsi="宋体" w:eastAsia="宋体" w:cs="宋体"/>
                <w:b/>
                <w:bCs/>
                <w:color w:val="000000" w:themeColor="text1"/>
                <w:spacing w:val="1"/>
                <w:sz w:val="21"/>
                <w:szCs w:val="21"/>
                <w:highlight w:val="none"/>
                <w14:textFill>
                  <w14:solidFill>
                    <w14:schemeClr w14:val="tx1"/>
                  </w14:solidFill>
                </w14:textFill>
              </w:rPr>
              <w:t>品牌</w:t>
            </w:r>
          </w:p>
        </w:tc>
        <w:tc>
          <w:tcPr>
            <w:tcW w:w="961" w:type="dxa"/>
            <w:tcBorders>
              <w:left w:val="single" w:color="auto" w:sz="4" w:space="0"/>
            </w:tcBorders>
            <w:shd w:val="clear" w:color="auto" w:fill="FFFFFF" w:themeFill="background1"/>
            <w:vAlign w:val="center"/>
          </w:tcPr>
          <w:p w14:paraId="1E25E498">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b/>
                <w:bCs/>
                <w:color w:val="000000" w:themeColor="text1"/>
                <w:spacing w:val="1"/>
                <w:sz w:val="21"/>
                <w:szCs w:val="21"/>
                <w:highlight w:val="none"/>
                <w14:textFill>
                  <w14:solidFill>
                    <w14:schemeClr w14:val="tx1"/>
                  </w14:solidFill>
                </w14:textFill>
              </w:rPr>
            </w:pPr>
            <w:r>
              <w:rPr>
                <w:rFonts w:hint="eastAsia" w:ascii="宋体" w:hAnsi="宋体" w:eastAsia="宋体" w:cs="宋体"/>
                <w:b/>
                <w:bCs/>
                <w:color w:val="000000" w:themeColor="text1"/>
                <w:spacing w:val="1"/>
                <w:sz w:val="21"/>
                <w:szCs w:val="21"/>
                <w:highlight w:val="none"/>
                <w14:textFill>
                  <w14:solidFill>
                    <w14:schemeClr w14:val="tx1"/>
                  </w14:solidFill>
                </w14:textFill>
              </w:rPr>
              <w:t>规格型号</w:t>
            </w:r>
          </w:p>
        </w:tc>
        <w:tc>
          <w:tcPr>
            <w:tcW w:w="961" w:type="dxa"/>
            <w:shd w:val="clear" w:color="auto" w:fill="FFFFFF" w:themeFill="background1"/>
            <w:vAlign w:val="center"/>
          </w:tcPr>
          <w:p w14:paraId="421C70F4">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技术参数</w:t>
            </w:r>
          </w:p>
        </w:tc>
        <w:tc>
          <w:tcPr>
            <w:tcW w:w="932" w:type="dxa"/>
            <w:shd w:val="clear" w:color="auto" w:fill="FFFFFF" w:themeFill="background1"/>
            <w:vAlign w:val="center"/>
          </w:tcPr>
          <w:p w14:paraId="6AE5E3FA">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数量①</w:t>
            </w:r>
          </w:p>
        </w:tc>
        <w:tc>
          <w:tcPr>
            <w:tcW w:w="1282" w:type="dxa"/>
            <w:shd w:val="clear" w:color="auto" w:fill="FFFFFF" w:themeFill="background1"/>
            <w:vAlign w:val="center"/>
          </w:tcPr>
          <w:p w14:paraId="4E25A65D">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3"/>
                <w:sz w:val="21"/>
                <w:szCs w:val="21"/>
                <w:highlight w:val="none"/>
                <w14:textFill>
                  <w14:solidFill>
                    <w14:schemeClr w14:val="tx1"/>
                  </w14:solidFill>
                </w14:textFill>
              </w:rPr>
              <w:t>单位</w:t>
            </w:r>
          </w:p>
        </w:tc>
        <w:tc>
          <w:tcPr>
            <w:tcW w:w="1240" w:type="dxa"/>
            <w:shd w:val="clear" w:color="auto" w:fill="FFFFFF" w:themeFill="background1"/>
            <w:vAlign w:val="center"/>
          </w:tcPr>
          <w:p w14:paraId="76AD08F5">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cs="宋体"/>
                <w:b/>
                <w:bCs/>
                <w:color w:val="000000" w:themeColor="text1"/>
                <w:sz w:val="21"/>
                <w:szCs w:val="21"/>
                <w:highlight w:val="none"/>
                <w:lang w:eastAsia="zh-CN"/>
                <w14:textFill>
                  <w14:solidFill>
                    <w14:schemeClr w14:val="tx1"/>
                  </w14:solidFill>
                </w14:textFill>
              </w:rPr>
              <w:t>备注</w:t>
            </w:r>
          </w:p>
        </w:tc>
      </w:tr>
      <w:tr w14:paraId="4DA6D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4A297FBB">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326"/>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1</w:t>
            </w:r>
          </w:p>
        </w:tc>
        <w:tc>
          <w:tcPr>
            <w:tcW w:w="1150" w:type="dxa"/>
            <w:vAlign w:val="top"/>
          </w:tcPr>
          <w:p w14:paraId="12BC1B4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8" w:type="dxa"/>
            <w:tcBorders>
              <w:right w:val="single" w:color="auto" w:sz="4" w:space="0"/>
            </w:tcBorders>
            <w:vAlign w:val="top"/>
          </w:tcPr>
          <w:p w14:paraId="7CB0A35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816" w:type="dxa"/>
            <w:tcBorders>
              <w:left w:val="single" w:color="auto" w:sz="4" w:space="0"/>
              <w:right w:val="single" w:color="auto" w:sz="4" w:space="0"/>
            </w:tcBorders>
            <w:vAlign w:val="top"/>
          </w:tcPr>
          <w:p w14:paraId="62BC5AC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tcBorders>
              <w:left w:val="single" w:color="auto" w:sz="4" w:space="0"/>
            </w:tcBorders>
            <w:vAlign w:val="top"/>
          </w:tcPr>
          <w:p w14:paraId="6195C0F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vAlign w:val="top"/>
          </w:tcPr>
          <w:p w14:paraId="740163C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32" w:type="dxa"/>
            <w:vMerge w:val="restart"/>
            <w:vAlign w:val="center"/>
          </w:tcPr>
          <w:p w14:paraId="000C721F">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282" w:type="dxa"/>
            <w:vMerge w:val="restart"/>
            <w:vAlign w:val="center"/>
          </w:tcPr>
          <w:p w14:paraId="1BE631E5">
            <w:pPr>
              <w:keepNext w:val="0"/>
              <w:keepLines w:val="0"/>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center"/>
              <w:textAlignment w:val="baseline"/>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套</w:t>
            </w:r>
          </w:p>
        </w:tc>
        <w:tc>
          <w:tcPr>
            <w:tcW w:w="1240" w:type="dxa"/>
            <w:vAlign w:val="top"/>
          </w:tcPr>
          <w:p w14:paraId="5445C3C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E6C1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3D297A91">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313"/>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2</w:t>
            </w:r>
          </w:p>
        </w:tc>
        <w:tc>
          <w:tcPr>
            <w:tcW w:w="1150" w:type="dxa"/>
            <w:vAlign w:val="top"/>
          </w:tcPr>
          <w:p w14:paraId="17B11C4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8" w:type="dxa"/>
            <w:tcBorders>
              <w:right w:val="single" w:color="auto" w:sz="4" w:space="0"/>
            </w:tcBorders>
            <w:vAlign w:val="top"/>
          </w:tcPr>
          <w:p w14:paraId="03631C9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816" w:type="dxa"/>
            <w:tcBorders>
              <w:left w:val="single" w:color="auto" w:sz="4" w:space="0"/>
              <w:right w:val="single" w:color="auto" w:sz="4" w:space="0"/>
            </w:tcBorders>
            <w:vAlign w:val="top"/>
          </w:tcPr>
          <w:p w14:paraId="2DA6C0F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tcBorders>
              <w:left w:val="single" w:color="auto" w:sz="4" w:space="0"/>
            </w:tcBorders>
            <w:vAlign w:val="top"/>
          </w:tcPr>
          <w:p w14:paraId="2A3A466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vAlign w:val="top"/>
          </w:tcPr>
          <w:p w14:paraId="3DA0D1B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32" w:type="dxa"/>
            <w:vMerge w:val="continue"/>
            <w:vAlign w:val="top"/>
          </w:tcPr>
          <w:p w14:paraId="6F97A89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vMerge w:val="continue"/>
            <w:vAlign w:val="top"/>
          </w:tcPr>
          <w:p w14:paraId="3BA4065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40" w:type="dxa"/>
            <w:vAlign w:val="top"/>
          </w:tcPr>
          <w:p w14:paraId="0A799D9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CC13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66" w:type="dxa"/>
            <w:vAlign w:val="top"/>
          </w:tcPr>
          <w:p w14:paraId="52D994F3">
            <w:pPr>
              <w:pStyle w:val="27"/>
              <w:keepNext w:val="0"/>
              <w:keepLines w:val="0"/>
              <w:pageBreakBefore w:val="0"/>
              <w:widowControl/>
              <w:kinsoku w:val="0"/>
              <w:wordWrap/>
              <w:overflowPunct/>
              <w:topLinePunct w:val="0"/>
              <w:autoSpaceDE w:val="0"/>
              <w:autoSpaceDN w:val="0"/>
              <w:bidi w:val="0"/>
              <w:adjustRightInd w:val="0"/>
              <w:snapToGrid w:val="0"/>
              <w:spacing w:line="400" w:lineRule="exact"/>
              <w:ind w:left="268"/>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position w:val="1"/>
                <w:sz w:val="21"/>
                <w:szCs w:val="21"/>
                <w:highlight w:val="none"/>
                <w14:textFill>
                  <w14:solidFill>
                    <w14:schemeClr w14:val="tx1"/>
                  </w14:solidFill>
                </w14:textFill>
              </w:rPr>
              <w:t>…</w:t>
            </w:r>
          </w:p>
        </w:tc>
        <w:tc>
          <w:tcPr>
            <w:tcW w:w="1150" w:type="dxa"/>
            <w:vAlign w:val="top"/>
          </w:tcPr>
          <w:p w14:paraId="6A9D5173">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128" w:type="dxa"/>
            <w:tcBorders>
              <w:right w:val="single" w:color="auto" w:sz="4" w:space="0"/>
            </w:tcBorders>
            <w:vAlign w:val="top"/>
          </w:tcPr>
          <w:p w14:paraId="325AF20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816" w:type="dxa"/>
            <w:tcBorders>
              <w:left w:val="single" w:color="auto" w:sz="4" w:space="0"/>
              <w:right w:val="single" w:color="auto" w:sz="4" w:space="0"/>
            </w:tcBorders>
            <w:vAlign w:val="top"/>
          </w:tcPr>
          <w:p w14:paraId="18C1ED8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tcBorders>
              <w:left w:val="single" w:color="auto" w:sz="4" w:space="0"/>
            </w:tcBorders>
            <w:vAlign w:val="top"/>
          </w:tcPr>
          <w:p w14:paraId="545CFC3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61" w:type="dxa"/>
            <w:vAlign w:val="top"/>
          </w:tcPr>
          <w:p w14:paraId="727F9E8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932" w:type="dxa"/>
            <w:vMerge w:val="continue"/>
            <w:vAlign w:val="top"/>
          </w:tcPr>
          <w:p w14:paraId="60BF8FF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82" w:type="dxa"/>
            <w:vMerge w:val="continue"/>
            <w:vAlign w:val="top"/>
          </w:tcPr>
          <w:p w14:paraId="0A36E1E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c>
          <w:tcPr>
            <w:tcW w:w="1240" w:type="dxa"/>
            <w:vAlign w:val="top"/>
          </w:tcPr>
          <w:p w14:paraId="478C22C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宋体" w:hAnsi="宋体" w:eastAsia="宋体" w:cs="宋体"/>
                <w:color w:val="000000" w:themeColor="text1"/>
                <w:sz w:val="21"/>
                <w:szCs w:val="21"/>
                <w:highlight w:val="none"/>
                <w14:textFill>
                  <w14:solidFill>
                    <w14:schemeClr w14:val="tx1"/>
                  </w14:solidFill>
                </w14:textFill>
              </w:rPr>
            </w:pPr>
          </w:p>
        </w:tc>
      </w:tr>
      <w:tr w14:paraId="510FF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9136" w:type="dxa"/>
            <w:gridSpan w:val="9"/>
            <w:vAlign w:val="top"/>
          </w:tcPr>
          <w:p w14:paraId="7C99883E">
            <w:pPr>
              <w:keepNext w:val="0"/>
              <w:keepLines w:val="0"/>
              <w:pageBreakBefore w:val="0"/>
              <w:widowControl/>
              <w:kinsoku w:val="0"/>
              <w:wordWrap/>
              <w:overflowPunct/>
              <w:topLinePunct w:val="0"/>
              <w:autoSpaceDE w:val="0"/>
              <w:autoSpaceDN w:val="0"/>
              <w:bidi w:val="0"/>
              <w:adjustRightInd w:val="0"/>
              <w:snapToGrid w:val="0"/>
              <w:spacing w:line="400" w:lineRule="exact"/>
              <w:ind w:firstLine="210" w:firstLineChars="100"/>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计</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lang w:eastAsia="zh-CN"/>
                <w14:textFill>
                  <w14:solidFill>
                    <w14:schemeClr w14:val="tx1"/>
                  </w14:solidFill>
                </w14:textFill>
              </w:rPr>
              <w:t>元</w:t>
            </w:r>
          </w:p>
        </w:tc>
      </w:tr>
    </w:tbl>
    <w:p w14:paraId="52FE2B29">
      <w:pPr>
        <w:pStyle w:val="8"/>
        <w:keepNext w:val="0"/>
        <w:keepLines w:val="0"/>
        <w:pageBreakBefore w:val="0"/>
        <w:widowControl/>
        <w:kinsoku w:val="0"/>
        <w:wordWrap/>
        <w:overflowPunct/>
        <w:topLinePunct w:val="0"/>
        <w:autoSpaceDE/>
        <w:autoSpaceDN/>
        <w:bidi w:val="0"/>
        <w:adjustRightInd w:val="0"/>
        <w:snapToGrid w:val="0"/>
        <w:spacing w:line="400" w:lineRule="exact"/>
        <w:ind w:firstLine="452" w:firstLineChars="200"/>
        <w:jc w:val="both"/>
        <w:textAlignment w:val="baseline"/>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根据《</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成交</w:t>
      </w:r>
      <w:r>
        <w:rPr>
          <w:rFonts w:hint="eastAsia" w:ascii="宋体" w:hAnsi="宋体" w:eastAsia="宋体" w:cs="宋体"/>
          <w:color w:val="000000" w:themeColor="text1"/>
          <w:spacing w:val="8"/>
          <w:sz w:val="21"/>
          <w:szCs w:val="21"/>
          <w:highlight w:val="none"/>
          <w14:textFill>
            <w14:solidFill>
              <w14:schemeClr w14:val="tx1"/>
            </w14:solidFill>
          </w14:textFill>
        </w:rPr>
        <w:t>通知书》的中标内容，合同的总金额为</w:t>
      </w:r>
      <w:r>
        <w:rPr>
          <w:rFonts w:hint="eastAsia" w:ascii="宋体" w:hAnsi="宋体" w:eastAsia="宋体" w:cs="宋体"/>
          <w:color w:val="000000" w:themeColor="text1"/>
          <w:spacing w:val="-5"/>
          <w:sz w:val="21"/>
          <w:szCs w:val="21"/>
          <w:highlight w:val="none"/>
          <w14:textFill>
            <w14:solidFill>
              <w14:schemeClr w14:val="tx1"/>
            </w14:solidFill>
          </w14:textFill>
        </w:rPr>
        <w:t>：（</w:t>
      </w:r>
      <w:r>
        <w:rPr>
          <w:rFonts w:hint="eastAsia" w:ascii="宋体" w:hAnsi="宋体" w:eastAsia="宋体" w:cs="宋体"/>
          <w:color w:val="000000" w:themeColor="text1"/>
          <w:spacing w:val="8"/>
          <w:sz w:val="21"/>
          <w:szCs w:val="21"/>
          <w:highlight w:val="none"/>
          <w14:textFill>
            <w14:solidFill>
              <w14:schemeClr w14:val="tx1"/>
            </w14:solidFill>
          </w14:textFill>
        </w:rPr>
        <w:t>大写）</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9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人民币 (¥</w:t>
      </w:r>
      <w:r>
        <w:rPr>
          <w:rFonts w:hint="eastAsia" w:ascii="宋体" w:hAnsi="宋体" w:eastAsia="宋体" w:cs="宋体"/>
          <w:color w:val="000000" w:themeColor="text1"/>
          <w:spacing w:val="-99"/>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元）</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。本合同标的包含为完成项目所需的全部设备、软件、附件、工具、技术资料、安装调试、试运行、验收、培训、质保期服务及三年水站运维服务，乙方不得就上述内容另行向甲方主张任何费用。</w:t>
      </w:r>
    </w:p>
    <w:p w14:paraId="6B0934DE">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16" w:name="bookmark54"/>
      <w:bookmarkEnd w:id="16"/>
      <w:r>
        <w:rPr>
          <w:rFonts w:hint="eastAsia" w:ascii="宋体" w:hAnsi="宋体" w:eastAsia="宋体" w:cs="宋体"/>
          <w:b/>
          <w:bCs/>
          <w:color w:val="000000" w:themeColor="text1"/>
          <w:spacing w:val="6"/>
          <w:sz w:val="21"/>
          <w:szCs w:val="21"/>
          <w:highlight w:val="none"/>
          <w14:textFill>
            <w14:solidFill>
              <w14:schemeClr w14:val="tx1"/>
            </w14:solidFill>
          </w14:textFill>
        </w:rPr>
        <w:t>第二条</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质量保证</w:t>
      </w:r>
    </w:p>
    <w:p w14:paraId="20FD52E0">
      <w:pPr>
        <w:pStyle w:val="8"/>
        <w:keepNext w:val="0"/>
        <w:keepLines w:val="0"/>
        <w:pageBreakBefore w:val="0"/>
        <w:widowControl/>
        <w:kinsoku w:val="0"/>
        <w:wordWrap/>
        <w:overflowPunct/>
        <w:topLinePunct w:val="0"/>
        <w:autoSpaceDE/>
        <w:autoSpaceDN/>
        <w:bidi w:val="0"/>
        <w:adjustRightInd w:val="0"/>
        <w:snapToGrid w:val="0"/>
        <w:spacing w:line="400" w:lineRule="exact"/>
        <w:ind w:left="45" w:right="164"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1.乙方应按</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响应</w:t>
      </w:r>
      <w:r>
        <w:rPr>
          <w:rFonts w:hint="eastAsia" w:ascii="宋体" w:hAnsi="宋体" w:eastAsia="宋体" w:cs="宋体"/>
          <w:color w:val="000000" w:themeColor="text1"/>
          <w:spacing w:val="9"/>
          <w:sz w:val="21"/>
          <w:szCs w:val="21"/>
          <w:highlight w:val="none"/>
          <w14:textFill>
            <w14:solidFill>
              <w14:schemeClr w14:val="tx1"/>
            </w14:solidFill>
          </w14:textFill>
        </w:rPr>
        <w:t>文件承诺的货物规格型号、技术参数、质量标准等向甲方提供未经使用的全新原装产品，且在正常安装使用和保养条件下，其使用寿命期内各项指标均达到质量标</w:t>
      </w:r>
      <w:r>
        <w:rPr>
          <w:rFonts w:hint="eastAsia" w:ascii="宋体" w:hAnsi="宋体" w:eastAsia="宋体" w:cs="宋体"/>
          <w:color w:val="000000" w:themeColor="text1"/>
          <w:spacing w:val="8"/>
          <w:sz w:val="21"/>
          <w:szCs w:val="21"/>
          <w:highlight w:val="none"/>
          <w14:textFill>
            <w14:solidFill>
              <w14:schemeClr w14:val="tx1"/>
            </w14:solidFill>
          </w14:textFill>
        </w:rPr>
        <w:t>准。</w:t>
      </w:r>
    </w:p>
    <w:p w14:paraId="6CF93BC2">
      <w:pPr>
        <w:pStyle w:val="8"/>
        <w:keepNext w:val="0"/>
        <w:keepLines w:val="0"/>
        <w:pageBreakBefore w:val="0"/>
        <w:widowControl/>
        <w:kinsoku w:val="0"/>
        <w:wordWrap/>
        <w:overflowPunct/>
        <w:topLinePunct w:val="0"/>
        <w:autoSpaceDE/>
        <w:autoSpaceDN/>
        <w:bidi w:val="0"/>
        <w:adjustRightInd w:val="0"/>
        <w:snapToGrid w:val="0"/>
        <w:spacing w:line="400" w:lineRule="exact"/>
        <w:ind w:left="27" w:firstLine="448"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2.乙方提供货物的保修期按国家有关产品“三包”规定执行，免费保修期最短不得少于1年，免费保修期自货物安装调试并经甲方验收合格之日起计算。免费保修期内，乙方应提供免费上门维修、更换配件、送货上门、安装、调试及维护人员培训服务。（厂家规定保修期超过</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前述标准</w:t>
      </w:r>
      <w:r>
        <w:rPr>
          <w:rFonts w:hint="eastAsia" w:ascii="宋体" w:hAnsi="宋体" w:eastAsia="宋体" w:cs="宋体"/>
          <w:color w:val="000000" w:themeColor="text1"/>
          <w:spacing w:val="7"/>
          <w:sz w:val="21"/>
          <w:szCs w:val="21"/>
          <w:highlight w:val="none"/>
          <w14:textFill>
            <w14:solidFill>
              <w14:schemeClr w14:val="tx1"/>
            </w14:solidFill>
          </w14:textFill>
        </w:rPr>
        <w:t>的，按厂家规定</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执行；</w:t>
      </w:r>
      <w:r>
        <w:rPr>
          <w:rFonts w:hint="eastAsia" w:ascii="宋体" w:hAnsi="宋体" w:eastAsia="宋体" w:cs="宋体"/>
          <w:color w:val="000000" w:themeColor="text1"/>
          <w:spacing w:val="7"/>
          <w:sz w:val="21"/>
          <w:szCs w:val="21"/>
          <w:highlight w:val="none"/>
          <w14:textFill>
            <w14:solidFill>
              <w14:schemeClr w14:val="tx1"/>
            </w14:solidFill>
          </w14:textFill>
        </w:rPr>
        <w:t>“采购需求”有</w:t>
      </w:r>
      <w:r>
        <w:rPr>
          <w:rFonts w:hint="eastAsia" w:ascii="宋体" w:hAnsi="宋体" w:eastAsia="宋体" w:cs="宋体"/>
          <w:color w:val="000000" w:themeColor="text1"/>
          <w:spacing w:val="9"/>
          <w:sz w:val="21"/>
          <w:szCs w:val="21"/>
          <w:highlight w:val="none"/>
          <w14:textFill>
            <w14:solidFill>
              <w14:schemeClr w14:val="tx1"/>
            </w14:solidFill>
          </w14:textFill>
        </w:rPr>
        <w:t>规定的，按</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其</w:t>
      </w:r>
      <w:r>
        <w:rPr>
          <w:rFonts w:hint="eastAsia" w:ascii="宋体" w:hAnsi="宋体" w:eastAsia="宋体" w:cs="宋体"/>
          <w:color w:val="000000" w:themeColor="text1"/>
          <w:spacing w:val="9"/>
          <w:sz w:val="21"/>
          <w:szCs w:val="21"/>
          <w:highlight w:val="none"/>
          <w14:textFill>
            <w14:solidFill>
              <w14:schemeClr w14:val="tx1"/>
            </w14:solidFill>
          </w14:textFill>
        </w:rPr>
        <w:t>规定执行）。在保修期内因货物本身的质量问题发生故障</w:t>
      </w:r>
      <w:r>
        <w:rPr>
          <w:rFonts w:hint="eastAsia" w:ascii="宋体" w:hAnsi="宋体" w:eastAsia="宋体" w:cs="宋体"/>
          <w:color w:val="000000" w:themeColor="text1"/>
          <w:spacing w:val="8"/>
          <w:sz w:val="21"/>
          <w:szCs w:val="21"/>
          <w:highlight w:val="none"/>
          <w14:textFill>
            <w14:solidFill>
              <w14:schemeClr w14:val="tx1"/>
            </w14:solidFill>
          </w14:textFill>
        </w:rPr>
        <w:t>，乙方应负责免费修理和更换零部件。</w:t>
      </w:r>
      <w:r>
        <w:rPr>
          <w:rFonts w:hint="eastAsia" w:ascii="宋体" w:hAnsi="宋体" w:eastAsia="宋体" w:cs="宋体"/>
          <w:color w:val="000000" w:themeColor="text1"/>
          <w:spacing w:val="9"/>
          <w:sz w:val="21"/>
          <w:szCs w:val="21"/>
          <w:highlight w:val="none"/>
          <w14:textFill>
            <w14:solidFill>
              <w14:schemeClr w14:val="tx1"/>
            </w14:solidFill>
          </w14:textFill>
        </w:rPr>
        <w:t>对达不到技术要求者，根据实际情况，经双方协商，可按以下第（1）款办法处理：</w:t>
      </w:r>
    </w:p>
    <w:p w14:paraId="5BACFBAB">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（1）更换：由乙方承担所有发生的全部费用。</w:t>
      </w:r>
    </w:p>
    <w:p w14:paraId="583326D8">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0"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（2）贬值处理：由甲乙双方合议定价。</w:t>
      </w:r>
    </w:p>
    <w:p w14:paraId="5F51968D">
      <w:pPr>
        <w:pStyle w:val="8"/>
        <w:keepNext w:val="0"/>
        <w:keepLines w:val="0"/>
        <w:pageBreakBefore w:val="0"/>
        <w:widowControl/>
        <w:kinsoku w:val="0"/>
        <w:wordWrap/>
        <w:overflowPunct/>
        <w:topLinePunct w:val="0"/>
        <w:autoSpaceDE/>
        <w:autoSpaceDN/>
        <w:bidi w:val="0"/>
        <w:adjustRightInd w:val="0"/>
        <w:snapToGrid w:val="0"/>
        <w:spacing w:line="400" w:lineRule="exact"/>
        <w:ind w:left="25" w:right="86"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（3）退货处理：乙方应退还甲方支付的合同款，同时应承担该货</w:t>
      </w:r>
      <w:r>
        <w:rPr>
          <w:rFonts w:hint="eastAsia" w:ascii="宋体" w:hAnsi="宋体" w:eastAsia="宋体" w:cs="宋体"/>
          <w:color w:val="000000" w:themeColor="text1"/>
          <w:spacing w:val="8"/>
          <w:sz w:val="21"/>
          <w:szCs w:val="21"/>
          <w:highlight w:val="none"/>
          <w14:textFill>
            <w14:solidFill>
              <w14:schemeClr w14:val="tx1"/>
            </w14:solidFill>
          </w14:textFill>
        </w:rPr>
        <w:t>物的直接费用（运输、保险、检验、</w:t>
      </w:r>
      <w:r>
        <w:rPr>
          <w:rFonts w:hint="eastAsia" w:ascii="宋体" w:hAnsi="宋体" w:eastAsia="宋体" w:cs="宋体"/>
          <w:color w:val="000000" w:themeColor="text1"/>
          <w:spacing w:val="7"/>
          <w:sz w:val="21"/>
          <w:szCs w:val="21"/>
          <w:highlight w:val="none"/>
          <w14:textFill>
            <w14:solidFill>
              <w14:schemeClr w14:val="tx1"/>
            </w14:solidFill>
          </w14:textFill>
        </w:rPr>
        <w:t>贷款利息及银行手续费等）。</w:t>
      </w:r>
    </w:p>
    <w:p w14:paraId="3007C81A">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b/>
          <w:bCs/>
          <w:color w:val="000000" w:themeColor="text1"/>
          <w:spacing w:val="6"/>
          <w:sz w:val="21"/>
          <w:szCs w:val="21"/>
          <w:highlight w:val="none"/>
          <w14:textFill>
            <w14:solidFill>
              <w14:schemeClr w14:val="tx1"/>
            </w14:solidFill>
          </w14:textFill>
        </w:rPr>
      </w:pPr>
      <w:bookmarkStart w:id="17" w:name="bookmark55"/>
      <w:bookmarkEnd w:id="17"/>
    </w:p>
    <w:p w14:paraId="15D79D96">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第三条</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权利保证</w:t>
      </w:r>
    </w:p>
    <w:p w14:paraId="53074D9C">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1.乙方应保证所提供货物在使用时不会侵犯任何第三方的专利权、商标权、工业设计权或其</w:t>
      </w:r>
      <w:r>
        <w:rPr>
          <w:rFonts w:hint="eastAsia" w:ascii="宋体" w:hAnsi="宋体" w:eastAsia="宋体" w:cs="宋体"/>
          <w:color w:val="000000" w:themeColor="text1"/>
          <w:spacing w:val="8"/>
          <w:sz w:val="21"/>
          <w:szCs w:val="21"/>
          <w:highlight w:val="none"/>
          <w14:textFill>
            <w14:solidFill>
              <w14:schemeClr w14:val="tx1"/>
            </w14:solidFill>
          </w14:textFill>
        </w:rPr>
        <w:t>他权利。</w:t>
      </w:r>
    </w:p>
    <w:p w14:paraId="4FA6B8FA">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2.乙方应按</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谈判</w:t>
      </w:r>
      <w:r>
        <w:rPr>
          <w:rFonts w:hint="eastAsia" w:ascii="宋体" w:hAnsi="宋体" w:eastAsia="宋体" w:cs="宋体"/>
          <w:color w:val="000000" w:themeColor="text1"/>
          <w:spacing w:val="9"/>
          <w:sz w:val="21"/>
          <w:szCs w:val="21"/>
          <w:highlight w:val="none"/>
          <w14:textFill>
            <w14:solidFill>
              <w14:schemeClr w14:val="tx1"/>
            </w14:solidFill>
          </w14:textFill>
        </w:rPr>
        <w:t>文件规定的时间向甲方提供使用货物的有关技术</w:t>
      </w:r>
      <w:r>
        <w:rPr>
          <w:rFonts w:hint="eastAsia" w:ascii="宋体" w:hAnsi="宋体" w:eastAsia="宋体" w:cs="宋体"/>
          <w:color w:val="000000" w:themeColor="text1"/>
          <w:spacing w:val="8"/>
          <w:sz w:val="21"/>
          <w:szCs w:val="21"/>
          <w:highlight w:val="none"/>
          <w14:textFill>
            <w14:solidFill>
              <w14:schemeClr w14:val="tx1"/>
            </w14:solidFill>
          </w14:textFill>
        </w:rPr>
        <w:t>资料。</w:t>
      </w:r>
    </w:p>
    <w:p w14:paraId="1F840997">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3.乙方保证所交付的货物的所有权完全属于乙方且无任何抵押、质押、查封等产权瑕疵。</w:t>
      </w:r>
    </w:p>
    <w:p w14:paraId="4F970B05">
      <w:pPr>
        <w:keepNext w:val="0"/>
        <w:keepLines w:val="0"/>
        <w:pageBreakBefore w:val="0"/>
        <w:widowControl/>
        <w:kinsoku w:val="0"/>
        <w:wordWrap/>
        <w:overflowPunct/>
        <w:topLinePunct w:val="0"/>
        <w:autoSpaceDE/>
        <w:autoSpaceDN/>
        <w:bidi w:val="0"/>
        <w:adjustRightInd w:val="0"/>
        <w:snapToGrid w:val="0"/>
        <w:spacing w:line="400" w:lineRule="exact"/>
        <w:ind w:firstLine="420" w:firstLineChars="200"/>
        <w:jc w:val="both"/>
        <w:textAlignment w:val="baseline"/>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乙方违反第三条权利保证或所有权保证的，除承担全部赔偿责任外，还应向甲方支付合同金额5%的违约金。</w:t>
      </w:r>
    </w:p>
    <w:p w14:paraId="4CA7AA16">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18" w:name="bookmark56"/>
      <w:bookmarkEnd w:id="18"/>
      <w:r>
        <w:rPr>
          <w:rFonts w:hint="eastAsia" w:ascii="宋体" w:hAnsi="宋体" w:eastAsia="宋体" w:cs="宋体"/>
          <w:b/>
          <w:bCs/>
          <w:color w:val="000000" w:themeColor="text1"/>
          <w:spacing w:val="7"/>
          <w:sz w:val="21"/>
          <w:szCs w:val="21"/>
          <w:highlight w:val="none"/>
          <w14:textFill>
            <w14:solidFill>
              <w14:schemeClr w14:val="tx1"/>
            </w14:solidFill>
          </w14:textFill>
        </w:rPr>
        <w:t>第四条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货物包装、运输</w:t>
      </w:r>
    </w:p>
    <w:p w14:paraId="684AED40">
      <w:pPr>
        <w:pStyle w:val="8"/>
        <w:keepNext w:val="0"/>
        <w:keepLines w:val="0"/>
        <w:pageBreakBefore w:val="0"/>
        <w:widowControl/>
        <w:kinsoku w:val="0"/>
        <w:wordWrap/>
        <w:overflowPunct/>
        <w:topLinePunct w:val="0"/>
        <w:autoSpaceDE/>
        <w:autoSpaceDN/>
        <w:bidi w:val="0"/>
        <w:adjustRightInd w:val="0"/>
        <w:snapToGrid w:val="0"/>
        <w:spacing w:line="400" w:lineRule="exact"/>
        <w:ind w:left="32" w:right="157"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1.乙方应在货物发运前对其进行满足运输距离、防潮、防震、防锈和防破损装卸等要求包装，以保证货物安全运达甲方指定地点。</w:t>
      </w:r>
    </w:p>
    <w:p w14:paraId="1FA43329">
      <w:pPr>
        <w:pStyle w:val="8"/>
        <w:keepNext w:val="0"/>
        <w:keepLines w:val="0"/>
        <w:pageBreakBefore w:val="0"/>
        <w:widowControl/>
        <w:kinsoku w:val="0"/>
        <w:wordWrap/>
        <w:overflowPunct/>
        <w:topLinePunct w:val="0"/>
        <w:autoSpaceDE/>
        <w:autoSpaceDN/>
        <w:bidi w:val="0"/>
        <w:adjustRightInd w:val="0"/>
        <w:snapToGrid w:val="0"/>
        <w:spacing w:line="400" w:lineRule="exact"/>
        <w:ind w:left="39" w:right="192"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2.使用中文说明书（货物属于进口产品的，供货时应同时附上中文使</w:t>
      </w:r>
      <w:r>
        <w:rPr>
          <w:rFonts w:hint="eastAsia" w:ascii="宋体" w:hAnsi="宋体" w:eastAsia="宋体" w:cs="宋体"/>
          <w:color w:val="000000" w:themeColor="text1"/>
          <w:spacing w:val="8"/>
          <w:sz w:val="21"/>
          <w:szCs w:val="21"/>
          <w:highlight w:val="none"/>
          <w14:textFill>
            <w14:solidFill>
              <w14:schemeClr w14:val="tx1"/>
            </w14:solidFill>
          </w14:textFill>
        </w:rPr>
        <w:t>用说明书）、质量检验证明书、随配附件和工具以及清单一并附于货物内。</w:t>
      </w:r>
    </w:p>
    <w:p w14:paraId="283D2BCF">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3.乙方在货物发运手续办理完毕后二十四小时内或货到甲方四十八小时前通知甲方，以准备接货。</w:t>
      </w:r>
    </w:p>
    <w:p w14:paraId="152C7E3C">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4.货物在交付甲方前发生的风险均由乙方负责。</w:t>
      </w:r>
    </w:p>
    <w:p w14:paraId="29B989B3">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38"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19" w:name="bookmark58"/>
      <w:bookmarkEnd w:id="19"/>
      <w:bookmarkStart w:id="20" w:name="bookmark57"/>
      <w:bookmarkEnd w:id="20"/>
      <w:r>
        <w:rPr>
          <w:rFonts w:hint="eastAsia" w:ascii="宋体" w:hAnsi="宋体" w:eastAsia="宋体" w:cs="宋体"/>
          <w:b/>
          <w:bCs/>
          <w:color w:val="000000" w:themeColor="text1"/>
          <w:spacing w:val="4"/>
          <w:sz w:val="21"/>
          <w:szCs w:val="21"/>
          <w:highlight w:val="none"/>
          <w14:textFill>
            <w14:solidFill>
              <w14:schemeClr w14:val="tx1"/>
            </w14:solidFill>
          </w14:textFill>
        </w:rPr>
        <w:t>第五条</w:t>
      </w:r>
      <w:r>
        <w:rPr>
          <w:rFonts w:hint="eastAsia" w:ascii="宋体" w:hAnsi="宋体" w:eastAsia="宋体" w:cs="宋体"/>
          <w:color w:val="000000" w:themeColor="text1"/>
          <w:spacing w:val="11"/>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4"/>
          <w:sz w:val="21"/>
          <w:szCs w:val="21"/>
          <w:highlight w:val="none"/>
          <w14:textFill>
            <w14:solidFill>
              <w14:schemeClr w14:val="tx1"/>
            </w14:solidFill>
          </w14:textFill>
        </w:rPr>
        <w:t>交付</w:t>
      </w:r>
    </w:p>
    <w:p w14:paraId="25BDA6FD">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outlineLvl w:val="9"/>
        <w:rPr>
          <w:rFonts w:hint="eastAsia" w:ascii="宋体" w:hAnsi="宋体" w:eastAsia="宋体" w:cs="宋体"/>
          <w:b w:val="0"/>
          <w:bCs w:val="0"/>
          <w:color w:val="000000" w:themeColor="text1"/>
          <w:spacing w:val="6"/>
          <w:sz w:val="21"/>
          <w:szCs w:val="21"/>
          <w:highlight w:val="none"/>
          <w14:textFill>
            <w14:solidFill>
              <w14:schemeClr w14:val="tx1"/>
            </w14:solidFill>
          </w14:textFill>
        </w:rPr>
      </w:pPr>
      <w:bookmarkStart w:id="21" w:name="bookmark59"/>
      <w:bookmarkEnd w:id="21"/>
      <w:r>
        <w:rPr>
          <w:rFonts w:hint="eastAsia" w:ascii="宋体" w:hAnsi="宋体" w:eastAsia="宋体" w:cs="宋体"/>
          <w:b w:val="0"/>
          <w:bCs w:val="0"/>
          <w:color w:val="000000" w:themeColor="text1"/>
          <w:spacing w:val="6"/>
          <w:sz w:val="21"/>
          <w:szCs w:val="21"/>
          <w:highlight w:val="none"/>
          <w14:textFill>
            <w14:solidFill>
              <w14:schemeClr w14:val="tx1"/>
            </w14:solidFill>
          </w14:textFill>
        </w:rPr>
        <w:t>1.交付时间：</w:t>
      </w:r>
    </w:p>
    <w:p w14:paraId="4BC9288F">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outlineLvl w:val="9"/>
        <w:rPr>
          <w:rFonts w:hint="eastAsia" w:ascii="宋体" w:hAnsi="宋体" w:eastAsia="宋体" w:cs="宋体"/>
          <w:b w:val="0"/>
          <w:bCs w:val="0"/>
          <w:color w:val="000000" w:themeColor="text1"/>
          <w:spacing w:val="6"/>
          <w:sz w:val="21"/>
          <w:szCs w:val="21"/>
          <w:highlight w:val="none"/>
          <w14:textFill>
            <w14:solidFill>
              <w14:schemeClr w14:val="tx1"/>
            </w14:solidFill>
          </w14:textFill>
        </w:rPr>
      </w:pPr>
      <w:r>
        <w:rPr>
          <w:rFonts w:hint="eastAsia" w:ascii="宋体" w:hAnsi="宋体" w:eastAsia="宋体" w:cs="宋体"/>
          <w:b w:val="0"/>
          <w:bCs w:val="0"/>
          <w:color w:val="000000" w:themeColor="text1"/>
          <w:spacing w:val="6"/>
          <w:sz w:val="21"/>
          <w:szCs w:val="21"/>
          <w:highlight w:val="none"/>
          <w:lang w:val="en-US" w:eastAsia="zh-CN"/>
          <w14:textFill>
            <w14:solidFill>
              <w14:schemeClr w14:val="tx1"/>
            </w14:solidFill>
          </w14:textFill>
        </w:rPr>
        <w:t>1.1</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签订合同后，设备安装前，</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乙方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向</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甲方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针对每站点提供改造方案，方案内容包括但不限于，每个站房的设备拆旧，站房布置，人员安排，运行管理，进度安排等，并经</w:t>
      </w:r>
      <w:r>
        <w:rPr>
          <w:rFonts w:hint="eastAsia" w:ascii="宋体" w:hAnsi="宋体" w:eastAsia="宋体" w:cs="宋体"/>
          <w:b w:val="0"/>
          <w:bCs w:val="0"/>
          <w:color w:val="000000" w:themeColor="text1"/>
          <w:spacing w:val="6"/>
          <w:sz w:val="21"/>
          <w:szCs w:val="21"/>
          <w:highlight w:val="none"/>
          <w:lang w:val="en-US" w:eastAsia="zh-CN"/>
          <w14:textFill>
            <w14:solidFill>
              <w14:schemeClr w14:val="tx1"/>
            </w14:solidFill>
          </w14:textFill>
        </w:rPr>
        <w:t>甲方书面</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确认后方可实施，方案未确认的乙方不得进场施工，否则甲方有权拒绝验收并要求乙方承担逾期交付责任。</w:t>
      </w:r>
    </w:p>
    <w:p w14:paraId="2A80577C">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outlineLvl w:val="9"/>
        <w:rPr>
          <w:rFonts w:hint="eastAsia" w:ascii="宋体" w:hAnsi="宋体" w:eastAsia="宋体" w:cs="宋体"/>
          <w:b w:val="0"/>
          <w:bCs w:val="0"/>
          <w:color w:val="000000" w:themeColor="text1"/>
          <w:spacing w:val="6"/>
          <w:sz w:val="21"/>
          <w:szCs w:val="21"/>
          <w:highlight w:val="none"/>
          <w14:textFill>
            <w14:solidFill>
              <w14:schemeClr w14:val="tx1"/>
            </w14:solidFill>
          </w14:textFill>
        </w:rPr>
      </w:pPr>
      <w:r>
        <w:rPr>
          <w:rFonts w:hint="eastAsia" w:ascii="宋体" w:hAnsi="宋体" w:eastAsia="宋体" w:cs="宋体"/>
          <w:b w:val="0"/>
          <w:bCs w:val="0"/>
          <w:color w:val="000000" w:themeColor="text1"/>
          <w:spacing w:val="6"/>
          <w:sz w:val="21"/>
          <w:szCs w:val="21"/>
          <w:highlight w:val="none"/>
          <w:lang w:val="en-US" w:eastAsia="zh-CN"/>
          <w14:textFill>
            <w14:solidFill>
              <w14:schemeClr w14:val="tx1"/>
            </w14:solidFill>
          </w14:textFill>
        </w:rPr>
        <w:t>1.2</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自签订合同后，</w:t>
      </w:r>
      <w:r>
        <w:rPr>
          <w:rFonts w:hint="eastAsia" w:ascii="宋体" w:hAnsi="宋体" w:eastAsia="宋体" w:cs="宋体"/>
          <w:b w:val="0"/>
          <w:bCs w:val="0"/>
          <w:color w:val="000000" w:themeColor="text1"/>
          <w:spacing w:val="6"/>
          <w:sz w:val="21"/>
          <w:szCs w:val="21"/>
          <w:highlight w:val="none"/>
          <w:lang w:val="en-US" w:eastAsia="zh-CN"/>
          <w14:textFill>
            <w14:solidFill>
              <w14:schemeClr w14:val="tx1"/>
            </w14:solidFill>
          </w14:textFill>
        </w:rPr>
        <w:t>甲方书面</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通知之日起，两个月内完成安装调试、试运行、验收</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pacing w:val="6"/>
          <w:sz w:val="21"/>
          <w:szCs w:val="21"/>
          <w:highlight w:val="none"/>
          <w:lang w:val="en-US" w:eastAsia="zh-CN"/>
          <w14:textFill>
            <w14:solidFill>
              <w14:schemeClr w14:val="tx1"/>
            </w14:solidFill>
          </w14:textFill>
        </w:rPr>
        <w:t>附验收报告</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w:t>
      </w:r>
    </w:p>
    <w:p w14:paraId="3D4921BB">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outlineLvl w:val="9"/>
        <w:rPr>
          <w:rFonts w:hint="eastAsia" w:ascii="宋体" w:hAnsi="宋体" w:eastAsia="宋体" w:cs="宋体"/>
          <w:b w:val="0"/>
          <w:bCs w:val="0"/>
          <w:color w:val="000000" w:themeColor="text1"/>
          <w:spacing w:val="6"/>
          <w:sz w:val="21"/>
          <w:szCs w:val="21"/>
          <w:highlight w:val="none"/>
          <w14:textFill>
            <w14:solidFill>
              <w14:schemeClr w14:val="tx1"/>
            </w14:solidFill>
          </w14:textFill>
        </w:rPr>
      </w:pPr>
      <w:r>
        <w:rPr>
          <w:rFonts w:hint="eastAsia" w:ascii="宋体" w:hAnsi="宋体" w:eastAsia="宋体" w:cs="宋体"/>
          <w:b w:val="0"/>
          <w:bCs w:val="0"/>
          <w:color w:val="000000" w:themeColor="text1"/>
          <w:spacing w:val="6"/>
          <w:sz w:val="21"/>
          <w:szCs w:val="21"/>
          <w:highlight w:val="none"/>
          <w14:textFill>
            <w14:solidFill>
              <w14:schemeClr w14:val="tx1"/>
            </w14:solidFill>
          </w14:textFill>
        </w:rPr>
        <w:t>2.交货地点：广西区内</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甲方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指定地点。</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乙方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必须承担设备运输、安装调试、验收检测和提供设备操作说明书、图纸等其他类似的义务。送货前，</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乙方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需电话通知</w:t>
      </w:r>
      <w:r>
        <w:rPr>
          <w:rFonts w:hint="eastAsia" w:ascii="宋体" w:hAnsi="宋体" w:eastAsia="宋体" w:cs="宋体"/>
          <w:b w:val="0"/>
          <w:bCs w:val="0"/>
          <w:color w:val="000000" w:themeColor="text1"/>
          <w:spacing w:val="6"/>
          <w:sz w:val="21"/>
          <w:szCs w:val="21"/>
          <w:highlight w:val="none"/>
          <w:lang w:eastAsia="zh-CN"/>
          <w14:textFill>
            <w14:solidFill>
              <w14:schemeClr w14:val="tx1"/>
            </w14:solidFill>
          </w14:textFill>
        </w:rPr>
        <w:t>甲方</w:t>
      </w:r>
      <w:r>
        <w:rPr>
          <w:rFonts w:hint="eastAsia" w:ascii="宋体" w:hAnsi="宋体" w:eastAsia="宋体" w:cs="宋体"/>
          <w:b w:val="0"/>
          <w:bCs w:val="0"/>
          <w:color w:val="000000" w:themeColor="text1"/>
          <w:spacing w:val="6"/>
          <w:sz w:val="21"/>
          <w:szCs w:val="21"/>
          <w:highlight w:val="none"/>
          <w14:textFill>
            <w14:solidFill>
              <w14:schemeClr w14:val="tx1"/>
            </w14:solidFill>
          </w14:textFill>
        </w:rPr>
        <w:t>，确定送货时间、送货方式和送货地点。</w:t>
      </w:r>
    </w:p>
    <w:p w14:paraId="54DDBC8F">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b/>
          <w:bCs/>
          <w:color w:val="000000" w:themeColor="text1"/>
          <w:spacing w:val="6"/>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第六条</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验收方式</w:t>
      </w:r>
      <w:bookmarkStart w:id="22" w:name="bookmark60"/>
      <w:bookmarkEnd w:id="22"/>
    </w:p>
    <w:p w14:paraId="24793A39">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pacing w:val="7"/>
          <w:sz w:val="21"/>
          <w:szCs w:val="21"/>
          <w:highlight w:val="none"/>
          <w14:textFill>
            <w14:solidFill>
              <w14:schemeClr w14:val="tx1"/>
            </w14:solidFill>
          </w14:textFill>
        </w:rPr>
        <w:t>货物数量、外观由</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、原厂仪器商与</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共同开箱验收。</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监视、协助货物的安装、调试。</w:t>
      </w:r>
    </w:p>
    <w:p w14:paraId="3A90B7C8">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2</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技术指标按</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采购</w:t>
      </w:r>
      <w:r>
        <w:rPr>
          <w:rFonts w:hint="eastAsia" w:ascii="宋体" w:hAnsi="宋体" w:eastAsia="宋体" w:cs="宋体"/>
          <w:color w:val="000000" w:themeColor="text1"/>
          <w:spacing w:val="7"/>
          <w:sz w:val="21"/>
          <w:szCs w:val="21"/>
          <w:highlight w:val="none"/>
          <w14:textFill>
            <w14:solidFill>
              <w14:schemeClr w14:val="tx1"/>
            </w14:solidFill>
          </w14:textFill>
        </w:rPr>
        <w:t>文件、乙方响应文件及成交通知书载明的要求验收</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，三者不一致的以有利于甲方的最高标准为准</w:t>
      </w:r>
      <w:r>
        <w:rPr>
          <w:rFonts w:hint="eastAsia" w:ascii="宋体" w:hAnsi="宋体" w:eastAsia="宋体" w:cs="宋体"/>
          <w:color w:val="000000" w:themeColor="text1"/>
          <w:spacing w:val="7"/>
          <w:sz w:val="21"/>
          <w:szCs w:val="21"/>
          <w:highlight w:val="none"/>
          <w14:textFill>
            <w14:solidFill>
              <w14:schemeClr w14:val="tx1"/>
            </w14:solidFill>
          </w14:textFill>
        </w:rPr>
        <w:t>。验收方法以中华人民共和国计量检定规程为准。对没有检定规程的，按制造商提供的验收方法验收，该验收应溯源到标准物质。</w:t>
      </w:r>
    </w:p>
    <w:p w14:paraId="33329EC4">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3</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对无法在用户场地验收的技术指标，</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提供该参数的出厂验收报告及验收方法文本（须有中文版本1份）。</w:t>
      </w:r>
    </w:p>
    <w:p w14:paraId="68D6DAAB">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4</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采用分析标准物质的方式验收的，标准物质由</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负责提供，其费用包括在</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合同价</w:t>
      </w:r>
      <w:r>
        <w:rPr>
          <w:rFonts w:hint="eastAsia" w:ascii="宋体" w:hAnsi="宋体" w:eastAsia="宋体" w:cs="宋体"/>
          <w:color w:val="000000" w:themeColor="text1"/>
          <w:spacing w:val="7"/>
          <w:sz w:val="21"/>
          <w:szCs w:val="21"/>
          <w:highlight w:val="none"/>
          <w14:textFill>
            <w14:solidFill>
              <w14:schemeClr w14:val="tx1"/>
            </w14:solidFill>
          </w14:textFill>
        </w:rPr>
        <w:t>内。</w:t>
      </w:r>
    </w:p>
    <w:p w14:paraId="4A375260">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5</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仪器设备验收时间：两个月内完成安装调试、试运行、验收，附验收报告，特殊原因不能在规定时间内供货或验收，甲方、乙方双方应明确供货或验收时间，验收时间不超过2026年12月31日。如因成交供应商原因，超期未验收，采购人有权解除合同并追究成交供应商的法律责任。</w:t>
      </w:r>
    </w:p>
    <w:p w14:paraId="415E9D3D">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6</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仪器设备不满足</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采购</w:t>
      </w:r>
      <w:r>
        <w:rPr>
          <w:rFonts w:hint="eastAsia" w:ascii="宋体" w:hAnsi="宋体" w:eastAsia="宋体" w:cs="宋体"/>
          <w:color w:val="000000" w:themeColor="text1"/>
          <w:spacing w:val="7"/>
          <w:sz w:val="21"/>
          <w:szCs w:val="21"/>
          <w:highlight w:val="none"/>
          <w14:textFill>
            <w14:solidFill>
              <w14:schemeClr w14:val="tx1"/>
            </w14:solidFill>
          </w14:textFill>
        </w:rPr>
        <w:t>文件要求，验收不合格的，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有权解除合同</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，同时乙方应向甲方支付合同总金额5%的违约金，若违约金不足以覆盖甲方全部损失的，乙方还应承担差额赔偿责任。</w:t>
      </w:r>
    </w:p>
    <w:p w14:paraId="167D4538">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关于验收：</w:t>
      </w:r>
    </w:p>
    <w:p w14:paraId="651D0198">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7.1根据</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提供的验收方案开展验收。</w:t>
      </w:r>
    </w:p>
    <w:p w14:paraId="7580EEBC">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7.2产品保修期自验收合格之日起算，由</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提供产品保修文件。</w:t>
      </w:r>
    </w:p>
    <w:p w14:paraId="5F63B602">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7.3</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应提供完备的技术或服务资料、装箱单和合格证等，并派遣专业人员进行现场安装调试。验收合格条件如下：</w:t>
      </w:r>
    </w:p>
    <w:p w14:paraId="199364BC">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7.3.1货物或服务技术参数与采购合同一致，性能或指标达到规定的标准。</w:t>
      </w:r>
    </w:p>
    <w:p w14:paraId="062566A5">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7.3.2技术或资料、装箱单、合格证等资料齐全。</w:t>
      </w:r>
    </w:p>
    <w:p w14:paraId="7A6CE2D2">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7.3.3 在规定时间内完成交货及验收，并经</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确认。</w:t>
      </w:r>
    </w:p>
    <w:p w14:paraId="343BD0F6">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8</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产品或服务在安装调试并试运行符合要求后，才作为最终验收。</w:t>
      </w:r>
    </w:p>
    <w:p w14:paraId="15125DDA">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9</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需要制造商对</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交付的产品或服务（包括质量、参数等）进行确认的，制造商应予以配合，并出具书面意见。乙方应负责协调制造商履行该配合义务，制造商未配合或出具的意见不符合要求的，视为乙方交付的产品或服务不合格，由乙方承担全部责任。</w:t>
      </w:r>
    </w:p>
    <w:p w14:paraId="01FC0199">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10</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供</w:t>
      </w:r>
      <w:r>
        <w:rPr>
          <w:rFonts w:hint="eastAsia" w:ascii="宋体" w:hAnsi="宋体" w:eastAsia="宋体" w:cs="宋体"/>
          <w:color w:val="000000" w:themeColor="text1"/>
          <w:spacing w:val="7"/>
          <w:sz w:val="21"/>
          <w:szCs w:val="21"/>
          <w:highlight w:val="none"/>
          <w14:textFill>
            <w14:solidFill>
              <w14:schemeClr w14:val="tx1"/>
            </w14:solidFill>
          </w14:textFill>
        </w:rPr>
        <w:t>应商按相关要求自行开展所有参数实际水样验收比对，</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实验室可自行开展或委托具备资质并经</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认可的第三方监测机构开展验收比对工作。</w:t>
      </w:r>
    </w:p>
    <w:p w14:paraId="0B732265">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11</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产品包装材料归</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7"/>
          <w:sz w:val="21"/>
          <w:szCs w:val="21"/>
          <w:highlight w:val="none"/>
          <w14:textFill>
            <w14:solidFill>
              <w14:schemeClr w14:val="tx1"/>
            </w14:solidFill>
          </w14:textFill>
        </w:rPr>
        <w:t>所有。</w:t>
      </w:r>
    </w:p>
    <w:p w14:paraId="61DADA65">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12</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验收过程中所产生的一切费用均由</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承担。</w:t>
      </w:r>
    </w:p>
    <w:p w14:paraId="0DF157B6">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13</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验收未尽事宜按照《关于印发广西壮族自治区政府采购项目履约验收管理办法的通知》（桂财采〔2015〕22号）以及《财政部关于进一步加强政府采购需求和履约验收管理的指导意见》（财库〔2016〕205号）规定执行。</w:t>
      </w:r>
    </w:p>
    <w:p w14:paraId="3F04BF1E">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eastAsia" w:ascii="宋体" w:hAnsi="宋体" w:eastAsia="宋体" w:cs="宋体"/>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14</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14:textFill>
            <w14:solidFill>
              <w14:schemeClr w14:val="tx1"/>
            </w14:solidFill>
          </w14:textFill>
        </w:rPr>
        <w:t>服务期间，</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7"/>
          <w:sz w:val="21"/>
          <w:szCs w:val="21"/>
          <w:highlight w:val="none"/>
          <w14:textFill>
            <w14:solidFill>
              <w14:schemeClr w14:val="tx1"/>
            </w14:solidFill>
          </w14:textFill>
        </w:rPr>
        <w:t>不能以任何形式外包合同规定的运行维护服务。乙方将运维服务外包的，甲方有权解除合同，乙方应向甲方支付合同金额20%的违约金，并退还已支付的全部运维费用。</w:t>
      </w:r>
    </w:p>
    <w:p w14:paraId="0F01F6A8">
      <w:pPr>
        <w:pStyle w:val="8"/>
        <w:keepNext w:val="0"/>
        <w:keepLines w:val="0"/>
        <w:pageBreakBefore w:val="0"/>
        <w:widowControl/>
        <w:kinsoku w:val="0"/>
        <w:wordWrap/>
        <w:overflowPunct/>
        <w:topLinePunct w:val="0"/>
        <w:autoSpaceDE/>
        <w:autoSpaceDN/>
        <w:bidi w:val="0"/>
        <w:adjustRightInd w:val="0"/>
        <w:snapToGrid w:val="0"/>
        <w:spacing w:line="400" w:lineRule="exact"/>
        <w:ind w:firstLine="448" w:firstLineChars="200"/>
        <w:jc w:val="both"/>
        <w:textAlignment w:val="baseline"/>
        <w:outlineLvl w:val="1"/>
        <w:rPr>
          <w:rFonts w:hint="default" w:ascii="宋体" w:hAnsi="宋体" w:eastAsia="宋体" w:cs="宋体"/>
          <w:color w:val="000000" w:themeColor="text1"/>
          <w:spacing w:val="7"/>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15.乙方交付的所有设备及系统运行产生的全部监测数据、运行数据、分析结果等衍生数据资产及相关知识产权均归甲方独家所有，乙方仅可为履行本合同目的使用上述数据，不得擅自复制、披露、转让或许可第三方使用，不得将上述数据用于任何其他用途或进行模型训练、商业开发等活动。</w:t>
      </w:r>
    </w:p>
    <w:p w14:paraId="0654AA3E">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第七条</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安装和培训</w:t>
      </w:r>
    </w:p>
    <w:p w14:paraId="3A5170E9">
      <w:pPr>
        <w:pStyle w:val="8"/>
        <w:keepNext w:val="0"/>
        <w:keepLines w:val="0"/>
        <w:pageBreakBefore w:val="0"/>
        <w:widowControl/>
        <w:kinsoku w:val="0"/>
        <w:wordWrap/>
        <w:overflowPunct/>
        <w:topLinePunct w:val="0"/>
        <w:autoSpaceDE/>
        <w:autoSpaceDN/>
        <w:bidi w:val="0"/>
        <w:adjustRightInd w:val="0"/>
        <w:snapToGrid w:val="0"/>
        <w:spacing w:line="400" w:lineRule="exact"/>
        <w:ind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乙方在设备安装调试完毕和系统建成后，免费对甲方的操作人员现场进行基本的使用及维护培训，培训内容为如何进行设备调试、维护、排除故障进行指导和演示（以上培训内容包括仪器的原理、操作、日常维护、故障排除、软件使用等）。乙方免费提供仪器现场3-5天的技术培训。培训后甲方仍未熟练掌握仪器的使用方法，则再继续进行培训，直至甲方熟练掌握为止。仪器验收后6个月内回访并免费培训一次。培训期间所产生的消耗品、技术资料和培训费均由乙方承担，培训时间由甲方确定，甲方确定培训时间并提前通知乙方，乙方在规定时间内到场培训。</w:t>
      </w:r>
    </w:p>
    <w:p w14:paraId="40A6B745">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23" w:name="bookmark82"/>
      <w:bookmarkEnd w:id="23"/>
      <w:r>
        <w:rPr>
          <w:rFonts w:hint="eastAsia" w:ascii="宋体" w:hAnsi="宋体" w:eastAsia="宋体" w:cs="宋体"/>
          <w:b/>
          <w:bCs/>
          <w:color w:val="000000" w:themeColor="text1"/>
          <w:spacing w:val="7"/>
          <w:sz w:val="21"/>
          <w:szCs w:val="21"/>
          <w:highlight w:val="none"/>
          <w14:textFill>
            <w14:solidFill>
              <w14:schemeClr w14:val="tx1"/>
            </w14:solidFill>
          </w14:textFill>
        </w:rPr>
        <w:t>第八条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售后服务、保修期</w:t>
      </w:r>
    </w:p>
    <w:p w14:paraId="5F5C93D2">
      <w:pPr>
        <w:pStyle w:val="8"/>
        <w:keepNext w:val="0"/>
        <w:keepLines w:val="0"/>
        <w:pageBreakBefore w:val="0"/>
        <w:widowControl/>
        <w:kinsoku w:val="0"/>
        <w:wordWrap/>
        <w:overflowPunct/>
        <w:topLinePunct w:val="0"/>
        <w:autoSpaceDE/>
        <w:autoSpaceDN/>
        <w:bidi w:val="0"/>
        <w:adjustRightInd w:val="0"/>
        <w:snapToGrid w:val="0"/>
        <w:spacing w:line="400" w:lineRule="exact"/>
        <w:ind w:left="8" w:right="70" w:firstLine="448"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1</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.乙方提供货物的保修期</w:t>
      </w:r>
      <w:r>
        <w:rPr>
          <w:rFonts w:hint="eastAsia" w:ascii="宋体" w:hAnsi="宋体" w:eastAsia="宋体" w:cs="宋体"/>
          <w:color w:val="000000" w:themeColor="text1"/>
          <w:spacing w:val="7"/>
          <w:sz w:val="21"/>
          <w:szCs w:val="21"/>
          <w:highlight w:val="none"/>
          <w14:textFill>
            <w14:solidFill>
              <w14:schemeClr w14:val="tx1"/>
            </w14:solidFill>
          </w14:textFill>
        </w:rPr>
        <w:t>按国家有关产品“三包”规定执行“三包”，免费保修期最短不</w:t>
      </w:r>
      <w:r>
        <w:rPr>
          <w:rFonts w:hint="eastAsia" w:ascii="宋体" w:hAnsi="宋体" w:eastAsia="宋体" w:cs="宋体"/>
          <w:color w:val="000000" w:themeColor="text1"/>
          <w:spacing w:val="6"/>
          <w:sz w:val="21"/>
          <w:szCs w:val="21"/>
          <w:highlight w:val="none"/>
          <w14:textFill>
            <w14:solidFill>
              <w14:schemeClr w14:val="tx1"/>
            </w14:solidFill>
          </w14:textFill>
        </w:rPr>
        <w:t>得少于1年（免费保修期自货物安</w:t>
      </w:r>
      <w:r>
        <w:rPr>
          <w:rFonts w:hint="eastAsia" w:ascii="宋体" w:hAnsi="宋体" w:eastAsia="宋体" w:cs="宋体"/>
          <w:color w:val="000000" w:themeColor="text1"/>
          <w:spacing w:val="9"/>
          <w:sz w:val="21"/>
          <w:szCs w:val="21"/>
          <w:highlight w:val="none"/>
          <w14:textFill>
            <w14:solidFill>
              <w14:schemeClr w14:val="tx1"/>
            </w14:solidFill>
          </w14:textFill>
        </w:rPr>
        <w:t>装调试并在验收合格之日起计算</w:t>
      </w:r>
      <w:r>
        <w:rPr>
          <w:rFonts w:hint="eastAsia" w:ascii="宋体" w:hAnsi="宋体" w:eastAsia="宋体" w:cs="宋体"/>
          <w:color w:val="000000" w:themeColor="text1"/>
          <w:spacing w:val="26"/>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14:textFill>
            <w14:solidFill>
              <w14:schemeClr w14:val="tx1"/>
            </w14:solidFill>
          </w14:textFill>
        </w:rPr>
        <w:t>免费保修期内：免费上门维修、更换配件；免费送货上门、安装、调</w:t>
      </w:r>
      <w:r>
        <w:rPr>
          <w:rFonts w:hint="eastAsia" w:ascii="宋体" w:hAnsi="宋体" w:eastAsia="宋体" w:cs="宋体"/>
          <w:color w:val="000000" w:themeColor="text1"/>
          <w:spacing w:val="8"/>
          <w:sz w:val="21"/>
          <w:szCs w:val="21"/>
          <w:highlight w:val="none"/>
          <w14:textFill>
            <w14:solidFill>
              <w14:schemeClr w14:val="tx1"/>
            </w14:solidFill>
          </w14:textFill>
        </w:rPr>
        <w:t>试，免费培训维护人员。厂家规定保修期超过前述标准的，按厂家规定，“采购需求”有规定的，按规定执行。</w:t>
      </w:r>
    </w:p>
    <w:p w14:paraId="446AAD1E">
      <w:pPr>
        <w:pStyle w:val="8"/>
        <w:keepNext w:val="0"/>
        <w:keepLines w:val="0"/>
        <w:pageBreakBefore w:val="0"/>
        <w:widowControl/>
        <w:kinsoku w:val="0"/>
        <w:wordWrap/>
        <w:overflowPunct/>
        <w:topLinePunct w:val="0"/>
        <w:autoSpaceDE/>
        <w:autoSpaceDN/>
        <w:bidi w:val="0"/>
        <w:adjustRightInd w:val="0"/>
        <w:snapToGrid w:val="0"/>
        <w:spacing w:line="400" w:lineRule="exact"/>
        <w:ind w:left="11" w:right="157" w:firstLine="456" w:firstLineChars="200"/>
        <w:jc w:val="both"/>
        <w:textAlignment w:val="baseline"/>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乙方应当提供每周7天、每天24小时的电话支持服务。乙方接到甲方保修通知后2个小时内响应，12个小时内到达现场排除故障。货物出现重大故障或维修时限超过2日的，乙方应在24个小时内免费更换备品备件。并保证后续的正常测量和数据正常传输，所涉及备机须由乙方自行提供。</w:t>
      </w:r>
    </w:p>
    <w:p w14:paraId="659D4E0E">
      <w:pPr>
        <w:pStyle w:val="8"/>
        <w:keepNext w:val="0"/>
        <w:keepLines w:val="0"/>
        <w:pageBreakBefore w:val="0"/>
        <w:widowControl/>
        <w:kinsoku w:val="0"/>
        <w:wordWrap/>
        <w:overflowPunct/>
        <w:topLinePunct w:val="0"/>
        <w:autoSpaceDE/>
        <w:autoSpaceDN/>
        <w:bidi w:val="0"/>
        <w:adjustRightInd w:val="0"/>
        <w:snapToGrid w:val="0"/>
        <w:spacing w:line="400" w:lineRule="exact"/>
        <w:ind w:left="11" w:right="157" w:firstLine="448" w:firstLineChars="200"/>
        <w:jc w:val="both"/>
        <w:textAlignment w:val="baseline"/>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3</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对于质保期内同一站点同一设备连续故障时长≥72小时次数达到2次（含2次）的，乙方需直接更换相应设备。乙方未按约定更换设备的，每逾期一日按</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合同金额</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的</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0.</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1%向甲方支付违约金。</w:t>
      </w:r>
    </w:p>
    <w:p w14:paraId="2C7CC656">
      <w:pPr>
        <w:pStyle w:val="8"/>
        <w:keepNext w:val="0"/>
        <w:keepLines w:val="0"/>
        <w:pageBreakBefore w:val="0"/>
        <w:widowControl/>
        <w:kinsoku w:val="0"/>
        <w:wordWrap/>
        <w:overflowPunct/>
        <w:topLinePunct w:val="0"/>
        <w:autoSpaceDE/>
        <w:autoSpaceDN/>
        <w:bidi w:val="0"/>
        <w:adjustRightInd w:val="0"/>
        <w:snapToGrid w:val="0"/>
        <w:spacing w:line="400" w:lineRule="exact"/>
        <w:ind w:left="11" w:right="157" w:firstLine="448" w:firstLineChars="200"/>
        <w:jc w:val="both"/>
        <w:textAlignment w:val="baseline"/>
        <w:rPr>
          <w:rFonts w:hint="eastAsia" w:ascii="宋体" w:hAnsi="宋体" w:eastAsia="宋体" w:cs="宋体"/>
          <w:color w:val="000000" w:themeColor="text1"/>
          <w:spacing w:val="7"/>
          <w:sz w:val="21"/>
          <w:szCs w:val="21"/>
          <w:highlight w:val="none"/>
          <w:lang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eastAsia="zh-CN"/>
          <w14:textFill>
            <w14:solidFill>
              <w14:schemeClr w14:val="tx1"/>
            </w14:solidFill>
          </w14:textFill>
        </w:rPr>
        <w:t>4</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质保期结束后，甲方将组织对所有更新改造设备进行仪器性能测试，测试不合格的设备，乙方需更换新设备，并满足性能测试要求。性能测试依据甲方提供的相关文件要求开展。所有测试合格后交付仪器给甲方。</w:t>
      </w:r>
    </w:p>
    <w:p w14:paraId="178BB2CC">
      <w:pPr>
        <w:pStyle w:val="8"/>
        <w:keepNext w:val="0"/>
        <w:keepLines w:val="0"/>
        <w:pageBreakBefore w:val="0"/>
        <w:widowControl/>
        <w:kinsoku w:val="0"/>
        <w:wordWrap/>
        <w:overflowPunct/>
        <w:topLinePunct w:val="0"/>
        <w:autoSpaceDE/>
        <w:autoSpaceDN/>
        <w:bidi w:val="0"/>
        <w:adjustRightInd w:val="0"/>
        <w:snapToGrid w:val="0"/>
        <w:spacing w:line="400" w:lineRule="exact"/>
        <w:ind w:left="11" w:right="157" w:firstLine="448" w:firstLineChars="200"/>
        <w:jc w:val="both"/>
        <w:textAlignment w:val="baseline"/>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5.本合同项下两个水站的运维服务，应按照采购文件规定的服务范围、服务内容、服务标准及要求执行。乙方在响应文件中对运维服务所作承诺优于采购文件要求的，以乙方响应文件中的相应承诺为准，乙方应全面履行。</w:t>
      </w:r>
    </w:p>
    <w:p w14:paraId="44F0A26E">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2"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24" w:name="bookmark83"/>
      <w:bookmarkEnd w:id="24"/>
      <w:r>
        <w:rPr>
          <w:rFonts w:hint="eastAsia" w:ascii="宋体" w:hAnsi="宋体" w:eastAsia="宋体" w:cs="宋体"/>
          <w:b/>
          <w:bCs/>
          <w:color w:val="000000" w:themeColor="text1"/>
          <w:spacing w:val="5"/>
          <w:sz w:val="21"/>
          <w:szCs w:val="21"/>
          <w:highlight w:val="none"/>
          <w14:textFill>
            <w14:solidFill>
              <w14:schemeClr w14:val="tx1"/>
            </w14:solidFill>
          </w14:textFill>
        </w:rPr>
        <w:t>第九条</w:t>
      </w:r>
      <w:r>
        <w:rPr>
          <w:rFonts w:hint="eastAsia" w:ascii="宋体" w:hAnsi="宋体" w:eastAsia="宋体" w:cs="宋体"/>
          <w:color w:val="000000" w:themeColor="text1"/>
          <w:spacing w:val="9"/>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5"/>
          <w:sz w:val="21"/>
          <w:szCs w:val="21"/>
          <w:highlight w:val="none"/>
          <w14:textFill>
            <w14:solidFill>
              <w14:schemeClr w14:val="tx1"/>
            </w14:solidFill>
          </w14:textFill>
        </w:rPr>
        <w:t>税费</w:t>
      </w:r>
    </w:p>
    <w:p w14:paraId="10EDE636">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rPr>
          <w:rFonts w:hint="eastAsia" w:ascii="宋体" w:hAnsi="宋体" w:eastAsia="宋体" w:cs="宋体"/>
          <w:b/>
          <w:bCs/>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本合同执行中相关的一切税费均由乙方负担。</w:t>
      </w:r>
      <w:bookmarkStart w:id="25" w:name="bookmark63"/>
      <w:bookmarkEnd w:id="25"/>
      <w:bookmarkStart w:id="26" w:name="bookmark62"/>
      <w:bookmarkEnd w:id="26"/>
    </w:p>
    <w:p w14:paraId="28FFDFA7">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6"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pacing w:val="6"/>
          <w:sz w:val="21"/>
          <w:szCs w:val="21"/>
          <w:highlight w:val="none"/>
          <w14:textFill>
            <w14:solidFill>
              <w14:schemeClr w14:val="tx1"/>
            </w14:solidFill>
          </w14:textFill>
        </w:rPr>
        <w:t>第十条</w:t>
      </w:r>
      <w:r>
        <w:rPr>
          <w:rFonts w:hint="eastAsia" w:ascii="宋体" w:hAnsi="宋体" w:eastAsia="宋体" w:cs="宋体"/>
          <w:color w:val="000000" w:themeColor="text1"/>
          <w:spacing w:val="6"/>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6"/>
          <w:sz w:val="21"/>
          <w:szCs w:val="21"/>
          <w:highlight w:val="none"/>
          <w14:textFill>
            <w14:solidFill>
              <w14:schemeClr w14:val="tx1"/>
            </w14:solidFill>
          </w14:textFill>
        </w:rPr>
        <w:t>付款方式</w:t>
      </w:r>
    </w:p>
    <w:p w14:paraId="050538BA">
      <w:pPr>
        <w:pStyle w:val="8"/>
        <w:keepNext w:val="0"/>
        <w:keepLines w:val="0"/>
        <w:pageBreakBefore w:val="0"/>
        <w:widowControl/>
        <w:kinsoku w:val="0"/>
        <w:wordWrap/>
        <w:overflowPunct/>
        <w:topLinePunct w:val="0"/>
        <w:autoSpaceDE/>
        <w:autoSpaceDN/>
        <w:bidi w:val="0"/>
        <w:adjustRightInd w:val="0"/>
        <w:snapToGrid w:val="0"/>
        <w:spacing w:line="400" w:lineRule="exact"/>
        <w:ind w:firstLine="456" w:firstLineChars="200"/>
        <w:jc w:val="both"/>
        <w:textAlignment w:val="baseline"/>
        <w:outlineLvl w:val="9"/>
        <w:rPr>
          <w:rFonts w:hint="eastAsia" w:ascii="宋体" w:hAnsi="宋体" w:eastAsia="宋体" w:cs="宋体"/>
          <w:color w:val="000000" w:themeColor="text1"/>
          <w:spacing w:val="9"/>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1.1乙方提交全部改造方案并经甲方书面确认后10个工作日内</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向乙方</w:t>
      </w:r>
      <w:r>
        <w:rPr>
          <w:rFonts w:hint="eastAsia" w:ascii="宋体" w:hAnsi="宋体" w:eastAsia="宋体" w:cs="宋体"/>
          <w:color w:val="000000" w:themeColor="text1"/>
          <w:spacing w:val="9"/>
          <w:sz w:val="21"/>
          <w:szCs w:val="21"/>
          <w:highlight w:val="none"/>
          <w14:textFill>
            <w14:solidFill>
              <w14:schemeClr w14:val="tx1"/>
            </w14:solidFill>
          </w14:textFill>
        </w:rPr>
        <w:t>预付40%合同款</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，乙方在收到甲方预付款</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5个工作日内开具合同总额40%的发票。货物到达甲方指定地点，甲方对货物初步验收合格</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9"/>
          <w:sz w:val="21"/>
          <w:szCs w:val="21"/>
          <w:highlight w:val="none"/>
          <w14:textFill>
            <w14:solidFill>
              <w14:schemeClr w14:val="tx1"/>
            </w14:solidFill>
          </w14:textFill>
        </w:rPr>
        <w:t>委托银行托管60%合同款的运维经费后，</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应</w:t>
      </w:r>
      <w:r>
        <w:rPr>
          <w:rFonts w:hint="eastAsia" w:ascii="宋体" w:hAnsi="宋体" w:eastAsia="宋体" w:cs="宋体"/>
          <w:color w:val="000000" w:themeColor="text1"/>
          <w:spacing w:val="9"/>
          <w:sz w:val="21"/>
          <w:szCs w:val="21"/>
          <w:highlight w:val="none"/>
          <w14:textFill>
            <w14:solidFill>
              <w14:schemeClr w14:val="tx1"/>
            </w14:solidFill>
          </w14:textFill>
        </w:rPr>
        <w:t>将银行凭证及合同</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总</w:t>
      </w:r>
      <w:r>
        <w:rPr>
          <w:rFonts w:hint="eastAsia" w:ascii="宋体" w:hAnsi="宋体" w:eastAsia="宋体" w:cs="宋体"/>
          <w:color w:val="000000" w:themeColor="text1"/>
          <w:spacing w:val="9"/>
          <w:sz w:val="21"/>
          <w:szCs w:val="21"/>
          <w:highlight w:val="none"/>
          <w14:textFill>
            <w14:solidFill>
              <w14:schemeClr w14:val="tx1"/>
            </w14:solidFill>
          </w14:textFill>
        </w:rPr>
        <w:t>额</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60%的</w:t>
      </w:r>
      <w:r>
        <w:rPr>
          <w:rFonts w:hint="eastAsia" w:ascii="宋体" w:hAnsi="宋体" w:eastAsia="宋体" w:cs="宋体"/>
          <w:color w:val="000000" w:themeColor="text1"/>
          <w:spacing w:val="9"/>
          <w:sz w:val="21"/>
          <w:szCs w:val="21"/>
          <w:highlight w:val="none"/>
          <w14:textFill>
            <w14:solidFill>
              <w14:schemeClr w14:val="tx1"/>
            </w14:solidFill>
          </w14:textFill>
        </w:rPr>
        <w:t>发票</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提</w:t>
      </w:r>
      <w:r>
        <w:rPr>
          <w:rFonts w:hint="eastAsia" w:ascii="宋体" w:hAnsi="宋体" w:eastAsia="宋体" w:cs="宋体"/>
          <w:color w:val="000000" w:themeColor="text1"/>
          <w:spacing w:val="9"/>
          <w:sz w:val="21"/>
          <w:szCs w:val="21"/>
          <w:highlight w:val="none"/>
          <w14:textFill>
            <w14:solidFill>
              <w14:schemeClr w14:val="tx1"/>
            </w14:solidFill>
          </w14:textFill>
        </w:rPr>
        <w:t>交</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据此</w:t>
      </w:r>
      <w:r>
        <w:rPr>
          <w:rFonts w:hint="eastAsia" w:ascii="宋体" w:hAnsi="宋体" w:eastAsia="宋体" w:cs="宋体"/>
          <w:color w:val="000000" w:themeColor="text1"/>
          <w:spacing w:val="9"/>
          <w:sz w:val="21"/>
          <w:szCs w:val="21"/>
          <w:highlight w:val="none"/>
          <w14:textFill>
            <w14:solidFill>
              <w14:schemeClr w14:val="tx1"/>
            </w14:solidFill>
          </w14:textFill>
        </w:rPr>
        <w:t>拨付60%合同款给</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9"/>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将银行代管60%合同款的运维经费以运维服务</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期限</w:t>
      </w:r>
      <w:r>
        <w:rPr>
          <w:rFonts w:hint="eastAsia" w:ascii="宋体" w:hAnsi="宋体" w:eastAsia="宋体" w:cs="宋体"/>
          <w:color w:val="000000" w:themeColor="text1"/>
          <w:spacing w:val="9"/>
          <w:sz w:val="21"/>
          <w:szCs w:val="21"/>
          <w:highlight w:val="none"/>
          <w14:textFill>
            <w14:solidFill>
              <w14:schemeClr w14:val="tx1"/>
            </w14:solidFill>
          </w14:textFill>
        </w:rPr>
        <w:t>分</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期</w:t>
      </w:r>
      <w:r>
        <w:rPr>
          <w:rFonts w:hint="eastAsia" w:ascii="宋体" w:hAnsi="宋体" w:eastAsia="宋体" w:cs="宋体"/>
          <w:color w:val="000000" w:themeColor="text1"/>
          <w:spacing w:val="9"/>
          <w:sz w:val="21"/>
          <w:szCs w:val="21"/>
          <w:highlight w:val="none"/>
          <w14:textFill>
            <w14:solidFill>
              <w14:schemeClr w14:val="tx1"/>
            </w14:solidFill>
          </w14:textFill>
        </w:rPr>
        <w:t>结算，</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并</w:t>
      </w:r>
      <w:r>
        <w:rPr>
          <w:rFonts w:hint="eastAsia" w:ascii="宋体" w:hAnsi="宋体" w:eastAsia="宋体" w:cs="宋体"/>
          <w:color w:val="000000" w:themeColor="text1"/>
          <w:spacing w:val="9"/>
          <w:sz w:val="21"/>
          <w:szCs w:val="21"/>
          <w:highlight w:val="none"/>
          <w14:textFill>
            <w14:solidFill>
              <w14:schemeClr w14:val="tx1"/>
            </w14:solidFill>
          </w14:textFill>
        </w:rPr>
        <w:t>根据实际运维的考核</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结果</w:t>
      </w:r>
      <w:r>
        <w:rPr>
          <w:rFonts w:hint="eastAsia" w:ascii="宋体" w:hAnsi="宋体" w:eastAsia="宋体" w:cs="宋体"/>
          <w:color w:val="000000" w:themeColor="text1"/>
          <w:spacing w:val="9"/>
          <w:sz w:val="21"/>
          <w:szCs w:val="21"/>
          <w:highlight w:val="none"/>
          <w14:textFill>
            <w14:solidFill>
              <w14:schemeClr w14:val="tx1"/>
            </w14:solidFill>
          </w14:textFill>
        </w:rPr>
        <w:t>计算</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实际应付的</w:t>
      </w:r>
      <w:r>
        <w:rPr>
          <w:rFonts w:hint="eastAsia" w:ascii="宋体" w:hAnsi="宋体" w:eastAsia="宋体" w:cs="宋体"/>
          <w:color w:val="000000" w:themeColor="text1"/>
          <w:spacing w:val="9"/>
          <w:sz w:val="21"/>
          <w:szCs w:val="21"/>
          <w:highlight w:val="none"/>
          <w14:textFill>
            <w14:solidFill>
              <w14:schemeClr w14:val="tx1"/>
            </w14:solidFill>
          </w14:textFill>
        </w:rPr>
        <w:t>运维费，经</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书面确认</w:t>
      </w:r>
      <w:r>
        <w:rPr>
          <w:rFonts w:hint="eastAsia" w:ascii="宋体" w:hAnsi="宋体" w:eastAsia="宋体" w:cs="宋体"/>
          <w:color w:val="000000" w:themeColor="text1"/>
          <w:spacing w:val="9"/>
          <w:sz w:val="21"/>
          <w:szCs w:val="21"/>
          <w:highlight w:val="none"/>
          <w14:textFill>
            <w14:solidFill>
              <w14:schemeClr w14:val="tx1"/>
            </w14:solidFill>
          </w14:textFill>
        </w:rPr>
        <w:t>后</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9"/>
          <w:sz w:val="21"/>
          <w:szCs w:val="21"/>
          <w:highlight w:val="none"/>
          <w14:textFill>
            <w14:solidFill>
              <w14:schemeClr w14:val="tx1"/>
            </w14:solidFill>
          </w14:textFill>
        </w:rPr>
        <w:t>由银行每三个月代</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为</w:t>
      </w:r>
      <w:r>
        <w:rPr>
          <w:rFonts w:hint="eastAsia" w:ascii="宋体" w:hAnsi="宋体" w:eastAsia="宋体" w:cs="宋体"/>
          <w:color w:val="000000" w:themeColor="text1"/>
          <w:spacing w:val="9"/>
          <w:sz w:val="21"/>
          <w:szCs w:val="21"/>
          <w:highlight w:val="none"/>
          <w14:textFill>
            <w14:solidFill>
              <w14:schemeClr w14:val="tx1"/>
            </w14:solidFill>
          </w14:textFill>
        </w:rPr>
        <w:t>拨付实际运维经费</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（不超过合同总额的</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9"/>
          <w:sz w:val="21"/>
          <w:szCs w:val="21"/>
          <w:highlight w:val="none"/>
          <w14:textFill>
            <w14:solidFill>
              <w14:schemeClr w14:val="tx1"/>
            </w14:solidFill>
          </w14:textFill>
        </w:rPr>
        <w:t>。每个运维考核周期考核不合格的，甲方有权扣除对应周期运维经费；连续两个考核周期考核不合格的，甲方有权单方解除运维服务相关约定，并要求乙方退还剩余未履约部分的运维经费。</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9"/>
          <w:sz w:val="21"/>
          <w:szCs w:val="21"/>
          <w:highlight w:val="none"/>
          <w14:textFill>
            <w14:solidFill>
              <w14:schemeClr w14:val="tx1"/>
            </w14:solidFill>
          </w14:textFill>
        </w:rPr>
        <w:t>、银行需同时签署三方协议。</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乙</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方</w:t>
      </w:r>
      <w:r>
        <w:rPr>
          <w:rFonts w:hint="eastAsia" w:ascii="宋体" w:hAnsi="宋体" w:eastAsia="宋体" w:cs="宋体"/>
          <w:color w:val="000000" w:themeColor="text1"/>
          <w:spacing w:val="9"/>
          <w:sz w:val="21"/>
          <w:szCs w:val="21"/>
          <w:highlight w:val="none"/>
          <w14:textFill>
            <w14:solidFill>
              <w14:schemeClr w14:val="tx1"/>
            </w14:solidFill>
          </w14:textFill>
        </w:rPr>
        <w:t>的运维考核结果拥有最终解释权，考核结果需经</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书面确认方作为付款依据。乙方对考核结果有异议的，应在收到考核结果之日起7日内以书面形式向甲方提出；逾期未提出的，视为乙方认可该考核结果。</w:t>
      </w:r>
    </w:p>
    <w:p w14:paraId="191B8C2B">
      <w:pPr>
        <w:pStyle w:val="8"/>
        <w:keepNext w:val="0"/>
        <w:keepLines w:val="0"/>
        <w:pageBreakBefore w:val="0"/>
        <w:widowControl/>
        <w:kinsoku w:val="0"/>
        <w:wordWrap/>
        <w:overflowPunct/>
        <w:topLinePunct w:val="0"/>
        <w:autoSpaceDE/>
        <w:autoSpaceDN/>
        <w:bidi w:val="0"/>
        <w:adjustRightInd w:val="0"/>
        <w:snapToGrid w:val="0"/>
        <w:spacing w:line="400" w:lineRule="exact"/>
        <w:ind w:firstLine="456" w:firstLineChars="200"/>
        <w:jc w:val="both"/>
        <w:textAlignment w:val="baseline"/>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1.2如</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9"/>
          <w:sz w:val="21"/>
          <w:szCs w:val="21"/>
          <w:highlight w:val="none"/>
          <w14:textFill>
            <w14:solidFill>
              <w14:schemeClr w14:val="tx1"/>
            </w14:solidFill>
          </w14:textFill>
        </w:rPr>
        <w:t>无法履行</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竞标</w:t>
      </w:r>
      <w:r>
        <w:rPr>
          <w:rFonts w:hint="eastAsia" w:ascii="宋体" w:hAnsi="宋体" w:eastAsia="宋体" w:cs="宋体"/>
          <w:color w:val="000000" w:themeColor="text1"/>
          <w:spacing w:val="9"/>
          <w:sz w:val="21"/>
          <w:szCs w:val="21"/>
          <w:highlight w:val="none"/>
          <w14:textFill>
            <w14:solidFill>
              <w14:schemeClr w14:val="tx1"/>
            </w14:solidFill>
          </w14:textFill>
        </w:rPr>
        <w:t>时对运行期限和质保期限的承诺，</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有权要求</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乙方</w:t>
      </w:r>
      <w:r>
        <w:rPr>
          <w:rFonts w:hint="eastAsia" w:ascii="宋体" w:hAnsi="宋体" w:eastAsia="宋体" w:cs="宋体"/>
          <w:color w:val="000000" w:themeColor="text1"/>
          <w:spacing w:val="9"/>
          <w:sz w:val="21"/>
          <w:szCs w:val="21"/>
          <w:highlight w:val="none"/>
          <w14:textFill>
            <w14:solidFill>
              <w14:schemeClr w14:val="tx1"/>
            </w14:solidFill>
          </w14:textFill>
        </w:rPr>
        <w:t>按合同金额退回相应的费用</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并</w:t>
      </w:r>
      <w:r>
        <w:rPr>
          <w:rFonts w:hint="eastAsia" w:ascii="宋体" w:hAnsi="宋体" w:eastAsia="宋体" w:cs="宋体"/>
          <w:color w:val="000000" w:themeColor="text1"/>
          <w:spacing w:val="9"/>
          <w:sz w:val="21"/>
          <w:szCs w:val="21"/>
          <w:highlight w:val="none"/>
          <w14:textFill>
            <w14:solidFill>
              <w14:schemeClr w14:val="tx1"/>
            </w14:solidFill>
          </w14:textFill>
        </w:rPr>
        <w:t>向甲方支付合同金额10%的违约金。</w:t>
      </w:r>
    </w:p>
    <w:p w14:paraId="6F984D81">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27" w:name="bookmark84"/>
      <w:bookmarkEnd w:id="27"/>
      <w:r>
        <w:rPr>
          <w:rFonts w:hint="eastAsia" w:ascii="宋体" w:hAnsi="宋体" w:eastAsia="宋体" w:cs="宋体"/>
          <w:b/>
          <w:bCs/>
          <w:color w:val="000000" w:themeColor="text1"/>
          <w:spacing w:val="7"/>
          <w:sz w:val="21"/>
          <w:szCs w:val="21"/>
          <w:highlight w:val="none"/>
          <w14:textFill>
            <w14:solidFill>
              <w14:schemeClr w14:val="tx1"/>
            </w14:solidFill>
          </w14:textFill>
        </w:rPr>
        <w:t>第十一条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违约责任</w:t>
      </w:r>
    </w:p>
    <w:p w14:paraId="2349C088">
      <w:pPr>
        <w:pStyle w:val="8"/>
        <w:keepNext w:val="0"/>
        <w:keepLines w:val="0"/>
        <w:pageBreakBefore w:val="0"/>
        <w:widowControl/>
        <w:kinsoku w:val="0"/>
        <w:wordWrap/>
        <w:overflowPunct/>
        <w:topLinePunct w:val="0"/>
        <w:autoSpaceDE/>
        <w:autoSpaceDN/>
        <w:bidi w:val="0"/>
        <w:adjustRightInd w:val="0"/>
        <w:snapToGrid w:val="0"/>
        <w:spacing w:line="400" w:lineRule="exact"/>
        <w:ind w:left="12" w:right="70"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1.乙方所提供的货物规格、技术标准、材料等质量不合格的，应及时更换，更换不及时的按逾期交货处罚，乙方应向甲方支付合同金额</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0.02  </w:t>
      </w:r>
      <w:r>
        <w:rPr>
          <w:rFonts w:hint="eastAsia" w:ascii="宋体" w:hAnsi="宋体" w:eastAsia="宋体" w:cs="宋体"/>
          <w:color w:val="000000" w:themeColor="text1"/>
          <w:spacing w:val="-83"/>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%违约金并赔偿甲方经济损失。</w:t>
      </w:r>
    </w:p>
    <w:p w14:paraId="13453F6E">
      <w:pPr>
        <w:pStyle w:val="8"/>
        <w:keepNext w:val="0"/>
        <w:keepLines w:val="0"/>
        <w:pageBreakBefore w:val="0"/>
        <w:widowControl/>
        <w:kinsoku w:val="0"/>
        <w:wordWrap/>
        <w:overflowPunct/>
        <w:topLinePunct w:val="0"/>
        <w:autoSpaceDE/>
        <w:autoSpaceDN/>
        <w:bidi w:val="0"/>
        <w:adjustRightInd w:val="0"/>
        <w:snapToGrid w:val="0"/>
        <w:spacing w:line="400" w:lineRule="exact"/>
        <w:ind w:left="10" w:right="7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2.乙方提供的货物如果侵犯了第三方合法权益而引发的任</w:t>
      </w:r>
      <w:r>
        <w:rPr>
          <w:rFonts w:hint="eastAsia" w:ascii="宋体" w:hAnsi="宋体" w:eastAsia="宋体" w:cs="宋体"/>
          <w:color w:val="000000" w:themeColor="text1"/>
          <w:spacing w:val="8"/>
          <w:sz w:val="21"/>
          <w:szCs w:val="21"/>
          <w:highlight w:val="none"/>
          <w14:textFill>
            <w14:solidFill>
              <w14:schemeClr w14:val="tx1"/>
            </w14:solidFill>
          </w14:textFill>
        </w:rPr>
        <w:t>何纠纷或诉讼，均由乙方负责交涉并承担全</w:t>
      </w:r>
      <w:r>
        <w:rPr>
          <w:rFonts w:hint="eastAsia" w:ascii="宋体" w:hAnsi="宋体" w:eastAsia="宋体" w:cs="宋体"/>
          <w:color w:val="000000" w:themeColor="text1"/>
          <w:spacing w:val="4"/>
          <w:sz w:val="21"/>
          <w:szCs w:val="21"/>
          <w:highlight w:val="none"/>
          <w14:textFill>
            <w14:solidFill>
              <w14:schemeClr w14:val="tx1"/>
            </w14:solidFill>
          </w14:textFill>
        </w:rPr>
        <w:t>部责任。</w:t>
      </w:r>
    </w:p>
    <w:p w14:paraId="4CD050C8">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3. 因包装、运输引起的货物损坏，按质量不合格处理。</w:t>
      </w:r>
    </w:p>
    <w:p w14:paraId="57C9CDEB">
      <w:pPr>
        <w:keepNext w:val="0"/>
        <w:keepLines w:val="0"/>
        <w:pageBreakBefore w:val="0"/>
        <w:widowControl/>
        <w:kinsoku w:val="0"/>
        <w:wordWrap/>
        <w:overflowPunct/>
        <w:topLinePunct w:val="0"/>
        <w:autoSpaceDE w:val="0"/>
        <w:autoSpaceDN w:val="0"/>
        <w:bidi w:val="0"/>
        <w:adjustRightInd w:val="0"/>
        <w:snapToGrid w:val="0"/>
        <w:spacing w:line="400" w:lineRule="exact"/>
        <w:ind w:right="157"/>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4.乙方逾期交货的，每</w:t>
      </w:r>
      <w:r>
        <w:rPr>
          <w:rFonts w:hint="eastAsia" w:ascii="宋体" w:hAnsi="宋体" w:eastAsia="宋体" w:cs="宋体"/>
          <w:color w:val="000000" w:themeColor="text1"/>
          <w:spacing w:val="8"/>
          <w:sz w:val="21"/>
          <w:szCs w:val="21"/>
          <w:highlight w:val="none"/>
          <w14:textFill>
            <w14:solidFill>
              <w14:schemeClr w14:val="tx1"/>
            </w14:solidFill>
          </w14:textFill>
        </w:rPr>
        <w:t>天向</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pacing w:val="8"/>
          <w:sz w:val="21"/>
          <w:szCs w:val="21"/>
          <w:highlight w:val="none"/>
          <w14:textFill>
            <w14:solidFill>
              <w14:schemeClr w14:val="tx1"/>
            </w14:solidFill>
          </w14:textFill>
        </w:rPr>
        <w:t>方偿付违约货款额</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0.2</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违约金，但违约金累计不得超过违约货款额</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5</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，超过</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0</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天</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pacing w:val="8"/>
          <w:sz w:val="21"/>
          <w:szCs w:val="21"/>
          <w:highlight w:val="none"/>
          <w14:textFill>
            <w14:solidFill>
              <w14:schemeClr w14:val="tx1"/>
            </w14:solidFill>
          </w14:textFill>
        </w:rPr>
        <w:t>方有权解除合同，</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pacing w:val="8"/>
          <w:sz w:val="21"/>
          <w:szCs w:val="21"/>
          <w:highlight w:val="none"/>
          <w14:textFill>
            <w14:solidFill>
              <w14:schemeClr w14:val="tx1"/>
            </w14:solidFill>
          </w14:textFill>
        </w:rPr>
        <w:t>承担因此给</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甲</w:t>
      </w:r>
      <w:r>
        <w:rPr>
          <w:rFonts w:hint="eastAsia" w:ascii="宋体" w:hAnsi="宋体" w:eastAsia="宋体" w:cs="宋体"/>
          <w:color w:val="000000" w:themeColor="text1"/>
          <w:spacing w:val="7"/>
          <w:sz w:val="21"/>
          <w:szCs w:val="21"/>
          <w:highlight w:val="none"/>
          <w14:textFill>
            <w14:solidFill>
              <w14:schemeClr w14:val="tx1"/>
            </w14:solidFill>
          </w14:textFill>
        </w:rPr>
        <w:t>方造成</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的全部</w:t>
      </w:r>
      <w:r>
        <w:rPr>
          <w:rFonts w:hint="eastAsia" w:ascii="宋体" w:hAnsi="宋体" w:eastAsia="宋体" w:cs="宋体"/>
          <w:color w:val="000000" w:themeColor="text1"/>
          <w:spacing w:val="7"/>
          <w:sz w:val="21"/>
          <w:szCs w:val="21"/>
          <w:highlight w:val="none"/>
          <w14:textFill>
            <w14:solidFill>
              <w14:schemeClr w14:val="tx1"/>
            </w14:solidFill>
          </w14:textFill>
        </w:rPr>
        <w:t>经济损失；甲方</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逾</w:t>
      </w:r>
      <w:r>
        <w:rPr>
          <w:rFonts w:hint="eastAsia" w:ascii="宋体" w:hAnsi="宋体" w:eastAsia="宋体" w:cs="宋体"/>
          <w:color w:val="000000" w:themeColor="text1"/>
          <w:spacing w:val="9"/>
          <w:sz w:val="21"/>
          <w:szCs w:val="21"/>
          <w:highlight w:val="none"/>
          <w14:textFill>
            <w14:solidFill>
              <w14:schemeClr w14:val="tx1"/>
            </w14:solidFill>
          </w14:textFill>
        </w:rPr>
        <w:t>期付货款的，每天向乙方偿付延期货款额</w:t>
      </w:r>
      <w:r>
        <w:rPr>
          <w:rFonts w:hint="eastAsia"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0.2</w:t>
      </w:r>
      <w:r>
        <w:rPr>
          <w:rFonts w:hint="eastAsia"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14:textFill>
            <w14:solidFill>
              <w14:schemeClr w14:val="tx1"/>
            </w14:solidFill>
          </w14:textFill>
        </w:rPr>
        <w:t>‰滞</w:t>
      </w:r>
      <w:r>
        <w:rPr>
          <w:rFonts w:hint="eastAsia" w:ascii="宋体" w:hAnsi="宋体" w:eastAsia="宋体" w:cs="宋体"/>
          <w:color w:val="000000" w:themeColor="text1"/>
          <w:spacing w:val="8"/>
          <w:sz w:val="21"/>
          <w:szCs w:val="21"/>
          <w:highlight w:val="none"/>
          <w14:textFill>
            <w14:solidFill>
              <w14:schemeClr w14:val="tx1"/>
            </w14:solidFill>
          </w14:textFill>
        </w:rPr>
        <w:t>纳金，但滞纳金累计不得超过延期货款额</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5</w:t>
      </w:r>
      <w:r>
        <w:rPr>
          <w:rFonts w:hint="eastAsia"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u w:val="single" w:color="auto"/>
          <w:lang w:eastAsia="zh-CN"/>
          <w14:textFill>
            <w14:solidFill>
              <w14:schemeClr w14:val="tx1"/>
            </w14:solidFill>
          </w14:textFill>
        </w:rPr>
        <w:t>；</w:t>
      </w:r>
      <w:r>
        <w:rPr>
          <w:rFonts w:hint="eastAsia" w:ascii="宋体" w:hAnsi="宋体" w:eastAsia="宋体" w:cs="宋体"/>
          <w:color w:val="000000" w:themeColor="text1"/>
          <w:spacing w:val="8"/>
          <w:sz w:val="21"/>
          <w:szCs w:val="21"/>
          <w:highlight w:val="none"/>
          <w:u w:val="single" w:color="auto"/>
          <w:lang w:val="en-US" w:eastAsia="zh-CN"/>
          <w14:textFill>
            <w14:solidFill>
              <w14:schemeClr w14:val="tx1"/>
            </w14:solidFill>
          </w14:textFill>
        </w:rPr>
        <w:t>但因</w:t>
      </w:r>
      <w:r>
        <w:rPr>
          <w:rFonts w:hint="eastAsia" w:ascii="宋体" w:hAnsi="宋体" w:eastAsia="宋体" w:cs="宋体"/>
          <w:color w:val="000000" w:themeColor="text1"/>
          <w:spacing w:val="-54"/>
          <w:sz w:val="21"/>
          <w:szCs w:val="21"/>
          <w:highlight w:val="none"/>
          <w14:textFill>
            <w14:solidFill>
              <w14:schemeClr w14:val="tx1"/>
            </w14:solidFill>
          </w14:textFill>
        </w:rPr>
        <w:t xml:space="preserve"> </w:t>
      </w:r>
      <w:r>
        <w:rPr>
          <w:rFonts w:hint="eastAsia" w:ascii="宋体" w:hAnsi="宋体" w:eastAsia="宋体" w:cs="宋体"/>
          <w:snapToGrid w:val="0"/>
          <w:color w:val="000000" w:themeColor="text1"/>
          <w:spacing w:val="8"/>
          <w:kern w:val="2"/>
          <w:sz w:val="21"/>
          <w:szCs w:val="21"/>
          <w:highlight w:val="none"/>
          <w:lang w:val="en-US" w:eastAsia="zh-CN" w:bidi="ar"/>
          <w14:textFill>
            <w14:solidFill>
              <w14:schemeClr w14:val="tx1"/>
            </w14:solidFill>
          </w14:textFill>
        </w:rPr>
        <w:t>乙方未按约提供合法、有效的发票、收款凭证或其他付款所需资料，导致甲方无法按期付款的，甲方不承担逾期付款责任。</w:t>
      </w:r>
    </w:p>
    <w:p w14:paraId="6956CC7B">
      <w:pPr>
        <w:pStyle w:val="8"/>
        <w:keepNext w:val="0"/>
        <w:keepLines w:val="0"/>
        <w:pageBreakBefore w:val="0"/>
        <w:widowControl/>
        <w:kinsoku w:val="0"/>
        <w:wordWrap/>
        <w:overflowPunct/>
        <w:topLinePunct w:val="0"/>
        <w:autoSpaceDE/>
        <w:autoSpaceDN/>
        <w:bidi w:val="0"/>
        <w:adjustRightInd w:val="0"/>
        <w:snapToGrid w:val="0"/>
        <w:spacing w:line="400" w:lineRule="exact"/>
        <w:ind w:left="8" w:right="70" w:firstLine="452" w:firstLineChars="200"/>
        <w:jc w:val="both"/>
        <w:textAlignment w:val="baseline"/>
        <w:rPr>
          <w:rFonts w:hint="eastAsia" w:ascii="宋体" w:hAnsi="宋体" w:eastAsia="宋体" w:cs="宋体"/>
          <w:color w:val="000000" w:themeColor="text1"/>
          <w:spacing w:val="6"/>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5.</w:t>
      </w:r>
      <w:r>
        <w:rPr>
          <w:rFonts w:hint="eastAsia" w:ascii="宋体" w:hAnsi="宋体" w:eastAsia="宋体" w:cs="宋体"/>
          <w:color w:val="000000" w:themeColor="text1"/>
          <w:sz w:val="21"/>
          <w:szCs w:val="21"/>
          <w:highlight w:val="none"/>
          <w:lang w:eastAsia="zh-CN"/>
          <w14:textFill>
            <w14:solidFill>
              <w14:schemeClr w14:val="tx1"/>
            </w14:solidFill>
          </w14:textFill>
        </w:rPr>
        <w:t>乙方未按本合同和响应文件中规定的服务承诺提供售后服务的（包括未按时响应、未按时完成维修等情形），</w:t>
      </w:r>
      <w:r>
        <w:rPr>
          <w:rFonts w:hint="eastAsia" w:ascii="宋体" w:hAnsi="宋体" w:eastAsia="宋体" w:cs="宋体"/>
          <w:color w:val="000000" w:themeColor="text1"/>
          <w:sz w:val="21"/>
          <w:szCs w:val="21"/>
          <w:highlight w:val="none"/>
          <w:lang w:val="en-US" w:eastAsia="zh-CN"/>
          <w14:textFill>
            <w14:solidFill>
              <w14:schemeClr w14:val="tx1"/>
            </w14:solidFill>
          </w14:textFill>
        </w:rPr>
        <w:t>每次违约</w:t>
      </w:r>
      <w:r>
        <w:rPr>
          <w:rFonts w:hint="eastAsia" w:ascii="宋体" w:hAnsi="宋体" w:eastAsia="宋体" w:cs="宋体"/>
          <w:color w:val="000000" w:themeColor="text1"/>
          <w:sz w:val="21"/>
          <w:szCs w:val="21"/>
          <w:highlight w:val="none"/>
          <w:lang w:eastAsia="zh-CN"/>
          <w14:textFill>
            <w14:solidFill>
              <w14:schemeClr w14:val="tx1"/>
            </w14:solidFill>
          </w14:textFill>
        </w:rPr>
        <w:t>乙方应按1000元/次向甲方支付违约金</w:t>
      </w:r>
      <w:r>
        <w:rPr>
          <w:rFonts w:hint="eastAsia" w:ascii="宋体" w:hAnsi="宋体" w:eastAsia="宋体" w:cs="宋体"/>
          <w:color w:val="000000" w:themeColor="text1"/>
          <w:spacing w:val="6"/>
          <w:sz w:val="21"/>
          <w:szCs w:val="21"/>
          <w:highlight w:val="none"/>
          <w14:textFill>
            <w14:solidFill>
              <w14:schemeClr w14:val="tx1"/>
            </w14:solidFill>
          </w14:textFill>
        </w:rPr>
        <w:t>。同一违约情形发生两次以上的，甲方有权解除合同并要求乙方退还已支付的全部运维费用。</w:t>
      </w:r>
    </w:p>
    <w:p w14:paraId="291F033F">
      <w:pPr>
        <w:pStyle w:val="8"/>
        <w:keepNext w:val="0"/>
        <w:keepLines w:val="0"/>
        <w:pageBreakBefore w:val="0"/>
        <w:widowControl/>
        <w:kinsoku w:val="0"/>
        <w:wordWrap/>
        <w:overflowPunct/>
        <w:topLinePunct w:val="0"/>
        <w:autoSpaceDE/>
        <w:autoSpaceDN/>
        <w:bidi w:val="0"/>
        <w:adjustRightInd w:val="0"/>
        <w:snapToGrid w:val="0"/>
        <w:spacing w:line="400" w:lineRule="exact"/>
        <w:ind w:left="8" w:right="70"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6</w:t>
      </w:r>
      <w:r>
        <w:rPr>
          <w:rFonts w:hint="eastAsia"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乙方提供的货物在保修期内，因设计、工艺或材料的缺陷和</w:t>
      </w:r>
      <w:r>
        <w:rPr>
          <w:rFonts w:hint="eastAsia" w:ascii="宋体" w:hAnsi="宋体" w:eastAsia="宋体" w:cs="宋体"/>
          <w:color w:val="000000" w:themeColor="text1"/>
          <w:spacing w:val="5"/>
          <w:sz w:val="21"/>
          <w:szCs w:val="21"/>
          <w:highlight w:val="none"/>
          <w14:textFill>
            <w14:solidFill>
              <w14:schemeClr w14:val="tx1"/>
            </w14:solidFill>
          </w14:textFill>
        </w:rPr>
        <w:t>其他质量原因造成的问题，由乙方负责。</w:t>
      </w:r>
    </w:p>
    <w:p w14:paraId="56F5CE78">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rPr>
          <w:rFonts w:hint="eastAsia" w:ascii="宋体" w:hAnsi="宋体" w:eastAsia="宋体" w:cs="宋体"/>
          <w:color w:val="000000" w:themeColor="text1"/>
          <w:spacing w:val="8"/>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7. 其他违约行为按违约货款额</w:t>
      </w:r>
      <w:r>
        <w:rPr>
          <w:rFonts w:hint="eastAsia" w:ascii="宋体" w:hAnsi="宋体" w:eastAsia="宋体" w:cs="宋体"/>
          <w:color w:val="000000" w:themeColor="text1"/>
          <w:spacing w:val="-92"/>
          <w:sz w:val="21"/>
          <w:szCs w:val="21"/>
          <w:highlight w:val="none"/>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color="auto"/>
          <w14:textFill>
            <w14:solidFill>
              <w14:schemeClr w14:val="tx1"/>
            </w14:solidFill>
          </w14:textFill>
        </w:rPr>
        <w:t xml:space="preserve">  5  </w:t>
      </w:r>
      <w:r>
        <w:rPr>
          <w:rFonts w:hint="eastAsia" w:ascii="宋体" w:hAnsi="宋体" w:eastAsia="宋体" w:cs="宋体"/>
          <w:color w:val="000000" w:themeColor="text1"/>
          <w:spacing w:val="-9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8"/>
          <w:sz w:val="21"/>
          <w:szCs w:val="21"/>
          <w:highlight w:val="none"/>
          <w14:textFill>
            <w14:solidFill>
              <w14:schemeClr w14:val="tx1"/>
            </w14:solidFill>
          </w14:textFill>
        </w:rPr>
        <w:t>%收取违约金并赔偿经济损失</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，赔偿范围包括但不限于甲方因此产生的检测费、鉴定费、差旅费、律师费及因监测数据中断导致的行政罚款（</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如有）</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等</w:t>
      </w:r>
      <w:r>
        <w:rPr>
          <w:rFonts w:hint="eastAsia" w:ascii="宋体" w:hAnsi="宋体" w:eastAsia="宋体" w:cs="宋体"/>
          <w:color w:val="000000" w:themeColor="text1"/>
          <w:spacing w:val="8"/>
          <w:sz w:val="21"/>
          <w:szCs w:val="21"/>
          <w:highlight w:val="none"/>
          <w14:textFill>
            <w14:solidFill>
              <w14:schemeClr w14:val="tx1"/>
            </w14:solidFill>
          </w14:textFill>
        </w:rPr>
        <w:t>。</w:t>
      </w:r>
    </w:p>
    <w:p w14:paraId="48E2A94B">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28" w:name="bookmark64"/>
      <w:bookmarkEnd w:id="28"/>
      <w:r>
        <w:rPr>
          <w:rFonts w:hint="eastAsia" w:ascii="宋体" w:hAnsi="宋体" w:eastAsia="宋体" w:cs="宋体"/>
          <w:b/>
          <w:bCs/>
          <w:color w:val="000000" w:themeColor="text1"/>
          <w:spacing w:val="7"/>
          <w:sz w:val="21"/>
          <w:szCs w:val="21"/>
          <w:highlight w:val="none"/>
          <w14:textFill>
            <w14:solidFill>
              <w14:schemeClr w14:val="tx1"/>
            </w14:solidFill>
          </w14:textFill>
        </w:rPr>
        <w:t>第十二条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不可抗力事件处理</w:t>
      </w:r>
    </w:p>
    <w:p w14:paraId="782078D2">
      <w:pPr>
        <w:pStyle w:val="8"/>
        <w:keepNext w:val="0"/>
        <w:keepLines w:val="0"/>
        <w:pageBreakBefore w:val="0"/>
        <w:widowControl/>
        <w:kinsoku w:val="0"/>
        <w:wordWrap/>
        <w:overflowPunct/>
        <w:topLinePunct w:val="0"/>
        <w:autoSpaceDE/>
        <w:autoSpaceDN/>
        <w:bidi w:val="0"/>
        <w:adjustRightInd w:val="0"/>
        <w:snapToGrid w:val="0"/>
        <w:spacing w:line="400" w:lineRule="exact"/>
        <w:ind w:left="8" w:right="157"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1.在合同有效期内，乙方因不可抗力事件导致不能履行合同，则合同履行期可延长，其延长期与不可</w:t>
      </w:r>
      <w:r>
        <w:rPr>
          <w:rFonts w:hint="eastAsia" w:ascii="宋体" w:hAnsi="宋体" w:eastAsia="宋体" w:cs="宋体"/>
          <w:color w:val="000000" w:themeColor="text1"/>
          <w:spacing w:val="7"/>
          <w:sz w:val="21"/>
          <w:szCs w:val="21"/>
          <w:highlight w:val="none"/>
          <w14:textFill>
            <w14:solidFill>
              <w14:schemeClr w14:val="tx1"/>
            </w14:solidFill>
          </w14:textFill>
        </w:rPr>
        <w:t>抗力影响期相同。</w:t>
      </w:r>
    </w:p>
    <w:p w14:paraId="15A3162B">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2.不可抗力事件发生后，应</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24小时内书面</w:t>
      </w:r>
      <w:r>
        <w:rPr>
          <w:rFonts w:hint="eastAsia" w:ascii="宋体" w:hAnsi="宋体" w:eastAsia="宋体" w:cs="宋体"/>
          <w:color w:val="000000" w:themeColor="text1"/>
          <w:spacing w:val="9"/>
          <w:sz w:val="21"/>
          <w:szCs w:val="21"/>
          <w:highlight w:val="none"/>
          <w14:textFill>
            <w14:solidFill>
              <w14:schemeClr w14:val="tx1"/>
            </w14:solidFill>
          </w14:textFill>
        </w:rPr>
        <w:t>通知对方，并</w:t>
      </w:r>
      <w:r>
        <w:rPr>
          <w:rFonts w:hint="eastAsia" w:ascii="宋体" w:hAnsi="宋体" w:eastAsia="宋体" w:cs="宋体"/>
          <w:color w:val="000000" w:themeColor="text1"/>
          <w:spacing w:val="9"/>
          <w:sz w:val="21"/>
          <w:szCs w:val="21"/>
          <w:highlight w:val="none"/>
          <w:lang w:val="en-US" w:eastAsia="zh-CN"/>
          <w14:textFill>
            <w14:solidFill>
              <w14:schemeClr w14:val="tx1"/>
            </w14:solidFill>
          </w14:textFill>
        </w:rPr>
        <w:t>在7日内</w:t>
      </w:r>
      <w:r>
        <w:rPr>
          <w:rFonts w:hint="eastAsia" w:ascii="宋体" w:hAnsi="宋体" w:eastAsia="宋体" w:cs="宋体"/>
          <w:color w:val="000000" w:themeColor="text1"/>
          <w:spacing w:val="9"/>
          <w:sz w:val="21"/>
          <w:szCs w:val="21"/>
          <w:highlight w:val="none"/>
          <w14:textFill>
            <w14:solidFill>
              <w14:schemeClr w14:val="tx1"/>
            </w14:solidFill>
          </w14:textFill>
        </w:rPr>
        <w:t>寄送有关权威机构出具的证明，逾期未履行的，视为未发生不可抗力事件。</w:t>
      </w:r>
    </w:p>
    <w:p w14:paraId="37929F4C">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3.不可抗力事件延续一百二十天以上，双方应通过友好协商，确定是否继续履行合同。</w:t>
      </w:r>
    </w:p>
    <w:p w14:paraId="7A0B7204">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29" w:name="bookmark65"/>
      <w:bookmarkEnd w:id="29"/>
      <w:r>
        <w:rPr>
          <w:rFonts w:hint="eastAsia" w:ascii="宋体" w:hAnsi="宋体" w:eastAsia="宋体" w:cs="宋体"/>
          <w:b/>
          <w:bCs/>
          <w:color w:val="000000" w:themeColor="text1"/>
          <w:spacing w:val="7"/>
          <w:sz w:val="21"/>
          <w:szCs w:val="21"/>
          <w:highlight w:val="none"/>
          <w14:textFill>
            <w14:solidFill>
              <w14:schemeClr w14:val="tx1"/>
            </w14:solidFill>
          </w14:textFill>
        </w:rPr>
        <w:t>第十三条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合同争议解决</w:t>
      </w:r>
    </w:p>
    <w:p w14:paraId="2BFAF20F">
      <w:pPr>
        <w:pStyle w:val="8"/>
        <w:keepNext w:val="0"/>
        <w:keepLines w:val="0"/>
        <w:pageBreakBefore w:val="0"/>
        <w:widowControl/>
        <w:kinsoku w:val="0"/>
        <w:wordWrap/>
        <w:overflowPunct/>
        <w:topLinePunct w:val="0"/>
        <w:autoSpaceDE/>
        <w:autoSpaceDN/>
        <w:bidi w:val="0"/>
        <w:adjustRightInd w:val="0"/>
        <w:snapToGrid w:val="0"/>
        <w:spacing w:line="400" w:lineRule="exact"/>
        <w:ind w:left="25" w:right="157"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1.因货物质量问题发生争议的，应邀请国家认可的质量检测机构对货物质量进行鉴定。货物符合标准的，鉴定费由甲方承担；货物不符合标准的</w:t>
      </w:r>
      <w:r>
        <w:rPr>
          <w:rFonts w:hint="eastAsia" w:ascii="宋体" w:hAnsi="宋体" w:eastAsia="宋体" w:cs="宋体"/>
          <w:color w:val="000000" w:themeColor="text1"/>
          <w:spacing w:val="8"/>
          <w:sz w:val="21"/>
          <w:szCs w:val="21"/>
          <w:highlight w:val="none"/>
          <w14:textFill>
            <w14:solidFill>
              <w14:schemeClr w14:val="tx1"/>
            </w14:solidFill>
          </w14:textFill>
        </w:rPr>
        <w:t>，鉴定费由乙方承担。</w:t>
      </w:r>
    </w:p>
    <w:p w14:paraId="6252D33A">
      <w:pPr>
        <w:pStyle w:val="8"/>
        <w:keepNext w:val="0"/>
        <w:keepLines w:val="0"/>
        <w:pageBreakBefore w:val="0"/>
        <w:widowControl/>
        <w:kinsoku w:val="0"/>
        <w:wordWrap/>
        <w:overflowPunct/>
        <w:topLinePunct w:val="0"/>
        <w:autoSpaceDE/>
        <w:autoSpaceDN/>
        <w:bidi w:val="0"/>
        <w:adjustRightInd w:val="0"/>
        <w:snapToGrid w:val="0"/>
        <w:spacing w:line="400" w:lineRule="exact"/>
        <w:ind w:left="14" w:right="157"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2.因履行本合同引起的或与本合同有关的争议</w:t>
      </w:r>
      <w:r>
        <w:rPr>
          <w:rFonts w:hint="eastAsia" w:ascii="宋体" w:hAnsi="宋体" w:eastAsia="宋体" w:cs="宋体"/>
          <w:color w:val="000000" w:themeColor="text1"/>
          <w:spacing w:val="8"/>
          <w:sz w:val="21"/>
          <w:szCs w:val="21"/>
          <w:highlight w:val="none"/>
          <w14:textFill>
            <w14:solidFill>
              <w14:schemeClr w14:val="tx1"/>
            </w14:solidFill>
          </w14:textFill>
        </w:rPr>
        <w:t>，甲乙双方应首先通过友好协商解决，如果协商不能解决，可向</w:t>
      </w: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pacing w:val="8"/>
          <w:sz w:val="21"/>
          <w:szCs w:val="21"/>
          <w:highlight w:val="none"/>
          <w14:textFill>
            <w14:solidFill>
              <w14:schemeClr w14:val="tx1"/>
            </w14:solidFill>
          </w14:textFill>
        </w:rPr>
        <w:t>所在地辖区人民法院提起诉讼。</w:t>
      </w:r>
    </w:p>
    <w:p w14:paraId="41D9AE3A">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8" w:firstLineChars="200"/>
        <w:jc w:val="both"/>
        <w:textAlignment w:val="baseline"/>
        <w:outlineLvl w:val="9"/>
        <w:rPr>
          <w:rFonts w:hint="eastAsia" w:ascii="宋体" w:hAnsi="宋体" w:eastAsia="宋体" w:cs="宋体"/>
          <w:b/>
          <w:bCs/>
          <w:color w:val="000000" w:themeColor="text1"/>
          <w:spacing w:val="7"/>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3.诉讼期间，本合同继续履行。</w:t>
      </w:r>
    </w:p>
    <w:p w14:paraId="5D60EBD5">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b/>
          <w:bCs/>
          <w:color w:val="000000" w:themeColor="text1"/>
          <w:spacing w:val="7"/>
          <w:sz w:val="21"/>
          <w:szCs w:val="21"/>
          <w:highlight w:val="none"/>
          <w14:textFill>
            <w14:solidFill>
              <w14:schemeClr w14:val="tx1"/>
            </w14:solidFill>
          </w14:textFill>
        </w:rPr>
      </w:pPr>
      <w:r>
        <w:rPr>
          <w:rFonts w:hint="eastAsia" w:ascii="宋体" w:hAnsi="宋体" w:eastAsia="宋体" w:cs="宋体"/>
          <w:b/>
          <w:bCs/>
          <w:color w:val="000000" w:themeColor="text1"/>
          <w:spacing w:val="7"/>
          <w:sz w:val="21"/>
          <w:szCs w:val="21"/>
          <w:highlight w:val="none"/>
          <w14:textFill>
            <w14:solidFill>
              <w14:schemeClr w14:val="tx1"/>
            </w14:solidFill>
          </w14:textFill>
        </w:rPr>
        <w:t>第十四条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合同生效及其它</w:t>
      </w:r>
    </w:p>
    <w:p w14:paraId="3D50C498">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2"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1.合同经甲乙双方法定代表人、负责人、自然人或相应的授权代表签字并加盖</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供应商</w:t>
      </w:r>
      <w:r>
        <w:rPr>
          <w:rFonts w:hint="eastAsia" w:ascii="宋体" w:hAnsi="宋体" w:eastAsia="宋体" w:cs="宋体"/>
          <w:color w:val="000000" w:themeColor="text1"/>
          <w:spacing w:val="7"/>
          <w:sz w:val="21"/>
          <w:szCs w:val="21"/>
          <w:highlight w:val="none"/>
          <w14:textFill>
            <w14:solidFill>
              <w14:schemeClr w14:val="tx1"/>
            </w14:solidFill>
          </w14:textFill>
        </w:rPr>
        <w:t>公章后生效。</w:t>
      </w:r>
    </w:p>
    <w:p w14:paraId="784F8089">
      <w:pPr>
        <w:pStyle w:val="8"/>
        <w:keepNext w:val="0"/>
        <w:keepLines w:val="0"/>
        <w:pageBreakBefore w:val="0"/>
        <w:widowControl/>
        <w:kinsoku w:val="0"/>
        <w:wordWrap/>
        <w:overflowPunct/>
        <w:topLinePunct w:val="0"/>
        <w:autoSpaceDE/>
        <w:autoSpaceDN/>
        <w:bidi w:val="0"/>
        <w:adjustRightInd w:val="0"/>
        <w:snapToGrid w:val="0"/>
        <w:spacing w:line="400" w:lineRule="exact"/>
        <w:ind w:left="6" w:right="88" w:firstLine="460"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0"/>
          <w:sz w:val="21"/>
          <w:szCs w:val="21"/>
          <w:highlight w:val="none"/>
          <w14:textFill>
            <w14:solidFill>
              <w14:schemeClr w14:val="tx1"/>
            </w14:solidFill>
          </w14:textFill>
        </w:rPr>
        <w:t>2.合同执行中涉及采购资金和采购内容修改</w:t>
      </w:r>
      <w:r>
        <w:rPr>
          <w:rFonts w:hint="eastAsia" w:ascii="宋体" w:hAnsi="宋体" w:eastAsia="宋体" w:cs="宋体"/>
          <w:color w:val="000000" w:themeColor="text1"/>
          <w:spacing w:val="9"/>
          <w:sz w:val="21"/>
          <w:szCs w:val="21"/>
          <w:highlight w:val="none"/>
          <w14:textFill>
            <w14:solidFill>
              <w14:schemeClr w14:val="tx1"/>
            </w14:solidFill>
          </w14:textFill>
        </w:rPr>
        <w:t>或补充的，需经同级财政部门审批，并签订书面补充协议报同级财政部门备案，方可作为主合同不可分割的一部分。</w:t>
      </w:r>
    </w:p>
    <w:p w14:paraId="77973576">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3.本合同未尽事宜，遵照《中华人民共和国民法典》有关条</w:t>
      </w:r>
      <w:r>
        <w:rPr>
          <w:rFonts w:hint="eastAsia" w:ascii="宋体" w:hAnsi="宋体" w:eastAsia="宋体" w:cs="宋体"/>
          <w:color w:val="000000" w:themeColor="text1"/>
          <w:spacing w:val="8"/>
          <w:sz w:val="21"/>
          <w:szCs w:val="21"/>
          <w:highlight w:val="none"/>
          <w14:textFill>
            <w14:solidFill>
              <w14:schemeClr w14:val="tx1"/>
            </w14:solidFill>
          </w14:textFill>
        </w:rPr>
        <w:t>文执行。</w:t>
      </w:r>
    </w:p>
    <w:p w14:paraId="0DE32B84">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30" w:name="bookmark67"/>
      <w:bookmarkEnd w:id="30"/>
      <w:r>
        <w:rPr>
          <w:rFonts w:hint="eastAsia" w:ascii="宋体" w:hAnsi="宋体" w:eastAsia="宋体" w:cs="宋体"/>
          <w:b/>
          <w:bCs/>
          <w:color w:val="000000" w:themeColor="text1"/>
          <w:spacing w:val="7"/>
          <w:sz w:val="21"/>
          <w:szCs w:val="21"/>
          <w:highlight w:val="none"/>
          <w14:textFill>
            <w14:solidFill>
              <w14:schemeClr w14:val="tx1"/>
            </w14:solidFill>
          </w14:textFill>
        </w:rPr>
        <w:t>第十五条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合同的变更、终止与转让</w:t>
      </w:r>
    </w:p>
    <w:p w14:paraId="1E1BD82B">
      <w:pPr>
        <w:pStyle w:val="8"/>
        <w:keepNext w:val="0"/>
        <w:keepLines w:val="0"/>
        <w:pageBreakBefore w:val="0"/>
        <w:widowControl/>
        <w:kinsoku w:val="0"/>
        <w:wordWrap/>
        <w:overflowPunct/>
        <w:topLinePunct w:val="0"/>
        <w:autoSpaceDE/>
        <w:autoSpaceDN/>
        <w:bidi w:val="0"/>
        <w:adjustRightInd w:val="0"/>
        <w:snapToGrid w:val="0"/>
        <w:spacing w:line="400" w:lineRule="exact"/>
        <w:ind w:left="10" w:right="88"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1.除《中华人民共和国政府采购法》第五十条规定的情形外，本合同一经签订，甲乙双方不得擅自变</w:t>
      </w:r>
      <w:r>
        <w:rPr>
          <w:rFonts w:hint="eastAsia" w:ascii="宋体" w:hAnsi="宋体" w:eastAsia="宋体" w:cs="宋体"/>
          <w:color w:val="000000" w:themeColor="text1"/>
          <w:spacing w:val="7"/>
          <w:sz w:val="21"/>
          <w:szCs w:val="21"/>
          <w:highlight w:val="none"/>
          <w14:textFill>
            <w14:solidFill>
              <w14:schemeClr w14:val="tx1"/>
            </w14:solidFill>
          </w14:textFill>
        </w:rPr>
        <w:t>更，中止或终止。</w:t>
      </w:r>
    </w:p>
    <w:p w14:paraId="2F72D377">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6"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9"/>
          <w:sz w:val="21"/>
          <w:szCs w:val="21"/>
          <w:highlight w:val="none"/>
          <w14:textFill>
            <w14:solidFill>
              <w14:schemeClr w14:val="tx1"/>
            </w14:solidFill>
          </w14:textFill>
        </w:rPr>
        <w:t>2.乙方不得擅自转让(无进口资格的供应商委托进口货物除外)其应履行的</w:t>
      </w:r>
      <w:r>
        <w:rPr>
          <w:rFonts w:hint="eastAsia" w:ascii="宋体" w:hAnsi="宋体" w:eastAsia="宋体" w:cs="宋体"/>
          <w:color w:val="000000" w:themeColor="text1"/>
          <w:spacing w:val="8"/>
          <w:sz w:val="21"/>
          <w:szCs w:val="21"/>
          <w:highlight w:val="none"/>
          <w14:textFill>
            <w14:solidFill>
              <w14:schemeClr w14:val="tx1"/>
            </w14:solidFill>
          </w14:textFill>
        </w:rPr>
        <w:t>合同义务。</w:t>
      </w:r>
    </w:p>
    <w:p w14:paraId="09149E44">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50" w:firstLineChars="200"/>
        <w:jc w:val="both"/>
        <w:textAlignment w:val="baseline"/>
        <w:outlineLvl w:val="1"/>
        <w:rPr>
          <w:rFonts w:hint="eastAsia" w:ascii="宋体" w:hAnsi="宋体" w:eastAsia="宋体" w:cs="宋体"/>
          <w:color w:val="000000" w:themeColor="text1"/>
          <w:sz w:val="21"/>
          <w:szCs w:val="21"/>
          <w:highlight w:val="none"/>
          <w14:textFill>
            <w14:solidFill>
              <w14:schemeClr w14:val="tx1"/>
            </w14:solidFill>
          </w14:textFill>
        </w:rPr>
      </w:pPr>
      <w:bookmarkStart w:id="31" w:name="bookmark68"/>
      <w:bookmarkEnd w:id="31"/>
      <w:r>
        <w:rPr>
          <w:rFonts w:hint="eastAsia" w:ascii="宋体" w:hAnsi="宋体" w:eastAsia="宋体" w:cs="宋体"/>
          <w:b/>
          <w:bCs/>
          <w:color w:val="000000" w:themeColor="text1"/>
          <w:spacing w:val="7"/>
          <w:sz w:val="21"/>
          <w:szCs w:val="21"/>
          <w:highlight w:val="none"/>
          <w14:textFill>
            <w14:solidFill>
              <w14:schemeClr w14:val="tx1"/>
            </w14:solidFill>
          </w14:textFill>
        </w:rPr>
        <w:t>第十六条</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b/>
          <w:bCs/>
          <w:color w:val="000000" w:themeColor="text1"/>
          <w:spacing w:val="7"/>
          <w:sz w:val="21"/>
          <w:szCs w:val="21"/>
          <w:highlight w:val="none"/>
          <w14:textFill>
            <w14:solidFill>
              <w14:schemeClr w14:val="tx1"/>
            </w14:solidFill>
          </w14:textFill>
        </w:rPr>
        <w:t>签订本合同依据</w:t>
      </w:r>
    </w:p>
    <w:p w14:paraId="0DBD7318">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3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3"/>
          <w:sz w:val="21"/>
          <w:szCs w:val="21"/>
          <w:highlight w:val="none"/>
          <w14:textFill>
            <w14:solidFill>
              <w14:schemeClr w14:val="tx1"/>
            </w14:solidFill>
          </w14:textFill>
        </w:rPr>
        <w:t>1.</w:t>
      </w:r>
      <w:r>
        <w:rPr>
          <w:rFonts w:hint="eastAsia" w:ascii="宋体" w:hAnsi="宋体" w:eastAsia="宋体" w:cs="宋体"/>
          <w:color w:val="000000" w:themeColor="text1"/>
          <w:spacing w:val="3"/>
          <w:sz w:val="21"/>
          <w:szCs w:val="21"/>
          <w:highlight w:val="none"/>
          <w:lang w:eastAsia="zh-CN"/>
          <w14:textFill>
            <w14:solidFill>
              <w14:schemeClr w14:val="tx1"/>
            </w14:solidFill>
          </w14:textFill>
        </w:rPr>
        <w:t>谈判</w:t>
      </w:r>
      <w:r>
        <w:rPr>
          <w:rFonts w:hint="eastAsia" w:ascii="宋体" w:hAnsi="宋体" w:eastAsia="宋体" w:cs="宋体"/>
          <w:color w:val="000000" w:themeColor="text1"/>
          <w:spacing w:val="3"/>
          <w:sz w:val="21"/>
          <w:szCs w:val="21"/>
          <w:highlight w:val="none"/>
          <w14:textFill>
            <w14:solidFill>
              <w14:schemeClr w14:val="tx1"/>
            </w14:solidFill>
          </w14:textFill>
        </w:rPr>
        <w:t>文件；</w:t>
      </w:r>
    </w:p>
    <w:p w14:paraId="532B5259">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8"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2.乙方提供的</w:t>
      </w:r>
      <w:r>
        <w:rPr>
          <w:rFonts w:hint="eastAsia" w:ascii="宋体" w:hAnsi="宋体" w:eastAsia="宋体" w:cs="宋体"/>
          <w:color w:val="000000" w:themeColor="text1"/>
          <w:spacing w:val="7"/>
          <w:sz w:val="21"/>
          <w:szCs w:val="21"/>
          <w:highlight w:val="none"/>
          <w:lang w:eastAsia="zh-CN"/>
          <w14:textFill>
            <w14:solidFill>
              <w14:schemeClr w14:val="tx1"/>
            </w14:solidFill>
          </w14:textFill>
        </w:rPr>
        <w:t>响应</w:t>
      </w:r>
      <w:r>
        <w:rPr>
          <w:rFonts w:hint="eastAsia" w:ascii="宋体" w:hAnsi="宋体" w:eastAsia="宋体" w:cs="宋体"/>
          <w:color w:val="000000" w:themeColor="text1"/>
          <w:spacing w:val="7"/>
          <w:sz w:val="21"/>
          <w:szCs w:val="21"/>
          <w:highlight w:val="none"/>
          <w14:textFill>
            <w14:solidFill>
              <w14:schemeClr w14:val="tx1"/>
            </w14:solidFill>
          </w14:textFill>
        </w:rPr>
        <w:t>文件；</w:t>
      </w:r>
    </w:p>
    <w:p w14:paraId="46771A21">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3.</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项</w:t>
      </w:r>
      <w:r>
        <w:rPr>
          <w:rFonts w:hint="eastAsia" w:ascii="宋体" w:hAnsi="宋体" w:eastAsia="宋体" w:cs="宋体"/>
          <w:color w:val="000000" w:themeColor="text1"/>
          <w:spacing w:val="6"/>
          <w:sz w:val="21"/>
          <w:szCs w:val="21"/>
          <w:highlight w:val="none"/>
          <w14:textFill>
            <w14:solidFill>
              <w14:schemeClr w14:val="tx1"/>
            </w14:solidFill>
          </w14:textFill>
        </w:rPr>
        <w:t>目实施方案、售后服务承诺；</w:t>
      </w:r>
    </w:p>
    <w:p w14:paraId="518048CC">
      <w:pPr>
        <w:pStyle w:val="8"/>
        <w:keepNext w:val="0"/>
        <w:keepLines w:val="0"/>
        <w:pageBreakBefore w:val="0"/>
        <w:widowControl/>
        <w:kinsoku w:val="0"/>
        <w:wordWrap/>
        <w:overflowPunct/>
        <w:topLinePunct w:val="0"/>
        <w:autoSpaceDE/>
        <w:autoSpaceDN/>
        <w:bidi w:val="0"/>
        <w:adjustRightInd w:val="0"/>
        <w:snapToGrid w:val="0"/>
        <w:spacing w:line="400" w:lineRule="exact"/>
        <w:ind w:left="0" w:firstLine="444"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4.</w:t>
      </w:r>
      <w:r>
        <w:rPr>
          <w:rFonts w:hint="eastAsia" w:ascii="宋体" w:hAnsi="宋体" w:eastAsia="宋体" w:cs="宋体"/>
          <w:color w:val="000000" w:themeColor="text1"/>
          <w:spacing w:val="6"/>
          <w:sz w:val="21"/>
          <w:szCs w:val="21"/>
          <w:highlight w:val="none"/>
          <w:lang w:eastAsia="zh-CN"/>
          <w14:textFill>
            <w14:solidFill>
              <w14:schemeClr w14:val="tx1"/>
            </w14:solidFill>
          </w14:textFill>
        </w:rPr>
        <w:t>成交</w:t>
      </w:r>
      <w:r>
        <w:rPr>
          <w:rFonts w:hint="eastAsia" w:ascii="宋体" w:hAnsi="宋体" w:eastAsia="宋体" w:cs="宋体"/>
          <w:color w:val="000000" w:themeColor="text1"/>
          <w:spacing w:val="6"/>
          <w:sz w:val="21"/>
          <w:szCs w:val="21"/>
          <w:highlight w:val="none"/>
          <w14:textFill>
            <w14:solidFill>
              <w14:schemeClr w14:val="tx1"/>
            </w14:solidFill>
          </w14:textFill>
        </w:rPr>
        <w:t>通知书。</w:t>
      </w:r>
    </w:p>
    <w:p w14:paraId="3ACA36F7">
      <w:pPr>
        <w:pStyle w:val="8"/>
        <w:keepNext w:val="0"/>
        <w:keepLines w:val="0"/>
        <w:pageBreakBefore w:val="0"/>
        <w:widowControl/>
        <w:kinsoku w:val="0"/>
        <w:wordWrap/>
        <w:overflowPunct/>
        <w:topLinePunct w:val="0"/>
        <w:autoSpaceDE/>
        <w:autoSpaceDN/>
        <w:bidi w:val="0"/>
        <w:adjustRightInd w:val="0"/>
        <w:snapToGrid w:val="0"/>
        <w:spacing w:line="400" w:lineRule="exact"/>
        <w:ind w:left="8" w:right="85" w:firstLine="452" w:firstLineChars="2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14:textFill>
            <w14:solidFill>
              <w14:schemeClr w14:val="tx1"/>
            </w14:solidFill>
          </w14:textFill>
        </w:rPr>
        <w:t>本合同采用电子形式在线签订</w:t>
      </w:r>
      <w:r>
        <w:rPr>
          <w:rFonts w:hint="eastAsia" w:ascii="宋体" w:hAnsi="宋体" w:eastAsia="宋体" w:cs="宋体"/>
          <w:color w:val="000000" w:themeColor="text1"/>
          <w:spacing w:val="8"/>
          <w:sz w:val="21"/>
          <w:szCs w:val="21"/>
          <w:highlight w:val="none"/>
          <w:lang w:eastAsia="zh-CN"/>
          <w14:textFill>
            <w14:solidFill>
              <w14:schemeClr w14:val="tx1"/>
            </w14:solidFill>
          </w14:textFill>
        </w:rPr>
        <w:t>的</w:t>
      </w:r>
      <w:r>
        <w:rPr>
          <w:rFonts w:hint="eastAsia" w:ascii="宋体" w:hAnsi="宋体" w:eastAsia="宋体" w:cs="宋体"/>
          <w:color w:val="000000" w:themeColor="text1"/>
          <w:spacing w:val="8"/>
          <w:sz w:val="21"/>
          <w:szCs w:val="21"/>
          <w:highlight w:val="none"/>
          <w14:textFill>
            <w14:solidFill>
              <w14:schemeClr w14:val="tx1"/>
            </w14:solidFill>
          </w14:textFill>
        </w:rPr>
        <w:t>，甲乙双方在线签章后生效，电子版和纸质版具</w:t>
      </w:r>
      <w:r>
        <w:rPr>
          <w:rFonts w:hint="eastAsia" w:ascii="宋体" w:hAnsi="宋体" w:eastAsia="宋体" w:cs="宋体"/>
          <w:color w:val="000000" w:themeColor="text1"/>
          <w:spacing w:val="7"/>
          <w:sz w:val="21"/>
          <w:szCs w:val="21"/>
          <w:highlight w:val="none"/>
          <w14:textFill>
            <w14:solidFill>
              <w14:schemeClr w14:val="tx1"/>
            </w14:solidFill>
          </w14:textFill>
        </w:rPr>
        <w:t>有同等法律效力。政府</w:t>
      </w:r>
      <w:r>
        <w:rPr>
          <w:rFonts w:hint="eastAsia" w:ascii="宋体" w:hAnsi="宋体" w:eastAsia="宋体" w:cs="宋体"/>
          <w:color w:val="000000" w:themeColor="text1"/>
          <w:spacing w:val="9"/>
          <w:sz w:val="21"/>
          <w:szCs w:val="21"/>
          <w:highlight w:val="none"/>
          <w14:textFill>
            <w14:solidFill>
              <w14:schemeClr w14:val="tx1"/>
            </w14:solidFill>
          </w14:textFill>
        </w:rPr>
        <w:t>采购合同自签订之日起将自动存档于“广西政府采购云平台”上，</w:t>
      </w:r>
      <w:r>
        <w:rPr>
          <w:rFonts w:hint="eastAsia" w:ascii="宋体" w:hAnsi="宋体" w:eastAsia="宋体" w:cs="宋体"/>
          <w:color w:val="000000" w:themeColor="text1"/>
          <w:spacing w:val="9"/>
          <w:sz w:val="21"/>
          <w:szCs w:val="21"/>
          <w:highlight w:val="none"/>
          <w:lang w:eastAsia="zh-CN"/>
          <w14:textFill>
            <w14:solidFill>
              <w14:schemeClr w14:val="tx1"/>
            </w14:solidFill>
          </w14:textFill>
        </w:rPr>
        <w:t>甲方</w:t>
      </w:r>
      <w:r>
        <w:rPr>
          <w:rFonts w:hint="eastAsia" w:ascii="宋体" w:hAnsi="宋体" w:eastAsia="宋体" w:cs="宋体"/>
          <w:color w:val="000000" w:themeColor="text1"/>
          <w:spacing w:val="9"/>
          <w:sz w:val="21"/>
          <w:szCs w:val="21"/>
          <w:highlight w:val="none"/>
          <w14:textFill>
            <w14:solidFill>
              <w14:schemeClr w14:val="tx1"/>
            </w14:solidFill>
          </w14:textFill>
        </w:rPr>
        <w:t>于合同签订之日起七个工作日内</w:t>
      </w:r>
      <w:r>
        <w:rPr>
          <w:rFonts w:hint="eastAsia" w:ascii="宋体" w:hAnsi="宋体" w:eastAsia="宋体" w:cs="宋体"/>
          <w:color w:val="000000" w:themeColor="text1"/>
          <w:spacing w:val="8"/>
          <w:sz w:val="21"/>
          <w:szCs w:val="21"/>
          <w:highlight w:val="none"/>
          <w14:textFill>
            <w14:solidFill>
              <w14:schemeClr w14:val="tx1"/>
            </w14:solidFill>
          </w14:textFill>
        </w:rPr>
        <w:t>将一份合同原件送本级财政部门备案。</w:t>
      </w:r>
    </w:p>
    <w:p w14:paraId="7546902C">
      <w:pPr>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p>
    <w:p w14:paraId="6CCA9AAE">
      <w:pPr>
        <w:pStyle w:val="8"/>
        <w:pageBreakBefore w:val="0"/>
        <w:widowControl/>
        <w:kinsoku w:val="0"/>
        <w:wordWrap/>
        <w:overflowPunct/>
        <w:topLinePunct w:val="0"/>
        <w:autoSpaceDE w:val="0"/>
        <w:autoSpaceDN w:val="0"/>
        <w:bidi w:val="0"/>
        <w:adjustRightInd w:val="0"/>
        <w:snapToGrid w:val="0"/>
        <w:spacing w:line="400" w:lineRule="exact"/>
        <w:ind w:left="35"/>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14:textFill>
            <w14:solidFill>
              <w14:schemeClr w14:val="tx1"/>
            </w14:solidFill>
          </w14:textFill>
        </w:rPr>
        <w:t>甲方（公章</w:t>
      </w:r>
      <w:r>
        <w:rPr>
          <w:rFonts w:hint="eastAsia" w:ascii="宋体" w:hAnsi="宋体" w:eastAsia="宋体" w:cs="宋体"/>
          <w:color w:val="000000" w:themeColor="text1"/>
          <w:spacing w:val="12"/>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乙方（公章，</w:t>
      </w:r>
      <w:r>
        <w:rPr>
          <w:rFonts w:hint="eastAsia" w:ascii="宋体" w:hAnsi="宋体" w:eastAsia="宋体" w:cs="宋体"/>
          <w:color w:val="000000" w:themeColor="text1"/>
          <w:spacing w:val="-4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14:textFill>
            <w14:solidFill>
              <w14:schemeClr w14:val="tx1"/>
            </w14:solidFill>
          </w14:textFill>
        </w:rPr>
        <w:t>自然人除外</w:t>
      </w:r>
      <w:r>
        <w:rPr>
          <w:rFonts w:hint="eastAsia" w:ascii="宋体" w:hAnsi="宋体" w:eastAsia="宋体" w:cs="宋体"/>
          <w:color w:val="000000" w:themeColor="text1"/>
          <w:spacing w:val="12"/>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color="auto"/>
          <w14:textFill>
            <w14:solidFill>
              <w14:schemeClr w14:val="tx1"/>
            </w14:solidFill>
          </w14:textFill>
        </w:rPr>
        <w:t xml:space="preserve">                        </w:t>
      </w:r>
    </w:p>
    <w:p w14:paraId="6C9E7EA2">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7"/>
          <w:sz w:val="21"/>
          <w:szCs w:val="21"/>
          <w:highlight w:val="none"/>
          <w14:textFill>
            <w14:solidFill>
              <w14:schemeClr w14:val="tx1"/>
            </w14:solidFill>
          </w14:textFill>
        </w:rPr>
        <w:t>法定代表人签字：</w:t>
      </w:r>
      <w:r>
        <w:rPr>
          <w:rFonts w:hint="eastAsia"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7"/>
          <w:sz w:val="21"/>
          <w:szCs w:val="21"/>
          <w:highlight w:val="none"/>
          <w14:textFill>
            <w14:solidFill>
              <w14:schemeClr w14:val="tx1"/>
            </w14:solidFill>
          </w14:textFill>
        </w:rPr>
        <w:t>法</w:t>
      </w:r>
      <w:r>
        <w:rPr>
          <w:rFonts w:hint="eastAsia" w:ascii="宋体" w:hAnsi="宋体" w:eastAsia="宋体" w:cs="宋体"/>
          <w:color w:val="000000" w:themeColor="text1"/>
          <w:spacing w:val="6"/>
          <w:sz w:val="21"/>
          <w:szCs w:val="21"/>
          <w:highlight w:val="none"/>
          <w14:textFill>
            <w14:solidFill>
              <w14:schemeClr w14:val="tx1"/>
            </w14:solidFill>
          </w14:textFill>
        </w:rPr>
        <w:t>定代表人（负责人、</w:t>
      </w:r>
      <w:r>
        <w:rPr>
          <w:rFonts w:hint="eastAsia" w:ascii="宋体" w:hAnsi="宋体" w:eastAsia="宋体" w:cs="宋体"/>
          <w:color w:val="000000" w:themeColor="text1"/>
          <w:spacing w:val="-5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6"/>
          <w:sz w:val="21"/>
          <w:szCs w:val="21"/>
          <w:highlight w:val="none"/>
          <w14:textFill>
            <w14:solidFill>
              <w14:schemeClr w14:val="tx1"/>
            </w14:solidFill>
          </w14:textFill>
        </w:rPr>
        <w:t>自然人）签字</w:t>
      </w:r>
    </w:p>
    <w:p w14:paraId="5F8F1E28">
      <w:pPr>
        <w:pStyle w:val="8"/>
        <w:pageBreakBefore w:val="0"/>
        <w:widowControl/>
        <w:kinsoku w:val="0"/>
        <w:wordWrap/>
        <w:overflowPunct/>
        <w:topLinePunct w:val="0"/>
        <w:autoSpaceDE w:val="0"/>
        <w:autoSpaceDN w:val="0"/>
        <w:bidi w:val="0"/>
        <w:adjustRightInd w:val="0"/>
        <w:snapToGrid w:val="0"/>
        <w:spacing w:line="400" w:lineRule="exact"/>
        <w:ind w:firstLine="3774" w:firstLineChars="1700"/>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（属自然人的应在</w:t>
      </w:r>
      <w:r>
        <w:rPr>
          <w:rFonts w:hint="eastAsia" w:ascii="宋体" w:hAnsi="宋体" w:eastAsia="宋体" w:cs="宋体"/>
          <w:color w:val="000000" w:themeColor="text1"/>
          <w:spacing w:val="8"/>
          <w:sz w:val="21"/>
          <w:szCs w:val="21"/>
          <w:highlight w:val="none"/>
          <w14:textFill>
            <w14:solidFill>
              <w14:schemeClr w14:val="tx1"/>
            </w14:solidFill>
          </w14:textFill>
        </w:rPr>
        <w:t>签名处加盖大拇指指印</w:t>
      </w:r>
      <w:r>
        <w:rPr>
          <w:rFonts w:hint="eastAsia" w:ascii="宋体" w:hAnsi="宋体" w:eastAsia="宋体" w:cs="宋体"/>
          <w:color w:val="000000" w:themeColor="text1"/>
          <w:spacing w:val="15"/>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color="auto"/>
          <w14:textFill>
            <w14:solidFill>
              <w14:schemeClr w14:val="tx1"/>
            </w14:solidFill>
          </w14:textFill>
        </w:rPr>
        <w:t xml:space="preserve">                           </w:t>
      </w:r>
    </w:p>
    <w:p w14:paraId="3EB78295">
      <w:pPr>
        <w:pStyle w:val="8"/>
        <w:pageBreakBefore w:val="0"/>
        <w:widowControl/>
        <w:kinsoku w:val="0"/>
        <w:wordWrap/>
        <w:overflowPunct/>
        <w:topLinePunct w:val="0"/>
        <w:autoSpaceDE w:val="0"/>
        <w:autoSpaceDN w:val="0"/>
        <w:bidi w:val="0"/>
        <w:adjustRightInd w:val="0"/>
        <w:snapToGrid w:val="0"/>
        <w:spacing w:line="400" w:lineRule="exact"/>
        <w:ind w:left="7"/>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委托代理人：</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委托代理人：</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67483D3D">
      <w:pPr>
        <w:pStyle w:val="8"/>
        <w:pageBreakBefore w:val="0"/>
        <w:widowControl/>
        <w:kinsoku w:val="0"/>
        <w:wordWrap/>
        <w:overflowPunct/>
        <w:topLinePunct w:val="0"/>
        <w:autoSpaceDE w:val="0"/>
        <w:autoSpaceDN w:val="0"/>
        <w:bidi w:val="0"/>
        <w:adjustRightInd w:val="0"/>
        <w:snapToGrid w:val="0"/>
        <w:spacing w:line="400" w:lineRule="exact"/>
        <w:ind w:left="32"/>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1"/>
          <w:sz w:val="21"/>
          <w:szCs w:val="21"/>
          <w:highlight w:val="none"/>
          <w14:textFill>
            <w14:solidFill>
              <w14:schemeClr w14:val="tx1"/>
            </w14:solidFill>
          </w14:textFill>
        </w:rPr>
        <w:t>电</w:t>
      </w:r>
      <w:r>
        <w:rPr>
          <w:rFonts w:hint="eastAsia" w:ascii="宋体" w:hAnsi="宋体" w:eastAsia="宋体" w:cs="宋体"/>
          <w:color w:val="000000" w:themeColor="text1"/>
          <w:spacing w:val="8"/>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话</w:t>
      </w:r>
      <w:r>
        <w:rPr>
          <w:rFonts w:hint="eastAsia" w:ascii="宋体" w:hAnsi="宋体" w:eastAsia="宋体" w:cs="宋体"/>
          <w:color w:val="000000" w:themeColor="text1"/>
          <w:spacing w:val="-7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电</w:t>
      </w:r>
      <w:r>
        <w:rPr>
          <w:rFonts w:hint="eastAsia" w:ascii="宋体" w:hAnsi="宋体" w:eastAsia="宋体" w:cs="宋体"/>
          <w:color w:val="000000" w:themeColor="text1"/>
          <w:spacing w:val="11"/>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话</w:t>
      </w:r>
      <w:r>
        <w:rPr>
          <w:rFonts w:hint="eastAsia" w:ascii="宋体" w:hAnsi="宋体" w:eastAsia="宋体" w:cs="宋体"/>
          <w:color w:val="000000" w:themeColor="text1"/>
          <w:spacing w:val="-7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1"/>
          <w:sz w:val="21"/>
          <w:szCs w:val="21"/>
          <w:highlight w:val="none"/>
          <w14:textFill>
            <w14:solidFill>
              <w14:schemeClr w14:val="tx1"/>
            </w14:solidFill>
          </w14:textFill>
        </w:rPr>
        <w:t>：</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14:textFill>
            <w14:solidFill>
              <w14:schemeClr w14:val="tx1"/>
            </w14:solidFill>
          </w14:textFill>
        </w:rPr>
        <w:t xml:space="preserve">                                        </w:t>
      </w:r>
    </w:p>
    <w:p w14:paraId="5C8DCDBB">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开户名称：</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开户名称：</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760D2B27">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开户银行：</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开户银行：</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7B36F1EC">
      <w:pPr>
        <w:pStyle w:val="8"/>
        <w:pageBreakBefore w:val="0"/>
        <w:widowControl/>
        <w:kinsoku w:val="0"/>
        <w:wordWrap/>
        <w:overflowPunct/>
        <w:topLinePunct w:val="0"/>
        <w:autoSpaceDE w:val="0"/>
        <w:autoSpaceDN w:val="0"/>
        <w:bidi w:val="0"/>
        <w:adjustRightInd w:val="0"/>
        <w:snapToGrid w:val="0"/>
        <w:spacing w:line="400" w:lineRule="exact"/>
        <w:ind w:left="8"/>
        <w:jc w:val="both"/>
        <w:textAlignment w:val="baseline"/>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4"/>
          <w:sz w:val="21"/>
          <w:szCs w:val="21"/>
          <w:highlight w:val="none"/>
          <w14:textFill>
            <w14:solidFill>
              <w14:schemeClr w14:val="tx1"/>
            </w14:solidFill>
          </w14:textFill>
        </w:rPr>
        <w:t>银行账号：</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14:textFill>
            <w14:solidFill>
              <w14:schemeClr w14:val="tx1"/>
            </w14:solidFill>
          </w14:textFill>
        </w:rPr>
        <w:t>银行账号：</w:t>
      </w:r>
      <w:r>
        <w:rPr>
          <w:rFonts w:hint="eastAsia"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4FBBD7E0">
      <w:pPr>
        <w:pStyle w:val="8"/>
        <w:pageBreakBefore w:val="0"/>
        <w:widowControl/>
        <w:kinsoku w:val="0"/>
        <w:wordWrap/>
        <w:overflowPunct/>
        <w:topLinePunct w:val="0"/>
        <w:autoSpaceDE w:val="0"/>
        <w:autoSpaceDN w:val="0"/>
        <w:bidi w:val="0"/>
        <w:adjustRightInd w:val="0"/>
        <w:snapToGrid w:val="0"/>
        <w:spacing w:line="400" w:lineRule="exact"/>
        <w:jc w:val="both"/>
        <w:textAlignment w:val="baseline"/>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10"/>
          <w:sz w:val="21"/>
          <w:szCs w:val="21"/>
          <w:highlight w:val="none"/>
          <w14:textFill>
            <w14:solidFill>
              <w14:schemeClr w14:val="tx1"/>
            </w14:solidFill>
          </w14:textFill>
        </w:rPr>
        <w:t>日</w:t>
      </w:r>
      <w:r>
        <w:rPr>
          <w:rFonts w:hint="eastAsia" w:ascii="宋体" w:hAnsi="宋体" w:eastAsia="宋体" w:cs="宋体"/>
          <w:color w:val="000000" w:themeColor="text1"/>
          <w:spacing w:val="10"/>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期</w:t>
      </w:r>
      <w:r>
        <w:rPr>
          <w:rFonts w:hint="eastAsia" w:ascii="宋体" w:hAnsi="宋体" w:eastAsia="宋体" w:cs="宋体"/>
          <w:color w:val="000000" w:themeColor="text1"/>
          <w:spacing w:val="-7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w:t>
      </w:r>
      <w:r>
        <w:rPr>
          <w:rFonts w:hint="eastAsia" w:ascii="宋体" w:hAnsi="宋体" w:eastAsia="宋体" w:cs="宋体"/>
          <w:color w:val="000000" w:themeColor="text1"/>
          <w:spacing w:val="-10"/>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4"/>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10"/>
          <w:sz w:val="21"/>
          <w:szCs w:val="21"/>
          <w:highlight w:val="none"/>
          <w14:textFill>
            <w14:solidFill>
              <w14:schemeClr w14:val="tx1"/>
            </w14:solidFill>
          </w14:textFill>
        </w:rPr>
        <w:t>日     期：</w:t>
      </w:r>
      <w:r>
        <w:rPr>
          <w:rFonts w:hint="eastAsia" w:ascii="宋体" w:hAnsi="宋体" w:eastAsia="宋体" w:cs="宋体"/>
          <w:color w:val="000000" w:themeColor="text1"/>
          <w:sz w:val="21"/>
          <w:szCs w:val="21"/>
          <w:highlight w:val="none"/>
          <w:u w:val="single" w:color="auto"/>
          <w14:textFill>
            <w14:solidFill>
              <w14:schemeClr w14:val="tx1"/>
            </w14:solidFill>
          </w14:textFill>
        </w:rPr>
        <w:t xml:space="preserve">                                         </w:t>
      </w:r>
    </w:p>
    <w:p w14:paraId="72AE4E9A">
      <w:pPr>
        <w:pageBreakBefore w:val="0"/>
        <w:widowControl/>
        <w:kinsoku w:val="0"/>
        <w:wordWrap/>
        <w:overflowPunct/>
        <w:topLinePunct w:val="0"/>
        <w:autoSpaceDE w:val="0"/>
        <w:autoSpaceDN w:val="0"/>
        <w:bidi w:val="0"/>
        <w:adjustRightInd w:val="0"/>
        <w:snapToGrid w:val="0"/>
        <w:spacing w:line="400" w:lineRule="exact"/>
        <w:jc w:val="both"/>
        <w:textAlignment w:val="baseline"/>
        <w:rPr>
          <w:rFonts w:hint="eastAsia" w:ascii="宋体" w:hAnsi="宋体" w:eastAsia="宋体" w:cs="宋体"/>
          <w:color w:val="000000" w:themeColor="text1"/>
          <w:highlight w:val="none"/>
          <w:lang w:eastAsia="zh-CN"/>
          <w14:textFill>
            <w14:solidFill>
              <w14:schemeClr w14:val="tx1"/>
            </w14:solidFill>
          </w14:textFill>
        </w:rPr>
      </w:pPr>
    </w:p>
    <w:p w14:paraId="698DD18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6007FF3">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pPr>
      <w:bookmarkStart w:id="32" w:name="bookmark6"/>
      <w:bookmarkEnd w:id="32"/>
    </w:p>
    <w:p w14:paraId="40864264">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6EBD3CA4">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15147DDA">
      <w:pPr>
        <w:pageBreakBefore w:val="0"/>
        <w:widowControl w:val="0"/>
        <w:overflowPunct/>
        <w:topLinePunct w:val="0"/>
        <w:bidi w:val="0"/>
        <w:spacing w:line="400" w:lineRule="exact"/>
        <w:jc w:val="center"/>
        <w:outlineLvl w:val="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6776A564">
      <w:pPr>
        <w:pageBreakBefore w:val="0"/>
        <w:widowControl w:val="0"/>
        <w:overflowPunct/>
        <w:topLinePunct w:val="0"/>
        <w:bidi w:val="0"/>
        <w:spacing w:line="400" w:lineRule="exact"/>
        <w:jc w:val="center"/>
        <w:outlineLvl w:val="0"/>
        <w:rPr>
          <w:rFonts w:hint="eastAsia" w:ascii="宋体" w:hAnsi="宋体" w:eastAsia="宋体" w:cs="宋体"/>
          <w:color w:val="000000" w:themeColor="text1"/>
          <w:sz w:val="31"/>
          <w:szCs w:val="31"/>
          <w:highlight w:val="none"/>
          <w:lang w:eastAsia="zh-CN"/>
          <w14:textFill>
            <w14:solidFill>
              <w14:schemeClr w14:val="tx1"/>
            </w14:solidFill>
          </w14:textFill>
        </w:rPr>
      </w:pPr>
      <w:bookmarkStart w:id="33" w:name="_Toc4503"/>
      <w:r>
        <w:rPr>
          <w:rFonts w:hint="eastAsia" w:ascii="宋体" w:hAnsi="宋体" w:eastAsia="宋体" w:cs="宋体"/>
          <w:b/>
          <w:bCs/>
          <w:color w:val="000000" w:themeColor="text1"/>
          <w:sz w:val="31"/>
          <w:szCs w:val="31"/>
          <w:highlight w:val="none"/>
          <w:lang w:eastAsia="zh-CN"/>
          <w14:textFill>
            <w14:solidFill>
              <w14:schemeClr w14:val="tx1"/>
            </w14:solidFill>
          </w14:textFill>
        </w:rPr>
        <w:t>第六章</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响应文件（格式）</w:t>
      </w:r>
      <w:bookmarkEnd w:id="33"/>
    </w:p>
    <w:p w14:paraId="179F2809">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000000" w:themeColor="text1"/>
          <w:sz w:val="36"/>
          <w:szCs w:val="36"/>
          <w:highlight w:val="none"/>
          <w:lang w:eastAsia="zh-CN"/>
          <w14:textFill>
            <w14:solidFill>
              <w14:schemeClr w14:val="tx1"/>
            </w14:solidFill>
          </w14:textFill>
        </w:rPr>
      </w:pPr>
    </w:p>
    <w:p w14:paraId="2EEB57A9">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000000" w:themeColor="text1"/>
          <w:sz w:val="32"/>
          <w:highlight w:val="none"/>
          <w:lang w:eastAsia="zh-CN"/>
          <w14:textFill>
            <w14:solidFill>
              <w14:schemeClr w14:val="tx1"/>
            </w14:solidFill>
          </w14:textFill>
        </w:rPr>
      </w:pPr>
      <w:bookmarkStart w:id="34" w:name="_Toc497927069"/>
      <w:bookmarkStart w:id="35" w:name="_Toc18351"/>
      <w:bookmarkStart w:id="36" w:name="_Toc21496"/>
    </w:p>
    <w:p w14:paraId="4C520BFF">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000000" w:themeColor="text1"/>
          <w:sz w:val="32"/>
          <w:highlight w:val="none"/>
          <w:lang w:eastAsia="zh-CN"/>
          <w14:textFill>
            <w14:solidFill>
              <w14:schemeClr w14:val="tx1"/>
            </w14:solidFill>
          </w14:textFill>
        </w:rPr>
      </w:pPr>
    </w:p>
    <w:p w14:paraId="333F5178">
      <w:pPr>
        <w:pStyle w:val="11"/>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color w:val="000000" w:themeColor="text1"/>
          <w:sz w:val="32"/>
          <w:highlight w:val="none"/>
          <w:lang w:eastAsia="zh-CN"/>
          <w14:textFill>
            <w14:solidFill>
              <w14:schemeClr w14:val="tx1"/>
            </w14:solidFill>
          </w14:textFill>
        </w:rPr>
      </w:pPr>
      <w:r>
        <w:rPr>
          <w:rFonts w:hint="eastAsia" w:ascii="宋体" w:hAnsi="宋体" w:eastAsia="宋体" w:cs="宋体"/>
          <w:b/>
          <w:color w:val="000000" w:themeColor="text1"/>
          <w:sz w:val="32"/>
          <w:highlight w:val="none"/>
          <w:lang w:eastAsia="zh-CN"/>
          <w14:textFill>
            <w14:solidFill>
              <w14:schemeClr w14:val="tx1"/>
            </w14:solidFill>
          </w14:textFill>
        </w:rPr>
        <w:t>一、响应文件封面标记</w:t>
      </w:r>
      <w:bookmarkEnd w:id="34"/>
      <w:bookmarkEnd w:id="35"/>
      <w:bookmarkEnd w:id="36"/>
    </w:p>
    <w:p w14:paraId="5B63149B">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000000" w:themeColor="text1"/>
          <w:sz w:val="36"/>
          <w:szCs w:val="36"/>
          <w:highlight w:val="none"/>
          <w:lang w:eastAsia="zh-CN"/>
          <w14:textFill>
            <w14:solidFill>
              <w14:schemeClr w14:val="tx1"/>
            </w14:solidFill>
          </w14:textFill>
        </w:rPr>
      </w:pPr>
    </w:p>
    <w:p w14:paraId="5BF7440A">
      <w:pPr>
        <w:pageBreakBefore w:val="0"/>
        <w:widowControl w:val="0"/>
        <w:kinsoku/>
        <w:wordWrap w:val="0"/>
        <w:overflowPunct/>
        <w:topLinePunct w:val="0"/>
        <w:bidi w:val="0"/>
        <w:spacing w:before="120" w:beforeLines="50" w:after="50" w:line="400" w:lineRule="exact"/>
        <w:jc w:val="center"/>
        <w:rPr>
          <w:rFonts w:hint="eastAsia" w:ascii="宋体" w:hAnsi="宋体" w:eastAsia="宋体" w:cs="宋体"/>
          <w:b/>
          <w:color w:val="000000" w:themeColor="text1"/>
          <w:sz w:val="36"/>
          <w:szCs w:val="36"/>
          <w:highlight w:val="none"/>
          <w:lang w:eastAsia="zh-CN"/>
          <w14:textFill>
            <w14:solidFill>
              <w14:schemeClr w14:val="tx1"/>
            </w14:solidFill>
          </w14:textFill>
        </w:rPr>
      </w:pPr>
      <w:r>
        <w:rPr>
          <w:rFonts w:hint="eastAsia" w:ascii="宋体" w:hAnsi="宋体" w:eastAsia="宋体" w:cs="宋体"/>
          <w:b/>
          <w:color w:val="000000" w:themeColor="text1"/>
          <w:sz w:val="36"/>
          <w:szCs w:val="36"/>
          <w:highlight w:val="none"/>
          <w:lang w:eastAsia="zh-CN"/>
          <w14:textFill>
            <w14:solidFill>
              <w14:schemeClr w14:val="tx1"/>
            </w14:solidFill>
          </w14:textFill>
        </w:rPr>
        <w:t>响 应 文 件</w:t>
      </w:r>
    </w:p>
    <w:p w14:paraId="6EC4724B">
      <w:pPr>
        <w:pageBreakBefore w:val="0"/>
        <w:widowControl w:val="0"/>
        <w:kinsoku/>
        <w:wordWrap w:val="0"/>
        <w:overflowPunct/>
        <w:topLinePunct w:val="0"/>
        <w:bidi w:val="0"/>
        <w:spacing w:before="120" w:beforeLines="50" w:after="50" w:line="400" w:lineRule="exact"/>
        <w:ind w:firstLine="480" w:firstLineChars="150"/>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lang w:eastAsia="zh-CN"/>
          <w14:textFill>
            <w14:solidFill>
              <w14:schemeClr w14:val="tx1"/>
            </w14:solidFill>
          </w14:textFill>
        </w:rPr>
        <w:t xml:space="preserve"> </w:t>
      </w:r>
    </w:p>
    <w:p w14:paraId="18232695">
      <w:pPr>
        <w:pageBreakBefore w:val="0"/>
        <w:widowControl w:val="0"/>
        <w:kinsoku/>
        <w:wordWrap w:val="0"/>
        <w:overflowPunct/>
        <w:topLinePunct w:val="0"/>
        <w:bidi w:val="0"/>
        <w:spacing w:before="120" w:beforeLines="50" w:after="50" w:line="400" w:lineRule="exact"/>
        <w:ind w:firstLine="422" w:firstLineChars="150"/>
        <w:rPr>
          <w:rFonts w:hint="eastAsia" w:ascii="宋体" w:hAnsi="宋体" w:eastAsia="宋体" w:cs="宋体"/>
          <w:b/>
          <w:color w:val="000000" w:themeColor="text1"/>
          <w:sz w:val="28"/>
          <w:szCs w:val="28"/>
          <w:highlight w:val="none"/>
          <w:lang w:eastAsia="zh-CN"/>
          <w14:textFill>
            <w14:solidFill>
              <w14:schemeClr w14:val="tx1"/>
            </w14:solidFill>
          </w14:textFill>
        </w:rPr>
      </w:pPr>
    </w:p>
    <w:p w14:paraId="7207ED76">
      <w:pPr>
        <w:pageBreakBefore w:val="0"/>
        <w:widowControl w:val="0"/>
        <w:kinsoku/>
        <w:wordWrap w:val="0"/>
        <w:overflowPunct/>
        <w:topLinePunct w:val="0"/>
        <w:bidi w:val="0"/>
        <w:spacing w:before="120" w:beforeLines="50" w:after="50" w:line="400" w:lineRule="exact"/>
        <w:ind w:firstLine="422" w:firstLineChars="150"/>
        <w:rPr>
          <w:rFonts w:hint="eastAsia" w:ascii="宋体" w:hAnsi="宋体" w:eastAsia="宋体" w:cs="宋体"/>
          <w:b/>
          <w:color w:val="000000" w:themeColor="text1"/>
          <w:sz w:val="28"/>
          <w:szCs w:val="28"/>
          <w:highlight w:val="none"/>
          <w:lang w:eastAsia="zh-CN"/>
          <w14:textFill>
            <w14:solidFill>
              <w14:schemeClr w14:val="tx1"/>
            </w14:solidFill>
          </w14:textFill>
        </w:rPr>
      </w:pPr>
    </w:p>
    <w:p w14:paraId="1276D61D">
      <w:pPr>
        <w:pageBreakBefore w:val="0"/>
        <w:widowControl w:val="0"/>
        <w:kinsoku/>
        <w:wordWrap w:val="0"/>
        <w:overflowPunct/>
        <w:topLinePunct w:val="0"/>
        <w:bidi w:val="0"/>
        <w:spacing w:before="120" w:beforeLines="50" w:after="50" w:line="400" w:lineRule="exact"/>
        <w:ind w:firstLine="1687" w:firstLineChars="600"/>
        <w:rPr>
          <w:rFonts w:hint="eastAsia" w:ascii="宋体" w:hAnsi="宋体" w:eastAsia="宋体" w:cs="宋体"/>
          <w:b/>
          <w:color w:val="000000" w:themeColor="text1"/>
          <w:sz w:val="28"/>
          <w:szCs w:val="28"/>
          <w:highlight w:val="none"/>
          <w:lang w:eastAsia="zh-CN"/>
          <w14:textFill>
            <w14:solidFill>
              <w14:schemeClr w14:val="tx1"/>
            </w14:solidFill>
          </w14:textFill>
        </w:rPr>
      </w:pPr>
      <w:r>
        <w:rPr>
          <w:rFonts w:hint="eastAsia" w:ascii="宋体" w:hAnsi="宋体" w:eastAsia="宋体" w:cs="宋体"/>
          <w:b/>
          <w:color w:val="000000" w:themeColor="text1"/>
          <w:sz w:val="28"/>
          <w:szCs w:val="28"/>
          <w:highlight w:val="none"/>
          <w:lang w:eastAsia="zh-CN"/>
          <w14:textFill>
            <w14:solidFill>
              <w14:schemeClr w14:val="tx1"/>
            </w14:solidFill>
          </w14:textFill>
        </w:rPr>
        <w:t>项目名称：</w:t>
      </w:r>
      <w:r>
        <w:rPr>
          <w:rFonts w:hint="eastAsia" w:ascii="宋体" w:hAnsi="宋体" w:eastAsia="宋体" w:cs="宋体"/>
          <w:b/>
          <w:bCs/>
          <w:color w:val="000000" w:themeColor="text1"/>
          <w:sz w:val="28"/>
          <w:szCs w:val="28"/>
          <w:highlight w:val="none"/>
          <w:u w:val="single"/>
          <w:lang w:eastAsia="zh-CN"/>
          <w14:textFill>
            <w14:solidFill>
              <w14:schemeClr w14:val="tx1"/>
            </w14:solidFill>
          </w14:textFill>
        </w:rPr>
        <w:t xml:space="preserve">                    </w:t>
      </w:r>
    </w:p>
    <w:p w14:paraId="3B36C4E3">
      <w:pPr>
        <w:pageBreakBefore w:val="0"/>
        <w:widowControl w:val="0"/>
        <w:kinsoku/>
        <w:wordWrap w:val="0"/>
        <w:overflowPunct/>
        <w:topLinePunct w:val="0"/>
        <w:bidi w:val="0"/>
        <w:spacing w:before="120" w:beforeLines="50" w:after="50" w:line="400" w:lineRule="exact"/>
        <w:ind w:firstLine="1687" w:firstLineChars="600"/>
        <w:rPr>
          <w:rFonts w:hint="eastAsia" w:ascii="宋体" w:hAnsi="宋体" w:eastAsia="宋体" w:cs="宋体"/>
          <w:b/>
          <w:color w:val="000000" w:themeColor="text1"/>
          <w:sz w:val="28"/>
          <w:szCs w:val="28"/>
          <w:highlight w:val="none"/>
          <w:u w:val="single"/>
          <w:lang w:eastAsia="zh-CN"/>
          <w14:textFill>
            <w14:solidFill>
              <w14:schemeClr w14:val="tx1"/>
            </w14:solidFill>
          </w14:textFill>
        </w:rPr>
      </w:pPr>
      <w:r>
        <w:rPr>
          <w:rFonts w:hint="eastAsia" w:ascii="宋体" w:hAnsi="宋体" w:eastAsia="宋体" w:cs="宋体"/>
          <w:b/>
          <w:color w:val="000000" w:themeColor="text1"/>
          <w:sz w:val="28"/>
          <w:szCs w:val="28"/>
          <w:highlight w:val="none"/>
          <w:lang w:eastAsia="zh-CN"/>
          <w14:textFill>
            <w14:solidFill>
              <w14:schemeClr w14:val="tx1"/>
            </w14:solidFill>
          </w14:textFill>
        </w:rPr>
        <w:t>项目编号：</w:t>
      </w:r>
      <w:r>
        <w:rPr>
          <w:rFonts w:hint="eastAsia" w:ascii="宋体" w:hAnsi="宋体" w:eastAsia="宋体" w:cs="宋体"/>
          <w:b/>
          <w:color w:val="000000" w:themeColor="text1"/>
          <w:sz w:val="28"/>
          <w:szCs w:val="28"/>
          <w:highlight w:val="none"/>
          <w:u w:val="single"/>
          <w:lang w:eastAsia="zh-CN"/>
          <w14:textFill>
            <w14:solidFill>
              <w14:schemeClr w14:val="tx1"/>
            </w14:solidFill>
          </w14:textFill>
        </w:rPr>
        <w:t xml:space="preserve">                    </w:t>
      </w:r>
    </w:p>
    <w:p w14:paraId="08D96668">
      <w:pPr>
        <w:pageBreakBefore w:val="0"/>
        <w:widowControl w:val="0"/>
        <w:kinsoku/>
        <w:wordWrap w:val="0"/>
        <w:overflowPunct/>
        <w:topLinePunct w:val="0"/>
        <w:bidi w:val="0"/>
        <w:spacing w:line="400" w:lineRule="exact"/>
        <w:rPr>
          <w:rFonts w:hint="eastAsia" w:ascii="宋体" w:hAnsi="宋体" w:eastAsia="宋体" w:cs="宋体"/>
          <w:b/>
          <w:color w:val="000000" w:themeColor="text1"/>
          <w:highlight w:val="none"/>
          <w:lang w:eastAsia="zh-CN"/>
          <w14:textFill>
            <w14:solidFill>
              <w14:schemeClr w14:val="tx1"/>
            </w14:solidFill>
          </w14:textFill>
        </w:rPr>
      </w:pPr>
    </w:p>
    <w:p w14:paraId="4071C3F8">
      <w:pPr>
        <w:pStyle w:val="28"/>
        <w:pageBreakBefore w:val="0"/>
        <w:wordWrap w:val="0"/>
        <w:overflowPunct/>
        <w:topLinePunct w:val="0"/>
        <w:bidi w:val="0"/>
        <w:spacing w:line="400" w:lineRule="exact"/>
        <w:rPr>
          <w:rFonts w:hint="eastAsia" w:ascii="宋体" w:hAnsi="宋体" w:eastAsia="宋体" w:cs="宋体"/>
          <w:b/>
          <w:color w:val="000000" w:themeColor="text1"/>
          <w:sz w:val="28"/>
          <w:szCs w:val="28"/>
          <w:highlight w:val="none"/>
          <w14:textFill>
            <w14:solidFill>
              <w14:schemeClr w14:val="tx1"/>
            </w14:solidFill>
          </w14:textFill>
        </w:rPr>
      </w:pPr>
    </w:p>
    <w:p w14:paraId="3A4D37FE">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000000" w:themeColor="text1"/>
          <w:sz w:val="28"/>
          <w:szCs w:val="28"/>
          <w:highlight w:val="none"/>
          <w:lang w:eastAsia="zh-CN"/>
          <w14:textFill>
            <w14:solidFill>
              <w14:schemeClr w14:val="tx1"/>
            </w14:solidFill>
          </w14:textFill>
        </w:rPr>
      </w:pPr>
    </w:p>
    <w:p w14:paraId="429F7419">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000000" w:themeColor="text1"/>
          <w:sz w:val="28"/>
          <w:szCs w:val="28"/>
          <w:highlight w:val="none"/>
          <w:lang w:eastAsia="zh-CN"/>
          <w14:textFill>
            <w14:solidFill>
              <w14:schemeClr w14:val="tx1"/>
            </w14:solidFill>
          </w14:textFill>
        </w:rPr>
      </w:pPr>
    </w:p>
    <w:p w14:paraId="6E54035C">
      <w:pPr>
        <w:pageBreakBefore w:val="0"/>
        <w:widowControl w:val="0"/>
        <w:kinsoku/>
        <w:wordWrap w:val="0"/>
        <w:overflowPunct/>
        <w:topLinePunct w:val="0"/>
        <w:bidi w:val="0"/>
        <w:spacing w:before="120" w:beforeLines="50" w:after="50" w:line="360" w:lineRule="auto"/>
        <w:rPr>
          <w:rFonts w:hint="eastAsia" w:ascii="宋体" w:hAnsi="宋体" w:eastAsia="宋体" w:cs="宋体"/>
          <w:b/>
          <w:color w:val="000000" w:themeColor="text1"/>
          <w:sz w:val="28"/>
          <w:szCs w:val="28"/>
          <w:highlight w:val="none"/>
          <w:u w:val="single"/>
          <w:lang w:eastAsia="zh-CN"/>
          <w14:textFill>
            <w14:solidFill>
              <w14:schemeClr w14:val="tx1"/>
            </w14:solidFill>
          </w14:textFill>
        </w:rPr>
      </w:pPr>
      <w:r>
        <w:rPr>
          <w:rFonts w:hint="eastAsia" w:ascii="宋体" w:hAnsi="宋体" w:eastAsia="宋体" w:cs="宋体"/>
          <w:b/>
          <w:color w:val="000000" w:themeColor="text1"/>
          <w:sz w:val="28"/>
          <w:szCs w:val="28"/>
          <w:highlight w:val="none"/>
          <w:lang w:eastAsia="zh-CN"/>
          <w14:textFill>
            <w14:solidFill>
              <w14:schemeClr w14:val="tx1"/>
            </w14:solidFill>
          </w14:textFill>
        </w:rPr>
        <w:t>采购代理机构：</w:t>
      </w:r>
      <w:r>
        <w:rPr>
          <w:rFonts w:hint="eastAsia" w:ascii="宋体" w:hAnsi="宋体" w:eastAsia="宋体" w:cs="宋体"/>
          <w:b/>
          <w:bCs w:val="0"/>
          <w:color w:val="000000" w:themeColor="text1"/>
          <w:sz w:val="28"/>
          <w:szCs w:val="28"/>
          <w:highlight w:val="none"/>
          <w:u w:val="single"/>
          <w:lang w:eastAsia="zh-CN"/>
          <w14:textFill>
            <w14:solidFill>
              <w14:schemeClr w14:val="tx1"/>
            </w14:solidFill>
          </w14:textFill>
        </w:rPr>
        <w:t xml:space="preserve"> 大华建设项目管理有限公司   </w:t>
      </w:r>
    </w:p>
    <w:p w14:paraId="6BE0C5A4">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000000" w:themeColor="text1"/>
          <w:sz w:val="28"/>
          <w:szCs w:val="28"/>
          <w:highlight w:val="none"/>
          <w:lang w:eastAsia="zh-CN"/>
          <w14:textFill>
            <w14:solidFill>
              <w14:schemeClr w14:val="tx1"/>
            </w14:solidFill>
          </w14:textFill>
        </w:rPr>
      </w:pPr>
      <w:bookmarkStart w:id="37" w:name="_Toc4932_WPSOffice_Level2"/>
      <w:bookmarkStart w:id="38" w:name="_Toc20319_WPSOffice_Level2"/>
      <w:r>
        <w:rPr>
          <w:rFonts w:hint="eastAsia" w:ascii="宋体" w:hAnsi="宋体" w:eastAsia="宋体" w:cs="宋体"/>
          <w:bCs/>
          <w:color w:val="000000" w:themeColor="text1"/>
          <w:sz w:val="28"/>
          <w:szCs w:val="28"/>
          <w:highlight w:val="none"/>
          <w:lang w:eastAsia="zh-CN"/>
          <w14:textFill>
            <w14:solidFill>
              <w14:schemeClr w14:val="tx1"/>
            </w14:solidFill>
          </w14:textFill>
        </w:rPr>
        <w:t>供应商[公章(CA签章)、自然人除外]：</w:t>
      </w:r>
      <w:r>
        <w:rPr>
          <w:rFonts w:hint="eastAsia" w:ascii="宋体" w:hAnsi="宋体" w:eastAsia="宋体" w:cs="宋体"/>
          <w:bCs/>
          <w:color w:val="000000" w:themeColor="text1"/>
          <w:sz w:val="28"/>
          <w:szCs w:val="28"/>
          <w:highlight w:val="none"/>
          <w:u w:val="single"/>
          <w:lang w:eastAsia="zh-CN"/>
          <w14:textFill>
            <w14:solidFill>
              <w14:schemeClr w14:val="tx1"/>
            </w14:solidFill>
          </w14:textFill>
        </w:rPr>
        <w:t xml:space="preserve">                     </w:t>
      </w:r>
      <w:bookmarkEnd w:id="37"/>
      <w:bookmarkEnd w:id="38"/>
    </w:p>
    <w:p w14:paraId="14823476">
      <w:pPr>
        <w:pStyle w:val="11"/>
        <w:pageBreakBefore w:val="0"/>
        <w:widowControl w:val="0"/>
        <w:kinsoku/>
        <w:wordWrap w:val="0"/>
        <w:overflowPunct/>
        <w:topLinePunct w:val="0"/>
        <w:bidi w:val="0"/>
        <w:spacing w:line="360" w:lineRule="auto"/>
        <w:rPr>
          <w:rFonts w:hint="eastAsia" w:ascii="宋体" w:hAnsi="宋体" w:eastAsia="宋体" w:cs="宋体"/>
          <w:color w:val="000000" w:themeColor="text1"/>
          <w:sz w:val="28"/>
          <w:szCs w:val="28"/>
          <w:highlight w:val="none"/>
          <w:u w:val="single"/>
          <w:lang w:eastAsia="zh-CN"/>
          <w14:textFill>
            <w14:solidFill>
              <w14:schemeClr w14:val="tx1"/>
            </w14:solidFill>
          </w14:textFill>
        </w:rPr>
      </w:pPr>
      <w:bookmarkStart w:id="39" w:name="_Toc32056_WPSOffice_Level2"/>
      <w:bookmarkStart w:id="40" w:name="_Toc9622_WPSOffice_Level2"/>
      <w:r>
        <w:rPr>
          <w:rFonts w:hint="eastAsia" w:ascii="宋体" w:hAnsi="宋体" w:eastAsia="宋体" w:cs="宋体"/>
          <w:color w:val="000000" w:themeColor="text1"/>
          <w:sz w:val="28"/>
          <w:szCs w:val="28"/>
          <w:highlight w:val="none"/>
          <w:lang w:eastAsia="zh-CN"/>
          <w14:textFill>
            <w14:solidFill>
              <w14:schemeClr w14:val="tx1"/>
            </w14:solidFill>
          </w14:textFill>
        </w:rPr>
        <w:t>法定代表人、负责人、自然人或相应的委托代理人签字[或盖章(CA签章)]（属自然人的应在签名处加盖大拇指指印或个人CA签章）：</w:t>
      </w:r>
      <w:r>
        <w:rPr>
          <w:rFonts w:hint="eastAsia" w:ascii="宋体" w:hAnsi="宋体" w:eastAsia="宋体" w:cs="宋体"/>
          <w:color w:val="000000" w:themeColor="text1"/>
          <w:sz w:val="28"/>
          <w:szCs w:val="28"/>
          <w:highlight w:val="none"/>
          <w:u w:val="single"/>
          <w:lang w:eastAsia="zh-CN"/>
          <w14:textFill>
            <w14:solidFill>
              <w14:schemeClr w14:val="tx1"/>
            </w14:solidFill>
          </w14:textFill>
        </w:rPr>
        <w:t xml:space="preserve">          </w:t>
      </w:r>
    </w:p>
    <w:p w14:paraId="17F80B23">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000000" w:themeColor="text1"/>
          <w:sz w:val="28"/>
          <w:szCs w:val="28"/>
          <w:highlight w:val="none"/>
          <w:u w:val="single"/>
          <w:lang w:eastAsia="zh-CN"/>
          <w14:textFill>
            <w14:solidFill>
              <w14:schemeClr w14:val="tx1"/>
            </w14:solidFill>
          </w14:textFill>
        </w:rPr>
      </w:pPr>
      <w:r>
        <w:rPr>
          <w:rFonts w:hint="eastAsia" w:ascii="宋体" w:hAnsi="宋体" w:eastAsia="宋体" w:cs="宋体"/>
          <w:bCs/>
          <w:color w:val="000000" w:themeColor="text1"/>
          <w:sz w:val="28"/>
          <w:szCs w:val="28"/>
          <w:highlight w:val="none"/>
          <w:lang w:eastAsia="zh-CN"/>
          <w14:textFill>
            <w14:solidFill>
              <w14:schemeClr w14:val="tx1"/>
            </w14:solidFill>
          </w14:textFill>
        </w:rPr>
        <w:t>联系电话：</w:t>
      </w:r>
      <w:bookmarkEnd w:id="39"/>
      <w:bookmarkEnd w:id="40"/>
      <w:r>
        <w:rPr>
          <w:rFonts w:hint="eastAsia" w:ascii="宋体" w:hAnsi="宋体" w:eastAsia="宋体" w:cs="宋体"/>
          <w:bCs/>
          <w:color w:val="000000" w:themeColor="text1"/>
          <w:sz w:val="28"/>
          <w:szCs w:val="28"/>
          <w:highlight w:val="none"/>
          <w:u w:val="single"/>
          <w:lang w:eastAsia="zh-CN"/>
          <w14:textFill>
            <w14:solidFill>
              <w14:schemeClr w14:val="tx1"/>
            </w14:solidFill>
          </w14:textFill>
        </w:rPr>
        <w:t xml:space="preserve">                                                </w:t>
      </w:r>
    </w:p>
    <w:p w14:paraId="2A8FDAA0">
      <w:pPr>
        <w:pStyle w:val="9"/>
        <w:pageBreakBefore w:val="0"/>
        <w:widowControl w:val="0"/>
        <w:kinsoku/>
        <w:wordWrap w:val="0"/>
        <w:overflowPunct/>
        <w:topLinePunct w:val="0"/>
        <w:bidi w:val="0"/>
        <w:spacing w:line="360" w:lineRule="auto"/>
        <w:ind w:left="0" w:leftChars="0"/>
        <w:rPr>
          <w:rFonts w:hint="eastAsia" w:ascii="宋体" w:hAnsi="宋体" w:eastAsia="宋体" w:cs="宋体"/>
          <w:bCs/>
          <w:color w:val="000000" w:themeColor="text1"/>
          <w:sz w:val="28"/>
          <w:szCs w:val="28"/>
          <w:highlight w:val="none"/>
          <w:lang w:eastAsia="zh-CN"/>
          <w14:textFill>
            <w14:solidFill>
              <w14:schemeClr w14:val="tx1"/>
            </w14:solidFill>
          </w14:textFill>
        </w:rPr>
      </w:pPr>
      <w:bookmarkStart w:id="41" w:name="_Toc26465_WPSOffice_Level2"/>
      <w:bookmarkStart w:id="42" w:name="_Toc15933_WPSOffice_Level2"/>
      <w:r>
        <w:rPr>
          <w:rFonts w:hint="eastAsia" w:ascii="宋体" w:hAnsi="宋体" w:eastAsia="宋体" w:cs="宋体"/>
          <w:bCs/>
          <w:color w:val="000000" w:themeColor="text1"/>
          <w:sz w:val="28"/>
          <w:szCs w:val="28"/>
          <w:highlight w:val="none"/>
          <w:lang w:eastAsia="zh-CN"/>
          <w14:textFill>
            <w14:solidFill>
              <w14:schemeClr w14:val="tx1"/>
            </w14:solidFill>
          </w14:textFill>
        </w:rPr>
        <w:t>日期：</w:t>
      </w:r>
      <w:r>
        <w:rPr>
          <w:rFonts w:hint="eastAsia" w:ascii="宋体" w:hAnsi="宋体" w:eastAsia="宋体" w:cs="宋体"/>
          <w:bCs/>
          <w:color w:val="000000" w:themeColor="text1"/>
          <w:sz w:val="28"/>
          <w:szCs w:val="28"/>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8"/>
          <w:szCs w:val="28"/>
          <w:highlight w:val="none"/>
          <w:lang w:eastAsia="zh-CN"/>
          <w14:textFill>
            <w14:solidFill>
              <w14:schemeClr w14:val="tx1"/>
            </w14:solidFill>
          </w14:textFill>
        </w:rPr>
        <w:t>年</w:t>
      </w:r>
      <w:r>
        <w:rPr>
          <w:rFonts w:hint="eastAsia" w:ascii="宋体" w:hAnsi="宋体" w:eastAsia="宋体" w:cs="宋体"/>
          <w:bCs/>
          <w:color w:val="000000" w:themeColor="text1"/>
          <w:sz w:val="28"/>
          <w:szCs w:val="28"/>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8"/>
          <w:szCs w:val="28"/>
          <w:highlight w:val="none"/>
          <w:lang w:eastAsia="zh-CN"/>
          <w14:textFill>
            <w14:solidFill>
              <w14:schemeClr w14:val="tx1"/>
            </w14:solidFill>
          </w14:textFill>
        </w:rPr>
        <w:t>月</w:t>
      </w:r>
      <w:r>
        <w:rPr>
          <w:rFonts w:hint="eastAsia" w:ascii="宋体" w:hAnsi="宋体" w:eastAsia="宋体" w:cs="宋体"/>
          <w:bCs/>
          <w:color w:val="000000" w:themeColor="text1"/>
          <w:sz w:val="28"/>
          <w:szCs w:val="28"/>
          <w:highlight w:val="none"/>
          <w:u w:val="single"/>
          <w:lang w:eastAsia="zh-CN"/>
          <w14:textFill>
            <w14:solidFill>
              <w14:schemeClr w14:val="tx1"/>
            </w14:solidFill>
          </w14:textFill>
        </w:rPr>
        <w:t xml:space="preserve">           </w:t>
      </w:r>
      <w:r>
        <w:rPr>
          <w:rFonts w:hint="eastAsia" w:ascii="宋体" w:hAnsi="宋体" w:eastAsia="宋体" w:cs="宋体"/>
          <w:bCs/>
          <w:color w:val="000000" w:themeColor="text1"/>
          <w:sz w:val="28"/>
          <w:szCs w:val="28"/>
          <w:highlight w:val="none"/>
          <w:lang w:eastAsia="zh-CN"/>
          <w14:textFill>
            <w14:solidFill>
              <w14:schemeClr w14:val="tx1"/>
            </w14:solidFill>
          </w14:textFill>
        </w:rPr>
        <w:t>日</w:t>
      </w:r>
      <w:bookmarkEnd w:id="41"/>
      <w:bookmarkEnd w:id="42"/>
    </w:p>
    <w:p w14:paraId="4A89A5CB">
      <w:pPr>
        <w:pageBreakBefore w:val="0"/>
        <w:widowControl w:val="0"/>
        <w:overflowPunct/>
        <w:topLinePunct w:val="0"/>
        <w:bidi w:val="0"/>
        <w:spacing w:line="360" w:lineRule="auto"/>
        <w:ind w:firstLine="620" w:firstLineChars="200"/>
        <w:rPr>
          <w:rFonts w:hint="eastAsia" w:ascii="宋体" w:hAnsi="宋体" w:eastAsia="宋体" w:cs="宋体"/>
          <w:color w:val="000000" w:themeColor="text1"/>
          <w:sz w:val="31"/>
          <w:szCs w:val="31"/>
          <w:highlight w:val="none"/>
          <w:lang w:eastAsia="zh-CN"/>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48098A5">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二、响应文件组成</w:t>
      </w:r>
    </w:p>
    <w:p w14:paraId="488B26A7">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6BAF5F0">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80634A3">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6CDA3F0">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1EAD0CDE">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（一）</w:t>
      </w:r>
      <w:r>
        <w:rPr>
          <w:rFonts w:hint="eastAsia" w:ascii="宋体" w:hAnsi="宋体" w:eastAsia="宋体" w:cs="宋体"/>
          <w:b/>
          <w:bCs/>
          <w:color w:val="000000" w:themeColor="text1"/>
          <w:sz w:val="31"/>
          <w:szCs w:val="31"/>
          <w:highlight w:val="none"/>
          <w:lang w:eastAsia="zh-CN"/>
          <w14:textFill>
            <w14:solidFill>
              <w14:schemeClr w14:val="tx1"/>
            </w14:solidFill>
          </w14:textFill>
        </w:rPr>
        <w:t>资格性响应证明材料</w:t>
      </w:r>
    </w:p>
    <w:p w14:paraId="6B6D2DA0">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3874372">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248628C">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30A3F66">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93D09D0">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E52A7A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3B4B9240">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（二）</w:t>
      </w:r>
      <w:r>
        <w:rPr>
          <w:rFonts w:hint="eastAsia" w:ascii="宋体" w:hAnsi="宋体" w:eastAsia="宋体" w:cs="宋体"/>
          <w:b/>
          <w:bCs/>
          <w:color w:val="000000" w:themeColor="text1"/>
          <w:sz w:val="31"/>
          <w:szCs w:val="31"/>
          <w:highlight w:val="none"/>
          <w:lang w:eastAsia="zh-CN"/>
          <w14:textFill>
            <w14:solidFill>
              <w14:schemeClr w14:val="tx1"/>
            </w14:solidFill>
          </w14:textFill>
        </w:rPr>
        <w:t>符合性响应证明材料</w:t>
      </w:r>
    </w:p>
    <w:p w14:paraId="3C3B7101">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7061D2E">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394EF17">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3FF8A60E">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77066AF1">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0383D4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3BD9923">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（三）</w:t>
      </w:r>
      <w:r>
        <w:rPr>
          <w:rFonts w:hint="eastAsia" w:ascii="宋体" w:hAnsi="宋体" w:eastAsia="宋体" w:cs="宋体"/>
          <w:b/>
          <w:bCs/>
          <w:color w:val="000000" w:themeColor="text1"/>
          <w:sz w:val="31"/>
          <w:szCs w:val="31"/>
          <w:highlight w:val="none"/>
          <w:lang w:eastAsia="zh-CN"/>
          <w14:textFill>
            <w14:solidFill>
              <w14:schemeClr w14:val="tx1"/>
            </w14:solidFill>
          </w14:textFill>
        </w:rPr>
        <w:t>其它有效证明材料</w:t>
      </w:r>
    </w:p>
    <w:p w14:paraId="0E1EC7C2">
      <w:pPr>
        <w:pageBreakBefore w:val="0"/>
        <w:widowControl w:val="0"/>
        <w:overflowPunct/>
        <w:topLinePunct w:val="0"/>
        <w:bidi w:val="0"/>
        <w:spacing w:line="400" w:lineRule="exact"/>
        <w:ind w:firstLine="620" w:firstLineChars="200"/>
        <w:rPr>
          <w:rFonts w:hint="eastAsia" w:ascii="宋体" w:hAnsi="宋体" w:eastAsia="宋体" w:cs="宋体"/>
          <w:color w:val="000000" w:themeColor="text1"/>
          <w:sz w:val="31"/>
          <w:szCs w:val="31"/>
          <w:highlight w:val="none"/>
          <w:lang w:eastAsia="zh-CN"/>
          <w14:textFill>
            <w14:solidFill>
              <w14:schemeClr w14:val="tx1"/>
            </w14:solidFill>
          </w14:textFill>
        </w:rPr>
        <w:sectPr>
          <w:footerReference r:id="rId11"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3C4A415B">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（一）资格性响应证明材料目录</w:t>
      </w:r>
    </w:p>
    <w:p w14:paraId="56110F9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1.供应商相应的法定代表人(负责人、自然人)身份证正反两面复印件</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050262F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w:t>
      </w:r>
      <w:r>
        <w:rPr>
          <w:rFonts w:hint="eastAsia" w:ascii="宋体" w:hAnsi="宋体" w:eastAsia="宋体" w:cs="宋体"/>
          <w:color w:val="000000" w:themeColor="text1"/>
          <w:szCs w:val="21"/>
          <w:highlight w:val="none"/>
          <w14:textFill>
            <w14:solidFill>
              <w14:schemeClr w14:val="tx1"/>
            </w14:solidFill>
          </w14:textFill>
        </w:rPr>
        <w:t>供应商的授权委托书原件、委托代理人</w:t>
      </w:r>
      <w:r>
        <w:rPr>
          <w:rFonts w:hint="eastAsia" w:ascii="宋体" w:hAnsi="宋体" w:eastAsia="宋体" w:cs="宋体"/>
          <w:color w:val="000000" w:themeColor="text1"/>
          <w:highlight w:val="none"/>
          <w14:textFill>
            <w14:solidFill>
              <w14:schemeClr w14:val="tx1"/>
            </w14:solidFill>
          </w14:textFill>
        </w:rPr>
        <w:t>身份证正反面</w:t>
      </w:r>
      <w:r>
        <w:rPr>
          <w:rFonts w:hint="eastAsia" w:ascii="宋体" w:hAnsi="宋体" w:eastAsia="宋体" w:cs="宋体"/>
          <w:color w:val="000000" w:themeColor="text1"/>
          <w:szCs w:val="21"/>
          <w:highlight w:val="none"/>
          <w14:textFill>
            <w14:solidFill>
              <w14:schemeClr w14:val="tx1"/>
            </w14:solidFill>
          </w14:textFill>
        </w:rPr>
        <w:t>复印件以及由社保经办机构出具的供应商为委托代理人</w:t>
      </w:r>
      <w:r>
        <w:rPr>
          <w:rFonts w:hint="eastAsia" w:ascii="宋体" w:hAnsi="宋体" w:eastAsia="宋体" w:cs="宋体"/>
          <w:color w:val="000000" w:themeColor="text1"/>
          <w:szCs w:val="21"/>
          <w:highlight w:val="none"/>
          <w:lang w:eastAsia="zh-CN"/>
          <w14:textFill>
            <w14:solidFill>
              <w14:schemeClr w14:val="tx1"/>
            </w14:solidFill>
          </w14:textFill>
        </w:rPr>
        <w:t>2026年</w:t>
      </w:r>
      <w:r>
        <w:rPr>
          <w:rFonts w:hint="eastAsia" w:ascii="宋体" w:hAnsi="宋体" w:eastAsia="宋体" w:cs="宋体"/>
          <w:color w:val="000000" w:themeColor="text1"/>
          <w:szCs w:val="21"/>
          <w:highlight w:val="none"/>
          <w:lang w:val="en-US" w:eastAsia="zh-CN"/>
          <w14:textFill>
            <w14:solidFill>
              <w14:schemeClr w14:val="tx1"/>
            </w14:solidFill>
          </w14:textFill>
        </w:rPr>
        <w:t>6月</w:t>
      </w:r>
      <w:r>
        <w:rPr>
          <w:rFonts w:hint="eastAsia" w:ascii="宋体" w:hAnsi="宋体" w:eastAsia="宋体" w:cs="宋体"/>
          <w:color w:val="000000" w:themeColor="text1"/>
          <w:szCs w:val="21"/>
          <w:highlight w:val="none"/>
          <w:lang w:eastAsia="zh-CN"/>
          <w14:textFill>
            <w14:solidFill>
              <w14:schemeClr w14:val="tx1"/>
            </w14:solidFill>
          </w14:textFill>
        </w:rPr>
        <w:t>以来</w:t>
      </w:r>
      <w:r>
        <w:rPr>
          <w:rFonts w:hint="eastAsia" w:ascii="宋体" w:hAnsi="宋体" w:eastAsia="宋体" w:cs="宋体"/>
          <w:color w:val="000000" w:themeColor="text1"/>
          <w:szCs w:val="21"/>
          <w:highlight w:val="none"/>
          <w14:textFill>
            <w14:solidFill>
              <w14:schemeClr w14:val="tx1"/>
            </w14:solidFill>
          </w14:textFill>
        </w:rPr>
        <w:t>任意一个月交纳的社保证明复印件</w:t>
      </w:r>
      <w:r>
        <w:rPr>
          <w:rFonts w:hint="eastAsia" w:ascii="宋体" w:hAnsi="宋体" w:eastAsia="宋体" w:cs="宋体"/>
          <w:b/>
          <w:color w:val="000000" w:themeColor="text1"/>
          <w:szCs w:val="21"/>
          <w:highlight w:val="none"/>
          <w14:textFill>
            <w14:solidFill>
              <w14:schemeClr w14:val="tx1"/>
            </w14:solidFill>
          </w14:textFill>
        </w:rPr>
        <w:t>【属自然人的应提供由社保经办机构出具的自然人本人及委托代理人所交纳的社保证明复印件】（委托代理时必须提供）</w:t>
      </w:r>
      <w:r>
        <w:rPr>
          <w:rFonts w:hint="eastAsia" w:ascii="宋体" w:hAnsi="宋体" w:eastAsia="宋体" w:cs="宋体"/>
          <w:color w:val="000000" w:themeColor="text1"/>
          <w:highlight w:val="none"/>
          <w:lang w:eastAsia="zh-CN"/>
          <w14:textFill>
            <w14:solidFill>
              <w14:schemeClr w14:val="tx1"/>
            </w14:solidFill>
          </w14:textFill>
        </w:rPr>
        <w:t>；</w:t>
      </w:r>
    </w:p>
    <w:p w14:paraId="06F22F0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3.供应商的法人或者其他组织营业执照等证明文件复印件</w:t>
      </w:r>
      <w:r>
        <w:rPr>
          <w:rFonts w:hint="eastAsia" w:ascii="宋体" w:hAnsi="宋体" w:eastAsia="宋体" w:cs="宋体"/>
          <w:b/>
          <w:bCs/>
          <w:color w:val="000000" w:themeColor="text1"/>
          <w:highlight w:val="none"/>
          <w:lang w:eastAsia="zh-CN"/>
          <w14:textFill>
            <w14:solidFill>
              <w14:schemeClr w14:val="tx1"/>
            </w14:solidFill>
          </w14:textFill>
        </w:rPr>
        <w:t>（必须提供，自然人除外）</w:t>
      </w:r>
      <w:r>
        <w:rPr>
          <w:rFonts w:hint="eastAsia" w:ascii="宋体" w:hAnsi="宋体" w:eastAsia="宋体" w:cs="宋体"/>
          <w:color w:val="000000" w:themeColor="text1"/>
          <w:highlight w:val="none"/>
          <w:lang w:eastAsia="zh-CN"/>
          <w14:textFill>
            <w14:solidFill>
              <w14:schemeClr w14:val="tx1"/>
            </w14:solidFill>
          </w14:textFill>
        </w:rPr>
        <w:t>；</w:t>
      </w:r>
    </w:p>
    <w:p w14:paraId="248B4174">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注：①法人包括企业法人、机关法人、事业单位法人和社会团体法人；其他组织主要包括合伙企业、非企业专业服务机构、个体工商户、农村承包经营户。②如供应商为企业（包括合伙企业），应提供市场监督管理部门（或行政审批部门）注册的有效“企业法人营业执照”或“营业执照；供应商为事业单位，应提供有效的“事业单位法人证书”；供应商为非企业专业服务机构的，应提供执业许可证等证明文件；供应商为个体工商户，应提供有效的“个体工商户营业执照”。③如供应商为企业法人的分支机构的，除应提供营业执照复印件外，还应提供其所属的总公司授权其参加政府采购活动的授权文件或授权其独立开展经营业务活动的证明材料复印件。</w:t>
      </w:r>
    </w:p>
    <w:p w14:paraId="5EC9EA0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4.供应商202</w:t>
      </w:r>
      <w:r>
        <w:rPr>
          <w:rFonts w:hint="eastAsia" w:ascii="宋体" w:hAnsi="宋体" w:eastAsia="宋体" w:cs="宋体"/>
          <w:b w:val="0"/>
          <w:bCs w:val="0"/>
          <w:color w:val="000000" w:themeColor="text1"/>
          <w:highlight w:val="none"/>
          <w:lang w:val="en-US" w:eastAsia="zh-CN"/>
          <w14:textFill>
            <w14:solidFill>
              <w14:schemeClr w14:val="tx1"/>
            </w14:solidFill>
          </w14:textFill>
        </w:rPr>
        <w:t>5</w:t>
      </w:r>
      <w:r>
        <w:rPr>
          <w:rFonts w:hint="eastAsia" w:ascii="宋体" w:hAnsi="宋体" w:eastAsia="宋体" w:cs="宋体"/>
          <w:b w:val="0"/>
          <w:bCs w:val="0"/>
          <w:color w:val="000000" w:themeColor="text1"/>
          <w:highlight w:val="none"/>
          <w:lang w:eastAsia="zh-CN"/>
          <w14:textFill>
            <w14:solidFill>
              <w14:schemeClr w14:val="tx1"/>
            </w14:solidFill>
          </w14:textFill>
        </w:rPr>
        <w:t>年的财务状况报告复印件（可以是财务报表或2025年以来银行出具的资信证明等）复印件</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1685F9B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5.供应商</w:t>
      </w:r>
      <w:r>
        <w:rPr>
          <w:rFonts w:hint="eastAsia" w:ascii="宋体" w:hAnsi="宋体" w:eastAsia="宋体" w:cs="宋体"/>
          <w:color w:val="000000" w:themeColor="text1"/>
          <w:szCs w:val="21"/>
          <w:highlight w:val="none"/>
          <w14:textFill>
            <w14:solidFill>
              <w14:schemeClr w14:val="tx1"/>
            </w14:solidFill>
          </w14:textFill>
        </w:rPr>
        <w:t>202</w:t>
      </w:r>
      <w:r>
        <w:rPr>
          <w:rFonts w:hint="eastAsia" w:ascii="宋体" w:hAnsi="宋体" w:eastAsia="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年</w:t>
      </w:r>
      <w:r>
        <w:rPr>
          <w:rFonts w:hint="eastAsia" w:ascii="宋体" w:hAnsi="宋体" w:eastAsia="宋体" w:cs="宋体"/>
          <w:color w:val="000000" w:themeColor="text1"/>
          <w:szCs w:val="21"/>
          <w:highlight w:val="none"/>
          <w:lang w:val="en-US" w:eastAsia="zh-CN"/>
          <w14:textFill>
            <w14:solidFill>
              <w14:schemeClr w14:val="tx1"/>
            </w14:solidFill>
          </w14:textFill>
        </w:rPr>
        <w:t>6月</w:t>
      </w:r>
      <w:r>
        <w:rPr>
          <w:rFonts w:hint="eastAsia" w:ascii="宋体" w:hAnsi="宋体" w:eastAsia="宋体" w:cs="宋体"/>
          <w:b w:val="0"/>
          <w:bCs w:val="0"/>
          <w:color w:val="000000" w:themeColor="text1"/>
          <w:highlight w:val="none"/>
          <w:lang w:eastAsia="zh-CN"/>
          <w14:textFill>
            <w14:solidFill>
              <w14:schemeClr w14:val="tx1"/>
            </w14:solidFill>
          </w14:textFill>
        </w:rPr>
        <w:t>以来任意一个月依法缴纳税收的相关材料复印件</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6509680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6.供应商参加政府采购活动前3年内在经营活动中没有重大违法记录及有关信用信息的书面声明</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color w:val="000000" w:themeColor="text1"/>
          <w:highlight w:val="none"/>
          <w:lang w:eastAsia="zh-CN"/>
          <w14:textFill>
            <w14:solidFill>
              <w14:schemeClr w14:val="tx1"/>
            </w14:solidFill>
          </w14:textFill>
        </w:rPr>
        <w:t>；</w:t>
      </w:r>
    </w:p>
    <w:p w14:paraId="67DFAEC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7.供应商参加本项目无围标串标行为的承诺函</w:t>
      </w:r>
      <w:r>
        <w:rPr>
          <w:rFonts w:hint="eastAsia" w:ascii="宋体" w:hAnsi="宋体" w:eastAsia="宋体" w:cs="宋体"/>
          <w:b/>
          <w:bCs/>
          <w:color w:val="000000" w:themeColor="text1"/>
          <w:highlight w:val="none"/>
          <w:lang w:eastAsia="zh-CN"/>
          <w14:textFill>
            <w14:solidFill>
              <w14:schemeClr w14:val="tx1"/>
            </w14:solidFill>
          </w14:textFill>
        </w:rPr>
        <w:t>（必须提供）</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w:t>
      </w:r>
    </w:p>
    <w:p w14:paraId="7CAF7735">
      <w:pP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br w:type="page"/>
      </w:r>
    </w:p>
    <w:p w14:paraId="1D47587C">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1.供应商相应的法定代表人(负责人、自然人)身份证正反两面复印件（必须提供）</w:t>
      </w:r>
    </w:p>
    <w:p w14:paraId="40705FD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12538FB">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B0118ED">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2.</w:t>
      </w:r>
      <w:r>
        <w:rPr>
          <w:rFonts w:hint="eastAsia" w:ascii="宋体" w:hAnsi="宋体" w:eastAsia="宋体" w:cs="宋体"/>
          <w:b/>
          <w:color w:val="000000" w:themeColor="text1"/>
          <w:sz w:val="28"/>
          <w:szCs w:val="28"/>
          <w:highlight w:val="none"/>
          <w14:textFill>
            <w14:solidFill>
              <w14:schemeClr w14:val="tx1"/>
            </w14:solidFill>
          </w14:textFill>
        </w:rPr>
        <w:t>供应商的授权委托书原件、委托代理人身份证正反面复印件以及由社保经办机构出具的供应商为委托代理人</w:t>
      </w:r>
      <w:r>
        <w:rPr>
          <w:rFonts w:hint="eastAsia" w:ascii="宋体" w:hAnsi="宋体" w:eastAsia="宋体" w:cs="宋体"/>
          <w:b/>
          <w:color w:val="000000" w:themeColor="text1"/>
          <w:sz w:val="28"/>
          <w:szCs w:val="28"/>
          <w:highlight w:val="none"/>
          <w:lang w:eastAsia="zh-CN"/>
          <w14:textFill>
            <w14:solidFill>
              <w14:schemeClr w14:val="tx1"/>
            </w14:solidFill>
          </w14:textFill>
        </w:rPr>
        <w:t>2026年</w:t>
      </w:r>
      <w:r>
        <w:rPr>
          <w:rFonts w:hint="eastAsia" w:ascii="宋体" w:hAnsi="宋体" w:eastAsia="宋体" w:cs="宋体"/>
          <w:b/>
          <w:color w:val="000000" w:themeColor="text1"/>
          <w:sz w:val="28"/>
          <w:szCs w:val="28"/>
          <w:highlight w:val="none"/>
          <w14:textFill>
            <w14:solidFill>
              <w14:schemeClr w14:val="tx1"/>
            </w14:solidFill>
          </w14:textFill>
        </w:rPr>
        <w:t>以来任意一个月交纳的社保证明复印件【属自然人的应提供由社保经办机构出具的自然人本人及委托代理人所交纳的社保证明复印件】（委托代理时必须提供）</w:t>
      </w:r>
    </w:p>
    <w:p w14:paraId="0CA5E639">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362122C">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10F3F0ED">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附件：</w:t>
      </w:r>
    </w:p>
    <w:p w14:paraId="46EEDB77">
      <w:pPr>
        <w:pageBreakBefore w:val="0"/>
        <w:widowControl w:val="0"/>
        <w:overflowPunct/>
        <w:topLinePunct w:val="0"/>
        <w:bidi w:val="0"/>
        <w:spacing w:line="400" w:lineRule="exact"/>
        <w:ind w:firstLine="622" w:firstLineChars="200"/>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授权委托书（格式一）</w:t>
      </w:r>
    </w:p>
    <w:p w14:paraId="52187C2D">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致</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u w:val="single"/>
          <w:lang w:eastAsia="zh-CN"/>
          <w14:textFill>
            <w14:solidFill>
              <w14:schemeClr w14:val="tx1"/>
            </w14:solidFill>
          </w14:textFill>
        </w:rPr>
        <w:t>大华建设项目管理有限公司</w:t>
      </w:r>
    </w:p>
    <w:p w14:paraId="670483E3">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我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（姓名）系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（供应商名称）的法定代表 人（负责人），现授权委托本单位在职职工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（姓名） 以我公司名义参加</w:t>
      </w:r>
      <w:r>
        <w:rPr>
          <w:rFonts w:hint="eastAsia" w:ascii="宋体" w:hAnsi="宋体" w:eastAsia="宋体" w:cs="宋体"/>
          <w:color w:val="000000" w:themeColor="text1"/>
          <w:highlight w:val="none"/>
          <w:u w:val="single"/>
          <w:lang w:eastAsia="zh-CN"/>
          <w14:textFill>
            <w14:solidFill>
              <w14:schemeClr w14:val="tx1"/>
            </w14:solidFill>
          </w14:textFill>
        </w:rPr>
        <w:t xml:space="preserve">      （项目名称及项目编号）        </w:t>
      </w:r>
      <w:r>
        <w:rPr>
          <w:rFonts w:hint="eastAsia" w:ascii="宋体" w:hAnsi="宋体" w:eastAsia="宋体" w:cs="宋体"/>
          <w:color w:val="000000" w:themeColor="text1"/>
          <w:highlight w:val="none"/>
          <w:lang w:eastAsia="zh-CN"/>
          <w14:textFill>
            <w14:solidFill>
              <w14:schemeClr w14:val="tx1"/>
            </w14:solidFill>
          </w14:textFill>
        </w:rPr>
        <w:t xml:space="preserve"> 项目的谈判活动，并代表我方全权办理针对上述项目的谈判、签约等具 体事务和签署相关文件。</w:t>
      </w:r>
    </w:p>
    <w:p w14:paraId="097144C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我方对被授权人的签字事项负全部责任。</w:t>
      </w:r>
    </w:p>
    <w:p w14:paraId="68EDE02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授权委托代理期限：从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年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月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日起至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年</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月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日止。</w:t>
      </w:r>
    </w:p>
    <w:p w14:paraId="777728E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代理人无转委托权,特此委托。</w:t>
      </w:r>
    </w:p>
    <w:p w14:paraId="73AD03A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我已在下面签字， 以资证明。</w:t>
      </w:r>
    </w:p>
    <w:p w14:paraId="57E68EA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EFA10DF">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p>
    <w:p w14:paraId="126D3C3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供应商（CA 证书签章）：</w:t>
      </w:r>
    </w:p>
    <w:p w14:paraId="2A27915B">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D78FB1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法定代表人（负责人）签字（或个人 CA 证书签章）：</w:t>
      </w:r>
    </w:p>
    <w:p w14:paraId="53026653">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13C8C1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年      月     日</w:t>
      </w:r>
    </w:p>
    <w:p w14:paraId="63386F9E">
      <w:pPr>
        <w:pageBreakBefore w:val="0"/>
        <w:widowControl w:val="0"/>
        <w:overflowPunct/>
        <w:topLinePunct w:val="0"/>
        <w:bidi w:val="0"/>
        <w:spacing w:line="400" w:lineRule="exact"/>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附：委托代理人身份证正反面复印件以及由社保经办机构出具的供应商为委托代 理人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缴</w:t>
      </w:r>
      <w:r>
        <w:rPr>
          <w:rFonts w:hint="eastAsia" w:ascii="宋体" w:hAnsi="宋体" w:eastAsia="宋体" w:cs="宋体"/>
          <w:b/>
          <w:bCs/>
          <w:color w:val="000000" w:themeColor="text1"/>
          <w:sz w:val="24"/>
          <w:szCs w:val="24"/>
          <w:highlight w:val="none"/>
          <w:lang w:eastAsia="zh-CN"/>
          <w14:textFill>
            <w14:solidFill>
              <w14:schemeClr w14:val="tx1"/>
            </w14:solidFill>
          </w14:textFill>
        </w:rPr>
        <w:t>纳社保证明复印件（委托代理时必须提供）。</w:t>
      </w:r>
    </w:p>
    <w:p w14:paraId="5776A152">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sectPr>
          <w:footerReference r:id="rId12"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0D08945D">
      <w:pPr>
        <w:pageBreakBefore w:val="0"/>
        <w:widowControl w:val="0"/>
        <w:overflowPunct/>
        <w:topLinePunct w:val="0"/>
        <w:bidi w:val="0"/>
        <w:spacing w:line="400" w:lineRule="exact"/>
        <w:ind w:firstLine="622" w:firstLineChars="200"/>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授权委托书（格式二）</w:t>
      </w:r>
    </w:p>
    <w:p w14:paraId="1560CCFD">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致</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u w:val="single"/>
          <w:lang w:eastAsia="zh-CN"/>
          <w14:textFill>
            <w14:solidFill>
              <w14:schemeClr w14:val="tx1"/>
            </w14:solidFill>
          </w14:textFill>
        </w:rPr>
        <w:t>大华建设项目管理有限公司</w:t>
      </w:r>
    </w:p>
    <w:p w14:paraId="6DCFC0E9">
      <w:pPr>
        <w:pageBreakBefore w:val="0"/>
        <w:widowControl w:val="0"/>
        <w:tabs>
          <w:tab w:val="left" w:pos="118"/>
        </w:tabs>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我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（姓名）系自然人，现授权委托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（姓 名） 以本人名义参加 </w:t>
      </w:r>
      <w:r>
        <w:rPr>
          <w:rFonts w:hint="eastAsia" w:ascii="宋体" w:hAnsi="宋体" w:eastAsia="宋体" w:cs="宋体"/>
          <w:color w:val="000000" w:themeColor="text1"/>
          <w:highlight w:val="none"/>
          <w:u w:val="single"/>
          <w:lang w:eastAsia="zh-CN"/>
          <w14:textFill>
            <w14:solidFill>
              <w14:schemeClr w14:val="tx1"/>
            </w14:solidFill>
          </w14:textFill>
        </w:rPr>
        <w:tab/>
      </w:r>
      <w:r>
        <w:rPr>
          <w:rFonts w:hint="eastAsia" w:ascii="宋体" w:hAnsi="宋体" w:eastAsia="宋体" w:cs="宋体"/>
          <w:color w:val="000000" w:themeColor="text1"/>
          <w:highlight w:val="none"/>
          <w:u w:val="single"/>
          <w:lang w:eastAsia="zh-CN"/>
          <w14:textFill>
            <w14:solidFill>
              <w14:schemeClr w14:val="tx1"/>
            </w14:solidFill>
          </w14:textFill>
        </w:rPr>
        <w:t xml:space="preserve">（项目名称及项目编号）        </w:t>
      </w:r>
      <w:r>
        <w:rPr>
          <w:rFonts w:hint="eastAsia" w:ascii="宋体" w:hAnsi="宋体" w:eastAsia="宋体" w:cs="宋体"/>
          <w:color w:val="000000" w:themeColor="text1"/>
          <w:highlight w:val="none"/>
          <w:lang w:eastAsia="zh-CN"/>
          <w14:textFill>
            <w14:solidFill>
              <w14:schemeClr w14:val="tx1"/>
            </w14:solidFill>
          </w14:textFill>
        </w:rPr>
        <w:t xml:space="preserve"> 项目的谈判活动，并代表本人全权办理针对上述项目的谈判、签 约等具体事务和签署相关文件。</w:t>
      </w:r>
    </w:p>
    <w:p w14:paraId="114A8BF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本人对被授权人的签字事项负全部责任。</w:t>
      </w:r>
    </w:p>
    <w:p w14:paraId="6BF111D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授权委托代理期限：从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年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月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日起至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年</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月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日止。</w:t>
      </w:r>
    </w:p>
    <w:p w14:paraId="5584D231">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代理人无转委托权,特此委托。</w:t>
      </w:r>
    </w:p>
    <w:p w14:paraId="476F85D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我已在下面签字， 以资证明。</w:t>
      </w:r>
    </w:p>
    <w:p w14:paraId="32ED9273">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D98D89A">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ADE3FE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自然人签字（或个人 CA 证书签章）：</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p>
    <w:p w14:paraId="46C4673A">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B44E12C">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9054C8A">
      <w:pPr>
        <w:pageBreakBefore w:val="0"/>
        <w:widowControl w:val="0"/>
        <w:tabs>
          <w:tab w:val="left" w:pos="1260"/>
        </w:tabs>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ab/>
      </w:r>
      <w:r>
        <w:rPr>
          <w:rFonts w:hint="eastAsia" w:ascii="宋体" w:hAnsi="宋体" w:eastAsia="宋体" w:cs="宋体"/>
          <w:color w:val="000000" w:themeColor="text1"/>
          <w:highlight w:val="none"/>
          <w:lang w:eastAsia="zh-CN"/>
          <w14:textFill>
            <w14:solidFill>
              <w14:schemeClr w14:val="tx1"/>
            </w14:solidFill>
          </w14:textFill>
        </w:rPr>
        <w:t xml:space="preserve"> 年</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月</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日</w:t>
      </w:r>
    </w:p>
    <w:p w14:paraId="1B29315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9B0C83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4CDAB951">
      <w:pPr>
        <w:pageBreakBefore w:val="0"/>
        <w:widowControl w:val="0"/>
        <w:overflowPunct/>
        <w:topLinePunct w:val="0"/>
        <w:bidi w:val="0"/>
        <w:spacing w:line="400" w:lineRule="exact"/>
        <w:ind w:firstLine="482"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附：委托代理人身份证正反面复印件（委托代理时必须提供）。</w:t>
      </w:r>
    </w:p>
    <w:p w14:paraId="73A87F1B">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DCC0349">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753B7893">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9C28C4E">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7582A2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8E5682F">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3.供应商的法人或者其他组织营业执照等证明文件复印件（必须提供，</w:t>
      </w:r>
      <w:r>
        <w:rPr>
          <w:rFonts w:hint="eastAsia" w:ascii="宋体" w:hAnsi="宋体" w:eastAsia="宋体" w:cs="宋体"/>
          <w:color w:val="000000" w:themeColor="text1"/>
          <w:sz w:val="28"/>
          <w:szCs w:val="28"/>
          <w:highlight w:val="none"/>
          <w:lang w:eastAsia="zh-CN"/>
          <w14:textFill>
            <w14:solidFill>
              <w14:schemeClr w14:val="tx1"/>
            </w14:solidFill>
          </w14:textFill>
        </w:rPr>
        <w:t xml:space="preserve"> </w:t>
      </w:r>
      <w:r>
        <w:rPr>
          <w:rFonts w:hint="eastAsia" w:ascii="宋体" w:hAnsi="宋体" w:eastAsia="宋体" w:cs="宋体"/>
          <w:b/>
          <w:bCs/>
          <w:color w:val="000000" w:themeColor="text1"/>
          <w:sz w:val="28"/>
          <w:szCs w:val="28"/>
          <w:highlight w:val="none"/>
          <w:lang w:eastAsia="zh-CN"/>
          <w14:textFill>
            <w14:solidFill>
              <w14:schemeClr w14:val="tx1"/>
            </w14:solidFill>
          </w14:textFill>
        </w:rPr>
        <w:t>自然人除外）</w:t>
      </w:r>
    </w:p>
    <w:p w14:paraId="563F47BB">
      <w:pPr>
        <w:pageBreakBefore w:val="0"/>
        <w:widowControl w:val="0"/>
        <w:overflowPunct/>
        <w:topLinePunct w:val="0"/>
        <w:bidi w:val="0"/>
        <w:spacing w:line="400" w:lineRule="exact"/>
        <w:ind w:firstLine="402" w:firstLineChars="200"/>
        <w:jc w:val="both"/>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注：①法人包括企业法人、机关法人、事业单位法人和社会团体法人；其他组织主要包括合伙</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企业、非企业专业服务机构、个体工商户、农村承包经营户。②如供应商为企业（包括合伙企业），</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应提供市场监督管理部门（或行政审批部门）注册的有效“企业法人营业执照</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”或“营业执照；供</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应商为事业单位，应提供有效的“事业单位法人证书</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”；供应商为非企业专业服务机构的，应提供</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执业许可证等证明文件；供应商为个体工商户，应提供有效的“个体工商户营业执照</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”。③如供应</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商为企业法人的分支机构的，除应提供营业执照复印件外，还应提供其所属的总公司授权其参加政</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府采购活动的授权文件或授权其独立开展经营业务活动的证明材料复印件。</w:t>
      </w:r>
    </w:p>
    <w:p w14:paraId="5F6F148E">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13"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6E6651FD">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4.供应商20</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25</w:t>
      </w:r>
      <w:r>
        <w:rPr>
          <w:rFonts w:hint="eastAsia" w:ascii="宋体" w:hAnsi="宋体" w:eastAsia="宋体" w:cs="宋体"/>
          <w:b/>
          <w:bCs/>
          <w:color w:val="000000" w:themeColor="text1"/>
          <w:sz w:val="28"/>
          <w:szCs w:val="28"/>
          <w:highlight w:val="none"/>
          <w:lang w:eastAsia="zh-CN"/>
          <w14:textFill>
            <w14:solidFill>
              <w14:schemeClr w14:val="tx1"/>
            </w14:solidFill>
          </w14:textFill>
        </w:rPr>
        <w:t>年的财务状况报告复印件（可以是财务报表或2025年以来银行出具的资信证明等）复印件（必须提供）；</w:t>
      </w:r>
    </w:p>
    <w:p w14:paraId="138D54E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130E71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7689C11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AC78320">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5.供应商2026年6月以来任意一个月依法缴纳税收的相关材料复印件（必须提供）</w:t>
      </w:r>
    </w:p>
    <w:p w14:paraId="11849026">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3A9082F">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8E8451C">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20CEAE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BFF8B68">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6.供应商参加政府采购活动前</w:t>
      </w:r>
      <w:r>
        <w:rPr>
          <w:rFonts w:hint="eastAsia" w:ascii="宋体" w:hAnsi="宋体" w:eastAsia="宋体" w:cs="宋体"/>
          <w:color w:val="000000" w:themeColor="text1"/>
          <w:sz w:val="28"/>
          <w:szCs w:val="28"/>
          <w:highlight w:val="none"/>
          <w:lang w:eastAsia="zh-CN"/>
          <w14:textFill>
            <w14:solidFill>
              <w14:schemeClr w14:val="tx1"/>
            </w14:solidFill>
          </w14:textFill>
        </w:rPr>
        <w:t xml:space="preserve"> </w:t>
      </w:r>
      <w:r>
        <w:rPr>
          <w:rFonts w:hint="eastAsia" w:ascii="宋体" w:hAnsi="宋体" w:eastAsia="宋体" w:cs="宋体"/>
          <w:b/>
          <w:bCs/>
          <w:color w:val="000000" w:themeColor="text1"/>
          <w:sz w:val="28"/>
          <w:szCs w:val="28"/>
          <w:highlight w:val="none"/>
          <w:lang w:eastAsia="zh-CN"/>
          <w14:textFill>
            <w14:solidFill>
              <w14:schemeClr w14:val="tx1"/>
            </w14:solidFill>
          </w14:textFill>
        </w:rPr>
        <w:t>3</w:t>
      </w:r>
      <w:r>
        <w:rPr>
          <w:rFonts w:hint="eastAsia" w:ascii="宋体" w:hAnsi="宋体" w:eastAsia="宋体" w:cs="宋体"/>
          <w:color w:val="000000" w:themeColor="text1"/>
          <w:sz w:val="28"/>
          <w:szCs w:val="28"/>
          <w:highlight w:val="none"/>
          <w:lang w:eastAsia="zh-CN"/>
          <w14:textFill>
            <w14:solidFill>
              <w14:schemeClr w14:val="tx1"/>
            </w14:solidFill>
          </w14:textFill>
        </w:rPr>
        <w:t xml:space="preserve"> </w:t>
      </w:r>
      <w:r>
        <w:rPr>
          <w:rFonts w:hint="eastAsia" w:ascii="宋体" w:hAnsi="宋体" w:eastAsia="宋体" w:cs="宋体"/>
          <w:b/>
          <w:bCs/>
          <w:color w:val="000000" w:themeColor="text1"/>
          <w:sz w:val="28"/>
          <w:szCs w:val="28"/>
          <w:highlight w:val="none"/>
          <w:lang w:eastAsia="zh-CN"/>
          <w14:textFill>
            <w14:solidFill>
              <w14:schemeClr w14:val="tx1"/>
            </w14:solidFill>
          </w14:textFill>
        </w:rPr>
        <w:t>年内在经营活动中没有重大违法记录及有关信用信息的书面声明（必须提供）</w:t>
      </w:r>
    </w:p>
    <w:p w14:paraId="5A69DDF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77EA3DD6">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1C9BCD78">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附件：</w:t>
      </w:r>
    </w:p>
    <w:p w14:paraId="6C25DE0B">
      <w:pPr>
        <w:pageBreakBefore w:val="0"/>
        <w:widowControl w:val="0"/>
        <w:overflowPunct/>
        <w:topLinePunct w:val="0"/>
        <w:bidi w:val="0"/>
        <w:spacing w:line="400" w:lineRule="exact"/>
        <w:ind w:firstLine="622" w:firstLineChars="200"/>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声</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明（格式）</w:t>
      </w:r>
    </w:p>
    <w:p w14:paraId="518BEE72">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致</w:t>
      </w:r>
      <w:r>
        <w:rPr>
          <w:rFonts w:hint="eastAsia" w:ascii="宋体" w:hAnsi="宋体" w:eastAsia="宋体" w:cs="宋体"/>
          <w:color w:val="000000" w:themeColor="text1"/>
          <w:highlight w:val="none"/>
          <w:lang w:eastAsia="zh-CN"/>
          <w14:textFill>
            <w14:solidFill>
              <w14:schemeClr w14:val="tx1"/>
            </w14:solidFill>
          </w14:textFill>
        </w:rPr>
        <w:t>：</w:t>
      </w:r>
      <w:r>
        <w:rPr>
          <w:rFonts w:hint="eastAsia" w:ascii="宋体" w:hAnsi="宋体" w:eastAsia="宋体" w:cs="宋体"/>
          <w:color w:val="000000" w:themeColor="text1"/>
          <w:highlight w:val="none"/>
          <w:u w:val="single"/>
          <w:lang w:eastAsia="zh-CN"/>
          <w14:textFill>
            <w14:solidFill>
              <w14:schemeClr w14:val="tx1"/>
            </w14:solidFill>
          </w14:textFill>
        </w:rPr>
        <w:t>大华建设项目管理有限公司</w:t>
      </w:r>
    </w:p>
    <w:p w14:paraId="05FB7EF5">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p>
    <w:p w14:paraId="1B2E92D4">
      <w:pPr>
        <w:pageBreakBefore w:val="0"/>
        <w:widowControl w:val="0"/>
        <w:overflowPunct/>
        <w:topLinePunct w:val="0"/>
        <w:bidi w:val="0"/>
        <w:spacing w:line="400" w:lineRule="exact"/>
        <w:ind w:firstLine="420" w:firstLineChars="200"/>
        <w:jc w:val="both"/>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我（公司）郑重声明，在参加本项目政府采购活动前3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93D5DC9">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FBBEB9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b/>
          <w:bCs/>
          <w:color w:val="000000" w:themeColor="text1"/>
          <w:highlight w:val="none"/>
          <w:lang w:eastAsia="zh-CN"/>
          <w14:textFill>
            <w14:solidFill>
              <w14:schemeClr w14:val="tx1"/>
            </w14:solidFill>
          </w14:textFill>
        </w:rPr>
        <w:t>（CA证书签章）</w:t>
      </w:r>
      <w:r>
        <w:rPr>
          <w:rFonts w:hint="eastAsia" w:ascii="宋体" w:hAnsi="宋体" w:eastAsia="宋体" w:cs="宋体"/>
          <w:color w:val="000000" w:themeColor="text1"/>
          <w:highlight w:val="none"/>
          <w:lang w:eastAsia="zh-CN"/>
          <w14:textFill>
            <w14:solidFill>
              <w14:schemeClr w14:val="tx1"/>
            </w14:solidFill>
          </w14:textFill>
        </w:rPr>
        <w:t>：</w:t>
      </w:r>
    </w:p>
    <w:p w14:paraId="4C7E23D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法定代表人(负责人、自然人)或委托代理人签字</w:t>
      </w:r>
      <w:r>
        <w:rPr>
          <w:rFonts w:hint="eastAsia" w:ascii="宋体" w:hAnsi="宋体" w:eastAsia="宋体" w:cs="宋体"/>
          <w:b/>
          <w:bCs/>
          <w:color w:val="000000" w:themeColor="text1"/>
          <w:highlight w:val="none"/>
          <w:lang w:eastAsia="zh-CN"/>
          <w14:textFill>
            <w14:solidFill>
              <w14:schemeClr w14:val="tx1"/>
            </w14:solidFill>
          </w14:textFill>
        </w:rPr>
        <w:t>（或个人CA证书签章）</w:t>
      </w:r>
      <w:r>
        <w:rPr>
          <w:rFonts w:hint="eastAsia" w:ascii="宋体" w:hAnsi="宋体" w:eastAsia="宋体" w:cs="宋体"/>
          <w:color w:val="000000" w:themeColor="text1"/>
          <w:highlight w:val="none"/>
          <w:lang w:eastAsia="zh-CN"/>
          <w14:textFill>
            <w14:solidFill>
              <w14:schemeClr w14:val="tx1"/>
            </w14:solidFill>
          </w14:textFill>
        </w:rPr>
        <w:t>：</w:t>
      </w:r>
    </w:p>
    <w:p w14:paraId="2DC2B245">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日          期：</w:t>
      </w:r>
    </w:p>
    <w:p w14:paraId="1DE5D54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612C0BCC">
      <w:pPr>
        <w:pageBreakBefore w:val="0"/>
        <w:widowControl w:val="0"/>
        <w:overflowPunct/>
        <w:topLinePunct w:val="0"/>
        <w:bidi w:val="0"/>
        <w:spacing w:line="400" w:lineRule="exact"/>
        <w:ind w:firstLine="402" w:firstLineChars="200"/>
        <w:jc w:val="both"/>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注：供应商参加政府采购活动前3年内在经营活动中没有重大违法记录及有关信用信息的书面声明须由法定代表人(负责人、自然人)或相应的委托代理人签字（或个人CA证书签章）并加盖供应商公章（CA证书签章）。</w:t>
      </w:r>
    </w:p>
    <w:p w14:paraId="5A1C3345">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14"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5EF5BBC5">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7.供应商参加本项目无围标串标行为的承诺函（必须提供）</w:t>
      </w:r>
    </w:p>
    <w:p w14:paraId="25B0D950">
      <w:pPr>
        <w:pageBreakBefore w:val="0"/>
        <w:widowControl w:val="0"/>
        <w:overflowPunct/>
        <w:topLinePunct w:val="0"/>
        <w:bidi w:val="0"/>
        <w:spacing w:line="400" w:lineRule="exact"/>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附件：</w:t>
      </w:r>
    </w:p>
    <w:p w14:paraId="0C640FF4">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供应商参加本项目无围标串标行为的承诺函（格式）</w:t>
      </w:r>
    </w:p>
    <w:p w14:paraId="4F60CDB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一、我（公司）承诺无下列相互串通的情形：</w:t>
      </w:r>
    </w:p>
    <w:p w14:paraId="4AB23F5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1.不同供应商的响应文件由同一单位或者个人编制；</w:t>
      </w:r>
    </w:p>
    <w:p w14:paraId="664C6E0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2.不同供应商委托同一单位或者个人办理谈判事宜；</w:t>
      </w:r>
    </w:p>
    <w:p w14:paraId="2015170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3.不同的供应商的响应文件载明的项目管理员为同一个人；</w:t>
      </w:r>
    </w:p>
    <w:p w14:paraId="69E504D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4.不同供应商的响应文件异常一致或谈判报价呈规律性差异；</w:t>
      </w:r>
    </w:p>
    <w:p w14:paraId="689E3CC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5.不同供应商的响应文件相互混装；</w:t>
      </w:r>
    </w:p>
    <w:p w14:paraId="754793E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二、我（公司）承诺无下列恶意串通的情形：</w:t>
      </w:r>
    </w:p>
    <w:p w14:paraId="75B1F10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1.供应商直接或者间接从采购人或者采购代理机构处获得其他供应商的相关信息并修改其响应文件或者响应文件；</w:t>
      </w:r>
    </w:p>
    <w:p w14:paraId="366D96F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2.供应商按照采购人或者采购代理机构的授意撤换、修改响应文件或者响应文件；</w:t>
      </w:r>
    </w:p>
    <w:p w14:paraId="4D7D5D7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3.供应商之间协商报价、技术方案等响应文件或者响应文件的实质性内容；</w:t>
      </w:r>
    </w:p>
    <w:p w14:paraId="79BF21B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4.属于同一集团、协会、商会等组织成员的供应商按照该组织要求协同参加政府采购活动；</w:t>
      </w:r>
    </w:p>
    <w:p w14:paraId="73B7504E">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5.供应商之间事先约定一致抬高或者压低谈判报价,或者在采购项目中事先约定轮流以高价位或者低价位成交，或者事先约定由某一特定供应商成交，然后再参加采购；</w:t>
      </w:r>
    </w:p>
    <w:p w14:paraId="1454702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6.供应商之间商定部分供应商放弃参加政府采购活动或者放弃成交；</w:t>
      </w:r>
    </w:p>
    <w:p w14:paraId="2D035D1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7.供应商与采购人或者采购代理机构之间、供应商相互之间，为谋求特定供应商成交或者排斥其他供应商的其他串通行为。</w:t>
      </w:r>
    </w:p>
    <w:p w14:paraId="13ADF2E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以上情形一经核查属实，我方愿意承担一切后果，并不再寻求任何旨在减轻或免除法律责任的辩解。</w:t>
      </w:r>
    </w:p>
    <w:p w14:paraId="03392214">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E65915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b/>
          <w:bCs/>
          <w:color w:val="000000" w:themeColor="text1"/>
          <w:highlight w:val="none"/>
          <w:lang w:eastAsia="zh-CN"/>
          <w14:textFill>
            <w14:solidFill>
              <w14:schemeClr w14:val="tx1"/>
            </w14:solidFill>
          </w14:textFill>
        </w:rPr>
        <w:t>（CA证书签章）</w:t>
      </w:r>
      <w:r>
        <w:rPr>
          <w:rFonts w:hint="eastAsia" w:ascii="宋体" w:hAnsi="宋体" w:eastAsia="宋体" w:cs="宋体"/>
          <w:color w:val="000000" w:themeColor="text1"/>
          <w:highlight w:val="none"/>
          <w:lang w:eastAsia="zh-CN"/>
          <w14:textFill>
            <w14:solidFill>
              <w14:schemeClr w14:val="tx1"/>
            </w14:solidFill>
          </w14:textFill>
        </w:rPr>
        <w:t>：</w:t>
      </w:r>
    </w:p>
    <w:p w14:paraId="16001A0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法定代表人(负责人、自然人)或委托代理人签字</w:t>
      </w:r>
      <w:r>
        <w:rPr>
          <w:rFonts w:hint="eastAsia" w:ascii="宋体" w:hAnsi="宋体" w:eastAsia="宋体" w:cs="宋体"/>
          <w:b/>
          <w:bCs/>
          <w:color w:val="000000" w:themeColor="text1"/>
          <w:highlight w:val="none"/>
          <w:lang w:eastAsia="zh-CN"/>
          <w14:textFill>
            <w14:solidFill>
              <w14:schemeClr w14:val="tx1"/>
            </w14:solidFill>
          </w14:textFill>
        </w:rPr>
        <w:t>（或个人CA证书签章）</w:t>
      </w:r>
      <w:r>
        <w:rPr>
          <w:rFonts w:hint="eastAsia" w:ascii="宋体" w:hAnsi="宋体" w:eastAsia="宋体" w:cs="宋体"/>
          <w:color w:val="000000" w:themeColor="text1"/>
          <w:highlight w:val="none"/>
          <w:lang w:eastAsia="zh-CN"/>
          <w14:textFill>
            <w14:solidFill>
              <w14:schemeClr w14:val="tx1"/>
            </w14:solidFill>
          </w14:textFill>
        </w:rPr>
        <w:t>：</w:t>
      </w:r>
    </w:p>
    <w:p w14:paraId="29B06C3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日          期：</w:t>
      </w:r>
    </w:p>
    <w:p w14:paraId="1F067229">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30E4A0E">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注：供应商参加本项目无围标串标行为的承诺函须由法定代表人(负责人、自然人)或相应的委托代</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理人签字（或个人</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CA</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证书签章）并加盖供应商公章（CA</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证书签章）。</w:t>
      </w:r>
    </w:p>
    <w:p w14:paraId="4ADA862F">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15"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2845B6BE">
      <w:pPr>
        <w:pageBreakBefore w:val="0"/>
        <w:widowControl w:val="0"/>
        <w:overflowPunct/>
        <w:topLinePunct w:val="0"/>
        <w:bidi w:val="0"/>
        <w:spacing w:line="400" w:lineRule="exact"/>
        <w:ind w:firstLine="6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（二）符合性响应证明材料目录</w:t>
      </w:r>
    </w:p>
    <w:p w14:paraId="50849A98">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31595E90">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1.响应函</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7D8ECA4A">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2.谈判报价表</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735E9AB3">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3.技术规格偏离表</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26D53563">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4.商务响应表</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09D40E9F">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val="0"/>
          <w:bCs w:val="0"/>
          <w:color w:val="000000" w:themeColor="text1"/>
          <w:highlight w:val="none"/>
          <w:lang w:eastAsia="zh-CN"/>
          <w14:textFill>
            <w14:solidFill>
              <w14:schemeClr w14:val="tx1"/>
            </w14:solidFill>
          </w14:textFill>
        </w:rPr>
        <w:t>5.项目实施方案</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2EFA23EF">
      <w:pPr>
        <w:pageBreakBefore w:val="0"/>
        <w:widowControl w:val="0"/>
        <w:overflowPunct/>
        <w:topLinePunct w:val="0"/>
        <w:bidi w:val="0"/>
        <w:spacing w:line="400" w:lineRule="exact"/>
        <w:ind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lang w:eastAsia="zh-CN"/>
          <w14:textFill>
            <w14:solidFill>
              <w14:schemeClr w14:val="tx1"/>
            </w14:solidFill>
          </w14:textFill>
        </w:rPr>
        <w:t>.售后服务承诺书</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697C550B">
      <w:pPr>
        <w:pageBreakBefore w:val="0"/>
        <w:widowControl w:val="0"/>
        <w:overflowPunct/>
        <w:topLinePunct w:val="0"/>
        <w:bidi w:val="0"/>
        <w:spacing w:line="400" w:lineRule="exact"/>
        <w:ind w:firstLine="420" w:firstLineChars="200"/>
        <w:rPr>
          <w:rFonts w:hint="default"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7.项目实施人员一览表</w:t>
      </w:r>
      <w:r>
        <w:rPr>
          <w:rFonts w:hint="eastAsia" w:ascii="宋体" w:hAnsi="宋体" w:eastAsia="宋体" w:cs="宋体"/>
          <w:b/>
          <w:bCs/>
          <w:color w:val="000000" w:themeColor="text1"/>
          <w:highlight w:val="none"/>
          <w:lang w:eastAsia="zh-CN"/>
          <w14:textFill>
            <w14:solidFill>
              <w14:schemeClr w14:val="tx1"/>
            </w14:solidFill>
          </w14:textFill>
        </w:rPr>
        <w:t>（必须提供）；</w:t>
      </w:r>
    </w:p>
    <w:p w14:paraId="3E0B5F5A">
      <w:pPr>
        <w:pStyle w:val="3"/>
        <w:pageBreakBefore w:val="0"/>
        <w:overflowPunct/>
        <w:topLinePunct w:val="0"/>
        <w:bidi w:val="0"/>
        <w:spacing w:line="400" w:lineRule="exact"/>
        <w:ind w:firstLine="420" w:firstLineChars="200"/>
        <w:rPr>
          <w:rFonts w:hint="eastAsia" w:ascii="宋体" w:hAnsi="宋体" w:eastAsia="宋体" w:cs="宋体"/>
          <w:b w:val="0"/>
          <w:snapToGrid w:val="0"/>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 w:val="0"/>
          <w:snapToGrid w:val="0"/>
          <w:color w:val="000000" w:themeColor="text1"/>
          <w:kern w:val="0"/>
          <w:sz w:val="21"/>
          <w:szCs w:val="21"/>
          <w:highlight w:val="none"/>
          <w:lang w:val="en-US" w:eastAsia="zh-CN" w:bidi="ar-SA"/>
          <w14:textFill>
            <w14:solidFill>
              <w14:schemeClr w14:val="tx1"/>
            </w14:solidFill>
          </w14:textFill>
        </w:rPr>
        <w:t>8</w:t>
      </w:r>
      <w:r>
        <w:rPr>
          <w:rFonts w:hint="eastAsia" w:ascii="宋体" w:hAnsi="宋体" w:eastAsia="宋体" w:cs="宋体"/>
          <w:b w:val="0"/>
          <w:snapToGrid w:val="0"/>
          <w:color w:val="000000" w:themeColor="text1"/>
          <w:kern w:val="0"/>
          <w:sz w:val="21"/>
          <w:szCs w:val="21"/>
          <w:highlight w:val="none"/>
          <w:lang w:val="en-US" w:eastAsia="zh-CN" w:bidi="ar-SA"/>
          <w14:textFill>
            <w14:solidFill>
              <w14:schemeClr w14:val="tx1"/>
            </w14:solidFill>
          </w14:textFill>
        </w:rPr>
        <w:t>.“采购需求”需提供的有效证明文件</w:t>
      </w:r>
      <w:r>
        <w:rPr>
          <w:rFonts w:hint="eastAsia" w:ascii="宋体" w:hAnsi="宋体" w:eastAsia="宋体" w:cs="宋体"/>
          <w:b/>
          <w:bCs/>
          <w:snapToGrid w:val="0"/>
          <w:color w:val="000000" w:themeColor="text1"/>
          <w:kern w:val="0"/>
          <w:sz w:val="21"/>
          <w:szCs w:val="21"/>
          <w:highlight w:val="none"/>
          <w:lang w:val="en-US" w:eastAsia="zh-CN" w:bidi="ar-SA"/>
          <w14:textFill>
            <w14:solidFill>
              <w14:schemeClr w14:val="tx1"/>
            </w14:solidFill>
          </w14:textFill>
        </w:rPr>
        <w:t>（按采购需求要求提供）。</w:t>
      </w:r>
    </w:p>
    <w:p w14:paraId="7C2BCD1B">
      <w:pPr>
        <w:pageBreakBefore w:val="0"/>
        <w:widowControl w:val="0"/>
        <w:overflowPunct/>
        <w:topLinePunct w:val="0"/>
        <w:bidi w:val="0"/>
        <w:spacing w:line="400" w:lineRule="exact"/>
        <w:ind w:firstLine="422" w:firstLineChars="200"/>
        <w:rPr>
          <w:rFonts w:hint="eastAsia" w:ascii="宋体" w:hAnsi="宋体" w:eastAsia="宋体" w:cs="宋体"/>
          <w:b/>
          <w:bCs/>
          <w:color w:val="000000" w:themeColor="text1"/>
          <w:highlight w:val="none"/>
          <w:lang w:val="en-US" w:eastAsia="zh-CN"/>
          <w14:textFill>
            <w14:solidFill>
              <w14:schemeClr w14:val="tx1"/>
            </w14:solidFill>
          </w14:textFill>
        </w:rPr>
      </w:pPr>
    </w:p>
    <w:p w14:paraId="56398AF6">
      <w:pPr>
        <w:pageBreakBefore w:val="0"/>
        <w:widowControl w:val="0"/>
        <w:overflowPunct/>
        <w:topLinePunct w:val="0"/>
        <w:bidi w:val="0"/>
        <w:spacing w:line="400" w:lineRule="exact"/>
        <w:ind w:firstLine="402" w:firstLineChars="200"/>
        <w:rPr>
          <w:rFonts w:hint="eastAsia" w:ascii="宋体" w:hAnsi="宋体" w:eastAsia="宋体" w:cs="宋体"/>
          <w:b/>
          <w:bCs/>
          <w:color w:val="000000" w:themeColor="text1"/>
          <w:sz w:val="20"/>
          <w:szCs w:val="20"/>
          <w:highlight w:val="none"/>
          <w:lang w:eastAsia="zh-CN"/>
          <w14:textFill>
            <w14:solidFill>
              <w14:schemeClr w14:val="tx1"/>
            </w14:solidFill>
          </w14:textFill>
        </w:rPr>
        <w:sectPr>
          <w:footerReference r:id="rId16"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6C2F640D">
      <w:pPr>
        <w:pageBreakBefore w:val="0"/>
        <w:widowControl w:val="0"/>
        <w:overflowPunct/>
        <w:topLinePunct w:val="0"/>
        <w:bidi w:val="0"/>
        <w:spacing w:line="400" w:lineRule="exac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1.响应函（必须提供）</w:t>
      </w:r>
    </w:p>
    <w:p w14:paraId="7DE17D2D">
      <w:pPr>
        <w:pageBreakBefore w:val="0"/>
        <w:widowControl w:val="0"/>
        <w:overflowPunct/>
        <w:topLinePunct w:val="0"/>
        <w:bidi w:val="0"/>
        <w:spacing w:line="400" w:lineRule="exact"/>
        <w:ind w:firstLine="622" w:firstLineChars="200"/>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响</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应</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函</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（格</w:t>
      </w:r>
      <w:r>
        <w:rPr>
          <w:rFonts w:hint="eastAsia" w:ascii="宋体" w:hAnsi="宋体" w:eastAsia="宋体" w:cs="宋体"/>
          <w:color w:val="000000" w:themeColor="text1"/>
          <w:sz w:val="31"/>
          <w:szCs w:val="31"/>
          <w:highlight w:val="none"/>
          <w:lang w:eastAsia="zh-CN"/>
          <w14:textFill>
            <w14:solidFill>
              <w14:schemeClr w14:val="tx1"/>
            </w14:solidFill>
          </w14:textFill>
        </w:rPr>
        <w:t xml:space="preserve"> </w:t>
      </w:r>
      <w:r>
        <w:rPr>
          <w:rFonts w:hint="eastAsia" w:ascii="宋体" w:hAnsi="宋体" w:eastAsia="宋体" w:cs="宋体"/>
          <w:b/>
          <w:bCs/>
          <w:color w:val="000000" w:themeColor="text1"/>
          <w:sz w:val="31"/>
          <w:szCs w:val="31"/>
          <w:highlight w:val="none"/>
          <w:lang w:eastAsia="zh-CN"/>
          <w14:textFill>
            <w14:solidFill>
              <w14:schemeClr w14:val="tx1"/>
            </w14:solidFill>
          </w14:textFill>
        </w:rPr>
        <w:t>式）</w:t>
      </w:r>
    </w:p>
    <w:p w14:paraId="3C8EE2A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致：</w:t>
      </w:r>
      <w:r>
        <w:rPr>
          <w:rFonts w:hint="eastAsia" w:ascii="宋体" w:hAnsi="宋体" w:eastAsia="宋体" w:cs="宋体"/>
          <w:color w:val="000000" w:themeColor="text1"/>
          <w:highlight w:val="none"/>
          <w:u w:val="single"/>
          <w:lang w:eastAsia="zh-CN"/>
          <w14:textFill>
            <w14:solidFill>
              <w14:schemeClr w14:val="tx1"/>
            </w14:solidFill>
          </w14:textFill>
        </w:rPr>
        <w:t>大华建设项目管理有限公司</w:t>
      </w:r>
    </w:p>
    <w:p w14:paraId="4BB2E1E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 xml:space="preserve">根据贵方项目谈判文件，项目编号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，签字代表 </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（姓名）经正式授 权并代表供应商</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供应商单位名称），提交响应文件。</w:t>
      </w:r>
    </w:p>
    <w:p w14:paraId="7F335ED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据此函，签字代表宣布同意如下：</w:t>
      </w:r>
    </w:p>
    <w:p w14:paraId="74E926A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1.按谈判文件采购需求和谈判报价表：</w:t>
      </w:r>
    </w:p>
    <w:p w14:paraId="6911F315">
      <w:pPr>
        <w:pageBreakBefore w:val="0"/>
        <w:widowControl w:val="0"/>
        <w:overflowPunct/>
        <w:topLinePunct w:val="0"/>
        <w:bidi w:val="0"/>
        <w:spacing w:line="400" w:lineRule="exact"/>
        <w:ind w:firstLine="422"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谈判报价（大写）</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元人民币(¥</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w:t>
      </w:r>
      <w:r>
        <w:rPr>
          <w:rFonts w:hint="eastAsia" w:ascii="宋体" w:hAnsi="宋体" w:eastAsia="宋体" w:cs="宋体"/>
          <w:b/>
          <w:bCs/>
          <w:color w:val="000000" w:themeColor="text1"/>
          <w:highlight w:val="none"/>
          <w:lang w:eastAsia="zh-CN"/>
          <w14:textFill>
            <w14:solidFill>
              <w14:schemeClr w14:val="tx1"/>
            </w14:solidFill>
          </w14:textFill>
        </w:rPr>
        <w:t>)。</w:t>
      </w:r>
    </w:p>
    <w:p w14:paraId="75B7CE57">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2.我方承诺已具备谈判文件规定的供应商资格条件。</w:t>
      </w:r>
    </w:p>
    <w:p w14:paraId="14DEB42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3.我方已详细审核谈判文件，包括修改文件（如有的话）和有关附件，将自行承担因对全部谈判文件理解不正确或误解而产生的相应后果。</w:t>
      </w:r>
    </w:p>
    <w:p w14:paraId="2B1999F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4.响应文件有效期为自响应文件提交截止时间之日起90天。</w:t>
      </w:r>
    </w:p>
    <w:p w14:paraId="41D0DBC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5.如我方成交：</w:t>
      </w:r>
    </w:p>
    <w:p w14:paraId="7877844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（1）我方承诺在收到成交通知书后，在成交通知书规定的期限内与采购人签订合同。</w:t>
      </w:r>
    </w:p>
    <w:p w14:paraId="6CFDA415">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（2）我方承诺按照谈判文件规定提交履约担保。</w:t>
      </w:r>
    </w:p>
    <w:p w14:paraId="36912E30">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（3）我方承诺本响应文件至本项目合同履行完毕止均保持有效，按谈判文件及政府采购法律、法规的规定履行合同责任和义务。</w:t>
      </w:r>
    </w:p>
    <w:p w14:paraId="43555016">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与本响应有关的正式通讯地址为：</w:t>
      </w:r>
    </w:p>
    <w:p w14:paraId="1D38295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地址：</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邮编：</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邮箱：</w:t>
      </w:r>
    </w:p>
    <w:p w14:paraId="393004E4">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办公电话：</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 xml:space="preserve"> 传真：</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p>
    <w:p w14:paraId="757BBC1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委托代理人联系电话：</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p>
    <w:p w14:paraId="5DD539F2">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开户名称：</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p>
    <w:p w14:paraId="7B9EAB6C">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开户银行：</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r>
        <w:rPr>
          <w:rFonts w:hint="eastAsia" w:ascii="宋体" w:hAnsi="宋体" w:eastAsia="宋体" w:cs="宋体"/>
          <w:color w:val="000000" w:themeColor="text1"/>
          <w:highlight w:val="none"/>
          <w:lang w:eastAsia="zh-CN"/>
          <w14:textFill>
            <w14:solidFill>
              <w14:schemeClr w14:val="tx1"/>
            </w14:solidFill>
          </w14:textFill>
        </w:rPr>
        <w:t>账号：</w:t>
      </w:r>
      <w:r>
        <w:rPr>
          <w:rFonts w:hint="eastAsia" w:ascii="宋体" w:hAnsi="宋体" w:eastAsia="宋体" w:cs="宋体"/>
          <w:color w:val="000000" w:themeColor="text1"/>
          <w:highlight w:val="none"/>
          <w:u w:val="single"/>
          <w:lang w:eastAsia="zh-CN"/>
          <w14:textFill>
            <w14:solidFill>
              <w14:schemeClr w14:val="tx1"/>
            </w14:solidFill>
          </w14:textFill>
        </w:rPr>
        <w:t xml:space="preserve">                                          </w:t>
      </w:r>
    </w:p>
    <w:p w14:paraId="046F66C7">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738B921D">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供应商（CA 证书签章）：</w:t>
      </w:r>
    </w:p>
    <w:p w14:paraId="5932C81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法定代表人(负责人、 自然人)或相应的委托代理人签字（或个人 CA 证书签章）：</w:t>
      </w:r>
    </w:p>
    <w:p w14:paraId="408545DA">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响应日期：</w:t>
      </w:r>
    </w:p>
    <w:p w14:paraId="4FB9AC27">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p>
    <w:p w14:paraId="0D3865D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注：1.未按照本响应函（格式）要求填报的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响</w:t>
      </w:r>
      <w:r>
        <w:rPr>
          <w:rFonts w:hint="eastAsia" w:ascii="宋体" w:hAnsi="宋体" w:eastAsia="宋体" w:cs="宋体"/>
          <w:color w:val="000000" w:themeColor="text1"/>
          <w:sz w:val="21"/>
          <w:szCs w:val="21"/>
          <w:highlight w:val="none"/>
          <w:lang w:eastAsia="zh-CN"/>
          <w14:textFill>
            <w14:solidFill>
              <w14:schemeClr w14:val="tx1"/>
            </w14:solidFill>
          </w14:textFill>
        </w:rPr>
        <w:t>应函将被视为非实质性响应竞争性谈判文件要求，从而导致该响应被拒绝。</w:t>
      </w:r>
    </w:p>
    <w:p w14:paraId="5B80FB2B">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2.供应商必须按本响应函（格式）要求注明清楚联系方式（包括地址、邮编、邮箱、电话等），从而确保成交结果等相关信息能及时通知到位。</w:t>
      </w:r>
    </w:p>
    <w:p w14:paraId="79556C53">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3.响应函须由法定代表人(负责人、自然人)或相应的委托代理人签字（或个人CA证书签章）并加盖供应商公章（CA证书签章）</w:t>
      </w:r>
      <w:r>
        <w:rPr>
          <w:rFonts w:hint="eastAsia" w:ascii="宋体" w:hAnsi="宋体" w:eastAsia="宋体" w:cs="宋体"/>
          <w:color w:val="000000" w:themeColor="text1"/>
          <w:sz w:val="22"/>
          <w:szCs w:val="22"/>
          <w:highlight w:val="none"/>
          <w:lang w:eastAsia="zh-CN"/>
          <w14:textFill>
            <w14:solidFill>
              <w14:schemeClr w14:val="tx1"/>
            </w14:solidFill>
          </w14:textFill>
        </w:rPr>
        <w:t>。</w:t>
      </w:r>
    </w:p>
    <w:p w14:paraId="67616B1E">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099B1037">
      <w:pPr>
        <w:pageBreakBefore w:val="0"/>
        <w:widowControl w:val="0"/>
        <w:overflowPunct/>
        <w:topLinePunct w:val="0"/>
        <w:bidi w:val="0"/>
        <w:spacing w:line="40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2.谈判报价表（必须提供）</w:t>
      </w:r>
    </w:p>
    <w:p w14:paraId="4E48D92D">
      <w:pPr>
        <w:pageBreakBefore w:val="0"/>
        <w:widowControl w:val="0"/>
        <w:overflowPunct/>
        <w:topLinePunct w:val="0"/>
        <w:bidi w:val="0"/>
        <w:spacing w:line="400" w:lineRule="exact"/>
        <w:ind w:firstLine="602" w:firstLineChars="200"/>
        <w:rPr>
          <w:rFonts w:hint="eastAsia" w:ascii="宋体" w:hAnsi="宋体" w:eastAsia="宋体" w:cs="宋体"/>
          <w:color w:val="000000" w:themeColor="text1"/>
          <w:sz w:val="30"/>
          <w:szCs w:val="30"/>
          <w:highlight w:val="none"/>
          <w:lang w:eastAsia="zh-CN"/>
          <w14:textFill>
            <w14:solidFill>
              <w14:schemeClr w14:val="tx1"/>
            </w14:solidFill>
          </w14:textFill>
        </w:rPr>
      </w:pPr>
      <w:r>
        <w:rPr>
          <w:rFonts w:hint="eastAsia" w:ascii="宋体" w:hAnsi="宋体" w:eastAsia="宋体" w:cs="宋体"/>
          <w:b/>
          <w:bCs/>
          <w:color w:val="000000" w:themeColor="text1"/>
          <w:sz w:val="30"/>
          <w:szCs w:val="30"/>
          <w:highlight w:val="none"/>
          <w:lang w:eastAsia="zh-CN"/>
          <w14:textFill>
            <w14:solidFill>
              <w14:schemeClr w14:val="tx1"/>
            </w14:solidFill>
          </w14:textFill>
        </w:rPr>
        <w:t>附件：</w:t>
      </w:r>
    </w:p>
    <w:p w14:paraId="3BB5ED72">
      <w:pPr>
        <w:pageBreakBefore w:val="0"/>
        <w:widowControl w:val="0"/>
        <w:overflowPunct/>
        <w:topLinePunct w:val="0"/>
        <w:bidi w:val="0"/>
        <w:spacing w:line="400" w:lineRule="exact"/>
        <w:ind w:firstLine="622" w:firstLineChars="200"/>
        <w:jc w:val="center"/>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谈判报价表（格式）</w:t>
      </w:r>
    </w:p>
    <w:tbl>
      <w:tblPr>
        <w:tblStyle w:val="20"/>
        <w:tblW w:w="101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0"/>
        <w:gridCol w:w="2000"/>
        <w:gridCol w:w="1210"/>
        <w:gridCol w:w="1355"/>
        <w:gridCol w:w="1887"/>
        <w:gridCol w:w="1000"/>
        <w:gridCol w:w="919"/>
        <w:gridCol w:w="1042"/>
      </w:tblGrid>
      <w:tr w14:paraId="661F35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501D4694">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项号</w:t>
            </w:r>
          </w:p>
        </w:tc>
        <w:tc>
          <w:tcPr>
            <w:tcW w:w="2000" w:type="dxa"/>
            <w:tcBorders>
              <w:top w:val="single" w:color="auto" w:sz="4" w:space="0"/>
              <w:left w:val="single" w:color="auto" w:sz="4" w:space="0"/>
              <w:bottom w:val="single" w:color="auto" w:sz="4" w:space="0"/>
              <w:right w:val="single" w:color="auto" w:sz="4" w:space="0"/>
            </w:tcBorders>
            <w:vAlign w:val="center"/>
          </w:tcPr>
          <w:p w14:paraId="487F6734">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货物名称</w:t>
            </w:r>
          </w:p>
        </w:tc>
        <w:tc>
          <w:tcPr>
            <w:tcW w:w="1210" w:type="dxa"/>
            <w:tcBorders>
              <w:top w:val="single" w:color="auto" w:sz="4" w:space="0"/>
              <w:left w:val="single" w:color="auto" w:sz="4" w:space="0"/>
              <w:bottom w:val="single" w:color="auto" w:sz="4" w:space="0"/>
              <w:right w:val="single" w:color="auto" w:sz="4" w:space="0"/>
            </w:tcBorders>
            <w:vAlign w:val="center"/>
          </w:tcPr>
          <w:p w14:paraId="05009E50">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生产厂家</w:t>
            </w:r>
          </w:p>
        </w:tc>
        <w:tc>
          <w:tcPr>
            <w:tcW w:w="1355" w:type="dxa"/>
            <w:tcBorders>
              <w:top w:val="single" w:color="auto" w:sz="4" w:space="0"/>
              <w:left w:val="single" w:color="auto" w:sz="4" w:space="0"/>
              <w:bottom w:val="single" w:color="auto" w:sz="4" w:space="0"/>
              <w:right w:val="single" w:color="auto" w:sz="4" w:space="0"/>
            </w:tcBorders>
            <w:vAlign w:val="center"/>
          </w:tcPr>
          <w:p w14:paraId="11DA6D66">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品牌</w:t>
            </w:r>
          </w:p>
        </w:tc>
        <w:tc>
          <w:tcPr>
            <w:tcW w:w="1887" w:type="dxa"/>
            <w:tcBorders>
              <w:top w:val="single" w:color="auto" w:sz="4" w:space="0"/>
              <w:left w:val="single" w:color="auto" w:sz="4" w:space="0"/>
              <w:bottom w:val="single" w:color="auto" w:sz="4" w:space="0"/>
              <w:right w:val="single" w:color="auto" w:sz="4" w:space="0"/>
            </w:tcBorders>
            <w:vAlign w:val="center"/>
          </w:tcPr>
          <w:p w14:paraId="1410AD07">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规格型号</w:t>
            </w:r>
          </w:p>
        </w:tc>
        <w:tc>
          <w:tcPr>
            <w:tcW w:w="1000" w:type="dxa"/>
            <w:tcBorders>
              <w:top w:val="single" w:color="auto" w:sz="4" w:space="0"/>
              <w:left w:val="single" w:color="auto" w:sz="4" w:space="0"/>
              <w:bottom w:val="single" w:color="auto" w:sz="4" w:space="0"/>
              <w:right w:val="single" w:color="auto" w:sz="4" w:space="0"/>
            </w:tcBorders>
            <w:vAlign w:val="center"/>
          </w:tcPr>
          <w:p w14:paraId="02C580FF">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数量</w:t>
            </w:r>
          </w:p>
        </w:tc>
        <w:tc>
          <w:tcPr>
            <w:tcW w:w="919" w:type="dxa"/>
            <w:tcBorders>
              <w:top w:val="single" w:color="auto" w:sz="4" w:space="0"/>
              <w:left w:val="single" w:color="auto" w:sz="4" w:space="0"/>
              <w:bottom w:val="single" w:color="auto" w:sz="4" w:space="0"/>
              <w:right w:val="single" w:color="auto" w:sz="4" w:space="0"/>
            </w:tcBorders>
            <w:vAlign w:val="center"/>
          </w:tcPr>
          <w:p w14:paraId="5EC24C1B">
            <w:pPr>
              <w:pageBreakBefore w:val="0"/>
              <w:overflowPunct/>
              <w:topLinePunct w:val="0"/>
              <w:bidi w:val="0"/>
              <w:snapToGrid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单位</w:t>
            </w:r>
          </w:p>
        </w:tc>
        <w:tc>
          <w:tcPr>
            <w:tcW w:w="1042" w:type="dxa"/>
            <w:tcBorders>
              <w:top w:val="single" w:color="auto" w:sz="4" w:space="0"/>
              <w:left w:val="single" w:color="auto" w:sz="4" w:space="0"/>
              <w:bottom w:val="single" w:color="auto" w:sz="4" w:space="0"/>
            </w:tcBorders>
            <w:vAlign w:val="center"/>
          </w:tcPr>
          <w:p w14:paraId="46063FA4">
            <w:pPr>
              <w:pageBreakBefore w:val="0"/>
              <w:overflowPunct/>
              <w:topLinePunct w:val="0"/>
              <w:bidi w:val="0"/>
              <w:snapToGrid w:val="0"/>
              <w:spacing w:line="40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备注</w:t>
            </w:r>
          </w:p>
        </w:tc>
      </w:tr>
      <w:tr w14:paraId="485010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10193" w:type="dxa"/>
            <w:gridSpan w:val="8"/>
            <w:tcBorders>
              <w:top w:val="single" w:color="auto" w:sz="4" w:space="0"/>
              <w:left w:val="single" w:color="auto" w:sz="4" w:space="0"/>
              <w:bottom w:val="single" w:color="auto" w:sz="4" w:space="0"/>
            </w:tcBorders>
            <w:vAlign w:val="center"/>
          </w:tcPr>
          <w:p w14:paraId="20FACC43">
            <w:pPr>
              <w:keepNext w:val="0"/>
              <w:keepLines w:val="0"/>
              <w:pageBreakBefore w:val="0"/>
              <w:widowControl/>
              <w:kinsoku w:val="0"/>
              <w:wordWrap/>
              <w:overflowPunct/>
              <w:topLinePunct w:val="0"/>
              <w:autoSpaceDE w:val="0"/>
              <w:autoSpaceDN w:val="0"/>
              <w:bidi w:val="0"/>
              <w:adjustRightInd w:val="0"/>
              <w:snapToGrid w:val="0"/>
              <w:spacing w:line="312" w:lineRule="auto"/>
              <w:ind w:left="0" w:leftChars="0" w:right="0" w:rightChars="0" w:firstLine="0" w:firstLineChars="0"/>
              <w:jc w:val="left"/>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桂林市区控水质自动站智慧化改造</w:t>
            </w:r>
          </w:p>
        </w:tc>
      </w:tr>
      <w:tr w14:paraId="42B54A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7B5E204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w:t>
            </w:r>
          </w:p>
        </w:tc>
        <w:tc>
          <w:tcPr>
            <w:tcW w:w="2000" w:type="dxa"/>
            <w:tcBorders>
              <w:top w:val="single" w:color="auto" w:sz="4" w:space="0"/>
              <w:left w:val="single" w:color="auto" w:sz="4" w:space="0"/>
              <w:bottom w:val="single" w:color="auto" w:sz="4" w:space="0"/>
              <w:right w:val="single" w:color="auto" w:sz="4" w:space="0"/>
            </w:tcBorders>
            <w:vAlign w:val="center"/>
          </w:tcPr>
          <w:p w14:paraId="3AE9074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智能五参数水质</w:t>
            </w:r>
          </w:p>
          <w:p w14:paraId="37DB416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分析仪</w:t>
            </w:r>
          </w:p>
        </w:tc>
        <w:tc>
          <w:tcPr>
            <w:tcW w:w="1210" w:type="dxa"/>
            <w:tcBorders>
              <w:top w:val="single" w:color="auto" w:sz="4" w:space="0"/>
              <w:left w:val="single" w:color="auto" w:sz="4" w:space="0"/>
              <w:bottom w:val="single" w:color="auto" w:sz="4" w:space="0"/>
              <w:right w:val="single" w:color="auto" w:sz="4" w:space="0"/>
            </w:tcBorders>
            <w:vAlign w:val="center"/>
          </w:tcPr>
          <w:p w14:paraId="0C0CF27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402C854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07BFC25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restart"/>
            <w:tcBorders>
              <w:top w:val="single" w:color="auto" w:sz="4" w:space="0"/>
              <w:left w:val="single" w:color="auto" w:sz="4" w:space="0"/>
              <w:right w:val="single" w:color="auto" w:sz="4" w:space="0"/>
            </w:tcBorders>
            <w:vAlign w:val="center"/>
          </w:tcPr>
          <w:p w14:paraId="15EAB55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p>
        </w:tc>
        <w:tc>
          <w:tcPr>
            <w:tcW w:w="919" w:type="dxa"/>
            <w:vMerge w:val="restart"/>
            <w:tcBorders>
              <w:top w:val="single" w:color="auto" w:sz="4" w:space="0"/>
              <w:left w:val="single" w:color="auto" w:sz="4" w:space="0"/>
              <w:right w:val="single" w:color="auto" w:sz="4" w:space="0"/>
            </w:tcBorders>
            <w:vAlign w:val="center"/>
          </w:tcPr>
          <w:p w14:paraId="0468308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套</w:t>
            </w:r>
          </w:p>
        </w:tc>
        <w:tc>
          <w:tcPr>
            <w:tcW w:w="1042" w:type="dxa"/>
            <w:tcBorders>
              <w:top w:val="single" w:color="auto" w:sz="4" w:space="0"/>
              <w:left w:val="single" w:color="auto" w:sz="4" w:space="0"/>
              <w:bottom w:val="single" w:color="auto" w:sz="4" w:space="0"/>
            </w:tcBorders>
            <w:vAlign w:val="center"/>
          </w:tcPr>
          <w:p w14:paraId="21FE447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606F42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0B1EF356">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2</w:t>
            </w:r>
          </w:p>
        </w:tc>
        <w:tc>
          <w:tcPr>
            <w:tcW w:w="2000" w:type="dxa"/>
            <w:tcBorders>
              <w:top w:val="single" w:color="auto" w:sz="4" w:space="0"/>
              <w:left w:val="single" w:color="auto" w:sz="4" w:space="0"/>
              <w:bottom w:val="single" w:color="auto" w:sz="4" w:space="0"/>
              <w:right w:val="single" w:color="auto" w:sz="4" w:space="0"/>
            </w:tcBorders>
            <w:vAlign w:val="center"/>
          </w:tcPr>
          <w:p w14:paraId="0743F8E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高锰酸盐指数水质分析仪</w:t>
            </w:r>
          </w:p>
        </w:tc>
        <w:tc>
          <w:tcPr>
            <w:tcW w:w="1210" w:type="dxa"/>
            <w:tcBorders>
              <w:top w:val="single" w:color="auto" w:sz="4" w:space="0"/>
              <w:left w:val="single" w:color="auto" w:sz="4" w:space="0"/>
              <w:bottom w:val="single" w:color="auto" w:sz="4" w:space="0"/>
              <w:right w:val="single" w:color="auto" w:sz="4" w:space="0"/>
            </w:tcBorders>
            <w:vAlign w:val="center"/>
          </w:tcPr>
          <w:p w14:paraId="710F12E7">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5FF521A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00EA6FA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1D4C9997">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5308C9A7">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07B3A02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7EE1EE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2451F5A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p>
        </w:tc>
        <w:tc>
          <w:tcPr>
            <w:tcW w:w="2000" w:type="dxa"/>
            <w:tcBorders>
              <w:top w:val="single" w:color="auto" w:sz="4" w:space="0"/>
              <w:left w:val="single" w:color="auto" w:sz="4" w:space="0"/>
              <w:bottom w:val="single" w:color="auto" w:sz="4" w:space="0"/>
              <w:right w:val="single" w:color="auto" w:sz="4" w:space="0"/>
            </w:tcBorders>
            <w:vAlign w:val="center"/>
          </w:tcPr>
          <w:p w14:paraId="695EF86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氨氮水质分析仪</w:t>
            </w:r>
          </w:p>
        </w:tc>
        <w:tc>
          <w:tcPr>
            <w:tcW w:w="1210" w:type="dxa"/>
            <w:tcBorders>
              <w:top w:val="single" w:color="auto" w:sz="4" w:space="0"/>
              <w:left w:val="single" w:color="auto" w:sz="4" w:space="0"/>
              <w:bottom w:val="single" w:color="auto" w:sz="4" w:space="0"/>
              <w:right w:val="single" w:color="auto" w:sz="4" w:space="0"/>
            </w:tcBorders>
            <w:vAlign w:val="center"/>
          </w:tcPr>
          <w:p w14:paraId="6BB554CC">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0DB5A4E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7A1A8F9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20A68C7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5642169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4B02444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51CA4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169FD61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p>
        </w:tc>
        <w:tc>
          <w:tcPr>
            <w:tcW w:w="2000" w:type="dxa"/>
            <w:tcBorders>
              <w:top w:val="single" w:color="auto" w:sz="4" w:space="0"/>
              <w:left w:val="single" w:color="auto" w:sz="4" w:space="0"/>
              <w:bottom w:val="single" w:color="auto" w:sz="4" w:space="0"/>
              <w:right w:val="single" w:color="auto" w:sz="4" w:space="0"/>
            </w:tcBorders>
            <w:vAlign w:val="center"/>
          </w:tcPr>
          <w:p w14:paraId="0712F85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总磷水质分析仪</w:t>
            </w:r>
          </w:p>
        </w:tc>
        <w:tc>
          <w:tcPr>
            <w:tcW w:w="1210" w:type="dxa"/>
            <w:tcBorders>
              <w:top w:val="single" w:color="auto" w:sz="4" w:space="0"/>
              <w:left w:val="single" w:color="auto" w:sz="4" w:space="0"/>
              <w:bottom w:val="single" w:color="auto" w:sz="4" w:space="0"/>
              <w:right w:val="single" w:color="auto" w:sz="4" w:space="0"/>
            </w:tcBorders>
            <w:vAlign w:val="center"/>
          </w:tcPr>
          <w:p w14:paraId="57438EF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3C9B89D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4BDEAB3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1D407B2A">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1E58C4A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7ADDFDB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51EAD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4CB4DCA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p>
        </w:tc>
        <w:tc>
          <w:tcPr>
            <w:tcW w:w="2000" w:type="dxa"/>
            <w:tcBorders>
              <w:top w:val="single" w:color="auto" w:sz="4" w:space="0"/>
              <w:left w:val="single" w:color="auto" w:sz="4" w:space="0"/>
              <w:bottom w:val="single" w:color="auto" w:sz="4" w:space="0"/>
              <w:right w:val="single" w:color="auto" w:sz="4" w:space="0"/>
            </w:tcBorders>
            <w:vAlign w:val="center"/>
          </w:tcPr>
          <w:p w14:paraId="52AF1626">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总氮水质分析仪</w:t>
            </w:r>
          </w:p>
        </w:tc>
        <w:tc>
          <w:tcPr>
            <w:tcW w:w="1210" w:type="dxa"/>
            <w:tcBorders>
              <w:top w:val="single" w:color="auto" w:sz="4" w:space="0"/>
              <w:left w:val="single" w:color="auto" w:sz="4" w:space="0"/>
              <w:bottom w:val="single" w:color="auto" w:sz="4" w:space="0"/>
              <w:right w:val="single" w:color="auto" w:sz="4" w:space="0"/>
            </w:tcBorders>
            <w:vAlign w:val="center"/>
          </w:tcPr>
          <w:p w14:paraId="4A3B2F3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4DD8CA8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644E01A7">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4DF1813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1BDB49A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663A0C2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0A53F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7537E71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6</w:t>
            </w:r>
          </w:p>
        </w:tc>
        <w:tc>
          <w:tcPr>
            <w:tcW w:w="2000" w:type="dxa"/>
            <w:tcBorders>
              <w:top w:val="single" w:color="auto" w:sz="4" w:space="0"/>
              <w:left w:val="single" w:color="auto" w:sz="4" w:space="0"/>
              <w:bottom w:val="single" w:color="auto" w:sz="4" w:space="0"/>
              <w:right w:val="single" w:color="auto" w:sz="4" w:space="0"/>
            </w:tcBorders>
            <w:vAlign w:val="center"/>
          </w:tcPr>
          <w:p w14:paraId="6D47151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采水单元</w:t>
            </w:r>
          </w:p>
        </w:tc>
        <w:tc>
          <w:tcPr>
            <w:tcW w:w="1210" w:type="dxa"/>
            <w:tcBorders>
              <w:top w:val="single" w:color="auto" w:sz="4" w:space="0"/>
              <w:left w:val="single" w:color="auto" w:sz="4" w:space="0"/>
              <w:bottom w:val="single" w:color="auto" w:sz="4" w:space="0"/>
              <w:right w:val="single" w:color="auto" w:sz="4" w:space="0"/>
            </w:tcBorders>
            <w:vAlign w:val="center"/>
          </w:tcPr>
          <w:p w14:paraId="2B5BF47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22A724E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46F1F2F3">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691C081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4839189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619B11EC">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68772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2C1C832D">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7</w:t>
            </w:r>
          </w:p>
        </w:tc>
        <w:tc>
          <w:tcPr>
            <w:tcW w:w="2000" w:type="dxa"/>
            <w:tcBorders>
              <w:top w:val="single" w:color="auto" w:sz="4" w:space="0"/>
              <w:left w:val="single" w:color="auto" w:sz="4" w:space="0"/>
              <w:bottom w:val="single" w:color="auto" w:sz="4" w:space="0"/>
              <w:right w:val="single" w:color="auto" w:sz="4" w:space="0"/>
            </w:tcBorders>
            <w:vAlign w:val="center"/>
          </w:tcPr>
          <w:p w14:paraId="753A539A">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配水及预处理单元</w:t>
            </w:r>
          </w:p>
        </w:tc>
        <w:tc>
          <w:tcPr>
            <w:tcW w:w="1210" w:type="dxa"/>
            <w:tcBorders>
              <w:top w:val="single" w:color="auto" w:sz="4" w:space="0"/>
              <w:left w:val="single" w:color="auto" w:sz="4" w:space="0"/>
              <w:bottom w:val="single" w:color="auto" w:sz="4" w:space="0"/>
              <w:right w:val="single" w:color="auto" w:sz="4" w:space="0"/>
            </w:tcBorders>
            <w:vAlign w:val="center"/>
          </w:tcPr>
          <w:p w14:paraId="2661D20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172D923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450BB04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1D5C7EC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563372F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32BF5EA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55214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0A2DF41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8</w:t>
            </w:r>
          </w:p>
        </w:tc>
        <w:tc>
          <w:tcPr>
            <w:tcW w:w="2000" w:type="dxa"/>
            <w:tcBorders>
              <w:top w:val="single" w:color="auto" w:sz="4" w:space="0"/>
              <w:left w:val="single" w:color="auto" w:sz="4" w:space="0"/>
              <w:bottom w:val="single" w:color="auto" w:sz="4" w:space="0"/>
              <w:right w:val="single" w:color="auto" w:sz="4" w:space="0"/>
            </w:tcBorders>
            <w:vAlign w:val="center"/>
          </w:tcPr>
          <w:p w14:paraId="598EA07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智慧水质在线监测基站控制管理系统</w:t>
            </w:r>
          </w:p>
        </w:tc>
        <w:tc>
          <w:tcPr>
            <w:tcW w:w="1210" w:type="dxa"/>
            <w:tcBorders>
              <w:top w:val="single" w:color="auto" w:sz="4" w:space="0"/>
              <w:left w:val="single" w:color="auto" w:sz="4" w:space="0"/>
              <w:bottom w:val="single" w:color="auto" w:sz="4" w:space="0"/>
              <w:right w:val="single" w:color="auto" w:sz="4" w:space="0"/>
            </w:tcBorders>
            <w:vAlign w:val="center"/>
          </w:tcPr>
          <w:p w14:paraId="4D7C08C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2031418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095D7113">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3861CE1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4929130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6FDA7D9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1E221A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39D9011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9</w:t>
            </w:r>
          </w:p>
        </w:tc>
        <w:tc>
          <w:tcPr>
            <w:tcW w:w="2000" w:type="dxa"/>
            <w:tcBorders>
              <w:top w:val="single" w:color="auto" w:sz="4" w:space="0"/>
              <w:left w:val="single" w:color="auto" w:sz="4" w:space="0"/>
              <w:bottom w:val="single" w:color="auto" w:sz="4" w:space="0"/>
              <w:right w:val="single" w:color="auto" w:sz="4" w:space="0"/>
            </w:tcBorders>
            <w:vAlign w:val="center"/>
          </w:tcPr>
          <w:p w14:paraId="6983983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质控模块</w:t>
            </w:r>
            <w:bookmarkStart w:id="47" w:name="_GoBack"/>
            <w:bookmarkEnd w:id="47"/>
          </w:p>
        </w:tc>
        <w:tc>
          <w:tcPr>
            <w:tcW w:w="1210" w:type="dxa"/>
            <w:tcBorders>
              <w:top w:val="single" w:color="auto" w:sz="4" w:space="0"/>
              <w:left w:val="single" w:color="auto" w:sz="4" w:space="0"/>
              <w:bottom w:val="single" w:color="auto" w:sz="4" w:space="0"/>
              <w:right w:val="single" w:color="auto" w:sz="4" w:space="0"/>
            </w:tcBorders>
            <w:vAlign w:val="center"/>
          </w:tcPr>
          <w:p w14:paraId="7E51820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73881BB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2B17B30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50A163C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0AF0563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5A56BC5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394C3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642248EC">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10</w:t>
            </w:r>
          </w:p>
        </w:tc>
        <w:tc>
          <w:tcPr>
            <w:tcW w:w="2000" w:type="dxa"/>
            <w:tcBorders>
              <w:top w:val="single" w:color="auto" w:sz="4" w:space="0"/>
              <w:left w:val="single" w:color="auto" w:sz="4" w:space="0"/>
              <w:bottom w:val="single" w:color="auto" w:sz="4" w:space="0"/>
              <w:right w:val="single" w:color="auto" w:sz="4" w:space="0"/>
            </w:tcBorders>
            <w:vAlign w:val="center"/>
          </w:tcPr>
          <w:p w14:paraId="411B2AE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留样器</w:t>
            </w:r>
          </w:p>
        </w:tc>
        <w:tc>
          <w:tcPr>
            <w:tcW w:w="1210" w:type="dxa"/>
            <w:tcBorders>
              <w:top w:val="single" w:color="auto" w:sz="4" w:space="0"/>
              <w:left w:val="single" w:color="auto" w:sz="4" w:space="0"/>
              <w:bottom w:val="single" w:color="auto" w:sz="4" w:space="0"/>
              <w:right w:val="single" w:color="auto" w:sz="4" w:space="0"/>
            </w:tcBorders>
            <w:vAlign w:val="center"/>
          </w:tcPr>
          <w:p w14:paraId="3C3D7CA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2E8A2E4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28949B6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55E63F7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7EEE59FF">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2AD7CC51">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4D3B78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2C538A2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p>
        </w:tc>
        <w:tc>
          <w:tcPr>
            <w:tcW w:w="2000" w:type="dxa"/>
            <w:tcBorders>
              <w:top w:val="single" w:color="auto" w:sz="4" w:space="0"/>
              <w:left w:val="single" w:color="auto" w:sz="4" w:space="0"/>
              <w:bottom w:val="single" w:color="auto" w:sz="4" w:space="0"/>
              <w:right w:val="single" w:color="auto" w:sz="4" w:space="0"/>
            </w:tcBorders>
            <w:vAlign w:val="center"/>
          </w:tcPr>
          <w:p w14:paraId="3137207C">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snapToGrid/>
                <w:color w:val="auto"/>
                <w:kern w:val="2"/>
                <w:sz w:val="21"/>
                <w:szCs w:val="21"/>
                <w:highlight w:val="none"/>
                <w:u w:val="none"/>
                <w:lang w:eastAsia="zh-CN"/>
              </w:rPr>
              <w:t>视频监控单元</w:t>
            </w:r>
          </w:p>
        </w:tc>
        <w:tc>
          <w:tcPr>
            <w:tcW w:w="1210" w:type="dxa"/>
            <w:tcBorders>
              <w:top w:val="single" w:color="auto" w:sz="4" w:space="0"/>
              <w:left w:val="single" w:color="auto" w:sz="4" w:space="0"/>
              <w:bottom w:val="single" w:color="auto" w:sz="4" w:space="0"/>
              <w:right w:val="single" w:color="auto" w:sz="4" w:space="0"/>
            </w:tcBorders>
            <w:vAlign w:val="center"/>
          </w:tcPr>
          <w:p w14:paraId="1307215A">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5568A917">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125DB53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0019E452">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67D9A20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0B6EF28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66D720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3A6F95F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12</w:t>
            </w:r>
          </w:p>
        </w:tc>
        <w:tc>
          <w:tcPr>
            <w:tcW w:w="2000" w:type="dxa"/>
            <w:tcBorders>
              <w:top w:val="single" w:color="auto" w:sz="4" w:space="0"/>
              <w:left w:val="single" w:color="auto" w:sz="4" w:space="0"/>
              <w:bottom w:val="single" w:color="auto" w:sz="4" w:space="0"/>
              <w:right w:val="single" w:color="auto" w:sz="4" w:space="0"/>
            </w:tcBorders>
            <w:vAlign w:val="center"/>
          </w:tcPr>
          <w:p w14:paraId="32266990">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i w:val="0"/>
                <w:iCs w:val="0"/>
                <w:snapToGrid/>
                <w:color w:val="auto"/>
                <w:kern w:val="2"/>
                <w:sz w:val="21"/>
                <w:szCs w:val="21"/>
                <w:highlight w:val="none"/>
                <w:u w:val="none"/>
                <w:lang w:eastAsia="zh-CN"/>
              </w:rPr>
              <w:t>配套机柜与成套工具 、UPS/稳压电源、废液收集、试剂恒温模块、自动纯水制备装置</w:t>
            </w:r>
          </w:p>
        </w:tc>
        <w:tc>
          <w:tcPr>
            <w:tcW w:w="1210" w:type="dxa"/>
            <w:tcBorders>
              <w:top w:val="single" w:color="auto" w:sz="4" w:space="0"/>
              <w:left w:val="single" w:color="auto" w:sz="4" w:space="0"/>
              <w:bottom w:val="single" w:color="auto" w:sz="4" w:space="0"/>
              <w:right w:val="single" w:color="auto" w:sz="4" w:space="0"/>
            </w:tcBorders>
            <w:vAlign w:val="center"/>
          </w:tcPr>
          <w:p w14:paraId="1E4A77B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30BEA95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49018E53">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right w:val="single" w:color="auto" w:sz="4" w:space="0"/>
            </w:tcBorders>
            <w:vAlign w:val="center"/>
          </w:tcPr>
          <w:p w14:paraId="7A1218EA">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right w:val="single" w:color="auto" w:sz="4" w:space="0"/>
            </w:tcBorders>
            <w:vAlign w:val="center"/>
          </w:tcPr>
          <w:p w14:paraId="11F59E59">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22B3DD8C">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34FF84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80" w:type="dxa"/>
            <w:tcBorders>
              <w:top w:val="single" w:color="auto" w:sz="4" w:space="0"/>
              <w:left w:val="single" w:color="auto" w:sz="4" w:space="0"/>
              <w:bottom w:val="single" w:color="auto" w:sz="4" w:space="0"/>
              <w:right w:val="single" w:color="auto" w:sz="4" w:space="0"/>
            </w:tcBorders>
            <w:vAlign w:val="center"/>
          </w:tcPr>
          <w:p w14:paraId="60676FC8">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13</w:t>
            </w:r>
          </w:p>
        </w:tc>
        <w:tc>
          <w:tcPr>
            <w:tcW w:w="2000" w:type="dxa"/>
            <w:tcBorders>
              <w:top w:val="single" w:color="auto" w:sz="4" w:space="0"/>
              <w:left w:val="single" w:color="auto" w:sz="4" w:space="0"/>
              <w:bottom w:val="single" w:color="auto" w:sz="4" w:space="0"/>
              <w:right w:val="single" w:color="auto" w:sz="4" w:space="0"/>
            </w:tcBorders>
            <w:vAlign w:val="center"/>
          </w:tcPr>
          <w:p w14:paraId="38BCB04A">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i w:val="0"/>
                <w:iCs w:val="0"/>
                <w:snapToGrid/>
                <w:color w:val="auto"/>
                <w:kern w:val="2"/>
                <w:sz w:val="21"/>
                <w:szCs w:val="21"/>
                <w:highlight w:val="none"/>
                <w:u w:val="none"/>
                <w:lang w:eastAsia="zh-CN"/>
              </w:rPr>
            </w:pPr>
            <w:r>
              <w:rPr>
                <w:rFonts w:hint="eastAsia" w:ascii="宋体" w:hAnsi="宋体" w:eastAsia="宋体" w:cs="宋体"/>
                <w:b w:val="0"/>
                <w:bCs w:val="0"/>
                <w:i w:val="0"/>
                <w:iCs w:val="0"/>
                <w:snapToGrid/>
                <w:color w:val="auto"/>
                <w:kern w:val="2"/>
                <w:sz w:val="21"/>
                <w:szCs w:val="21"/>
                <w:highlight w:val="none"/>
                <w:u w:val="none"/>
                <w:lang w:eastAsia="zh-CN"/>
              </w:rPr>
              <w:t>站房建设及改建</w:t>
            </w:r>
          </w:p>
        </w:tc>
        <w:tc>
          <w:tcPr>
            <w:tcW w:w="1210" w:type="dxa"/>
            <w:tcBorders>
              <w:top w:val="single" w:color="auto" w:sz="4" w:space="0"/>
              <w:left w:val="single" w:color="auto" w:sz="4" w:space="0"/>
              <w:bottom w:val="single" w:color="auto" w:sz="4" w:space="0"/>
              <w:right w:val="single" w:color="auto" w:sz="4" w:space="0"/>
            </w:tcBorders>
            <w:vAlign w:val="center"/>
          </w:tcPr>
          <w:p w14:paraId="2B86E6FE">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355" w:type="dxa"/>
            <w:tcBorders>
              <w:top w:val="single" w:color="auto" w:sz="4" w:space="0"/>
              <w:left w:val="single" w:color="auto" w:sz="4" w:space="0"/>
              <w:bottom w:val="single" w:color="auto" w:sz="4" w:space="0"/>
              <w:right w:val="single" w:color="auto" w:sz="4" w:space="0"/>
            </w:tcBorders>
            <w:vAlign w:val="center"/>
          </w:tcPr>
          <w:p w14:paraId="5F1D9C6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887" w:type="dxa"/>
            <w:tcBorders>
              <w:top w:val="single" w:color="auto" w:sz="4" w:space="0"/>
              <w:left w:val="single" w:color="auto" w:sz="4" w:space="0"/>
              <w:bottom w:val="single" w:color="auto" w:sz="4" w:space="0"/>
              <w:right w:val="single" w:color="auto" w:sz="4" w:space="0"/>
            </w:tcBorders>
            <w:vAlign w:val="center"/>
          </w:tcPr>
          <w:p w14:paraId="43376225">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highlight w:val="none"/>
                <w14:textFill>
                  <w14:solidFill>
                    <w14:schemeClr w14:val="tx1"/>
                  </w14:solidFill>
                </w14:textFill>
              </w:rPr>
            </w:pPr>
          </w:p>
        </w:tc>
        <w:tc>
          <w:tcPr>
            <w:tcW w:w="1000" w:type="dxa"/>
            <w:vMerge w:val="continue"/>
            <w:tcBorders>
              <w:left w:val="single" w:color="auto" w:sz="4" w:space="0"/>
              <w:bottom w:val="single" w:color="auto" w:sz="4" w:space="0"/>
              <w:right w:val="single" w:color="auto" w:sz="4" w:space="0"/>
            </w:tcBorders>
            <w:vAlign w:val="center"/>
          </w:tcPr>
          <w:p w14:paraId="6A60858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val="en-US" w:eastAsia="zh-CN"/>
                <w14:textFill>
                  <w14:solidFill>
                    <w14:schemeClr w14:val="tx1"/>
                  </w14:solidFill>
                </w14:textFill>
              </w:rPr>
            </w:pPr>
          </w:p>
        </w:tc>
        <w:tc>
          <w:tcPr>
            <w:tcW w:w="919" w:type="dxa"/>
            <w:vMerge w:val="continue"/>
            <w:tcBorders>
              <w:left w:val="single" w:color="auto" w:sz="4" w:space="0"/>
              <w:bottom w:val="single" w:color="auto" w:sz="4" w:space="0"/>
              <w:right w:val="single" w:color="auto" w:sz="4" w:space="0"/>
            </w:tcBorders>
            <w:vAlign w:val="center"/>
          </w:tcPr>
          <w:p w14:paraId="2E06E0B4">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color w:val="000000" w:themeColor="text1"/>
                <w:szCs w:val="21"/>
                <w:highlight w:val="none"/>
                <w:lang w:eastAsia="zh-CN"/>
                <w14:textFill>
                  <w14:solidFill>
                    <w14:schemeClr w14:val="tx1"/>
                  </w14:solidFill>
                </w14:textFill>
              </w:rPr>
            </w:pPr>
          </w:p>
        </w:tc>
        <w:tc>
          <w:tcPr>
            <w:tcW w:w="1042" w:type="dxa"/>
            <w:tcBorders>
              <w:top w:val="single" w:color="auto" w:sz="4" w:space="0"/>
              <w:left w:val="single" w:color="auto" w:sz="4" w:space="0"/>
              <w:bottom w:val="single" w:color="auto" w:sz="4" w:space="0"/>
            </w:tcBorders>
            <w:vAlign w:val="center"/>
          </w:tcPr>
          <w:p w14:paraId="0DFE6B0B">
            <w:pPr>
              <w:keepNext w:val="0"/>
              <w:keepLines w:val="0"/>
              <w:pageBreakBefore w:val="0"/>
              <w:widowControl/>
              <w:kinsoku w:val="0"/>
              <w:wordWrap/>
              <w:overflowPunct/>
              <w:topLinePunct w:val="0"/>
              <w:autoSpaceDE w:val="0"/>
              <w:autoSpaceDN w:val="0"/>
              <w:bidi w:val="0"/>
              <w:adjustRightInd w:val="0"/>
              <w:snapToGrid w:val="0"/>
              <w:spacing w:line="312" w:lineRule="auto"/>
              <w:jc w:val="center"/>
              <w:textAlignment w:val="baseline"/>
              <w:rPr>
                <w:rFonts w:hint="eastAsia" w:ascii="宋体" w:hAnsi="宋体" w:eastAsia="宋体" w:cs="宋体"/>
                <w:b/>
                <w:bCs/>
                <w:color w:val="000000" w:themeColor="text1"/>
                <w:highlight w:val="none"/>
                <w14:textFill>
                  <w14:solidFill>
                    <w14:schemeClr w14:val="tx1"/>
                  </w14:solidFill>
                </w14:textFill>
              </w:rPr>
            </w:pPr>
          </w:p>
        </w:tc>
      </w:tr>
      <w:tr w14:paraId="70BDF2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48858549">
            <w:pPr>
              <w:pageBreakBefore w:val="0"/>
              <w:overflowPunct/>
              <w:topLinePunct w:val="0"/>
              <w:bidi w:val="0"/>
              <w:snapToGrid w:val="0"/>
              <w:spacing w:line="400" w:lineRule="exact"/>
              <w:rPr>
                <w:rFonts w:hint="eastAsia" w:ascii="宋体" w:hAnsi="宋体" w:eastAsia="宋体" w:cs="宋体"/>
                <w:color w:val="000000" w:themeColor="text1"/>
                <w:spacing w:val="-6"/>
                <w:highlight w:val="none"/>
                <w:lang w:val="en-US" w:eastAsia="zh-CN"/>
                <w14:textFill>
                  <w14:solidFill>
                    <w14:schemeClr w14:val="tx1"/>
                  </w14:solidFill>
                </w14:textFill>
              </w:rPr>
            </w:pPr>
            <w:r>
              <w:rPr>
                <w:rFonts w:hint="eastAsia" w:ascii="宋体" w:hAnsi="宋体" w:eastAsia="宋体" w:cs="宋体"/>
                <w:color w:val="000000" w:themeColor="text1"/>
                <w:spacing w:val="-6"/>
                <w:highlight w:val="none"/>
                <w:lang w:val="en-US" w:eastAsia="zh-CN"/>
                <w14:textFill>
                  <w14:solidFill>
                    <w14:schemeClr w14:val="tx1"/>
                  </w14:solidFill>
                </w14:textFill>
              </w:rPr>
              <w:t>谈判</w:t>
            </w:r>
            <w:r>
              <w:rPr>
                <w:rFonts w:hint="eastAsia" w:ascii="宋体" w:hAnsi="宋体" w:eastAsia="宋体" w:cs="宋体"/>
                <w:color w:val="000000" w:themeColor="text1"/>
                <w:spacing w:val="-6"/>
                <w:highlight w:val="none"/>
                <w14:textFill>
                  <w14:solidFill>
                    <w14:schemeClr w14:val="tx1"/>
                  </w14:solidFill>
                </w14:textFill>
              </w:rPr>
              <w:t>总报价（大写）：                  元（￥                      ）人民币</w:t>
            </w:r>
          </w:p>
        </w:tc>
      </w:tr>
      <w:tr w14:paraId="662B18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69982BEE">
            <w:pPr>
              <w:pageBreakBefore w:val="0"/>
              <w:overflowPunct/>
              <w:topLinePunct w:val="0"/>
              <w:bidi w:val="0"/>
              <w:snapToGrid w:val="0"/>
              <w:spacing w:line="400" w:lineRule="exact"/>
              <w:rPr>
                <w:rFonts w:hint="eastAsia" w:ascii="宋体" w:hAnsi="宋体" w:eastAsia="宋体" w:cs="宋体"/>
                <w:color w:val="000000" w:themeColor="text1"/>
                <w:spacing w:val="-6"/>
                <w:highlight w:val="none"/>
                <w14:textFill>
                  <w14:solidFill>
                    <w14:schemeClr w14:val="tx1"/>
                  </w14:solidFill>
                </w14:textFill>
              </w:rPr>
            </w:pPr>
            <w:r>
              <w:rPr>
                <w:rFonts w:hint="eastAsia" w:ascii="宋体" w:hAnsi="宋体" w:eastAsia="宋体" w:cs="宋体"/>
                <w:color w:val="000000" w:themeColor="text1"/>
                <w:spacing w:val="-6"/>
                <w:highlight w:val="none"/>
                <w14:textFill>
                  <w14:solidFill>
                    <w14:schemeClr w14:val="tx1"/>
                  </w14:solidFill>
                </w14:textFill>
              </w:rPr>
              <w:t>交付用时间：</w:t>
            </w:r>
          </w:p>
        </w:tc>
      </w:tr>
      <w:tr w14:paraId="35072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61AFBCD3">
            <w:pPr>
              <w:pageBreakBefore w:val="0"/>
              <w:overflowPunct/>
              <w:topLinePunct w:val="0"/>
              <w:bidi w:val="0"/>
              <w:snapToGrid w:val="0"/>
              <w:spacing w:line="400" w:lineRule="exact"/>
              <w:rPr>
                <w:rFonts w:hint="eastAsia" w:ascii="宋体" w:hAnsi="宋体" w:eastAsia="宋体" w:cs="宋体"/>
                <w:color w:val="000000" w:themeColor="text1"/>
                <w:spacing w:val="-6"/>
                <w:highlight w:val="none"/>
                <w14:textFill>
                  <w14:solidFill>
                    <w14:schemeClr w14:val="tx1"/>
                  </w14:solidFill>
                </w14:textFill>
              </w:rPr>
            </w:pPr>
            <w:r>
              <w:rPr>
                <w:rFonts w:hint="eastAsia" w:ascii="宋体" w:hAnsi="宋体" w:eastAsia="宋体" w:cs="宋体"/>
                <w:b w:val="0"/>
                <w:bCs w:val="0"/>
                <w:snapToGrid w:val="0"/>
                <w:color w:val="000000" w:themeColor="text1"/>
                <w:kern w:val="2"/>
                <w:sz w:val="21"/>
                <w:szCs w:val="21"/>
                <w:highlight w:val="none"/>
                <w:lang w:val="en-US" w:eastAsia="zh-CN" w:bidi="ar-SA"/>
                <w14:textFill>
                  <w14:solidFill>
                    <w14:schemeClr w14:val="tx1"/>
                  </w14:solidFill>
                </w14:textFill>
              </w:rPr>
              <w:t>交货地点：</w:t>
            </w:r>
          </w:p>
        </w:tc>
      </w:tr>
      <w:tr w14:paraId="03572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2131206C">
            <w:pPr>
              <w:pageBreakBefore w:val="0"/>
              <w:overflowPunct/>
              <w:topLinePunct w:val="0"/>
              <w:bidi w:val="0"/>
              <w:snapToGrid w:val="0"/>
              <w:spacing w:line="400" w:lineRule="exact"/>
              <w:rPr>
                <w:rFonts w:hint="eastAsia" w:ascii="宋体" w:hAnsi="宋体" w:eastAsia="宋体" w:cs="宋体"/>
                <w:color w:val="000000" w:themeColor="text1"/>
                <w:spacing w:val="-6"/>
                <w:highlight w:val="none"/>
                <w14:textFill>
                  <w14:solidFill>
                    <w14:schemeClr w14:val="tx1"/>
                  </w14:solidFill>
                </w14:textFill>
              </w:rPr>
            </w:pPr>
            <w:r>
              <w:rPr>
                <w:rFonts w:hint="eastAsia" w:ascii="宋体" w:hAnsi="宋体" w:eastAsia="宋体" w:cs="宋体"/>
                <w:b w:val="0"/>
                <w:bCs w:val="0"/>
                <w:snapToGrid w:val="0"/>
                <w:color w:val="000000" w:themeColor="text1"/>
                <w:sz w:val="21"/>
                <w:szCs w:val="21"/>
                <w:highlight w:val="none"/>
                <w:lang w:val="en-US" w:eastAsia="en-US" w:bidi="ar-SA"/>
                <w14:textFill>
                  <w14:solidFill>
                    <w14:schemeClr w14:val="tx1"/>
                  </w14:solidFill>
                </w14:textFill>
              </w:rPr>
              <w:t>质量保证期</w:t>
            </w:r>
            <w:r>
              <w:rPr>
                <w:rFonts w:hint="eastAsia" w:ascii="宋体" w:hAnsi="宋体" w:eastAsia="宋体" w:cs="宋体"/>
                <w:color w:val="000000" w:themeColor="text1"/>
                <w:spacing w:val="-6"/>
                <w:highlight w:val="none"/>
                <w14:textFill>
                  <w14:solidFill>
                    <w14:schemeClr w14:val="tx1"/>
                  </w14:solidFill>
                </w14:textFill>
              </w:rPr>
              <w:t>：</w:t>
            </w:r>
          </w:p>
        </w:tc>
      </w:tr>
      <w:tr w14:paraId="1582AB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619DC6A2">
            <w:pPr>
              <w:pageBreakBefore w:val="0"/>
              <w:overflowPunct/>
              <w:topLinePunct w:val="0"/>
              <w:bidi w:val="0"/>
              <w:snapToGrid w:val="0"/>
              <w:spacing w:line="400" w:lineRule="exact"/>
              <w:rPr>
                <w:rFonts w:hint="eastAsia" w:ascii="宋体" w:hAnsi="宋体" w:eastAsia="宋体" w:cs="宋体"/>
                <w:color w:val="000000" w:themeColor="text1"/>
                <w:spacing w:val="-6"/>
                <w:szCs w:val="21"/>
                <w:highlight w:val="none"/>
                <w14:textFill>
                  <w14:solidFill>
                    <w14:schemeClr w14:val="tx1"/>
                  </w14:solidFill>
                </w14:textFill>
              </w:rPr>
            </w:pPr>
            <w:r>
              <w:rPr>
                <w:rFonts w:hint="eastAsia" w:ascii="宋体" w:hAnsi="宋体" w:eastAsia="宋体" w:cs="宋体"/>
                <w:color w:val="000000" w:themeColor="text1"/>
                <w:spacing w:val="-6"/>
                <w:szCs w:val="21"/>
                <w:highlight w:val="none"/>
                <w14:textFill>
                  <w14:solidFill>
                    <w14:schemeClr w14:val="tx1"/>
                  </w14:solidFill>
                </w14:textFill>
              </w:rPr>
              <w:t>其中：</w:t>
            </w:r>
          </w:p>
          <w:p w14:paraId="054ED403">
            <w:pPr>
              <w:pageBreakBefore w:val="0"/>
              <w:overflowPunct/>
              <w:topLinePunct w:val="0"/>
              <w:bidi w:val="0"/>
              <w:snapToGrid w:val="0"/>
              <w:spacing w:line="400" w:lineRule="exact"/>
              <w:rPr>
                <w:rFonts w:hint="eastAsia" w:ascii="宋体" w:hAnsi="宋体" w:eastAsia="宋体" w:cs="宋体"/>
                <w:color w:val="000000" w:themeColor="text1"/>
                <w:spacing w:val="-6"/>
                <w:szCs w:val="21"/>
                <w:highlight w:val="none"/>
                <w14:textFill>
                  <w14:solidFill>
                    <w14:schemeClr w14:val="tx1"/>
                  </w14:solidFill>
                </w14:textFill>
              </w:rPr>
            </w:pPr>
            <w:r>
              <w:rPr>
                <w:rFonts w:hint="eastAsia" w:ascii="宋体" w:hAnsi="宋体" w:eastAsia="宋体" w:cs="宋体"/>
                <w:color w:val="000000" w:themeColor="text1"/>
                <w:spacing w:val="-6"/>
                <w:szCs w:val="21"/>
                <w:highlight w:val="none"/>
                <w14:textFill>
                  <w14:solidFill>
                    <w14:schemeClr w14:val="tx1"/>
                  </w14:solidFill>
                </w14:textFill>
              </w:rPr>
              <w:t>属于财政部</w:t>
            </w:r>
            <w:r>
              <w:rPr>
                <w:rFonts w:hint="eastAsia" w:ascii="宋体" w:hAnsi="宋体" w:eastAsia="宋体" w:cs="宋体"/>
                <w:bCs/>
                <w:color w:val="000000" w:themeColor="text1"/>
                <w:highlight w:val="none"/>
                <w14:textFill>
                  <w14:solidFill>
                    <w14:schemeClr w14:val="tx1"/>
                  </w14:solidFill>
                </w14:textFill>
              </w:rPr>
              <w:t>《节能产品政府采购品目清单》</w:t>
            </w:r>
            <w:r>
              <w:rPr>
                <w:rFonts w:hint="eastAsia" w:ascii="宋体" w:hAnsi="宋体" w:eastAsia="宋体" w:cs="宋体"/>
                <w:color w:val="000000" w:themeColor="text1"/>
                <w:spacing w:val="-6"/>
                <w:szCs w:val="21"/>
                <w:highlight w:val="none"/>
                <w14:textFill>
                  <w14:solidFill>
                    <w14:schemeClr w14:val="tx1"/>
                  </w14:solidFill>
                </w14:textFill>
              </w:rPr>
              <w:t>内产品的总金额为人民币（大写）：</w:t>
            </w:r>
            <w:r>
              <w:rPr>
                <w:rFonts w:hint="eastAsia" w:ascii="宋体" w:hAnsi="宋体" w:eastAsia="宋体" w:cs="宋体"/>
                <w:color w:val="000000" w:themeColor="text1"/>
                <w:spacing w:val="-6"/>
                <w:szCs w:val="21"/>
                <w:highlight w:val="none"/>
                <w:u w:val="single"/>
                <w14:textFill>
                  <w14:solidFill>
                    <w14:schemeClr w14:val="tx1"/>
                  </w14:solidFill>
                </w14:textFill>
              </w:rPr>
              <w:t xml:space="preserve">          元（￥     ）</w:t>
            </w:r>
            <w:r>
              <w:rPr>
                <w:rFonts w:hint="eastAsia" w:ascii="宋体" w:hAnsi="宋体" w:eastAsia="宋体" w:cs="宋体"/>
                <w:color w:val="000000" w:themeColor="text1"/>
                <w:spacing w:val="-6"/>
                <w:szCs w:val="21"/>
                <w:highlight w:val="none"/>
                <w14:textFill>
                  <w14:solidFill>
                    <w14:schemeClr w14:val="tx1"/>
                  </w14:solidFill>
                </w14:textFill>
              </w:rPr>
              <w:t>；</w:t>
            </w:r>
          </w:p>
          <w:p w14:paraId="6E1A583E">
            <w:pPr>
              <w:pageBreakBefore w:val="0"/>
              <w:overflowPunct/>
              <w:topLinePunct w:val="0"/>
              <w:bidi w:val="0"/>
              <w:snapToGrid w:val="0"/>
              <w:spacing w:line="400" w:lineRule="exact"/>
              <w:rPr>
                <w:rFonts w:hint="eastAsia" w:ascii="宋体" w:hAnsi="宋体" w:eastAsia="宋体" w:cs="宋体"/>
                <w:color w:val="000000" w:themeColor="text1"/>
                <w:spacing w:val="-6"/>
                <w:szCs w:val="21"/>
                <w:highlight w:val="none"/>
                <w14:textFill>
                  <w14:solidFill>
                    <w14:schemeClr w14:val="tx1"/>
                  </w14:solidFill>
                </w14:textFill>
              </w:rPr>
            </w:pPr>
            <w:r>
              <w:rPr>
                <w:rFonts w:hint="eastAsia" w:ascii="宋体" w:hAnsi="宋体" w:eastAsia="宋体" w:cs="宋体"/>
                <w:color w:val="000000" w:themeColor="text1"/>
                <w:spacing w:val="-6"/>
                <w:szCs w:val="21"/>
                <w:highlight w:val="none"/>
                <w14:textFill>
                  <w14:solidFill>
                    <w14:schemeClr w14:val="tx1"/>
                  </w14:solidFill>
                </w14:textFill>
              </w:rPr>
              <w:t>属于财政部</w:t>
            </w:r>
            <w:r>
              <w:rPr>
                <w:rFonts w:hint="eastAsia" w:ascii="宋体" w:hAnsi="宋体" w:eastAsia="宋体" w:cs="宋体"/>
                <w:bCs/>
                <w:color w:val="000000" w:themeColor="text1"/>
                <w:highlight w:val="none"/>
                <w14:textFill>
                  <w14:solidFill>
                    <w14:schemeClr w14:val="tx1"/>
                  </w14:solidFill>
                </w14:textFill>
              </w:rPr>
              <w:t>《环境标志产品政府采购品目清单》</w:t>
            </w:r>
            <w:r>
              <w:rPr>
                <w:rFonts w:hint="eastAsia" w:ascii="宋体" w:hAnsi="宋体" w:eastAsia="宋体" w:cs="宋体"/>
                <w:color w:val="000000" w:themeColor="text1"/>
                <w:spacing w:val="-6"/>
                <w:szCs w:val="21"/>
                <w:highlight w:val="none"/>
                <w14:textFill>
                  <w14:solidFill>
                    <w14:schemeClr w14:val="tx1"/>
                  </w14:solidFill>
                </w14:textFill>
              </w:rPr>
              <w:t>内产品的总金额为人民币（大写）：</w:t>
            </w:r>
            <w:r>
              <w:rPr>
                <w:rFonts w:hint="eastAsia" w:ascii="宋体" w:hAnsi="宋体" w:eastAsia="宋体" w:cs="宋体"/>
                <w:color w:val="000000" w:themeColor="text1"/>
                <w:spacing w:val="-6"/>
                <w:szCs w:val="21"/>
                <w:highlight w:val="none"/>
                <w:u w:val="single"/>
                <w14:textFill>
                  <w14:solidFill>
                    <w14:schemeClr w14:val="tx1"/>
                  </w14:solidFill>
                </w14:textFill>
              </w:rPr>
              <w:t xml:space="preserve">     元（￥        ）</w:t>
            </w:r>
            <w:r>
              <w:rPr>
                <w:rFonts w:hint="eastAsia" w:ascii="宋体" w:hAnsi="宋体" w:eastAsia="宋体" w:cs="宋体"/>
                <w:color w:val="000000" w:themeColor="text1"/>
                <w:spacing w:val="-6"/>
                <w:szCs w:val="21"/>
                <w:highlight w:val="none"/>
                <w14:textFill>
                  <w14:solidFill>
                    <w14:schemeClr w14:val="tx1"/>
                  </w14:solidFill>
                </w14:textFill>
              </w:rPr>
              <w:t>。</w:t>
            </w:r>
          </w:p>
          <w:p w14:paraId="2DE258B5">
            <w:pPr>
              <w:pageBreakBefore w:val="0"/>
              <w:overflowPunct/>
              <w:topLinePunct w:val="0"/>
              <w:bidi w:val="0"/>
              <w:snapToGrid w:val="0"/>
              <w:spacing w:line="400" w:lineRule="exact"/>
              <w:rPr>
                <w:rFonts w:hint="eastAsia" w:ascii="宋体" w:hAnsi="宋体" w:eastAsia="宋体" w:cs="宋体"/>
                <w:b/>
                <w:color w:val="000000" w:themeColor="text1"/>
                <w:spacing w:val="-6"/>
                <w:szCs w:val="21"/>
                <w:highlight w:val="none"/>
                <w14:textFill>
                  <w14:solidFill>
                    <w14:schemeClr w14:val="tx1"/>
                  </w14:solidFill>
                </w14:textFill>
              </w:rPr>
            </w:pPr>
            <w:r>
              <w:rPr>
                <w:rFonts w:hint="eastAsia" w:ascii="宋体" w:hAnsi="宋体" w:eastAsia="宋体" w:cs="宋体"/>
                <w:b/>
                <w:color w:val="000000" w:themeColor="text1"/>
                <w:spacing w:val="-6"/>
                <w:szCs w:val="21"/>
                <w:highlight w:val="none"/>
                <w14:textFill>
                  <w14:solidFill>
                    <w14:schemeClr w14:val="tx1"/>
                  </w14:solidFill>
                </w14:textFill>
              </w:rPr>
              <w:t>备注：若不属于财政部《节能产品政府采购品目清单》及《环境标志产品政府采购品目清单》内产品的，则该处填写“无”字样。</w:t>
            </w:r>
          </w:p>
        </w:tc>
      </w:tr>
      <w:tr w14:paraId="6FCC3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3" w:type="dxa"/>
            <w:gridSpan w:val="8"/>
            <w:tcBorders>
              <w:top w:val="single" w:color="auto" w:sz="4" w:space="0"/>
              <w:left w:val="single" w:color="auto" w:sz="4" w:space="0"/>
              <w:bottom w:val="single" w:color="auto" w:sz="4" w:space="0"/>
            </w:tcBorders>
            <w:vAlign w:val="center"/>
          </w:tcPr>
          <w:p w14:paraId="4D9C36C0">
            <w:pPr>
              <w:pageBreakBefore w:val="0"/>
              <w:overflowPunct/>
              <w:topLinePunct w:val="0"/>
              <w:bidi w:val="0"/>
              <w:snapToGrid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说明</w:t>
            </w:r>
            <w:r>
              <w:rPr>
                <w:rFonts w:hint="eastAsia" w:ascii="宋体" w:hAnsi="宋体" w:eastAsia="宋体" w:cs="宋体"/>
                <w:b/>
                <w:bCs/>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供应商</w:t>
            </w:r>
            <w:r>
              <w:rPr>
                <w:rFonts w:hint="eastAsia" w:ascii="宋体" w:hAnsi="宋体" w:eastAsia="宋体" w:cs="宋体"/>
                <w:color w:val="000000" w:themeColor="text1"/>
                <w:highlight w:val="none"/>
                <w:lang w:val="en-US" w:eastAsia="zh-CN"/>
                <w14:textFill>
                  <w14:solidFill>
                    <w14:schemeClr w14:val="tx1"/>
                  </w14:solidFill>
                </w14:textFill>
              </w:rPr>
              <w:t>谈判</w:t>
            </w:r>
            <w:r>
              <w:rPr>
                <w:rFonts w:hint="eastAsia" w:ascii="宋体" w:hAnsi="宋体" w:eastAsia="宋体" w:cs="宋体"/>
                <w:color w:val="000000" w:themeColor="text1"/>
                <w:highlight w:val="none"/>
                <w14:textFill>
                  <w14:solidFill>
                    <w14:schemeClr w14:val="tx1"/>
                  </w14:solidFill>
                </w14:textFill>
              </w:rPr>
              <w:t>报价包括本次采购范围内货物价款、货物随配标准附件、包装、运输、装卸、保险、税金、货到位以及安装、安装所需辅材、调试、检验、售后服务、培训、保修及其他所有成本费用的总和；供应商综合考虑在报价中。</w:t>
            </w:r>
          </w:p>
        </w:tc>
      </w:tr>
    </w:tbl>
    <w:p w14:paraId="5B1EECEF">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b/>
          <w:bCs/>
          <w:color w:val="000000" w:themeColor="text1"/>
          <w:highlight w:val="none"/>
          <w:lang w:eastAsia="zh-CN"/>
          <w14:textFill>
            <w14:solidFill>
              <w14:schemeClr w14:val="tx1"/>
            </w14:solidFill>
          </w14:textFill>
        </w:rPr>
        <w:t>（CA证书签章）</w:t>
      </w:r>
      <w:r>
        <w:rPr>
          <w:rFonts w:hint="eastAsia" w:ascii="宋体" w:hAnsi="宋体" w:eastAsia="宋体" w:cs="宋体"/>
          <w:color w:val="000000" w:themeColor="text1"/>
          <w:highlight w:val="none"/>
          <w:lang w:eastAsia="zh-CN"/>
          <w14:textFill>
            <w14:solidFill>
              <w14:schemeClr w14:val="tx1"/>
            </w14:solidFill>
          </w14:textFill>
        </w:rPr>
        <w:t>：</w:t>
      </w:r>
    </w:p>
    <w:p w14:paraId="0B23BEF8">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法定代表人(负责人、自然人)或委托代理人签字</w:t>
      </w:r>
      <w:r>
        <w:rPr>
          <w:rFonts w:hint="eastAsia" w:ascii="宋体" w:hAnsi="宋体" w:eastAsia="宋体" w:cs="宋体"/>
          <w:b/>
          <w:bCs/>
          <w:color w:val="000000" w:themeColor="text1"/>
          <w:highlight w:val="none"/>
          <w:lang w:eastAsia="zh-CN"/>
          <w14:textFill>
            <w14:solidFill>
              <w14:schemeClr w14:val="tx1"/>
            </w14:solidFill>
          </w14:textFill>
        </w:rPr>
        <w:t>（或个人CA证书签章）</w:t>
      </w:r>
      <w:r>
        <w:rPr>
          <w:rFonts w:hint="eastAsia" w:ascii="宋体" w:hAnsi="宋体" w:eastAsia="宋体" w:cs="宋体"/>
          <w:color w:val="000000" w:themeColor="text1"/>
          <w:highlight w:val="none"/>
          <w:lang w:eastAsia="zh-CN"/>
          <w14:textFill>
            <w14:solidFill>
              <w14:schemeClr w14:val="tx1"/>
            </w14:solidFill>
          </w14:textFill>
        </w:rPr>
        <w:t>：</w:t>
      </w:r>
    </w:p>
    <w:p w14:paraId="1E5CE909">
      <w:pPr>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日          期：</w:t>
      </w:r>
    </w:p>
    <w:p w14:paraId="1AAB96E5">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2EE6136E">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注：</w:t>
      </w:r>
    </w:p>
    <w:p w14:paraId="4087DA4D">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1.</w:t>
      </w:r>
      <w:r>
        <w:rPr>
          <w:rFonts w:hint="eastAsia" w:ascii="宋体" w:hAnsi="宋体" w:eastAsia="宋体" w:cs="宋体"/>
          <w:color w:val="000000" w:themeColor="text1"/>
          <w:sz w:val="20"/>
          <w:szCs w:val="20"/>
          <w:highlight w:val="none"/>
          <w:lang w:eastAsia="zh-CN"/>
          <w14:textFill>
            <w14:solidFill>
              <w14:schemeClr w14:val="tx1"/>
            </w14:solidFill>
          </w14:textFill>
        </w:rPr>
        <w:t xml:space="preserve"> </w:t>
      </w:r>
      <w:r>
        <w:rPr>
          <w:rFonts w:hint="eastAsia" w:ascii="宋体" w:hAnsi="宋体" w:eastAsia="宋体" w:cs="宋体"/>
          <w:b/>
          <w:bCs/>
          <w:color w:val="000000" w:themeColor="text1"/>
          <w:sz w:val="20"/>
          <w:szCs w:val="20"/>
          <w:highlight w:val="none"/>
          <w:lang w:eastAsia="zh-CN"/>
          <w14:textFill>
            <w14:solidFill>
              <w14:schemeClr w14:val="tx1"/>
            </w14:solidFill>
          </w14:textFill>
        </w:rPr>
        <w:t>供应商必须就“采购需求”中的全部内容作完整唯一报价，响应文件只允许有一个报价方案，有选择的或有条件的报价将不予接受。</w:t>
      </w:r>
    </w:p>
    <w:p w14:paraId="14CB422A">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2.供应商应如实填写谈判报价表的各项内容，否则，响应无效。</w:t>
      </w:r>
    </w:p>
    <w:p w14:paraId="3E9538E7">
      <w:pPr>
        <w:pageBreakBefore w:val="0"/>
        <w:widowControl w:val="0"/>
        <w:overflowPunct/>
        <w:topLinePunct w:val="0"/>
        <w:bidi w:val="0"/>
        <w:spacing w:line="400" w:lineRule="exact"/>
        <w:ind w:firstLine="402" w:firstLineChars="200"/>
        <w:rPr>
          <w:rFonts w:hint="eastAsia" w:ascii="宋体" w:hAnsi="宋体" w:eastAsia="宋体" w:cs="宋体"/>
          <w:color w:val="000000" w:themeColor="text1"/>
          <w:sz w:val="20"/>
          <w:szCs w:val="20"/>
          <w:highlight w:val="none"/>
          <w:lang w:eastAsia="zh-CN"/>
          <w14:textFill>
            <w14:solidFill>
              <w14:schemeClr w14:val="tx1"/>
            </w14:solidFill>
          </w14:textFill>
        </w:rPr>
      </w:pPr>
      <w:r>
        <w:rPr>
          <w:rFonts w:hint="eastAsia" w:ascii="宋体" w:hAnsi="宋体" w:eastAsia="宋体" w:cs="宋体"/>
          <w:b/>
          <w:bCs/>
          <w:color w:val="000000" w:themeColor="text1"/>
          <w:sz w:val="20"/>
          <w:szCs w:val="20"/>
          <w:highlight w:val="none"/>
          <w:lang w:eastAsia="zh-CN"/>
          <w14:textFill>
            <w14:solidFill>
              <w14:schemeClr w14:val="tx1"/>
            </w14:solidFill>
          </w14:textFill>
        </w:rPr>
        <w:t>3.谈判报价表由多页构成时，须由法定代表人(负责人、自然人)或相应的委托代理人签字（或个人CA证书签章）加盖供应商公章（CA证书签章）。</w:t>
      </w:r>
    </w:p>
    <w:p w14:paraId="750863C9">
      <w:pPr>
        <w:pageBreakBefore w:val="0"/>
        <w:widowControl w:val="0"/>
        <w:overflowPunct/>
        <w:topLinePunct w:val="0"/>
        <w:bidi w:val="0"/>
        <w:spacing w:line="400" w:lineRule="exact"/>
        <w:ind w:firstLine="400" w:firstLineChars="200"/>
        <w:rPr>
          <w:rFonts w:hint="eastAsia" w:ascii="宋体" w:hAnsi="宋体" w:eastAsia="宋体" w:cs="宋体"/>
          <w:color w:val="000000" w:themeColor="text1"/>
          <w:sz w:val="20"/>
          <w:szCs w:val="20"/>
          <w:highlight w:val="none"/>
          <w:lang w:eastAsia="zh-CN"/>
          <w14:textFill>
            <w14:solidFill>
              <w14:schemeClr w14:val="tx1"/>
            </w14:solidFill>
          </w14:textFill>
        </w:rPr>
        <w:sectPr>
          <w:footerReference r:id="rId17"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3024579F">
      <w:pPr>
        <w:pageBreakBefore w:val="0"/>
        <w:tabs>
          <w:tab w:val="left" w:pos="1305"/>
        </w:tabs>
        <w:overflowPunct/>
        <w:topLinePunct w:val="0"/>
        <w:bidi w:val="0"/>
        <w:spacing w:line="400" w:lineRule="exact"/>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t>3.技术规格偏离表（必须提供）；</w:t>
      </w:r>
    </w:p>
    <w:p w14:paraId="6E449D68">
      <w:pPr>
        <w:pageBreakBefore w:val="0"/>
        <w:overflowPunct/>
        <w:topLinePunct w:val="0"/>
        <w:bidi w:val="0"/>
        <w:spacing w:line="400" w:lineRule="exact"/>
        <w:rPr>
          <w:rFonts w:hint="eastAsia"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附件：</w:t>
      </w:r>
    </w:p>
    <w:p w14:paraId="543772E2">
      <w:pPr>
        <w:pStyle w:val="11"/>
        <w:pageBreakBefore w:val="0"/>
        <w:overflowPunct/>
        <w:topLinePunct w:val="0"/>
        <w:bidi w:val="0"/>
        <w:spacing w:line="400" w:lineRule="exact"/>
        <w:jc w:val="center"/>
        <w:rPr>
          <w:rFonts w:hint="eastAsia" w:ascii="宋体" w:hAnsi="宋体" w:eastAsia="宋体" w:cs="宋体"/>
          <w:b/>
          <w:bCs/>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技术规格偏离表</w:t>
      </w:r>
      <w:r>
        <w:rPr>
          <w:rFonts w:hint="eastAsia" w:ascii="宋体" w:hAnsi="宋体" w:eastAsia="宋体" w:cs="宋体"/>
          <w:b/>
          <w:bCs/>
          <w:color w:val="000000" w:themeColor="text1"/>
          <w:sz w:val="32"/>
          <w:highlight w:val="none"/>
          <w14:textFill>
            <w14:solidFill>
              <w14:schemeClr w14:val="tx1"/>
            </w14:solidFill>
          </w14:textFill>
        </w:rPr>
        <w:t>（格式）</w:t>
      </w:r>
    </w:p>
    <w:tbl>
      <w:tblPr>
        <w:tblStyle w:val="20"/>
        <w:tblW w:w="9774"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51"/>
        <w:gridCol w:w="2489"/>
        <w:gridCol w:w="2520"/>
        <w:gridCol w:w="2106"/>
      </w:tblGrid>
      <w:tr w14:paraId="6D02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25A74A14">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651" w:type="dxa"/>
            <w:vAlign w:val="center"/>
          </w:tcPr>
          <w:p w14:paraId="3768AE3B">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名称</w:t>
            </w:r>
          </w:p>
        </w:tc>
        <w:tc>
          <w:tcPr>
            <w:tcW w:w="2489" w:type="dxa"/>
            <w:vAlign w:val="center"/>
          </w:tcPr>
          <w:p w14:paraId="4C1EB482">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技术</w:t>
            </w:r>
            <w:r>
              <w:rPr>
                <w:rFonts w:hint="eastAsia" w:hAnsi="宋体" w:eastAsia="宋体" w:cs="宋体"/>
                <w:b/>
                <w:color w:val="000000" w:themeColor="text1"/>
                <w:szCs w:val="21"/>
                <w:highlight w:val="none"/>
                <w:lang w:eastAsia="zh-CN"/>
                <w14:textFill>
                  <w14:solidFill>
                    <w14:schemeClr w14:val="tx1"/>
                  </w14:solidFill>
                </w14:textFill>
              </w:rPr>
              <w:t>参数</w:t>
            </w:r>
            <w:r>
              <w:rPr>
                <w:rFonts w:hint="eastAsia" w:ascii="宋体" w:hAnsi="宋体" w:eastAsia="宋体" w:cs="宋体"/>
                <w:b/>
                <w:color w:val="000000" w:themeColor="text1"/>
                <w:szCs w:val="21"/>
                <w:highlight w:val="none"/>
                <w14:textFill>
                  <w14:solidFill>
                    <w14:schemeClr w14:val="tx1"/>
                  </w14:solidFill>
                </w14:textFill>
              </w:rPr>
              <w:t>需求</w:t>
            </w:r>
          </w:p>
        </w:tc>
        <w:tc>
          <w:tcPr>
            <w:tcW w:w="2520" w:type="dxa"/>
            <w:vAlign w:val="center"/>
          </w:tcPr>
          <w:p w14:paraId="5CC71D81">
            <w:pPr>
              <w:pStyle w:val="11"/>
              <w:pageBreakBefore w:val="0"/>
              <w:overflowPunct/>
              <w:topLinePunct w:val="0"/>
              <w:bidi w:val="0"/>
              <w:spacing w:line="4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响应文件</w:t>
            </w:r>
            <w:r>
              <w:rPr>
                <w:rFonts w:hint="eastAsia" w:ascii="宋体" w:hAnsi="宋体" w:eastAsia="宋体" w:cs="宋体"/>
                <w:b/>
                <w:color w:val="000000" w:themeColor="text1"/>
                <w:szCs w:val="21"/>
                <w:highlight w:val="none"/>
                <w14:textFill>
                  <w14:solidFill>
                    <w14:schemeClr w14:val="tx1"/>
                  </w14:solidFill>
                </w14:textFill>
              </w:rPr>
              <w:t>的响应情况</w:t>
            </w:r>
          </w:p>
        </w:tc>
        <w:tc>
          <w:tcPr>
            <w:tcW w:w="2106" w:type="dxa"/>
            <w:vAlign w:val="center"/>
          </w:tcPr>
          <w:p w14:paraId="4267FC1C">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bookmarkStart w:id="43" w:name="_Toc254970701"/>
            <w:bookmarkStart w:id="44" w:name="_Toc254970560"/>
            <w:r>
              <w:rPr>
                <w:rFonts w:hint="eastAsia" w:ascii="宋体" w:hAnsi="宋体" w:eastAsia="宋体" w:cs="宋体"/>
                <w:color w:val="000000" w:themeColor="text1"/>
                <w:highlight w:val="none"/>
                <w14:textFill>
                  <w14:solidFill>
                    <w14:schemeClr w14:val="tx1"/>
                  </w14:solidFill>
                </w14:textFill>
              </w:rPr>
              <w:t>偏离情况</w:t>
            </w:r>
            <w:bookmarkEnd w:id="43"/>
            <w:bookmarkEnd w:id="44"/>
            <w:r>
              <w:rPr>
                <w:rFonts w:hint="eastAsia" w:ascii="宋体" w:hAnsi="宋体" w:eastAsia="宋体" w:cs="宋体"/>
                <w:color w:val="000000" w:themeColor="text1"/>
                <w:highlight w:val="none"/>
                <w14:textFill>
                  <w14:solidFill>
                    <w14:schemeClr w14:val="tx1"/>
                  </w14:solidFill>
                </w14:textFill>
              </w:rPr>
              <w:t>说明</w:t>
            </w:r>
          </w:p>
        </w:tc>
      </w:tr>
      <w:tr w14:paraId="7C8F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69BD6EB9">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1</w:t>
            </w:r>
          </w:p>
        </w:tc>
        <w:tc>
          <w:tcPr>
            <w:tcW w:w="1651" w:type="dxa"/>
            <w:vAlign w:val="center"/>
          </w:tcPr>
          <w:p w14:paraId="28EF029F">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2489" w:type="dxa"/>
            <w:vAlign w:val="center"/>
          </w:tcPr>
          <w:p w14:paraId="4E567CE1">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520" w:type="dxa"/>
            <w:vAlign w:val="top"/>
          </w:tcPr>
          <w:p w14:paraId="722334F0">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106" w:type="dxa"/>
            <w:vAlign w:val="center"/>
          </w:tcPr>
          <w:p w14:paraId="69EFC27C">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5D5A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5210B48B">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w:t>
            </w:r>
          </w:p>
        </w:tc>
        <w:tc>
          <w:tcPr>
            <w:tcW w:w="1651" w:type="dxa"/>
            <w:vAlign w:val="center"/>
          </w:tcPr>
          <w:p w14:paraId="1BD3BC17">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2489" w:type="dxa"/>
            <w:vAlign w:val="center"/>
          </w:tcPr>
          <w:p w14:paraId="6E95B865">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520" w:type="dxa"/>
            <w:vAlign w:val="top"/>
          </w:tcPr>
          <w:p w14:paraId="2F796B4A">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106" w:type="dxa"/>
            <w:vAlign w:val="center"/>
          </w:tcPr>
          <w:p w14:paraId="20CFED44">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C9E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0E364FFB">
            <w:pPr>
              <w:pageBreakBefore w:val="0"/>
              <w:overflowPunct/>
              <w:topLinePunct w:val="0"/>
              <w:bidi w:val="0"/>
              <w:spacing w:line="40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p>
        </w:tc>
        <w:tc>
          <w:tcPr>
            <w:tcW w:w="1651" w:type="dxa"/>
            <w:vAlign w:val="center"/>
          </w:tcPr>
          <w:p w14:paraId="38081E56">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2489" w:type="dxa"/>
            <w:vAlign w:val="center"/>
          </w:tcPr>
          <w:p w14:paraId="7762A426">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520" w:type="dxa"/>
            <w:vAlign w:val="top"/>
          </w:tcPr>
          <w:p w14:paraId="39314430">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106" w:type="dxa"/>
            <w:vAlign w:val="center"/>
          </w:tcPr>
          <w:p w14:paraId="3A010D79">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6D50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584C9DDC">
            <w:pPr>
              <w:pageBreakBefore w:val="0"/>
              <w:overflowPunct/>
              <w:topLinePunct w:val="0"/>
              <w:bidi w:val="0"/>
              <w:spacing w:line="400" w:lineRule="exact"/>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w:t>
            </w:r>
          </w:p>
        </w:tc>
        <w:tc>
          <w:tcPr>
            <w:tcW w:w="1651" w:type="dxa"/>
            <w:vAlign w:val="center"/>
          </w:tcPr>
          <w:p w14:paraId="1E790B31">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2489" w:type="dxa"/>
            <w:vAlign w:val="center"/>
          </w:tcPr>
          <w:p w14:paraId="4ED02610">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520" w:type="dxa"/>
            <w:vAlign w:val="top"/>
          </w:tcPr>
          <w:p w14:paraId="4C137EC8">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106" w:type="dxa"/>
            <w:vAlign w:val="center"/>
          </w:tcPr>
          <w:p w14:paraId="46E2C52E">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r>
      <w:tr w14:paraId="266AC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8" w:type="dxa"/>
            <w:vAlign w:val="center"/>
          </w:tcPr>
          <w:p w14:paraId="7C17DB9B">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w:t>
            </w:r>
          </w:p>
        </w:tc>
        <w:tc>
          <w:tcPr>
            <w:tcW w:w="1651" w:type="dxa"/>
            <w:vAlign w:val="center"/>
          </w:tcPr>
          <w:p w14:paraId="3510EC25">
            <w:pPr>
              <w:pageBreakBefore w:val="0"/>
              <w:overflowPunct/>
              <w:topLinePunct w:val="0"/>
              <w:bidi w:val="0"/>
              <w:spacing w:line="4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2489" w:type="dxa"/>
            <w:vAlign w:val="center"/>
          </w:tcPr>
          <w:p w14:paraId="03AC19CB">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520" w:type="dxa"/>
            <w:vAlign w:val="top"/>
          </w:tcPr>
          <w:p w14:paraId="41E2D3B8">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c>
          <w:tcPr>
            <w:tcW w:w="2106" w:type="dxa"/>
            <w:vAlign w:val="center"/>
          </w:tcPr>
          <w:p w14:paraId="68C93E75">
            <w:pPr>
              <w:pStyle w:val="11"/>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p>
        </w:tc>
      </w:tr>
    </w:tbl>
    <w:p w14:paraId="2E04EE2F">
      <w:pPr>
        <w:pageBreakBefore w:val="0"/>
        <w:overflowPunct/>
        <w:topLinePunct w:val="0"/>
        <w:bidi w:val="0"/>
        <w:snapToGrid w:val="0"/>
        <w:spacing w:line="400" w:lineRule="exact"/>
        <w:jc w:val="left"/>
        <w:outlineLvl w:val="9"/>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供应商 (CA证书签章)：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5CD5658D">
      <w:pPr>
        <w:pStyle w:val="11"/>
        <w:pageBreakBefore w:val="0"/>
        <w:overflowPunct/>
        <w:topLinePunct w:val="0"/>
        <w:bidi w:val="0"/>
        <w:spacing w:line="400" w:lineRule="exact"/>
        <w:ind w:left="1260" w:leftChars="200" w:hanging="840" w:hangingChars="400"/>
        <w:jc w:val="lef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法定代表人（负责人、自然人）</w:t>
      </w:r>
      <w:r>
        <w:rPr>
          <w:rFonts w:hint="eastAsia" w:ascii="宋体" w:hAnsi="宋体" w:eastAsia="宋体" w:cs="宋体"/>
          <w:color w:val="000000" w:themeColor="text1"/>
          <w:highlight w:val="none"/>
          <w14:textFill>
            <w14:solidFill>
              <w14:schemeClr w14:val="tx1"/>
            </w14:solidFill>
          </w14:textFill>
        </w:rPr>
        <w:t>或相应的委托代理人</w:t>
      </w:r>
      <w:r>
        <w:rPr>
          <w:rFonts w:hint="eastAsia" w:ascii="宋体" w:hAnsi="宋体" w:eastAsia="宋体" w:cs="宋体"/>
          <w:color w:val="000000" w:themeColor="text1"/>
          <w:szCs w:val="21"/>
          <w:highlight w:val="none"/>
          <w14:textFill>
            <w14:solidFill>
              <w14:schemeClr w14:val="tx1"/>
            </w14:solidFill>
          </w14:textFill>
        </w:rPr>
        <w:t>签字（或个人CA证书签章）</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日     期：</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color w:val="000000" w:themeColor="text1"/>
          <w:highlight w:val="none"/>
          <w14:textFill>
            <w14:solidFill>
              <w14:schemeClr w14:val="tx1"/>
            </w14:solidFill>
          </w14:textFill>
        </w:rPr>
        <w:t xml:space="preserve">  </w:t>
      </w:r>
    </w:p>
    <w:p w14:paraId="27B9B1BE">
      <w:pPr>
        <w:pStyle w:val="11"/>
        <w:pageBreakBefore w:val="0"/>
        <w:overflowPunct/>
        <w:topLinePunct w:val="0"/>
        <w:bidi w:val="0"/>
        <w:spacing w:line="400" w:lineRule="exac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注：1. 说明：供应商应对照</w:t>
      </w:r>
      <w:r>
        <w:rPr>
          <w:rFonts w:hint="eastAsia" w:ascii="宋体" w:hAnsi="宋体" w:eastAsia="宋体" w:cs="宋体"/>
          <w:b/>
          <w:color w:val="000000" w:themeColor="text1"/>
          <w:highlight w:val="none"/>
          <w:lang w:eastAsia="zh-CN"/>
          <w14:textFill>
            <w14:solidFill>
              <w14:schemeClr w14:val="tx1"/>
            </w14:solidFill>
          </w14:textFill>
        </w:rPr>
        <w:t>谈判</w:t>
      </w:r>
      <w:r>
        <w:rPr>
          <w:rFonts w:hint="eastAsia" w:ascii="宋体" w:hAnsi="宋体" w:eastAsia="宋体" w:cs="宋体"/>
          <w:b/>
          <w:color w:val="000000" w:themeColor="text1"/>
          <w:highlight w:val="none"/>
          <w14:textFill>
            <w14:solidFill>
              <w14:schemeClr w14:val="tx1"/>
            </w14:solidFill>
          </w14:textFill>
        </w:rPr>
        <w:t>文件“第三章</w:t>
      </w:r>
      <w:r>
        <w:rPr>
          <w:rFonts w:hint="eastAsia" w:ascii="宋体" w:hAnsi="宋体" w:eastAsia="宋体" w:cs="宋体"/>
          <w:b/>
          <w:color w:val="000000" w:themeColor="text1"/>
          <w:highlight w:val="none"/>
          <w:lang w:eastAsia="zh-CN"/>
          <w14:textFill>
            <w14:solidFill>
              <w14:schemeClr w14:val="tx1"/>
            </w14:solidFill>
          </w14:textFill>
        </w:rPr>
        <w:t>采购需求</w:t>
      </w:r>
      <w:r>
        <w:rPr>
          <w:rFonts w:hint="eastAsia" w:ascii="宋体" w:hAnsi="宋体" w:eastAsia="宋体" w:cs="宋体"/>
          <w:b/>
          <w:color w:val="000000" w:themeColor="text1"/>
          <w:highlight w:val="none"/>
          <w14:textFill>
            <w14:solidFill>
              <w14:schemeClr w14:val="tx1"/>
            </w14:solidFill>
          </w14:textFill>
        </w:rPr>
        <w:t>”中的“采购内容及技术参数”逐条作出明确响应，并作出偏离说明。</w:t>
      </w:r>
    </w:p>
    <w:p w14:paraId="1E1451CA">
      <w:pPr>
        <w:pStyle w:val="11"/>
        <w:pageBreakBefore w:val="0"/>
        <w:overflowPunct/>
        <w:topLinePunct w:val="0"/>
        <w:bidi w:val="0"/>
        <w:spacing w:line="400" w:lineRule="exac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2. 供应商应根据</w:t>
      </w:r>
      <w:r>
        <w:rPr>
          <w:rFonts w:hint="eastAsia" w:ascii="宋体" w:hAnsi="宋体" w:eastAsia="宋体" w:cs="宋体"/>
          <w:b/>
          <w:color w:val="000000" w:themeColor="text1"/>
          <w:highlight w:val="none"/>
          <w:lang w:eastAsia="zh-CN"/>
          <w14:textFill>
            <w14:solidFill>
              <w14:schemeClr w14:val="tx1"/>
            </w14:solidFill>
          </w14:textFill>
        </w:rPr>
        <w:t>谈判</w:t>
      </w:r>
      <w:r>
        <w:rPr>
          <w:rFonts w:hint="eastAsia" w:ascii="宋体" w:hAnsi="宋体" w:eastAsia="宋体" w:cs="宋体"/>
          <w:b/>
          <w:color w:val="000000" w:themeColor="text1"/>
          <w:highlight w:val="none"/>
          <w14:textFill>
            <w14:solidFill>
              <w14:schemeClr w14:val="tx1"/>
            </w14:solidFill>
          </w14:textFill>
        </w:rPr>
        <w:t>设备的性能指标，对照</w:t>
      </w:r>
      <w:r>
        <w:rPr>
          <w:rFonts w:hint="eastAsia" w:ascii="宋体" w:hAnsi="宋体" w:eastAsia="宋体" w:cs="宋体"/>
          <w:b/>
          <w:color w:val="000000" w:themeColor="text1"/>
          <w:highlight w:val="none"/>
          <w:lang w:eastAsia="zh-CN"/>
          <w14:textFill>
            <w14:solidFill>
              <w14:schemeClr w14:val="tx1"/>
            </w14:solidFill>
          </w14:textFill>
        </w:rPr>
        <w:t>谈判</w:t>
      </w:r>
      <w:r>
        <w:rPr>
          <w:rFonts w:hint="eastAsia" w:ascii="宋体" w:hAnsi="宋体" w:eastAsia="宋体" w:cs="宋体"/>
          <w:b/>
          <w:color w:val="000000" w:themeColor="text1"/>
          <w:highlight w:val="none"/>
          <w14:textFill>
            <w14:solidFill>
              <w14:schemeClr w14:val="tx1"/>
            </w14:solidFill>
          </w14:textFill>
        </w:rPr>
        <w:t>文件要求，在“偏离说明”中注明“正偏离”、“负偏离”或者“无偏离”。既不属于“正偏离”也不属于“负偏离”即为“无偏离”。</w:t>
      </w:r>
    </w:p>
    <w:p w14:paraId="7066730B">
      <w:pPr>
        <w:pStyle w:val="11"/>
        <w:pageBreakBefore w:val="0"/>
        <w:overflowPunct/>
        <w:topLinePunct w:val="0"/>
        <w:bidi w:val="0"/>
        <w:spacing w:line="400" w:lineRule="exac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3.技术需求偏离表须由法定代表人(负责人、自然人)或相应的委托代理人签字（或个人CA证书签章）并加盖供应商公章（CA证书签章）。</w:t>
      </w:r>
    </w:p>
    <w:p w14:paraId="78044700">
      <w:pPr>
        <w:pStyle w:val="6"/>
        <w:pageBreakBefore w:val="0"/>
        <w:overflowPunct/>
        <w:topLinePunct w:val="0"/>
        <w:bidi w:val="0"/>
        <w:spacing w:line="400" w:lineRule="exact"/>
        <w:rPr>
          <w:rFonts w:hint="eastAsia" w:ascii="宋体" w:hAnsi="宋体" w:eastAsia="宋体" w:cs="宋体"/>
          <w:b/>
          <w:color w:val="000000" w:themeColor="text1"/>
          <w:highlight w:val="none"/>
          <w14:textFill>
            <w14:solidFill>
              <w14:schemeClr w14:val="tx1"/>
            </w14:solidFill>
          </w14:textFill>
        </w:rPr>
      </w:pPr>
    </w:p>
    <w:p w14:paraId="3F8FC7B6">
      <w:pPr>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br w:type="page"/>
      </w:r>
    </w:p>
    <w:p w14:paraId="42D13425">
      <w:pPr>
        <w:pageBreakBefore w:val="0"/>
        <w:tabs>
          <w:tab w:val="left" w:pos="1305"/>
        </w:tabs>
        <w:overflowPunct/>
        <w:topLinePunct w:val="0"/>
        <w:bidi w:val="0"/>
        <w:spacing w:line="400" w:lineRule="exact"/>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t>4.商务响应表（必须提供）；</w:t>
      </w:r>
    </w:p>
    <w:p w14:paraId="74451EED">
      <w:pPr>
        <w:pageBreakBefore w:val="0"/>
        <w:overflowPunct/>
        <w:topLinePunct w:val="0"/>
        <w:bidi w:val="0"/>
        <w:spacing w:line="400" w:lineRule="exact"/>
        <w:rPr>
          <w:rFonts w:hint="eastAsia" w:ascii="宋体" w:hAnsi="宋体" w:eastAsia="宋体" w:cs="宋体"/>
          <w:color w:val="000000" w:themeColor="text1"/>
          <w:highlight w:val="none"/>
          <w14:textFill>
            <w14:solidFill>
              <w14:schemeClr w14:val="tx1"/>
            </w14:solidFill>
          </w14:textFill>
        </w:rPr>
      </w:pPr>
    </w:p>
    <w:p w14:paraId="4E69B4F0">
      <w:pPr>
        <w:pageBreakBefore w:val="0"/>
        <w:overflowPunct/>
        <w:topLinePunct w:val="0"/>
        <w:bidi w:val="0"/>
        <w:spacing w:line="400" w:lineRule="exact"/>
        <w:rPr>
          <w:rFonts w:hint="eastAsia" w:ascii="宋体" w:hAnsi="宋体" w:eastAsia="宋体" w:cs="宋体"/>
          <w:b/>
          <w:color w:val="000000" w:themeColor="text1"/>
          <w:sz w:val="30"/>
          <w:szCs w:val="30"/>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附件：</w:t>
      </w:r>
    </w:p>
    <w:p w14:paraId="274C73B0">
      <w:pPr>
        <w:pageBreakBefore w:val="0"/>
        <w:overflowPunct/>
        <w:topLinePunct w:val="0"/>
        <w:bidi w:val="0"/>
        <w:spacing w:line="400" w:lineRule="exact"/>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商务响应表</w:t>
      </w:r>
    </w:p>
    <w:tbl>
      <w:tblPr>
        <w:tblStyle w:val="20"/>
        <w:tblW w:w="9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6"/>
        <w:gridCol w:w="3148"/>
        <w:gridCol w:w="2617"/>
        <w:gridCol w:w="2089"/>
      </w:tblGrid>
      <w:tr w14:paraId="28BD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0A81AA4D">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r>
              <w:rPr>
                <w:rFonts w:hint="eastAsia" w:ascii="宋体" w:hAnsi="宋体" w:eastAsia="宋体" w:cs="宋体"/>
                <w:color w:val="000000" w:themeColor="text1"/>
                <w:szCs w:val="20"/>
                <w:highlight w:val="none"/>
                <w14:textFill>
                  <w14:solidFill>
                    <w14:schemeClr w14:val="tx1"/>
                  </w14:solidFill>
                </w14:textFill>
              </w:rPr>
              <w:t>项目</w:t>
            </w:r>
          </w:p>
        </w:tc>
        <w:tc>
          <w:tcPr>
            <w:tcW w:w="3148" w:type="dxa"/>
            <w:tcBorders>
              <w:top w:val="single" w:color="auto" w:sz="4" w:space="0"/>
              <w:left w:val="single" w:color="auto" w:sz="4" w:space="0"/>
              <w:bottom w:val="single" w:color="auto" w:sz="4" w:space="0"/>
              <w:right w:val="single" w:color="auto" w:sz="4" w:space="0"/>
            </w:tcBorders>
            <w:vAlign w:val="center"/>
          </w:tcPr>
          <w:p w14:paraId="4530A760">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r>
              <w:rPr>
                <w:rFonts w:hint="eastAsia" w:ascii="宋体" w:hAnsi="宋体" w:eastAsia="宋体" w:cs="宋体"/>
                <w:color w:val="000000" w:themeColor="text1"/>
                <w:szCs w:val="20"/>
                <w:highlight w:val="none"/>
                <w:lang w:eastAsia="zh-CN"/>
                <w14:textFill>
                  <w14:solidFill>
                    <w14:schemeClr w14:val="tx1"/>
                  </w14:solidFill>
                </w14:textFill>
              </w:rPr>
              <w:t>谈判文件</w:t>
            </w:r>
            <w:r>
              <w:rPr>
                <w:rFonts w:hint="eastAsia" w:ascii="宋体" w:hAnsi="宋体" w:eastAsia="宋体" w:cs="宋体"/>
                <w:color w:val="000000" w:themeColor="text1"/>
                <w:szCs w:val="20"/>
                <w:highlight w:val="none"/>
                <w14:textFill>
                  <w14:solidFill>
                    <w14:schemeClr w14:val="tx1"/>
                  </w14:solidFill>
                </w14:textFill>
              </w:rPr>
              <w:t>要求</w:t>
            </w:r>
          </w:p>
        </w:tc>
        <w:tc>
          <w:tcPr>
            <w:tcW w:w="2617" w:type="dxa"/>
            <w:tcBorders>
              <w:top w:val="single" w:color="auto" w:sz="4" w:space="0"/>
              <w:left w:val="single" w:color="auto" w:sz="4" w:space="0"/>
              <w:bottom w:val="single" w:color="auto" w:sz="4" w:space="0"/>
              <w:right w:val="single" w:color="auto" w:sz="4" w:space="0"/>
            </w:tcBorders>
            <w:vAlign w:val="center"/>
          </w:tcPr>
          <w:p w14:paraId="5F614AC8">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r>
              <w:rPr>
                <w:rFonts w:hint="eastAsia" w:ascii="宋体" w:hAnsi="宋体" w:eastAsia="宋体" w:cs="宋体"/>
                <w:color w:val="000000" w:themeColor="text1"/>
                <w:szCs w:val="20"/>
                <w:highlight w:val="none"/>
                <w:lang w:eastAsia="zh-CN"/>
                <w14:textFill>
                  <w14:solidFill>
                    <w14:schemeClr w14:val="tx1"/>
                  </w14:solidFill>
                </w14:textFill>
              </w:rPr>
              <w:t>响应文件</w:t>
            </w:r>
            <w:r>
              <w:rPr>
                <w:rFonts w:hint="eastAsia" w:ascii="宋体" w:hAnsi="宋体" w:eastAsia="宋体" w:cs="宋体"/>
                <w:color w:val="000000" w:themeColor="text1"/>
                <w:szCs w:val="20"/>
                <w:highlight w:val="none"/>
                <w14:textFill>
                  <w14:solidFill>
                    <w14:schemeClr w14:val="tx1"/>
                  </w14:solidFill>
                </w14:textFill>
              </w:rPr>
              <w:t>的响应情况</w:t>
            </w:r>
          </w:p>
        </w:tc>
        <w:tc>
          <w:tcPr>
            <w:tcW w:w="2089" w:type="dxa"/>
            <w:tcBorders>
              <w:top w:val="single" w:color="auto" w:sz="4" w:space="0"/>
              <w:left w:val="single" w:color="auto" w:sz="4" w:space="0"/>
              <w:bottom w:val="single" w:color="auto" w:sz="4" w:space="0"/>
              <w:right w:val="single" w:color="auto" w:sz="4" w:space="0"/>
            </w:tcBorders>
            <w:vAlign w:val="center"/>
          </w:tcPr>
          <w:p w14:paraId="1935874E">
            <w:pPr>
              <w:pageBreakBefore w:val="0"/>
              <w:overflowPunct/>
              <w:topLinePunct w:val="0"/>
              <w:bidi w:val="0"/>
              <w:spacing w:line="400" w:lineRule="exact"/>
              <w:jc w:val="center"/>
              <w:rPr>
                <w:rFonts w:hint="eastAsia" w:ascii="宋体" w:hAnsi="宋体" w:eastAsia="宋体" w:cs="宋体"/>
                <w:color w:val="000000" w:themeColor="text1"/>
                <w:szCs w:val="20"/>
                <w:highlight w:val="none"/>
                <w:lang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偏离情况说明</w:t>
            </w:r>
          </w:p>
        </w:tc>
      </w:tr>
      <w:tr w14:paraId="4043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20DFD034">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3148" w:type="dxa"/>
            <w:tcBorders>
              <w:top w:val="single" w:color="auto" w:sz="4" w:space="0"/>
              <w:left w:val="single" w:color="auto" w:sz="4" w:space="0"/>
              <w:bottom w:val="single" w:color="auto" w:sz="4" w:space="0"/>
              <w:right w:val="single" w:color="auto" w:sz="4" w:space="0"/>
            </w:tcBorders>
            <w:vAlign w:val="center"/>
          </w:tcPr>
          <w:p w14:paraId="29F8BFB4">
            <w:pPr>
              <w:pageBreakBefore w:val="0"/>
              <w:widowControl/>
              <w:overflowPunct/>
              <w:topLinePunct w:val="0"/>
              <w:bidi w:val="0"/>
              <w:spacing w:line="400" w:lineRule="exact"/>
              <w:rPr>
                <w:rFonts w:hint="eastAsia" w:ascii="宋体" w:hAnsi="宋体" w:eastAsia="宋体" w:cs="宋体"/>
                <w:color w:val="000000" w:themeColor="text1"/>
                <w:szCs w:val="20"/>
                <w:highlight w:val="none"/>
                <w14:textFill>
                  <w14:solidFill>
                    <w14:schemeClr w14:val="tx1"/>
                  </w14:solidFill>
                </w14:textFill>
              </w:rPr>
            </w:pPr>
          </w:p>
        </w:tc>
        <w:tc>
          <w:tcPr>
            <w:tcW w:w="2617" w:type="dxa"/>
            <w:tcBorders>
              <w:top w:val="single" w:color="auto" w:sz="4" w:space="0"/>
              <w:left w:val="single" w:color="auto" w:sz="4" w:space="0"/>
              <w:bottom w:val="single" w:color="auto" w:sz="4" w:space="0"/>
              <w:right w:val="single" w:color="auto" w:sz="4" w:space="0"/>
            </w:tcBorders>
            <w:vAlign w:val="top"/>
          </w:tcPr>
          <w:p w14:paraId="7709B288">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2089" w:type="dxa"/>
            <w:tcBorders>
              <w:top w:val="single" w:color="auto" w:sz="4" w:space="0"/>
              <w:left w:val="single" w:color="auto" w:sz="4" w:space="0"/>
              <w:bottom w:val="single" w:color="auto" w:sz="4" w:space="0"/>
              <w:right w:val="single" w:color="auto" w:sz="4" w:space="0"/>
            </w:tcBorders>
            <w:vAlign w:val="top"/>
          </w:tcPr>
          <w:p w14:paraId="7C5BE59E">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r>
      <w:tr w14:paraId="1042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19CA2CB0">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3148" w:type="dxa"/>
            <w:tcBorders>
              <w:top w:val="single" w:color="auto" w:sz="4" w:space="0"/>
              <w:left w:val="single" w:color="auto" w:sz="4" w:space="0"/>
              <w:bottom w:val="single" w:color="auto" w:sz="4" w:space="0"/>
              <w:right w:val="single" w:color="auto" w:sz="4" w:space="0"/>
            </w:tcBorders>
            <w:vAlign w:val="top"/>
          </w:tcPr>
          <w:p w14:paraId="6689D7DA">
            <w:pPr>
              <w:pageBreakBefore w:val="0"/>
              <w:widowControl/>
              <w:overflowPunct/>
              <w:topLinePunct w:val="0"/>
              <w:bidi w:val="0"/>
              <w:spacing w:line="400" w:lineRule="exact"/>
              <w:jc w:val="left"/>
              <w:rPr>
                <w:rFonts w:hint="eastAsia" w:ascii="宋体" w:hAnsi="宋体" w:eastAsia="宋体" w:cs="宋体"/>
                <w:color w:val="000000" w:themeColor="text1"/>
                <w:szCs w:val="20"/>
                <w:highlight w:val="none"/>
                <w14:textFill>
                  <w14:solidFill>
                    <w14:schemeClr w14:val="tx1"/>
                  </w14:solidFill>
                </w14:textFill>
              </w:rPr>
            </w:pPr>
          </w:p>
        </w:tc>
        <w:tc>
          <w:tcPr>
            <w:tcW w:w="2617" w:type="dxa"/>
            <w:tcBorders>
              <w:top w:val="single" w:color="auto" w:sz="4" w:space="0"/>
              <w:left w:val="single" w:color="auto" w:sz="4" w:space="0"/>
              <w:bottom w:val="single" w:color="auto" w:sz="4" w:space="0"/>
              <w:right w:val="single" w:color="auto" w:sz="4" w:space="0"/>
            </w:tcBorders>
            <w:vAlign w:val="top"/>
          </w:tcPr>
          <w:p w14:paraId="1947076E">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2089" w:type="dxa"/>
            <w:tcBorders>
              <w:top w:val="single" w:color="auto" w:sz="4" w:space="0"/>
              <w:left w:val="single" w:color="auto" w:sz="4" w:space="0"/>
              <w:bottom w:val="single" w:color="auto" w:sz="4" w:space="0"/>
              <w:right w:val="single" w:color="auto" w:sz="4" w:space="0"/>
            </w:tcBorders>
            <w:vAlign w:val="top"/>
          </w:tcPr>
          <w:p w14:paraId="179585FA">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r>
      <w:tr w14:paraId="2C95E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752DF44F">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3148" w:type="dxa"/>
            <w:tcBorders>
              <w:top w:val="single" w:color="auto" w:sz="4" w:space="0"/>
              <w:left w:val="single" w:color="auto" w:sz="4" w:space="0"/>
              <w:bottom w:val="single" w:color="auto" w:sz="4" w:space="0"/>
              <w:right w:val="single" w:color="auto" w:sz="4" w:space="0"/>
            </w:tcBorders>
            <w:vAlign w:val="center"/>
          </w:tcPr>
          <w:p w14:paraId="6D066F73">
            <w:pPr>
              <w:pageBreakBefore w:val="0"/>
              <w:overflowPunct/>
              <w:topLinePunct w:val="0"/>
              <w:bidi w:val="0"/>
              <w:spacing w:line="400" w:lineRule="exact"/>
              <w:rPr>
                <w:rFonts w:hint="eastAsia" w:ascii="宋体" w:hAnsi="宋体" w:eastAsia="宋体" w:cs="宋体"/>
                <w:color w:val="000000" w:themeColor="text1"/>
                <w:szCs w:val="20"/>
                <w:highlight w:val="none"/>
                <w14:textFill>
                  <w14:solidFill>
                    <w14:schemeClr w14:val="tx1"/>
                  </w14:solidFill>
                </w14:textFill>
              </w:rPr>
            </w:pPr>
          </w:p>
        </w:tc>
        <w:tc>
          <w:tcPr>
            <w:tcW w:w="2617" w:type="dxa"/>
            <w:tcBorders>
              <w:top w:val="single" w:color="auto" w:sz="4" w:space="0"/>
              <w:left w:val="single" w:color="auto" w:sz="4" w:space="0"/>
              <w:bottom w:val="single" w:color="auto" w:sz="4" w:space="0"/>
              <w:right w:val="single" w:color="auto" w:sz="4" w:space="0"/>
            </w:tcBorders>
            <w:vAlign w:val="top"/>
          </w:tcPr>
          <w:p w14:paraId="077A42B2">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2089" w:type="dxa"/>
            <w:tcBorders>
              <w:top w:val="single" w:color="auto" w:sz="4" w:space="0"/>
              <w:left w:val="single" w:color="auto" w:sz="4" w:space="0"/>
              <w:bottom w:val="single" w:color="auto" w:sz="4" w:space="0"/>
              <w:right w:val="single" w:color="auto" w:sz="4" w:space="0"/>
            </w:tcBorders>
            <w:vAlign w:val="top"/>
          </w:tcPr>
          <w:p w14:paraId="62C86DF0">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r>
      <w:tr w14:paraId="13A8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4FB62D2D">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3148" w:type="dxa"/>
            <w:tcBorders>
              <w:top w:val="single" w:color="auto" w:sz="4" w:space="0"/>
              <w:left w:val="single" w:color="auto" w:sz="4" w:space="0"/>
              <w:bottom w:val="single" w:color="auto" w:sz="4" w:space="0"/>
              <w:right w:val="single" w:color="auto" w:sz="4" w:space="0"/>
            </w:tcBorders>
            <w:vAlign w:val="center"/>
          </w:tcPr>
          <w:p w14:paraId="1A3F7C45">
            <w:pPr>
              <w:pageBreakBefore w:val="0"/>
              <w:widowControl/>
              <w:overflowPunct/>
              <w:topLinePunct w:val="0"/>
              <w:bidi w:val="0"/>
              <w:spacing w:line="400" w:lineRule="exact"/>
              <w:rPr>
                <w:rFonts w:hint="eastAsia" w:ascii="宋体" w:hAnsi="宋体" w:eastAsia="宋体" w:cs="宋体"/>
                <w:color w:val="000000" w:themeColor="text1"/>
                <w:kern w:val="0"/>
                <w:szCs w:val="21"/>
                <w:highlight w:val="none"/>
                <w14:textFill>
                  <w14:solidFill>
                    <w14:schemeClr w14:val="tx1"/>
                  </w14:solidFill>
                </w14:textFill>
              </w:rPr>
            </w:pPr>
          </w:p>
        </w:tc>
        <w:tc>
          <w:tcPr>
            <w:tcW w:w="2617" w:type="dxa"/>
            <w:tcBorders>
              <w:top w:val="single" w:color="auto" w:sz="4" w:space="0"/>
              <w:left w:val="single" w:color="auto" w:sz="4" w:space="0"/>
              <w:bottom w:val="single" w:color="auto" w:sz="4" w:space="0"/>
              <w:right w:val="single" w:color="auto" w:sz="4" w:space="0"/>
            </w:tcBorders>
            <w:vAlign w:val="top"/>
          </w:tcPr>
          <w:p w14:paraId="25FA4D59">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2089" w:type="dxa"/>
            <w:tcBorders>
              <w:top w:val="single" w:color="auto" w:sz="4" w:space="0"/>
              <w:left w:val="single" w:color="auto" w:sz="4" w:space="0"/>
              <w:bottom w:val="single" w:color="auto" w:sz="4" w:space="0"/>
              <w:right w:val="single" w:color="auto" w:sz="4" w:space="0"/>
            </w:tcBorders>
            <w:vAlign w:val="top"/>
          </w:tcPr>
          <w:p w14:paraId="52445C9D">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r>
      <w:tr w14:paraId="345CE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106" w:type="dxa"/>
            <w:tcBorders>
              <w:top w:val="single" w:color="auto" w:sz="4" w:space="0"/>
              <w:left w:val="single" w:color="auto" w:sz="4" w:space="0"/>
              <w:bottom w:val="single" w:color="auto" w:sz="4" w:space="0"/>
              <w:right w:val="single" w:color="auto" w:sz="4" w:space="0"/>
            </w:tcBorders>
            <w:vAlign w:val="center"/>
          </w:tcPr>
          <w:p w14:paraId="55F6E3D9">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r>
              <w:rPr>
                <w:rFonts w:hint="eastAsia" w:ascii="宋体" w:hAnsi="宋体" w:eastAsia="宋体" w:cs="宋体"/>
                <w:color w:val="000000" w:themeColor="text1"/>
                <w:szCs w:val="20"/>
                <w:highlight w:val="none"/>
                <w14:textFill>
                  <w14:solidFill>
                    <w14:schemeClr w14:val="tx1"/>
                  </w14:solidFill>
                </w14:textFill>
              </w:rPr>
              <w:t>……</w:t>
            </w:r>
          </w:p>
        </w:tc>
        <w:tc>
          <w:tcPr>
            <w:tcW w:w="3148" w:type="dxa"/>
            <w:tcBorders>
              <w:top w:val="single" w:color="auto" w:sz="4" w:space="0"/>
              <w:left w:val="single" w:color="auto" w:sz="4" w:space="0"/>
              <w:bottom w:val="single" w:color="auto" w:sz="4" w:space="0"/>
              <w:right w:val="single" w:color="auto" w:sz="4" w:space="0"/>
            </w:tcBorders>
            <w:vAlign w:val="center"/>
          </w:tcPr>
          <w:p w14:paraId="7C053B0B">
            <w:pPr>
              <w:pageBreakBefore w:val="0"/>
              <w:widowControl/>
              <w:overflowPunct/>
              <w:topLinePunct w:val="0"/>
              <w:bidi w:val="0"/>
              <w:spacing w:line="400" w:lineRule="exact"/>
              <w:rPr>
                <w:rFonts w:hint="eastAsia" w:ascii="宋体" w:hAnsi="宋体" w:eastAsia="宋体" w:cs="宋体"/>
                <w:color w:val="000000" w:themeColor="text1"/>
                <w:kern w:val="0"/>
                <w:szCs w:val="21"/>
                <w:highlight w:val="none"/>
                <w14:textFill>
                  <w14:solidFill>
                    <w14:schemeClr w14:val="tx1"/>
                  </w14:solidFill>
                </w14:textFill>
              </w:rPr>
            </w:pPr>
          </w:p>
        </w:tc>
        <w:tc>
          <w:tcPr>
            <w:tcW w:w="2617" w:type="dxa"/>
            <w:tcBorders>
              <w:top w:val="single" w:color="auto" w:sz="4" w:space="0"/>
              <w:left w:val="single" w:color="auto" w:sz="4" w:space="0"/>
              <w:bottom w:val="single" w:color="auto" w:sz="4" w:space="0"/>
              <w:right w:val="single" w:color="auto" w:sz="4" w:space="0"/>
            </w:tcBorders>
            <w:vAlign w:val="top"/>
          </w:tcPr>
          <w:p w14:paraId="6C304838">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c>
          <w:tcPr>
            <w:tcW w:w="2089" w:type="dxa"/>
            <w:tcBorders>
              <w:top w:val="single" w:color="auto" w:sz="4" w:space="0"/>
              <w:left w:val="single" w:color="auto" w:sz="4" w:space="0"/>
              <w:bottom w:val="single" w:color="auto" w:sz="4" w:space="0"/>
              <w:right w:val="single" w:color="auto" w:sz="4" w:space="0"/>
            </w:tcBorders>
            <w:vAlign w:val="top"/>
          </w:tcPr>
          <w:p w14:paraId="0D19CB39">
            <w:pPr>
              <w:pageBreakBefore w:val="0"/>
              <w:overflowPunct/>
              <w:topLinePunct w:val="0"/>
              <w:bidi w:val="0"/>
              <w:spacing w:line="400" w:lineRule="exact"/>
              <w:jc w:val="center"/>
              <w:rPr>
                <w:rFonts w:hint="eastAsia" w:ascii="宋体" w:hAnsi="宋体" w:eastAsia="宋体" w:cs="宋体"/>
                <w:color w:val="000000" w:themeColor="text1"/>
                <w:szCs w:val="20"/>
                <w:highlight w:val="none"/>
                <w14:textFill>
                  <w14:solidFill>
                    <w14:schemeClr w14:val="tx1"/>
                  </w14:solidFill>
                </w14:textFill>
              </w:rPr>
            </w:pPr>
          </w:p>
        </w:tc>
      </w:tr>
    </w:tbl>
    <w:p w14:paraId="4E6157C6">
      <w:pPr>
        <w:pageBreakBefore w:val="0"/>
        <w:overflowPunct/>
        <w:topLinePunct w:val="0"/>
        <w:bidi w:val="0"/>
        <w:snapToGrid w:val="0"/>
        <w:spacing w:line="400" w:lineRule="exact"/>
        <w:ind w:firstLine="1050" w:firstLineChars="500"/>
        <w:jc w:val="left"/>
        <w:outlineLvl w:val="9"/>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供应商(CA证书签章)：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114376CA">
      <w:pPr>
        <w:pStyle w:val="11"/>
        <w:pageBreakBefore w:val="0"/>
        <w:overflowPunct/>
        <w:topLinePunct w:val="0"/>
        <w:bidi w:val="0"/>
        <w:spacing w:line="400" w:lineRule="exact"/>
        <w:ind w:firstLine="420"/>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法定代表人（负责人、自然人）</w:t>
      </w:r>
      <w:r>
        <w:rPr>
          <w:rFonts w:hint="eastAsia" w:ascii="宋体" w:hAnsi="宋体" w:eastAsia="宋体" w:cs="宋体"/>
          <w:color w:val="000000" w:themeColor="text1"/>
          <w:highlight w:val="none"/>
          <w14:textFill>
            <w14:solidFill>
              <w14:schemeClr w14:val="tx1"/>
            </w14:solidFill>
          </w14:textFill>
        </w:rPr>
        <w:t>或相应的委托代理人</w:t>
      </w:r>
      <w:r>
        <w:rPr>
          <w:rFonts w:hint="eastAsia" w:ascii="宋体" w:hAnsi="宋体" w:eastAsia="宋体" w:cs="宋体"/>
          <w:color w:val="000000" w:themeColor="text1"/>
          <w:szCs w:val="21"/>
          <w:highlight w:val="none"/>
          <w14:textFill>
            <w14:solidFill>
              <w14:schemeClr w14:val="tx1"/>
            </w14:solidFill>
          </w14:textFill>
        </w:rPr>
        <w:t>签字（或个人CA证书签章）</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114FEF1B">
      <w:pPr>
        <w:pageBreakBefore w:val="0"/>
        <w:overflowPunct/>
        <w:topLinePunct w:val="0"/>
        <w:bidi w:val="0"/>
        <w:spacing w:line="400" w:lineRule="exact"/>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p w14:paraId="7CF6BCFB">
      <w:pPr>
        <w:pStyle w:val="11"/>
        <w:pageBreakBefore w:val="0"/>
        <w:overflowPunct/>
        <w:topLinePunct w:val="0"/>
        <w:bidi w:val="0"/>
        <w:spacing w:line="400" w:lineRule="exact"/>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注：商务响应表须由法定代表人(负责人、自然人)或相应的委托代理人签字（或个人CA证书签章）并加盖</w:t>
      </w: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公章（CA证书签章）。</w:t>
      </w:r>
    </w:p>
    <w:p w14:paraId="6B10FF1C">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p>
    <w:p w14:paraId="740BF36D">
      <w:pPr>
        <w:pageBreakBefore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br w:type="page"/>
      </w:r>
    </w:p>
    <w:p w14:paraId="5EC3D418">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sectPr>
          <w:headerReference r:id="rId18" w:type="default"/>
          <w:footerReference r:id="rId19" w:type="default"/>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3C4DEEA9">
      <w:pPr>
        <w:pageBreakBefore w:val="0"/>
        <w:widowControl w:val="0"/>
        <w:overflowPunct/>
        <w:topLinePunct w:val="0"/>
        <w:bidi w:val="0"/>
        <w:spacing w:line="400" w:lineRule="exact"/>
        <w:rPr>
          <w:rFonts w:hint="eastAsia" w:ascii="宋体" w:hAnsi="宋体" w:eastAsia="宋体" w:cs="宋体"/>
          <w:b/>
          <w:bCs/>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5.项目实施方案</w:t>
      </w:r>
      <w:r>
        <w:rPr>
          <w:rFonts w:hint="eastAsia" w:ascii="宋体" w:hAnsi="宋体" w:eastAsia="宋体" w:cs="宋体"/>
          <w:b/>
          <w:bCs/>
          <w:color w:val="000000" w:themeColor="text1"/>
          <w:sz w:val="28"/>
          <w:szCs w:val="28"/>
          <w:highlight w:val="none"/>
          <w:lang w:eastAsia="zh-CN"/>
          <w14:textFill>
            <w14:solidFill>
              <w14:schemeClr w14:val="tx1"/>
            </w14:solidFill>
          </w14:textFill>
        </w:rPr>
        <w:t>（必须提供）</w:t>
      </w:r>
    </w:p>
    <w:p w14:paraId="29B4AB53">
      <w:pPr>
        <w:pageBreakBefore w:val="0"/>
        <w:widowControl w:val="0"/>
        <w:overflowPunct/>
        <w:topLinePunct w:val="0"/>
        <w:bidi w:val="0"/>
        <w:spacing w:line="400" w:lineRule="exact"/>
        <w:ind w:firstLine="1556" w:firstLineChars="5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3CCB409D">
      <w:pPr>
        <w:pageBreakBefore w:val="0"/>
        <w:widowControl w:val="0"/>
        <w:overflowPunct/>
        <w:topLinePunct w:val="0"/>
        <w:bidi w:val="0"/>
        <w:spacing w:line="400" w:lineRule="exact"/>
        <w:ind w:firstLine="1556" w:firstLineChars="5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3A93630D">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6AA6E9B3">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2EE9552B">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02EF1C0F">
      <w:pPr>
        <w:pStyle w:val="8"/>
        <w:pageBreakBefore w:val="0"/>
        <w:overflowPunct/>
        <w:topLinePunct w:val="0"/>
        <w:bidi w:val="0"/>
        <w:spacing w:before="91" w:line="400" w:lineRule="exact"/>
        <w:jc w:val="center"/>
        <w:rPr>
          <w:rFonts w:hint="eastAsia" w:ascii="宋体" w:hAnsi="宋体" w:eastAsia="宋体" w:cs="宋体"/>
          <w:b/>
          <w:bCs/>
          <w:color w:val="000000" w:themeColor="text1"/>
          <w:spacing w:val="-4"/>
          <w:sz w:val="28"/>
          <w:szCs w:val="28"/>
          <w:highlight w:val="none"/>
          <w14:textFill>
            <w14:solidFill>
              <w14:schemeClr w14:val="tx1"/>
            </w14:solidFill>
          </w14:textFill>
        </w:rPr>
      </w:pPr>
      <w:r>
        <w:rPr>
          <w:rFonts w:hint="eastAsia" w:ascii="宋体" w:hAnsi="宋体" w:eastAsia="宋体" w:cs="宋体"/>
          <w:b/>
          <w:bCs/>
          <w:color w:val="000000" w:themeColor="text1"/>
          <w:spacing w:val="-4"/>
          <w:sz w:val="28"/>
          <w:szCs w:val="28"/>
          <w:highlight w:val="none"/>
          <w14:textFill>
            <w14:solidFill>
              <w14:schemeClr w14:val="tx1"/>
            </w14:solidFill>
          </w14:textFill>
        </w:rPr>
        <w:t>项目实施方案 （格式）</w:t>
      </w:r>
    </w:p>
    <w:p w14:paraId="491F24F5">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8B8C3E2">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245B246">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222A1F77">
      <w:pPr>
        <w:pStyle w:val="8"/>
        <w:pageBreakBefore w:val="0"/>
        <w:overflowPunct/>
        <w:topLinePunct w:val="0"/>
        <w:bidi w:val="0"/>
        <w:spacing w:before="91" w:line="400" w:lineRule="exact"/>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pacing w:val="-4"/>
          <w:sz w:val="28"/>
          <w:szCs w:val="28"/>
          <w:highlight w:val="none"/>
          <w14:textFill>
            <w14:solidFill>
              <w14:schemeClr w14:val="tx1"/>
            </w14:solidFill>
          </w14:textFill>
        </w:rPr>
        <w:t>（根据采购需求自行编制）</w:t>
      </w:r>
    </w:p>
    <w:p w14:paraId="55F6C847">
      <w:pPr>
        <w:pStyle w:val="11"/>
        <w:pageBreakBefore w:val="0"/>
        <w:overflowPunct/>
        <w:topLinePunct w:val="0"/>
        <w:bidi w:val="0"/>
        <w:spacing w:line="400" w:lineRule="exact"/>
        <w:ind w:firstLine="472" w:firstLineChars="147"/>
        <w:jc w:val="center"/>
        <w:rPr>
          <w:rFonts w:hint="eastAsia" w:ascii="宋体" w:hAnsi="宋体" w:eastAsia="宋体" w:cs="宋体"/>
          <w:b/>
          <w:bCs/>
          <w:color w:val="000000" w:themeColor="text1"/>
          <w:sz w:val="32"/>
          <w:highlight w:val="none"/>
          <w14:textFill>
            <w14:solidFill>
              <w14:schemeClr w14:val="tx1"/>
            </w14:solidFill>
          </w14:textFill>
        </w:rPr>
      </w:pPr>
    </w:p>
    <w:p w14:paraId="11BA5EDB">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37B31267">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37CC1FE9">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6E545588">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319CC2E8">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4F20C213">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41B6A4AC">
      <w:pPr>
        <w:pStyle w:val="12"/>
        <w:pageBreakBefore w:val="0"/>
        <w:overflowPunct/>
        <w:topLinePunct w:val="0"/>
        <w:bidi w:val="0"/>
        <w:spacing w:line="400" w:lineRule="exact"/>
        <w:rPr>
          <w:rFonts w:hint="eastAsia" w:ascii="宋体" w:hAnsi="宋体" w:eastAsia="宋体" w:cs="宋体"/>
          <w:color w:val="000000" w:themeColor="text1"/>
          <w:szCs w:val="21"/>
          <w:highlight w:val="none"/>
          <w14:textFill>
            <w14:solidFill>
              <w14:schemeClr w14:val="tx1"/>
            </w14:solidFill>
          </w14:textFill>
        </w:rPr>
      </w:pPr>
    </w:p>
    <w:p w14:paraId="3ADBC7FA">
      <w:pPr>
        <w:pageBreakBefore w:val="0"/>
        <w:overflowPunct/>
        <w:topLinePunct w:val="0"/>
        <w:bidi w:val="0"/>
        <w:snapToGrid w:val="0"/>
        <w:spacing w:line="400" w:lineRule="exact"/>
        <w:ind w:firstLine="1680" w:firstLineChars="800"/>
        <w:outlineLvl w:val="9"/>
        <w:rPr>
          <w:rFonts w:hint="eastAsia" w:ascii="宋体" w:hAnsi="宋体" w:eastAsia="宋体" w:cs="宋体"/>
          <w:color w:val="000000" w:themeColor="text1"/>
          <w:szCs w:val="21"/>
          <w:highlight w:val="none"/>
          <w14:textFill>
            <w14:solidFill>
              <w14:schemeClr w14:val="tx1"/>
            </w14:solidFill>
          </w14:textFill>
        </w:rPr>
      </w:pPr>
    </w:p>
    <w:p w14:paraId="2F500565">
      <w:pPr>
        <w:pageBreakBefore w:val="0"/>
        <w:overflowPunct/>
        <w:topLinePunct w:val="0"/>
        <w:bidi w:val="0"/>
        <w:snapToGrid w:val="0"/>
        <w:spacing w:line="400" w:lineRule="exact"/>
        <w:jc w:val="left"/>
        <w:outlineLvl w:val="9"/>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w:t>
      </w:r>
      <w:r>
        <w:rPr>
          <w:rFonts w:hint="eastAsia" w:ascii="宋体" w:hAnsi="宋体" w:eastAsia="宋体" w:cs="宋体"/>
          <w:color w:val="000000" w:themeColor="text1"/>
          <w:szCs w:val="21"/>
          <w:highlight w:val="none"/>
          <w:lang w:eastAsia="zh-CN"/>
          <w14:textFill>
            <w14:solidFill>
              <w14:schemeClr w14:val="tx1"/>
            </w14:solidFill>
          </w14:textFill>
        </w:rPr>
        <w:t>供应商</w:t>
      </w:r>
      <w:r>
        <w:rPr>
          <w:rFonts w:hint="eastAsia" w:ascii="宋体" w:hAnsi="宋体" w:eastAsia="宋体" w:cs="宋体"/>
          <w:color w:val="000000" w:themeColor="text1"/>
          <w:szCs w:val="21"/>
          <w:highlight w:val="none"/>
          <w14:textFill>
            <w14:solidFill>
              <w14:schemeClr w14:val="tx1"/>
            </w14:solidFill>
          </w14:textFill>
        </w:rPr>
        <w:t>(CA证书签章)：</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4BFE6898">
      <w:pPr>
        <w:pStyle w:val="11"/>
        <w:pageBreakBefore w:val="0"/>
        <w:overflowPunct/>
        <w:topLinePunct w:val="0"/>
        <w:bidi w:val="0"/>
        <w:spacing w:line="400" w:lineRule="exact"/>
        <w:ind w:firstLine="420"/>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        法定代表人（负责人、自然人）</w:t>
      </w:r>
      <w:r>
        <w:rPr>
          <w:rFonts w:hint="eastAsia" w:ascii="宋体" w:hAnsi="宋体" w:eastAsia="宋体" w:cs="宋体"/>
          <w:color w:val="000000" w:themeColor="text1"/>
          <w:highlight w:val="none"/>
          <w14:textFill>
            <w14:solidFill>
              <w14:schemeClr w14:val="tx1"/>
            </w14:solidFill>
          </w14:textFill>
        </w:rPr>
        <w:t>或相应的委托代理人</w:t>
      </w:r>
      <w:r>
        <w:rPr>
          <w:rFonts w:hint="eastAsia" w:ascii="宋体" w:hAnsi="宋体" w:eastAsia="宋体" w:cs="宋体"/>
          <w:color w:val="000000" w:themeColor="text1"/>
          <w:szCs w:val="21"/>
          <w:highlight w:val="none"/>
          <w14:textFill>
            <w14:solidFill>
              <w14:schemeClr w14:val="tx1"/>
            </w14:solidFill>
          </w14:textFill>
        </w:rPr>
        <w:t>签字（或个人CA证书签章）</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p>
    <w:p w14:paraId="32D7E166">
      <w:pPr>
        <w:pageBreakBefore w:val="0"/>
        <w:overflowPunct/>
        <w:topLinePunct w:val="0"/>
        <w:bidi w:val="0"/>
        <w:spacing w:line="400" w:lineRule="exact"/>
        <w:jc w:val="left"/>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日     期：</w:t>
      </w:r>
      <w:r>
        <w:rPr>
          <w:rFonts w:hint="eastAsia" w:ascii="宋体" w:hAnsi="宋体" w:eastAsia="宋体" w:cs="宋体"/>
          <w:color w:val="000000" w:themeColor="text1"/>
          <w:highlight w:val="none"/>
          <w:u w:val="single"/>
          <w14:textFill>
            <w14:solidFill>
              <w14:schemeClr w14:val="tx1"/>
            </w14:solidFill>
          </w14:textFill>
        </w:rPr>
        <w:t xml:space="preserve">                                                   </w:t>
      </w:r>
    </w:p>
    <w:p w14:paraId="785C85B6">
      <w:pPr>
        <w:pageBreakBefore w:val="0"/>
        <w:overflowPunct/>
        <w:topLinePunct w:val="0"/>
        <w:bidi w:val="0"/>
        <w:snapToGrid w:val="0"/>
        <w:spacing w:line="400" w:lineRule="exact"/>
        <w:ind w:firstLine="3570" w:firstLineChars="1700"/>
        <w:outlineLvl w:val="9"/>
        <w:rPr>
          <w:rFonts w:hint="eastAsia" w:ascii="宋体" w:hAnsi="宋体" w:eastAsia="宋体" w:cs="宋体"/>
          <w:color w:val="000000" w:themeColor="text1"/>
          <w:kern w:val="0"/>
          <w:szCs w:val="21"/>
          <w:highlight w:val="none"/>
          <w14:textFill>
            <w14:solidFill>
              <w14:schemeClr w14:val="tx1"/>
            </w14:solidFill>
          </w14:textFill>
        </w:rPr>
      </w:pPr>
    </w:p>
    <w:p w14:paraId="2CD3F820">
      <w:pPr>
        <w:pStyle w:val="8"/>
        <w:pageBreakBefore w:val="0"/>
        <w:overflowPunct/>
        <w:topLinePunct w:val="0"/>
        <w:bidi w:val="0"/>
        <w:spacing w:line="400" w:lineRule="exact"/>
        <w:rPr>
          <w:rFonts w:hint="eastAsia" w:ascii="宋体" w:hAnsi="宋体" w:eastAsia="宋体" w:cs="宋体"/>
          <w:color w:val="000000" w:themeColor="text1"/>
          <w:kern w:val="0"/>
          <w:szCs w:val="21"/>
          <w:highlight w:val="none"/>
          <w14:textFill>
            <w14:solidFill>
              <w14:schemeClr w14:val="tx1"/>
            </w14:solidFill>
          </w14:textFill>
        </w:rPr>
      </w:pPr>
    </w:p>
    <w:p w14:paraId="486BEC1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058AFA60">
      <w:pPr>
        <w:pageBreakBefore w:val="0"/>
        <w:widowControl w:val="0"/>
        <w:overflowPunct/>
        <w:topLinePunct w:val="0"/>
        <w:bidi w:val="0"/>
        <w:spacing w:line="400" w:lineRule="exact"/>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注：项目服务方案须由法定代表人或相应的委托代理人签字（或个人CA证书签章）并加盖投</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标</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供应商公章（CA证书签章）。</w:t>
      </w:r>
    </w:p>
    <w:p w14:paraId="584DDDF5">
      <w:pPr>
        <w:pStyle w:val="3"/>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5EAE278B">
      <w:pPr>
        <w:pageBreakBefore w:val="0"/>
        <w:widowControl w:val="0"/>
        <w:overflowPunct/>
        <w:topLinePunct w:val="0"/>
        <w:bidi w:val="0"/>
        <w:spacing w:line="400" w:lineRule="exact"/>
        <w:rPr>
          <w:rFonts w:hint="eastAsia" w:ascii="宋体" w:hAnsi="宋体" w:eastAsia="宋体" w:cs="宋体"/>
          <w:b/>
          <w:bCs/>
          <w:color w:val="000000" w:themeColor="text1"/>
          <w:sz w:val="28"/>
          <w:szCs w:val="28"/>
          <w:highlight w:val="none"/>
          <w:lang w:eastAsia="zh-CN"/>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14838A96">
      <w:pPr>
        <w:pageBreakBefore w:val="0"/>
        <w:widowControl w:val="0"/>
        <w:overflowPunct/>
        <w:topLinePunct w:val="0"/>
        <w:bidi w:val="0"/>
        <w:spacing w:line="400" w:lineRule="exact"/>
        <w:rPr>
          <w:rFonts w:hint="eastAsia" w:ascii="宋体" w:hAnsi="宋体" w:eastAsia="宋体" w:cs="宋体"/>
          <w:b/>
          <w:bCs/>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6</w:t>
      </w:r>
      <w:r>
        <w:rPr>
          <w:rFonts w:hint="eastAsia" w:ascii="宋体" w:hAnsi="宋体" w:eastAsia="宋体" w:cs="宋体"/>
          <w:b/>
          <w:bCs/>
          <w:color w:val="000000" w:themeColor="text1"/>
          <w:sz w:val="28"/>
          <w:szCs w:val="28"/>
          <w:highlight w:val="none"/>
          <w:lang w:eastAsia="zh-CN"/>
          <w14:textFill>
            <w14:solidFill>
              <w14:schemeClr w14:val="tx1"/>
            </w14:solidFill>
          </w14:textFill>
        </w:rPr>
        <w:t>.售后服务承诺书（必须提供）</w:t>
      </w:r>
    </w:p>
    <w:p w14:paraId="25167287">
      <w:pPr>
        <w:pageBreakBefore w:val="0"/>
        <w:widowControl w:val="0"/>
        <w:overflowPunct/>
        <w:topLinePunct w:val="0"/>
        <w:bidi w:val="0"/>
        <w:spacing w:line="400" w:lineRule="exact"/>
        <w:ind w:firstLine="1556" w:firstLineChars="500"/>
        <w:rPr>
          <w:rFonts w:hint="eastAsia" w:ascii="宋体" w:hAnsi="宋体" w:eastAsia="宋体" w:cs="宋体"/>
          <w:b/>
          <w:bCs/>
          <w:color w:val="000000" w:themeColor="text1"/>
          <w:sz w:val="31"/>
          <w:szCs w:val="31"/>
          <w:highlight w:val="none"/>
          <w:lang w:eastAsia="zh-CN"/>
          <w14:textFill>
            <w14:solidFill>
              <w14:schemeClr w14:val="tx1"/>
            </w14:solidFill>
          </w14:textFill>
        </w:rPr>
      </w:pPr>
    </w:p>
    <w:p w14:paraId="70E36F57">
      <w:pPr>
        <w:pageBreakBefore w:val="0"/>
        <w:widowControl w:val="0"/>
        <w:overflowPunct/>
        <w:topLinePunct w:val="0"/>
        <w:bidi w:val="0"/>
        <w:spacing w:line="400" w:lineRule="exact"/>
        <w:ind w:firstLine="1556" w:firstLineChars="500"/>
        <w:rPr>
          <w:rFonts w:hint="eastAsia" w:ascii="宋体" w:hAnsi="宋体" w:eastAsia="宋体" w:cs="宋体"/>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售后服务承诺书（格式，内容自拟）</w:t>
      </w:r>
    </w:p>
    <w:p w14:paraId="73487CED">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1C50D625">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0B6E58B4">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3D0CEDB2">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439E03B5">
      <w:pPr>
        <w:pageBreakBefore w:val="0"/>
        <w:widowControl w:val="0"/>
        <w:overflowPunct/>
        <w:topLinePunct w:val="0"/>
        <w:bidi w:val="0"/>
        <w:spacing w:line="400" w:lineRule="exact"/>
        <w:ind w:firstLine="480" w:firstLineChars="200"/>
        <w:outlineLvl w:val="1"/>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供应商(CA证书签章)：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7B781DA">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法定代表人或相应的委托代理人签字（或个人 CA 证书签章）：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0EF1CEBA">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日     期：</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205534DE">
      <w:pPr>
        <w:pStyle w:val="8"/>
        <w:pageBreakBefore w:val="0"/>
        <w:widowControl w:val="0"/>
        <w:overflowPunct/>
        <w:topLinePunct w:val="0"/>
        <w:bidi w:val="0"/>
        <w:spacing w:line="40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p>
    <w:p w14:paraId="53E91B5E">
      <w:pPr>
        <w:pageBreakBefore w:val="0"/>
        <w:widowControl w:val="0"/>
        <w:overflowPunct/>
        <w:topLinePunct w:val="0"/>
        <w:bidi w:val="0"/>
        <w:spacing w:line="400" w:lineRule="exact"/>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注：售后服务承诺书须由法定代表人或相应的委托代理人签字（或个人CA证书签章）并加盖投</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标</w:t>
      </w:r>
      <w:r>
        <w:rPr>
          <w:rFonts w:hint="eastAsia" w:ascii="宋体" w:hAnsi="宋体" w:eastAsia="宋体" w:cs="宋体"/>
          <w:b/>
          <w:bCs/>
          <w:color w:val="000000" w:themeColor="text1"/>
          <w:sz w:val="24"/>
          <w:szCs w:val="24"/>
          <w:highlight w:val="none"/>
          <w:lang w:eastAsia="zh-CN"/>
          <w14:textFill>
            <w14:solidFill>
              <w14:schemeClr w14:val="tx1"/>
            </w14:solidFill>
          </w14:textFill>
        </w:rPr>
        <w:t>供应商公章（CA证书签章）。</w:t>
      </w:r>
    </w:p>
    <w:p w14:paraId="5F26F811">
      <w:pPr>
        <w:pStyle w:val="3"/>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1556C39F">
      <w:pPr>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017CD8BE">
      <w:pPr>
        <w:pageBreakBefore w:val="0"/>
        <w:widowControl w:val="0"/>
        <w:overflowPunct/>
        <w:topLinePunct w:val="0"/>
        <w:bidi w:val="0"/>
        <w:spacing w:line="400" w:lineRule="exact"/>
        <w:rPr>
          <w:rFonts w:hint="eastAsia" w:ascii="宋体" w:hAnsi="宋体" w:eastAsia="宋体" w:cs="宋体"/>
          <w:b/>
          <w:bCs/>
          <w:color w:val="000000" w:themeColor="text1"/>
          <w:sz w:val="31"/>
          <w:szCs w:val="31"/>
          <w:highlight w:val="none"/>
          <w:lang w:eastAsia="zh-CN"/>
          <w14:textFill>
            <w14:solidFill>
              <w14:schemeClr w14:val="tx1"/>
            </w14:solidFill>
          </w14:textFill>
        </w:rPr>
      </w:pPr>
      <w:r>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t>7.</w:t>
      </w:r>
      <w:r>
        <w:rPr>
          <w:rFonts w:hint="default" w:ascii="Times New Roman" w:hAnsi="Times New Roman" w:cs="Times New Roman"/>
          <w:b/>
          <w:bCs/>
          <w:color w:val="000000" w:themeColor="text1"/>
          <w:sz w:val="28"/>
          <w:szCs w:val="28"/>
          <w:highlight w:val="none"/>
          <w14:textFill>
            <w14:solidFill>
              <w14:schemeClr w14:val="tx1"/>
            </w14:solidFill>
          </w14:textFill>
        </w:rPr>
        <w:t>项目实施人员一览表</w:t>
      </w:r>
      <w:r>
        <w:rPr>
          <w:rFonts w:hint="eastAsia" w:ascii="宋体" w:hAnsi="宋体" w:eastAsia="宋体" w:cs="宋体"/>
          <w:b/>
          <w:bCs/>
          <w:color w:val="000000" w:themeColor="text1"/>
          <w:sz w:val="28"/>
          <w:szCs w:val="28"/>
          <w:highlight w:val="none"/>
          <w:lang w:eastAsia="zh-CN"/>
          <w14:textFill>
            <w14:solidFill>
              <w14:schemeClr w14:val="tx1"/>
            </w14:solidFill>
          </w14:textFill>
        </w:rPr>
        <w:t>（必须提供）</w:t>
      </w:r>
    </w:p>
    <w:p w14:paraId="40731E1C">
      <w:pPr>
        <w:pStyle w:val="11"/>
        <w:keepNext w:val="0"/>
        <w:keepLines w:val="0"/>
        <w:pageBreakBefore w:val="0"/>
        <w:widowControl w:val="0"/>
        <w:kinsoku/>
        <w:overflowPunct/>
        <w:topLinePunct w:val="0"/>
        <w:bidi w:val="0"/>
        <w:ind w:firstLine="413" w:firstLineChars="147"/>
        <w:jc w:val="left"/>
        <w:textAlignment w:val="auto"/>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4632D488">
      <w:pPr>
        <w:pStyle w:val="6"/>
        <w:rPr>
          <w:rFonts w:hint="eastAsia"/>
          <w:color w:val="000000" w:themeColor="text1"/>
          <w:highlight w:val="none"/>
          <w:lang w:val="en-US" w:eastAsia="zh-CN"/>
          <w14:textFill>
            <w14:solidFill>
              <w14:schemeClr w14:val="tx1"/>
            </w14:solidFill>
          </w14:textFill>
        </w:rPr>
      </w:pPr>
    </w:p>
    <w:p w14:paraId="3BA7CD17">
      <w:pPr>
        <w:pStyle w:val="11"/>
        <w:keepNext w:val="0"/>
        <w:keepLines w:val="0"/>
        <w:pageBreakBefore w:val="0"/>
        <w:widowControl w:val="0"/>
        <w:kinsoku/>
        <w:overflowPunct/>
        <w:topLinePunct w:val="0"/>
        <w:bidi w:val="0"/>
        <w:ind w:firstLine="413" w:firstLineChars="147"/>
        <w:jc w:val="left"/>
        <w:textAlignment w:val="auto"/>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4EE3EDD1">
      <w:pPr>
        <w:pStyle w:val="11"/>
        <w:keepNext w:val="0"/>
        <w:keepLines w:val="0"/>
        <w:pageBreakBefore w:val="0"/>
        <w:widowControl w:val="0"/>
        <w:kinsoku/>
        <w:overflowPunct/>
        <w:topLinePunct w:val="0"/>
        <w:bidi w:val="0"/>
        <w:ind w:firstLine="412" w:firstLineChars="147"/>
        <w:jc w:val="center"/>
        <w:textAlignment w:val="auto"/>
        <w:rPr>
          <w:rFonts w:hint="default" w:ascii="Times New Roman" w:hAnsi="Times New Roman" w:cs="Times New Roman"/>
          <w:b/>
          <w:bCs/>
          <w:color w:val="000000" w:themeColor="text1"/>
          <w:sz w:val="28"/>
          <w:szCs w:val="28"/>
          <w:highlight w:val="none"/>
          <w14:textFill>
            <w14:solidFill>
              <w14:schemeClr w14:val="tx1"/>
            </w14:solidFill>
          </w14:textFill>
        </w:rPr>
      </w:pPr>
      <w:r>
        <w:rPr>
          <w:rFonts w:hint="default" w:ascii="Times New Roman" w:hAnsi="Times New Roman" w:cs="Times New Roman"/>
          <w:b/>
          <w:bCs/>
          <w:color w:val="000000" w:themeColor="text1"/>
          <w:sz w:val="28"/>
          <w:szCs w:val="28"/>
          <w:highlight w:val="none"/>
          <w14:textFill>
            <w14:solidFill>
              <w14:schemeClr w14:val="tx1"/>
            </w14:solidFill>
          </w14:textFill>
        </w:rPr>
        <w:t>项目实施人员一览表（格式）</w:t>
      </w:r>
    </w:p>
    <w:tbl>
      <w:tblPr>
        <w:tblStyle w:val="20"/>
        <w:tblW w:w="10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050"/>
        <w:gridCol w:w="1665"/>
        <w:gridCol w:w="1200"/>
        <w:gridCol w:w="2550"/>
        <w:gridCol w:w="2610"/>
      </w:tblGrid>
      <w:tr w14:paraId="6798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center"/>
          </w:tcPr>
          <w:p w14:paraId="3B620AA1">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姓 名</w:t>
            </w:r>
          </w:p>
        </w:tc>
        <w:tc>
          <w:tcPr>
            <w:tcW w:w="1050" w:type="dxa"/>
            <w:vAlign w:val="center"/>
          </w:tcPr>
          <w:p w14:paraId="1A402C39">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职务</w:t>
            </w:r>
          </w:p>
        </w:tc>
        <w:tc>
          <w:tcPr>
            <w:tcW w:w="1665" w:type="dxa"/>
            <w:vAlign w:val="center"/>
          </w:tcPr>
          <w:p w14:paraId="46C7DA7F">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专业技术资格</w:t>
            </w:r>
          </w:p>
        </w:tc>
        <w:tc>
          <w:tcPr>
            <w:tcW w:w="1200" w:type="dxa"/>
            <w:vAlign w:val="center"/>
          </w:tcPr>
          <w:p w14:paraId="66935132">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证书编号</w:t>
            </w:r>
          </w:p>
        </w:tc>
        <w:tc>
          <w:tcPr>
            <w:tcW w:w="2550" w:type="dxa"/>
            <w:vAlign w:val="center"/>
          </w:tcPr>
          <w:p w14:paraId="46B90479">
            <w:pPr>
              <w:keepNext w:val="0"/>
              <w:keepLines w:val="0"/>
              <w:pageBreakBefore w:val="0"/>
              <w:widowControl w:val="0"/>
              <w:kinsoku/>
              <w:overflowPunct/>
              <w:topLinePunct w:val="0"/>
              <w:bidi w:val="0"/>
              <w:spacing w:line="400" w:lineRule="exact"/>
              <w:ind w:firstLine="210" w:firstLineChars="100"/>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参加本单位工作时间</w:t>
            </w:r>
          </w:p>
        </w:tc>
        <w:tc>
          <w:tcPr>
            <w:tcW w:w="2610" w:type="dxa"/>
            <w:vAlign w:val="center"/>
          </w:tcPr>
          <w:p w14:paraId="4AA42BB8">
            <w:pPr>
              <w:keepNext w:val="0"/>
              <w:keepLines w:val="0"/>
              <w:pageBreakBefore w:val="0"/>
              <w:widowControl w:val="0"/>
              <w:kinsoku/>
              <w:overflowPunct/>
              <w:topLinePunct w:val="0"/>
              <w:bidi w:val="0"/>
              <w:spacing w:line="400" w:lineRule="exact"/>
              <w:jc w:val="center"/>
              <w:textAlignment w:val="auto"/>
              <w:rPr>
                <w:rFonts w:hint="default" w:ascii="Times New Roman" w:hAnsi="Times New Roman" w:cs="Times New Roman"/>
                <w:color w:val="000000" w:themeColor="text1"/>
                <w:szCs w:val="21"/>
                <w:highlight w:val="none"/>
                <w14:textFill>
                  <w14:solidFill>
                    <w14:schemeClr w14:val="tx1"/>
                  </w14:solidFill>
                </w14:textFill>
              </w:rPr>
            </w:pPr>
            <w:r>
              <w:rPr>
                <w:rFonts w:hint="default" w:ascii="Times New Roman" w:hAnsi="Times New Roman" w:cs="Times New Roman"/>
                <w:color w:val="000000" w:themeColor="text1"/>
                <w:szCs w:val="21"/>
                <w:highlight w:val="none"/>
                <w14:textFill>
                  <w14:solidFill>
                    <w14:schemeClr w14:val="tx1"/>
                  </w14:solidFill>
                </w14:textFill>
              </w:rPr>
              <w:t>劳动合同编号</w:t>
            </w:r>
          </w:p>
        </w:tc>
      </w:tr>
      <w:tr w14:paraId="075C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top"/>
          </w:tcPr>
          <w:p w14:paraId="4419638D">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050" w:type="dxa"/>
            <w:vAlign w:val="top"/>
          </w:tcPr>
          <w:p w14:paraId="413D0736">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665" w:type="dxa"/>
            <w:vAlign w:val="top"/>
          </w:tcPr>
          <w:p w14:paraId="12D65BEC">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200" w:type="dxa"/>
            <w:vAlign w:val="top"/>
          </w:tcPr>
          <w:p w14:paraId="50A23DD3">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2550" w:type="dxa"/>
            <w:vAlign w:val="top"/>
          </w:tcPr>
          <w:p w14:paraId="2D0CCDFC">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2610" w:type="dxa"/>
            <w:vAlign w:val="top"/>
          </w:tcPr>
          <w:p w14:paraId="2C181762">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r>
      <w:tr w14:paraId="657B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1" w:type="dxa"/>
            <w:vAlign w:val="top"/>
          </w:tcPr>
          <w:p w14:paraId="6B6EB319">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050" w:type="dxa"/>
            <w:vAlign w:val="top"/>
          </w:tcPr>
          <w:p w14:paraId="3D785081">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665" w:type="dxa"/>
            <w:vAlign w:val="top"/>
          </w:tcPr>
          <w:p w14:paraId="4E26CCE6">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1200" w:type="dxa"/>
            <w:vAlign w:val="top"/>
          </w:tcPr>
          <w:p w14:paraId="690335BD">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2550" w:type="dxa"/>
            <w:vAlign w:val="top"/>
          </w:tcPr>
          <w:p w14:paraId="09D369CE">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c>
          <w:tcPr>
            <w:tcW w:w="2610" w:type="dxa"/>
            <w:vAlign w:val="top"/>
          </w:tcPr>
          <w:p w14:paraId="64AAEB18">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tc>
      </w:tr>
    </w:tbl>
    <w:p w14:paraId="0D133AC1">
      <w:pPr>
        <w:keepNext w:val="0"/>
        <w:keepLines w:val="0"/>
        <w:pageBreakBefore w:val="0"/>
        <w:widowControl w:val="0"/>
        <w:kinsoku/>
        <w:overflowPunct/>
        <w:topLinePunct w:val="0"/>
        <w:bidi w:val="0"/>
        <w:spacing w:line="400" w:lineRule="exact"/>
        <w:textAlignment w:val="auto"/>
        <w:rPr>
          <w:rFonts w:hint="default" w:ascii="Times New Roman" w:hAnsi="Times New Roman" w:cs="Times New Roman"/>
          <w:color w:val="000000" w:themeColor="text1"/>
          <w:szCs w:val="21"/>
          <w:highlight w:val="none"/>
          <w14:textFill>
            <w14:solidFill>
              <w14:schemeClr w14:val="tx1"/>
            </w14:solidFill>
          </w14:textFill>
        </w:rPr>
      </w:pPr>
    </w:p>
    <w:p w14:paraId="4D41AE71">
      <w:pPr>
        <w:pageBreakBefore w:val="0"/>
        <w:widowControl w:val="0"/>
        <w:overflowPunct/>
        <w:topLinePunct w:val="0"/>
        <w:bidi w:val="0"/>
        <w:spacing w:line="400" w:lineRule="exact"/>
        <w:ind w:firstLine="480" w:firstLineChars="200"/>
        <w:outlineLvl w:val="1"/>
        <w:rPr>
          <w:rFonts w:hint="eastAsia" w:ascii="宋体" w:hAnsi="宋体" w:eastAsia="宋体" w:cs="宋体"/>
          <w:color w:val="000000" w:themeColor="text1"/>
          <w:sz w:val="24"/>
          <w:szCs w:val="24"/>
          <w:highlight w:val="none"/>
          <w:lang w:eastAsia="zh-CN"/>
          <w14:textFill>
            <w14:solidFill>
              <w14:schemeClr w14:val="tx1"/>
            </w14:solidFill>
          </w14:textFill>
        </w:rPr>
      </w:pPr>
    </w:p>
    <w:p w14:paraId="701A84A4">
      <w:pPr>
        <w:pageBreakBefore w:val="0"/>
        <w:widowControl w:val="0"/>
        <w:overflowPunct/>
        <w:topLinePunct w:val="0"/>
        <w:bidi w:val="0"/>
        <w:spacing w:line="400" w:lineRule="exact"/>
        <w:ind w:firstLine="480" w:firstLineChars="200"/>
        <w:outlineLvl w:val="1"/>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供应商(CA 证书签章)：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05F9727">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法定代表人或相应的委托代理人签字（或个人 CA 证书签章）：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64F22B66">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日     期：</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CBBA244">
      <w:pPr>
        <w:keepNext w:val="0"/>
        <w:keepLines w:val="0"/>
        <w:pageBreakBefore w:val="0"/>
        <w:widowControl w:val="0"/>
        <w:kinsoku/>
        <w:overflowPunct/>
        <w:topLinePunct w:val="0"/>
        <w:bidi w:val="0"/>
        <w:spacing w:line="360" w:lineRule="auto"/>
        <w:textAlignment w:val="auto"/>
        <w:rPr>
          <w:rFonts w:hint="default" w:ascii="Times New Roman" w:hAnsi="Times New Roman" w:cs="Times New Roman"/>
          <w:b/>
          <w:bCs/>
          <w:color w:val="000000" w:themeColor="text1"/>
          <w:sz w:val="24"/>
          <w:highlight w:val="none"/>
          <w14:textFill>
            <w14:solidFill>
              <w14:schemeClr w14:val="tx1"/>
            </w14:solidFill>
          </w14:textFill>
        </w:rPr>
      </w:pPr>
    </w:p>
    <w:p w14:paraId="7ACEC441">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498C72AD">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p>
    <w:p w14:paraId="7B10638A">
      <w:pPr>
        <w:keepNext w:val="0"/>
        <w:keepLines w:val="0"/>
        <w:pageBreakBefore w:val="0"/>
        <w:widowControl w:val="0"/>
        <w:tabs>
          <w:tab w:val="left" w:pos="567"/>
        </w:tabs>
        <w:kinsoku/>
        <w:overflowPunct/>
        <w:topLinePunct w:val="0"/>
        <w:bidi w:val="0"/>
        <w:textAlignment w:val="auto"/>
        <w:outlineLvl w:val="9"/>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t>注：1.在填写时，如本表格不适合供应商的实际情况，可根据本表格式自行制表填写。</w:t>
      </w:r>
    </w:p>
    <w:p w14:paraId="50E6B54F">
      <w:pPr>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20066D3C">
      <w:pPr>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27C12194">
      <w:pPr>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p>
    <w:p w14:paraId="5E21C34C">
      <w:pPr>
        <w:pageBreakBefore w:val="0"/>
        <w:overflowPunct/>
        <w:topLinePunct w:val="0"/>
        <w:bidi w:val="0"/>
        <w:spacing w:line="400" w:lineRule="exact"/>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kern w:val="0"/>
          <w:sz w:val="28"/>
          <w:szCs w:val="28"/>
          <w:highlight w:val="none"/>
          <w:lang w:val="en-US" w:eastAsia="zh-CN" w:bidi="ar-SA"/>
          <w14:textFill>
            <w14:solidFill>
              <w14:schemeClr w14:val="tx1"/>
            </w14:solidFill>
          </w14:textFill>
        </w:rPr>
        <w:t>8.“采购需求”需提供的有效证明文件（按采购需求要求提供）。</w:t>
      </w:r>
    </w:p>
    <w:p w14:paraId="293648A4">
      <w:pPr>
        <w:pageBreakBefore w:val="0"/>
        <w:widowControl w:val="0"/>
        <w:overflowPunct/>
        <w:topLinePunct w:val="0"/>
        <w:bidi w:val="0"/>
        <w:spacing w:line="400" w:lineRule="exact"/>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p>
    <w:p w14:paraId="28EE10EF">
      <w:pPr>
        <w:pageBreakBefore w:val="0"/>
        <w:widowControl w:val="0"/>
        <w:overflowPunct/>
        <w:topLinePunct w:val="0"/>
        <w:bidi w:val="0"/>
        <w:spacing w:line="400" w:lineRule="exact"/>
        <w:ind w:firstLine="622" w:firstLineChars="200"/>
        <w:rPr>
          <w:rFonts w:hint="eastAsia" w:ascii="宋体" w:hAnsi="宋体" w:eastAsia="宋体" w:cs="宋体"/>
          <w:b/>
          <w:bCs/>
          <w:color w:val="000000" w:themeColor="text1"/>
          <w:sz w:val="31"/>
          <w:szCs w:val="31"/>
          <w:highlight w:val="none"/>
          <w:lang w:eastAsia="zh-CN"/>
          <w14:textFill>
            <w14:solidFill>
              <w14:schemeClr w14:val="tx1"/>
            </w14:solidFill>
          </w14:textFill>
        </w:rPr>
      </w:pPr>
      <w:r>
        <w:rPr>
          <w:rFonts w:hint="eastAsia" w:ascii="宋体" w:hAnsi="宋体" w:eastAsia="宋体" w:cs="宋体"/>
          <w:b/>
          <w:bCs/>
          <w:color w:val="000000" w:themeColor="text1"/>
          <w:sz w:val="31"/>
          <w:szCs w:val="31"/>
          <w:highlight w:val="none"/>
          <w:lang w:eastAsia="zh-CN"/>
          <w14:textFill>
            <w14:solidFill>
              <w14:schemeClr w14:val="tx1"/>
            </w14:solidFill>
          </w14:textFill>
        </w:rPr>
        <w:t>（三）其它有效证明材料目录</w:t>
      </w:r>
    </w:p>
    <w:p w14:paraId="7FF8405A">
      <w:pPr>
        <w:widowControl w:val="0"/>
        <w:spacing w:line="360" w:lineRule="auto"/>
        <w:ind w:firstLine="400" w:firstLineChars="200"/>
        <w:rPr>
          <w:rFonts w:hint="eastAsia" w:ascii="宋体" w:hAnsi="宋体" w:eastAsia="宋体" w:cs="宋体"/>
          <w:color w:val="000000" w:themeColor="text1"/>
          <w:sz w:val="20"/>
          <w:szCs w:val="20"/>
          <w:highlight w:val="none"/>
          <w:lang w:val="en-US" w:eastAsia="zh-CN"/>
          <w14:textFill>
            <w14:solidFill>
              <w14:schemeClr w14:val="tx1"/>
            </w14:solidFill>
          </w14:textFill>
        </w:rPr>
      </w:pPr>
    </w:p>
    <w:p w14:paraId="5ACB68D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ascii="宋体" w:hAnsi="宋体" w:eastAsia="宋体" w:cs="宋体"/>
          <w:color w:val="000000" w:themeColor="text1"/>
          <w:sz w:val="21"/>
          <w:szCs w:val="21"/>
          <w:highlight w:val="none"/>
          <w:lang w:eastAsia="zh-CN"/>
          <w14:textFill>
            <w14:solidFill>
              <w14:schemeClr w14:val="tx1"/>
            </w14:solidFill>
          </w14:textFill>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r>
        <w:rPr>
          <w:rFonts w:ascii="宋体" w:hAnsi="宋体" w:eastAsia="宋体" w:cs="宋体"/>
          <w:b/>
          <w:bCs/>
          <w:color w:val="000000" w:themeColor="text1"/>
          <w:sz w:val="21"/>
          <w:szCs w:val="21"/>
          <w:highlight w:val="none"/>
          <w:lang w:eastAsia="zh-CN"/>
          <w14:textFill>
            <w14:solidFill>
              <w14:schemeClr w14:val="tx1"/>
            </w14:solidFill>
          </w14:textFill>
        </w:rPr>
        <w:t>（格式见附件，如有，请提供）</w:t>
      </w:r>
      <w:r>
        <w:rPr>
          <w:rFonts w:hint="eastAsia" w:ascii="宋体" w:hAnsi="宋体" w:eastAsia="宋体" w:cs="宋体"/>
          <w:b/>
          <w:bCs/>
          <w:color w:val="000000" w:themeColor="text1"/>
          <w:sz w:val="21"/>
          <w:szCs w:val="21"/>
          <w:highlight w:val="none"/>
          <w:lang w:eastAsia="zh-CN"/>
          <w14:textFill>
            <w14:solidFill>
              <w14:schemeClr w14:val="tx1"/>
            </w14:solidFill>
          </w14:textFill>
        </w:rPr>
        <w:t>；</w:t>
      </w:r>
    </w:p>
    <w:p w14:paraId="178B152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监狱企业的证明文件【供应商如为监狱企业的，应当提供由省级以上监狱管理局、戒毒管理局（含新疆生产建设兵团）出具的属于监狱企业的证明文件,否则不予享受优惠政策】</w:t>
      </w:r>
      <w:r>
        <w:rPr>
          <w:rFonts w:hint="eastAsia" w:ascii="宋体" w:hAnsi="宋体" w:eastAsia="宋体" w:cs="宋体"/>
          <w:b/>
          <w:bCs/>
          <w:color w:val="000000" w:themeColor="text1"/>
          <w:sz w:val="21"/>
          <w:szCs w:val="21"/>
          <w:highlight w:val="none"/>
          <w:lang w:eastAsia="zh-CN"/>
          <w14:textFill>
            <w14:solidFill>
              <w14:schemeClr w14:val="tx1"/>
            </w14:solidFill>
          </w14:textFill>
        </w:rPr>
        <w:t>（如有，请提供）；</w:t>
      </w:r>
    </w:p>
    <w:p w14:paraId="7E5D9684">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eastAsia="zh-CN"/>
          <w14:textFill>
            <w14:solidFill>
              <w14:schemeClr w14:val="tx1"/>
            </w14:solidFill>
          </w14:textFill>
        </w:rPr>
        <w:t>《残疾人福利性单位声明函》【符合条件的残疾人福利性单位在参加政府采购活动时，应当提供《残疾人福利性单位声明函》，并对声明的真实性负责】</w:t>
      </w:r>
      <w:r>
        <w:rPr>
          <w:rFonts w:hint="eastAsia" w:ascii="宋体" w:hAnsi="宋体" w:eastAsia="宋体" w:cs="宋体"/>
          <w:b/>
          <w:bCs/>
          <w:color w:val="000000" w:themeColor="text1"/>
          <w:sz w:val="21"/>
          <w:szCs w:val="21"/>
          <w:highlight w:val="none"/>
          <w:lang w:eastAsia="zh-CN"/>
          <w14:textFill>
            <w14:solidFill>
              <w14:schemeClr w14:val="tx1"/>
            </w14:solidFill>
          </w14:textFill>
        </w:rPr>
        <w:t>（如有，请提供）；</w:t>
      </w:r>
    </w:p>
    <w:p w14:paraId="190F915A">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4.关于符合本国产品标准的声明函（见附件）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（如有，请提供）；</w:t>
      </w:r>
    </w:p>
    <w:p w14:paraId="42615B6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b/>
          <w:bCs/>
          <w:color w:val="000000" w:themeColor="text1"/>
          <w:spacing w:val="8"/>
          <w:sz w:val="21"/>
          <w:szCs w:val="21"/>
          <w:highlight w:val="none"/>
          <w:lang w:val="en-US" w:eastAsia="zh-CN"/>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5.节能方面的证书扫描件</w:t>
      </w:r>
      <w:r>
        <w:rPr>
          <w:rFonts w:hint="eastAsia" w:ascii="宋体" w:hAnsi="宋体" w:eastAsia="宋体" w:cs="宋体"/>
          <w:b/>
          <w:bCs/>
          <w:color w:val="000000" w:themeColor="text1"/>
          <w:spacing w:val="8"/>
          <w:sz w:val="21"/>
          <w:szCs w:val="21"/>
          <w:highlight w:val="none"/>
          <w:lang w:val="en-US" w:eastAsia="zh-CN"/>
          <w14:textFill>
            <w14:solidFill>
              <w14:schemeClr w14:val="tx1"/>
            </w14:solidFill>
          </w14:textFill>
        </w:rPr>
        <w:t>（如有，请提供）；</w:t>
      </w:r>
    </w:p>
    <w:p w14:paraId="499EA67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52" w:firstLineChars="200"/>
        <w:textAlignment w:val="baseline"/>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spacing w:val="8"/>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pacing w:val="8"/>
          <w:sz w:val="21"/>
          <w:szCs w:val="21"/>
          <w:highlight w:val="none"/>
          <w14:textFill>
            <w14:solidFill>
              <w14:schemeClr w14:val="tx1"/>
            </w14:solidFill>
          </w14:textFill>
        </w:rPr>
        <w:t>.环境标志方面的证书扫描件</w:t>
      </w:r>
      <w:r>
        <w:rPr>
          <w:rFonts w:hint="eastAsia" w:ascii="宋体" w:hAnsi="宋体" w:eastAsia="宋体" w:cs="宋体"/>
          <w:b/>
          <w:bCs/>
          <w:color w:val="000000" w:themeColor="text1"/>
          <w:spacing w:val="8"/>
          <w:sz w:val="21"/>
          <w:szCs w:val="21"/>
          <w:highlight w:val="none"/>
          <w14:textFill>
            <w14:solidFill>
              <w14:schemeClr w14:val="tx1"/>
            </w14:solidFill>
          </w14:textFill>
        </w:rPr>
        <w:t>（如有，请提供</w:t>
      </w:r>
      <w:r>
        <w:rPr>
          <w:rFonts w:hint="eastAsia" w:ascii="宋体" w:hAnsi="宋体" w:eastAsia="宋体" w:cs="宋体"/>
          <w:b/>
          <w:bCs/>
          <w:color w:val="000000" w:themeColor="text1"/>
          <w:spacing w:val="3"/>
          <w:sz w:val="21"/>
          <w:szCs w:val="21"/>
          <w:highlight w:val="none"/>
          <w14:textFill>
            <w14:solidFill>
              <w14:schemeClr w14:val="tx1"/>
            </w14:solidFill>
          </w14:textFill>
        </w:rPr>
        <w:t>）</w:t>
      </w:r>
      <w:r>
        <w:rPr>
          <w:rFonts w:hint="eastAsia" w:ascii="宋体" w:hAnsi="宋体" w:eastAsia="宋体" w:cs="宋体"/>
          <w:color w:val="000000" w:themeColor="text1"/>
          <w:spacing w:val="3"/>
          <w:sz w:val="21"/>
          <w:szCs w:val="21"/>
          <w:highlight w:val="none"/>
          <w14:textFill>
            <w14:solidFill>
              <w14:schemeClr w14:val="tx1"/>
            </w14:solidFill>
          </w14:textFill>
        </w:rPr>
        <w:t>；</w:t>
      </w:r>
    </w:p>
    <w:p w14:paraId="315350BD">
      <w:pPr>
        <w:keepNext w:val="0"/>
        <w:keepLines w:val="0"/>
        <w:pageBreakBefore w:val="0"/>
        <w:tabs>
          <w:tab w:val="left" w:pos="1305"/>
        </w:tabs>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7.</w:t>
      </w:r>
      <w:r>
        <w:rPr>
          <w:rFonts w:hint="eastAsia" w:ascii="宋体" w:hAnsi="宋体" w:eastAsia="宋体" w:cs="宋体"/>
          <w:color w:val="000000" w:themeColor="text1"/>
          <w:kern w:val="0"/>
          <w:sz w:val="21"/>
          <w:szCs w:val="21"/>
          <w:highlight w:val="none"/>
          <w14:textFill>
            <w14:solidFill>
              <w14:schemeClr w14:val="tx1"/>
            </w14:solidFill>
          </w14:textFill>
        </w:rPr>
        <w:t>供应商可结合本项目的评审办法视自身情况自行提交相关证明材料</w:t>
      </w:r>
      <w:r>
        <w:rPr>
          <w:rFonts w:hint="eastAsia" w:ascii="宋体" w:hAnsi="宋体" w:eastAsia="宋体" w:cs="宋体"/>
          <w:b/>
          <w:color w:val="000000" w:themeColor="text1"/>
          <w:kern w:val="0"/>
          <w:sz w:val="21"/>
          <w:szCs w:val="21"/>
          <w:highlight w:val="none"/>
          <w14:textFill>
            <w14:solidFill>
              <w14:schemeClr w14:val="tx1"/>
            </w14:solidFill>
          </w14:textFill>
        </w:rPr>
        <w:t>（如有，请提供）</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413708BB">
      <w:pPr>
        <w:pageBreakBefore w:val="0"/>
        <w:tabs>
          <w:tab w:val="left" w:pos="1305"/>
        </w:tabs>
        <w:overflowPunct/>
        <w:topLinePunct w:val="0"/>
        <w:bidi w:val="0"/>
        <w:spacing w:line="360" w:lineRule="auto"/>
        <w:ind w:firstLine="420" w:firstLineChars="200"/>
        <w:rPr>
          <w:rFonts w:hint="eastAsia" w:ascii="宋体" w:hAnsi="宋体" w:eastAsia="宋体" w:cs="宋体"/>
          <w:color w:val="000000" w:themeColor="text1"/>
          <w:kern w:val="0"/>
          <w:sz w:val="21"/>
          <w:szCs w:val="21"/>
          <w:highlight w:val="none"/>
          <w14:textFill>
            <w14:solidFill>
              <w14:schemeClr w14:val="tx1"/>
            </w14:solidFill>
          </w14:textFill>
        </w:rPr>
      </w:pPr>
    </w:p>
    <w:p w14:paraId="68570D21">
      <w:pPr>
        <w:pageBreakBefore w:val="0"/>
        <w:tabs>
          <w:tab w:val="left" w:pos="1305"/>
        </w:tabs>
        <w:overflowPunct/>
        <w:topLinePunct w:val="0"/>
        <w:bidi w:val="0"/>
        <w:spacing w:line="400" w:lineRule="exact"/>
        <w:ind w:firstLine="420" w:firstLineChars="200"/>
        <w:rPr>
          <w:rFonts w:hint="eastAsia" w:ascii="宋体" w:hAnsi="宋体" w:eastAsia="宋体" w:cs="宋体"/>
          <w:color w:val="000000" w:themeColor="text1"/>
          <w:kern w:val="0"/>
          <w:szCs w:val="21"/>
          <w:highlight w:val="none"/>
          <w14:textFill>
            <w14:solidFill>
              <w14:schemeClr w14:val="tx1"/>
            </w14:solidFill>
          </w14:textFill>
        </w:rPr>
      </w:pPr>
    </w:p>
    <w:p w14:paraId="34BE7CB2">
      <w:pPr>
        <w:pageBreakBefore w:val="0"/>
        <w:tabs>
          <w:tab w:val="left" w:pos="1305"/>
        </w:tabs>
        <w:overflowPunct/>
        <w:topLinePunct w:val="0"/>
        <w:bidi w:val="0"/>
        <w:spacing w:line="400" w:lineRule="exact"/>
        <w:ind w:firstLine="422" w:firstLineChars="200"/>
        <w:rPr>
          <w:rFonts w:hint="eastAsia" w:ascii="宋体" w:hAnsi="宋体" w:eastAsia="宋体" w:cs="宋体"/>
          <w:b/>
          <w:color w:val="000000" w:themeColor="text1"/>
          <w:kern w:val="0"/>
          <w:szCs w:val="21"/>
          <w:highlight w:val="none"/>
          <w14:textFill>
            <w14:solidFill>
              <w14:schemeClr w14:val="tx1"/>
            </w14:solidFill>
          </w14:textFill>
        </w:rPr>
      </w:pPr>
    </w:p>
    <w:p w14:paraId="313ED4BA">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12E4B279">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5AF6185E">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4F7AFAA0">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133698AF">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47FC3E76">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76FCEF84">
      <w:pPr>
        <w:pStyle w:val="11"/>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14:textFill>
            <w14:solidFill>
              <w14:schemeClr w14:val="tx1"/>
            </w14:solidFill>
          </w14:textFill>
        </w:rPr>
      </w:pPr>
    </w:p>
    <w:p w14:paraId="43E107C2">
      <w:pPr>
        <w:pStyle w:val="11"/>
        <w:pageBreakBefore w:val="0"/>
        <w:overflowPunct/>
        <w:topLinePunct w:val="0"/>
        <w:bidi w:val="0"/>
        <w:spacing w:line="400" w:lineRule="exact"/>
        <w:rPr>
          <w:rFonts w:hint="eastAsia" w:ascii="宋体" w:hAnsi="宋体" w:eastAsia="宋体" w:cs="宋体"/>
          <w:b/>
          <w:color w:val="000000" w:themeColor="text1"/>
          <w:kern w:val="0"/>
          <w:sz w:val="32"/>
          <w:highlight w:val="none"/>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r>
        <w:rPr>
          <w:rFonts w:hint="eastAsia" w:ascii="宋体" w:hAnsi="宋体" w:eastAsia="宋体" w:cs="宋体"/>
          <w:b/>
          <w:color w:val="000000" w:themeColor="text1"/>
          <w:kern w:val="0"/>
          <w:sz w:val="32"/>
          <w:highlight w:val="none"/>
          <w14:textFill>
            <w14:solidFill>
              <w14:schemeClr w14:val="tx1"/>
            </w14:solidFill>
          </w14:textFill>
        </w:rPr>
        <w:br w:type="page"/>
      </w:r>
    </w:p>
    <w:p w14:paraId="711ABA1B">
      <w:pPr>
        <w:widowControl w:val="0"/>
        <w:tabs>
          <w:tab w:val="left" w:pos="1305"/>
        </w:tabs>
        <w:kinsoku/>
        <w:autoSpaceDE/>
        <w:autoSpaceDN/>
        <w:adjustRightInd/>
        <w:snapToGrid/>
        <w:spacing w:line="400" w:lineRule="exact"/>
        <w:ind w:firstLine="562" w:firstLineChars="200"/>
        <w:jc w:val="both"/>
        <w:textAlignment w:val="auto"/>
        <w:rPr>
          <w:rFonts w:hint="eastAsia" w:ascii="宋体" w:hAnsi="宋体" w:eastAsia="宋体" w:cs="宋体"/>
          <w:b/>
          <w:bCs/>
          <w:snapToGrid/>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b/>
          <w:snapToGrid/>
          <w:color w:val="000000" w:themeColor="text1"/>
          <w:kern w:val="2"/>
          <w:sz w:val="28"/>
          <w:szCs w:val="28"/>
          <w:highlight w:val="none"/>
          <w:lang w:val="en-US" w:eastAsia="zh-CN"/>
          <w14:textFill>
            <w14:solidFill>
              <w14:schemeClr w14:val="tx1"/>
            </w14:solidFill>
          </w14:textFill>
        </w:rPr>
        <w:t>1.</w:t>
      </w:r>
      <w:r>
        <w:rPr>
          <w:rFonts w:hint="eastAsia" w:ascii="宋体" w:hAnsi="宋体" w:eastAsia="宋体" w:cs="宋体"/>
          <w:b/>
          <w:color w:val="000000" w:themeColor="text1"/>
          <w:kern w:val="0"/>
          <w:sz w:val="28"/>
          <w:szCs w:val="28"/>
          <w:highlight w:val="none"/>
          <w:lang w:val="en-US" w:eastAsia="zh-CN" w:bidi="ar-SA"/>
          <w14:textFill>
            <w14:solidFill>
              <w14:schemeClr w14:val="tx1"/>
            </w14:solidFill>
          </w14:textFill>
        </w:rPr>
        <w:t>中小企业声明函【如供应商提供的货物由小型、微型企业（中小微型企业划分标准按照《国家统计局关于印发《统计上大中小微型企业划分办法〔2017〕》的通知》（国统字〔2017〕213号）执行）制造的，供应商应如实声明并对出具声明函的真实性负责。成交结果将同时公告该企业《中小企业声明函》，接受社会监督。】</w:t>
      </w:r>
    </w:p>
    <w:p w14:paraId="48F2B49A">
      <w:pPr>
        <w:widowControl w:val="0"/>
        <w:shd w:val="clear" w:color="auto" w:fill="FFFFFF"/>
        <w:kinsoku/>
        <w:autoSpaceDE/>
        <w:autoSpaceDN/>
        <w:adjustRightInd/>
        <w:snapToGrid/>
        <w:spacing w:before="317" w:beforeLines="100" w:after="317" w:afterLines="100" w:line="360" w:lineRule="atLeast"/>
        <w:jc w:val="center"/>
        <w:textAlignment w:val="auto"/>
        <w:rPr>
          <w:rFonts w:hint="eastAsia" w:ascii="宋体" w:hAnsi="宋体" w:eastAsia="宋体" w:cs="宋体"/>
          <w:b/>
          <w:snapToGrid/>
          <w:color w:val="000000" w:themeColor="text1"/>
          <w:kern w:val="2"/>
          <w:sz w:val="28"/>
          <w:szCs w:val="28"/>
          <w:highlight w:val="none"/>
          <w:lang w:eastAsia="zh-CN"/>
          <w14:textFill>
            <w14:solidFill>
              <w14:schemeClr w14:val="tx1"/>
            </w14:solidFill>
          </w14:textFill>
        </w:rPr>
      </w:pPr>
      <w:r>
        <w:rPr>
          <w:rFonts w:hint="eastAsia" w:ascii="宋体" w:hAnsi="宋体" w:eastAsia="宋体" w:cs="宋体"/>
          <w:b/>
          <w:snapToGrid/>
          <w:color w:val="000000" w:themeColor="text1"/>
          <w:kern w:val="2"/>
          <w:sz w:val="28"/>
          <w:szCs w:val="28"/>
          <w:highlight w:val="none"/>
          <w:lang w:eastAsia="zh-CN"/>
          <w14:textFill>
            <w14:solidFill>
              <w14:schemeClr w14:val="tx1"/>
            </w14:solidFill>
          </w14:textFill>
        </w:rPr>
        <w:t>中小企业声明函</w:t>
      </w:r>
    </w:p>
    <w:p w14:paraId="614A3CAA">
      <w:pPr>
        <w:widowControl w:val="0"/>
        <w:spacing w:before="0" w:beforeAutospacing="0" w:after="0" w:afterAutospacing="0" w:line="360" w:lineRule="auto"/>
        <w:ind w:left="0" w:right="0" w:firstLine="420" w:firstLineChars="20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本公司</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郑重声明，根据《政府采购促进中小企业发展管理办法》（财库﹝2020﹞46 号）的规定，本公司</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xml:space="preserve">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参加</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单位名称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的</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项目名称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采购活动，提供的货物全部为符合政策要求的中小企业制造。相关企业（含联合体中的中小企业、签订分包意向协议的中小企业）的具体情况如下：</w:t>
      </w:r>
    </w:p>
    <w:p w14:paraId="0FD6953F">
      <w:pPr>
        <w:widowControl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1.</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标的名称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，属于</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采购文件中明确的所属行业</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；制造商为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企业名称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，从业人员</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人，营业收入为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万元，资产总额为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万元，属于</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中型企业、小型企业、微型企业</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14:paraId="40550385">
      <w:pPr>
        <w:widowControl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2.</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标的名称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，属于</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采购文件中明确的所属行业</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；制造商为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企业名称</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，从业人员</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人，营业收入为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万元，资产总额为</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        </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万元，属于</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2"/>
          <w:sz w:val="21"/>
          <w:szCs w:val="24"/>
          <w:highlight w:val="none"/>
          <w:u w:val="single"/>
          <w:lang w:val="en-US" w:eastAsia="zh-CN" w:bidi="ar-SA"/>
          <w14:textFill>
            <w14:solidFill>
              <w14:schemeClr w14:val="tx1"/>
            </w14:solidFill>
          </w14:textFill>
        </w:rPr>
        <w:t>中型企业、小型企业、微型企业</w:t>
      </w:r>
      <w:r>
        <w:rPr>
          <w:rFonts w:hint="eastAsia" w:ascii="宋体" w:hAnsi="宋体" w:eastAsia="宋体" w:cs="宋体"/>
          <w:color w:val="000000" w:themeColor="text1"/>
          <w:kern w:val="0"/>
          <w:sz w:val="21"/>
          <w:szCs w:val="21"/>
          <w:highlight w:val="none"/>
          <w:u w:val="single"/>
          <w:lang w:val="en-US" w:eastAsia="zh-CN" w:bidi="ar"/>
          <w14:textFill>
            <w14:solidFill>
              <w14:schemeClr w14:val="tx1"/>
            </w14:solidFill>
          </w14:textFill>
        </w:rPr>
        <w:t>）</w:t>
      </w: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14:paraId="74AAB779">
      <w:pPr>
        <w:widowControl w:val="0"/>
        <w:spacing w:before="0" w:beforeAutospacing="0" w:after="0" w:afterAutospacing="0" w:line="360" w:lineRule="auto"/>
        <w:ind w:left="0" w:right="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w:t>
      </w:r>
    </w:p>
    <w:p w14:paraId="348E5F71">
      <w:pPr>
        <w:widowControl w:val="0"/>
        <w:spacing w:before="0" w:beforeAutospacing="0" w:after="0" w:afterAutospacing="0" w:line="360" w:lineRule="auto"/>
        <w:ind w:left="0" w:right="0" w:firstLine="420" w:firstLineChars="200"/>
        <w:jc w:val="both"/>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以上企业，不属于大企业的分支机构，不存在控股股东为大企业的情形，也不存在与大企业的负责人为同一人的情形。</w:t>
      </w:r>
    </w:p>
    <w:p w14:paraId="3F451250">
      <w:pPr>
        <w:widowControl w:val="0"/>
        <w:spacing w:before="0" w:beforeAutospacing="0" w:after="0" w:afterAutospacing="0" w:line="360" w:lineRule="auto"/>
        <w:ind w:left="0" w:right="0"/>
        <w:jc w:val="both"/>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bidi="ar"/>
          <w14:textFill>
            <w14:solidFill>
              <w14:schemeClr w14:val="tx1"/>
            </w14:solidFill>
          </w14:textFill>
        </w:rPr>
        <w:t xml:space="preserve">　　本企业对上述声明内容的真实性负责。如有虚假，将依法承担相应责任。 </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 xml:space="preserve">        </w:t>
      </w:r>
    </w:p>
    <w:p w14:paraId="59703C26">
      <w:pPr>
        <w:widowControl w:val="0"/>
        <w:spacing w:before="0" w:beforeAutospacing="0" w:after="0" w:afterAutospacing="0" w:line="420" w:lineRule="atLeast"/>
        <w:ind w:left="0" w:right="0"/>
        <w:jc w:val="cente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p>
    <w:p w14:paraId="7FC76DF6">
      <w:pPr>
        <w:widowControl w:val="0"/>
        <w:spacing w:before="0" w:beforeAutospacing="0" w:after="0" w:afterAutospacing="0" w:line="360" w:lineRule="auto"/>
        <w:ind w:left="0" w:right="0"/>
        <w:jc w:val="cente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t>企业名称公章（电子签章）：</w:t>
      </w:r>
      <w:r>
        <w:rPr>
          <w:rFonts w:hint="eastAsia" w:ascii="宋体" w:hAnsi="宋体" w:eastAsia="宋体" w:cs="宋体"/>
          <w:b/>
          <w:color w:val="000000" w:themeColor="text1"/>
          <w:kern w:val="0"/>
          <w:sz w:val="21"/>
          <w:szCs w:val="21"/>
          <w:highlight w:val="none"/>
          <w:u w:val="single"/>
          <w:lang w:val="en-US" w:eastAsia="zh-CN" w:bidi="ar"/>
          <w14:textFill>
            <w14:solidFill>
              <w14:schemeClr w14:val="tx1"/>
            </w14:solidFill>
          </w14:textFill>
        </w:rPr>
        <w:t xml:space="preserve">              </w:t>
      </w:r>
      <w: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t xml:space="preserve">   </w:t>
      </w:r>
    </w:p>
    <w:p w14:paraId="26DD46E6">
      <w:pPr>
        <w:widowControl w:val="0"/>
        <w:autoSpaceDE w:val="0"/>
        <w:autoSpaceDN w:val="0"/>
        <w:adjustRightInd w:val="0"/>
        <w:spacing w:line="360" w:lineRule="auto"/>
        <w:ind w:firstLine="4427" w:firstLineChars="2100"/>
        <w:jc w:val="both"/>
        <w:rPr>
          <w:rFonts w:hint="eastAsia" w:ascii="宋体" w:hAnsi="宋体" w:eastAsia="宋体" w:cs="宋体"/>
          <w:b/>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日期：</w:t>
      </w:r>
      <w:r>
        <w:rPr>
          <w:rFonts w:hint="eastAsia" w:ascii="宋体" w:hAnsi="宋体" w:eastAsia="宋体" w:cs="宋体"/>
          <w:b/>
          <w:bCs/>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b/>
          <w:color w:val="000000" w:themeColor="text1"/>
          <w:sz w:val="21"/>
          <w:szCs w:val="21"/>
          <w:highlight w:val="none"/>
          <w:lang w:val="en-US" w:eastAsia="zh-CN" w:bidi="ar-SA"/>
          <w14:textFill>
            <w14:solidFill>
              <w14:schemeClr w14:val="tx1"/>
            </w14:solidFill>
          </w14:textFill>
        </w:rPr>
        <w:t> </w:t>
      </w:r>
    </w:p>
    <w:p w14:paraId="63DD5E1E">
      <w:pPr>
        <w:widowControl w:val="0"/>
        <w:kinsoku/>
        <w:autoSpaceDE/>
        <w:autoSpaceDN/>
        <w:adjustRightInd/>
        <w:snapToGrid/>
        <w:jc w:val="both"/>
        <w:textAlignment w:val="auto"/>
        <w:rPr>
          <w:rFonts w:hint="eastAsia" w:ascii="宋体" w:hAnsi="宋体" w:eastAsia="宋体" w:cs="宋体"/>
          <w:snapToGrid/>
          <w:color w:val="000000" w:themeColor="text1"/>
          <w:kern w:val="2"/>
          <w:sz w:val="18"/>
          <w:szCs w:val="18"/>
          <w:highlight w:val="none"/>
          <w:lang w:eastAsia="zh-CN" w:bidi="ar"/>
          <w14:textFill>
            <w14:solidFill>
              <w14:schemeClr w14:val="tx1"/>
            </w14:solidFill>
          </w14:textFill>
        </w:rPr>
      </w:pPr>
    </w:p>
    <w:p w14:paraId="70C88B84">
      <w:pPr>
        <w:widowControl w:val="0"/>
        <w:kinsoku/>
        <w:autoSpaceDE/>
        <w:autoSpaceDN/>
        <w:adjustRightInd/>
        <w:snapToGrid/>
        <w:ind w:firstLine="420" w:firstLineChars="200"/>
        <w:jc w:val="both"/>
        <w:textAlignment w:val="auto"/>
        <w:rPr>
          <w:rFonts w:hint="eastAsia" w:ascii="宋体" w:hAnsi="宋体" w:eastAsia="宋体" w:cs="宋体"/>
          <w:snapToGrid/>
          <w:color w:val="000000" w:themeColor="text1"/>
          <w:kern w:val="2"/>
          <w:szCs w:val="24"/>
          <w:highlight w:val="none"/>
          <w:lang w:eastAsia="zh-CN" w:bidi="ar"/>
          <w14:textFill>
            <w14:solidFill>
              <w14:schemeClr w14:val="tx1"/>
            </w14:solidFill>
          </w14:textFill>
        </w:rPr>
      </w:pPr>
    </w:p>
    <w:p w14:paraId="04ABC4C1">
      <w:pPr>
        <w:widowControl w:val="0"/>
        <w:kinsoku/>
        <w:autoSpaceDE/>
        <w:autoSpaceDN/>
        <w:adjustRightInd/>
        <w:snapToGrid/>
        <w:ind w:firstLine="420" w:firstLineChars="200"/>
        <w:jc w:val="both"/>
        <w:textAlignment w:val="auto"/>
        <w:rPr>
          <w:rFonts w:hint="eastAsia" w:ascii="宋体" w:hAnsi="宋体" w:eastAsia="宋体" w:cs="宋体"/>
          <w:snapToGrid/>
          <w:color w:val="000000" w:themeColor="text1"/>
          <w:kern w:val="2"/>
          <w:szCs w:val="24"/>
          <w:highlight w:val="none"/>
          <w:lang w:eastAsia="zh-CN"/>
          <w14:textFill>
            <w14:solidFill>
              <w14:schemeClr w14:val="tx1"/>
            </w14:solidFill>
          </w14:textFill>
        </w:rPr>
      </w:pPr>
      <w:r>
        <w:rPr>
          <w:rFonts w:hint="eastAsia" w:ascii="宋体" w:hAnsi="宋体" w:eastAsia="宋体" w:cs="宋体"/>
          <w:snapToGrid/>
          <w:color w:val="000000" w:themeColor="text1"/>
          <w:kern w:val="2"/>
          <w:szCs w:val="24"/>
          <w:highlight w:val="none"/>
          <w:lang w:eastAsia="zh-CN" w:bidi="ar"/>
          <w14:textFill>
            <w14:solidFill>
              <w14:schemeClr w14:val="tx1"/>
            </w14:solidFill>
          </w14:textFill>
        </w:rPr>
        <w:t>从业人员、营业收入、资产总额填报上一年度数据，无上一年度数据的新成立企业可不填报。</w:t>
      </w:r>
    </w:p>
    <w:p w14:paraId="15B94422">
      <w:pPr>
        <w:widowControl w:val="0"/>
        <w:tabs>
          <w:tab w:val="left" w:pos="1305"/>
        </w:tabs>
        <w:kinsoku/>
        <w:autoSpaceDE/>
        <w:autoSpaceDN/>
        <w:adjustRightInd/>
        <w:snapToGrid/>
        <w:ind w:firstLine="413" w:firstLineChars="196"/>
        <w:jc w:val="both"/>
        <w:textAlignment w:val="auto"/>
        <w:rPr>
          <w:rFonts w:hint="eastAsia" w:ascii="宋体" w:hAnsi="宋体" w:eastAsia="宋体" w:cs="宋体"/>
          <w:b/>
          <w:snapToGrid/>
          <w:color w:val="000000" w:themeColor="text1"/>
          <w:kern w:val="2"/>
          <w:szCs w:val="24"/>
          <w:highlight w:val="none"/>
          <w:lang w:eastAsia="zh-CN"/>
          <w14:textFill>
            <w14:solidFill>
              <w14:schemeClr w14:val="tx1"/>
            </w14:solidFill>
          </w14:textFill>
        </w:rPr>
      </w:pPr>
    </w:p>
    <w:p w14:paraId="1CFBBFBF">
      <w:pPr>
        <w:widowControl w:val="0"/>
        <w:tabs>
          <w:tab w:val="left" w:pos="1305"/>
        </w:tabs>
        <w:kinsoku/>
        <w:autoSpaceDE/>
        <w:autoSpaceDN/>
        <w:adjustRightInd/>
        <w:snapToGrid/>
        <w:ind w:firstLine="835" w:firstLineChars="396"/>
        <w:jc w:val="both"/>
        <w:textAlignment w:val="auto"/>
        <w:rPr>
          <w:rFonts w:hint="eastAsia" w:ascii="宋体" w:hAnsi="宋体" w:eastAsia="宋体" w:cs="宋体"/>
          <w:b/>
          <w:snapToGrid/>
          <w:color w:val="000000" w:themeColor="text1"/>
          <w:kern w:val="2"/>
          <w:szCs w:val="24"/>
          <w:highlight w:val="none"/>
          <w:lang w:val="en-US" w:eastAsia="zh-CN"/>
          <w14:textFill>
            <w14:solidFill>
              <w14:schemeClr w14:val="tx1"/>
            </w14:solidFill>
          </w14:textFill>
        </w:rPr>
      </w:pPr>
      <w:r>
        <w:rPr>
          <w:rFonts w:hint="eastAsia" w:ascii="宋体" w:hAnsi="宋体" w:eastAsia="宋体" w:cs="宋体"/>
          <w:b/>
          <w:snapToGrid/>
          <w:color w:val="000000" w:themeColor="text1"/>
          <w:kern w:val="2"/>
          <w:szCs w:val="24"/>
          <w:highlight w:val="none"/>
          <w:lang w:eastAsia="zh-CN"/>
          <w14:textFill>
            <w14:solidFill>
              <w14:schemeClr w14:val="tx1"/>
            </w14:solidFill>
          </w14:textFill>
        </w:rPr>
        <w:t>注：</w:t>
      </w:r>
      <w:r>
        <w:rPr>
          <w:rFonts w:hint="eastAsia" w:ascii="宋体" w:hAnsi="宋体" w:eastAsia="宋体" w:cs="宋体"/>
          <w:b/>
          <w:snapToGrid/>
          <w:color w:val="000000" w:themeColor="text1"/>
          <w:kern w:val="2"/>
          <w:szCs w:val="24"/>
          <w:highlight w:val="none"/>
          <w:lang w:val="en-US" w:eastAsia="zh-CN"/>
          <w14:textFill>
            <w14:solidFill>
              <w14:schemeClr w14:val="tx1"/>
            </w14:solidFill>
          </w14:textFill>
        </w:rPr>
        <w:t>注：1.从业人员、营业收入、资产总额填报上一年度数据，无上一年度数据的新成立企业可不填报。</w:t>
      </w:r>
    </w:p>
    <w:p w14:paraId="6E4F976C">
      <w:pPr>
        <w:widowControl w:val="0"/>
        <w:tabs>
          <w:tab w:val="left" w:pos="1305"/>
        </w:tabs>
        <w:kinsoku/>
        <w:autoSpaceDE/>
        <w:autoSpaceDN/>
        <w:adjustRightInd/>
        <w:snapToGrid/>
        <w:ind w:firstLine="835" w:firstLineChars="396"/>
        <w:jc w:val="both"/>
        <w:textAlignment w:val="auto"/>
        <w:rPr>
          <w:rFonts w:hint="eastAsia" w:ascii="宋体" w:hAnsi="宋体" w:eastAsia="宋体" w:cs="宋体"/>
          <w:b/>
          <w:bCs/>
          <w:snapToGrid/>
          <w:color w:val="000000" w:themeColor="text1"/>
          <w:kern w:val="2"/>
          <w:sz w:val="32"/>
          <w:szCs w:val="24"/>
          <w:highlight w:val="none"/>
          <w:lang w:val="en-US" w:eastAsia="zh-CN"/>
          <w14:textFill>
            <w14:solidFill>
              <w14:schemeClr w14:val="tx1"/>
            </w14:solidFill>
          </w14:textFill>
        </w:rPr>
      </w:pPr>
      <w:r>
        <w:rPr>
          <w:rFonts w:hint="eastAsia" w:ascii="宋体" w:hAnsi="宋体" w:eastAsia="宋体" w:cs="宋体"/>
          <w:b/>
          <w:snapToGrid/>
          <w:color w:val="000000" w:themeColor="text1"/>
          <w:kern w:val="2"/>
          <w:szCs w:val="24"/>
          <w:highlight w:val="none"/>
          <w:lang w:val="en-US" w:eastAsia="zh-CN"/>
          <w14:textFill>
            <w14:solidFill>
              <w14:schemeClr w14:val="tx1"/>
            </w14:solidFill>
          </w14:textFill>
        </w:rPr>
        <w:t>2.中小企业在政府采购活动过程中，请根据自己的真实情况出具本声明函。依法享受中小企业优惠政策的，采购人或采购代理机构在公告成交结果时，同时公告其《中小企业声明函》，接受社会监督。</w:t>
      </w:r>
    </w:p>
    <w:p w14:paraId="49EAE2C0">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p>
    <w:p w14:paraId="7A9F63F2">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p>
    <w:p w14:paraId="7E084A17">
      <w:pPr>
        <w:widowControl w:val="0"/>
        <w:tabs>
          <w:tab w:val="left" w:pos="1305"/>
        </w:tabs>
        <w:kinsoku/>
        <w:autoSpaceDE/>
        <w:autoSpaceDN/>
        <w:adjustRightInd/>
        <w:snapToGrid/>
        <w:spacing w:line="360" w:lineRule="auto"/>
        <w:ind w:firstLine="562" w:firstLineChars="200"/>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p>
    <w:p w14:paraId="0627C733">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p>
    <w:p w14:paraId="5CED97AC">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8"/>
          <w:szCs w:val="28"/>
          <w:highlight w:val="none"/>
          <w:lang w:val="en-US" w:eastAsia="zh-CN"/>
          <w14:textFill>
            <w14:solidFill>
              <w14:schemeClr w14:val="tx1"/>
            </w14:solidFill>
          </w14:textFill>
        </w:rPr>
        <w:t>2.</w:t>
      </w:r>
      <w:r>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t>监狱企业的证明文件【供应商如为监狱企业的，应当提供由省级以上监狱管理局、戒毒管理局（含新疆生产建设兵团）出具的属于监狱企业的证明文件,否则不予享受优惠政策】</w:t>
      </w:r>
      <w:r>
        <w:rPr>
          <w:rFonts w:hint="eastAsia" w:ascii="宋体" w:hAnsi="宋体" w:eastAsia="宋体" w:cs="宋体"/>
          <w:b/>
          <w:snapToGrid/>
          <w:color w:val="000000" w:themeColor="text1"/>
          <w:kern w:val="2"/>
          <w:sz w:val="28"/>
          <w:szCs w:val="28"/>
          <w:highlight w:val="none"/>
          <w:lang w:eastAsia="zh-CN"/>
          <w14:textFill>
            <w14:solidFill>
              <w14:schemeClr w14:val="tx1"/>
            </w14:solidFill>
          </w14:textFill>
        </w:rPr>
        <w:t>（如有，请提供）</w:t>
      </w:r>
      <w:r>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t>；</w:t>
      </w:r>
      <w:bookmarkStart w:id="45" w:name="OLE_LINK13"/>
      <w:bookmarkStart w:id="46" w:name="OLE_LINK14"/>
    </w:p>
    <w:p w14:paraId="0DA75208">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p>
    <w:p w14:paraId="78D40D7C">
      <w:pPr>
        <w:widowControl w:val="0"/>
        <w:tabs>
          <w:tab w:val="left" w:pos="1305"/>
        </w:tabs>
        <w:kinsoku/>
        <w:autoSpaceDE/>
        <w:autoSpaceDN/>
        <w:adjustRightInd/>
        <w:snapToGrid/>
        <w:spacing w:line="360" w:lineRule="auto"/>
        <w:jc w:val="both"/>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8"/>
          <w:szCs w:val="28"/>
          <w:highlight w:val="none"/>
          <w:lang w:val="en-US" w:eastAsia="zh-CN"/>
          <w14:textFill>
            <w14:solidFill>
              <w14:schemeClr w14:val="tx1"/>
            </w14:solidFill>
          </w14:textFill>
        </w:rPr>
        <w:t>3.</w:t>
      </w:r>
      <w:r>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t>《残疾人福利性单位声明函》【符合条件的残疾人福利性单位在参加政府采购活动时，应当提供《残疾人福利性单位声明函》（格式见附件），并对声明的真实性负责】</w:t>
      </w:r>
      <w:r>
        <w:rPr>
          <w:rFonts w:hint="eastAsia" w:ascii="宋体" w:hAnsi="宋体" w:eastAsia="宋体" w:cs="宋体"/>
          <w:b/>
          <w:snapToGrid/>
          <w:color w:val="000000" w:themeColor="text1"/>
          <w:kern w:val="2"/>
          <w:sz w:val="28"/>
          <w:szCs w:val="28"/>
          <w:highlight w:val="none"/>
          <w:lang w:eastAsia="zh-CN"/>
          <w14:textFill>
            <w14:solidFill>
              <w14:schemeClr w14:val="tx1"/>
            </w14:solidFill>
          </w14:textFill>
        </w:rPr>
        <w:t>（如有，请提供）</w:t>
      </w:r>
      <w:r>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t>；</w:t>
      </w:r>
    </w:p>
    <w:p w14:paraId="6072664A">
      <w:pPr>
        <w:widowControl w:val="0"/>
        <w:kinsoku/>
        <w:autoSpaceDE/>
        <w:autoSpaceDN/>
        <w:adjustRightInd/>
        <w:snapToGrid/>
        <w:spacing w:before="317" w:beforeLines="100" w:after="317" w:afterLines="100" w:line="360" w:lineRule="auto"/>
        <w:jc w:val="center"/>
        <w:textAlignment w:val="auto"/>
        <w:rPr>
          <w:rFonts w:hint="eastAsia" w:ascii="宋体" w:hAnsi="宋体" w:eastAsia="宋体" w:cs="宋体"/>
          <w:b/>
          <w:snapToGrid/>
          <w:color w:val="000000" w:themeColor="text1"/>
          <w:spacing w:val="6"/>
          <w:kern w:val="2"/>
          <w:sz w:val="28"/>
          <w:szCs w:val="28"/>
          <w:highlight w:val="none"/>
          <w:lang w:eastAsia="zh-CN"/>
          <w14:textFill>
            <w14:solidFill>
              <w14:schemeClr w14:val="tx1"/>
            </w14:solidFill>
          </w14:textFill>
        </w:rPr>
      </w:pPr>
      <w:r>
        <w:rPr>
          <w:rFonts w:hint="eastAsia" w:ascii="宋体" w:hAnsi="宋体" w:eastAsia="宋体" w:cs="宋体"/>
          <w:b/>
          <w:snapToGrid/>
          <w:color w:val="000000" w:themeColor="text1"/>
          <w:spacing w:val="6"/>
          <w:kern w:val="2"/>
          <w:sz w:val="28"/>
          <w:szCs w:val="28"/>
          <w:highlight w:val="none"/>
          <w:lang w:eastAsia="zh-CN"/>
          <w14:textFill>
            <w14:solidFill>
              <w14:schemeClr w14:val="tx1"/>
            </w14:solidFill>
          </w14:textFill>
        </w:rPr>
        <w:t>残疾人福利性单位声明函</w:t>
      </w:r>
      <w:bookmarkEnd w:id="45"/>
      <w:bookmarkEnd w:id="46"/>
    </w:p>
    <w:p w14:paraId="2DB7EC2D">
      <w:pPr>
        <w:widowControl w:val="0"/>
        <w:kinsoku/>
        <w:autoSpaceDE/>
        <w:autoSpaceDN/>
        <w:adjustRightInd/>
        <w:snapToGrid/>
        <w:spacing w:line="588" w:lineRule="exact"/>
        <w:ind w:firstLine="504" w:firstLineChars="200"/>
        <w:jc w:val="both"/>
        <w:textAlignment w:val="auto"/>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snapToGrid/>
          <w:color w:val="000000" w:themeColor="text1"/>
          <w:kern w:val="2"/>
          <w:sz w:val="24"/>
          <w:szCs w:val="24"/>
          <w:highlight w:val="none"/>
          <w:lang w:eastAsia="zh-CN"/>
          <w14:textFill>
            <w14:solidFill>
              <w14:schemeClr w14:val="tx1"/>
            </w14:solidFill>
          </w14:textFill>
        </w:rPr>
        <w:t>〔2017〕141</w:t>
      </w:r>
      <w:r>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6DBB185">
      <w:pPr>
        <w:widowControl w:val="0"/>
        <w:kinsoku/>
        <w:autoSpaceDE/>
        <w:autoSpaceDN/>
        <w:adjustRightInd/>
        <w:snapToGrid/>
        <w:spacing w:line="588" w:lineRule="exact"/>
        <w:ind w:firstLine="504" w:firstLineChars="200"/>
        <w:jc w:val="both"/>
        <w:textAlignment w:val="auto"/>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pPr>
      <w:r>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t>本单位对上述声明的真实性负责。如有虚假，将依法承担相应责任。</w:t>
      </w:r>
    </w:p>
    <w:p w14:paraId="453B6C63">
      <w:pPr>
        <w:widowControl w:val="0"/>
        <w:kinsoku/>
        <w:autoSpaceDE/>
        <w:autoSpaceDN/>
        <w:adjustRightInd/>
        <w:snapToGrid/>
        <w:spacing w:line="588" w:lineRule="exact"/>
        <w:jc w:val="both"/>
        <w:textAlignment w:val="auto"/>
        <w:rPr>
          <w:rFonts w:hint="eastAsia" w:ascii="宋体" w:hAnsi="宋体" w:eastAsia="宋体" w:cs="宋体"/>
          <w:snapToGrid/>
          <w:color w:val="000000" w:themeColor="text1"/>
          <w:spacing w:val="6"/>
          <w:kern w:val="2"/>
          <w:sz w:val="24"/>
          <w:szCs w:val="24"/>
          <w:highlight w:val="none"/>
          <w:lang w:eastAsia="zh-CN"/>
          <w14:textFill>
            <w14:solidFill>
              <w14:schemeClr w14:val="tx1"/>
            </w14:solidFill>
          </w14:textFill>
        </w:rPr>
      </w:pPr>
    </w:p>
    <w:p w14:paraId="286D6848">
      <w:pPr>
        <w:widowControl w:val="0"/>
        <w:tabs>
          <w:tab w:val="left" w:pos="4860"/>
        </w:tabs>
        <w:kinsoku/>
        <w:autoSpaceDE/>
        <w:autoSpaceDN/>
        <w:adjustRightInd/>
        <w:snapToGrid/>
        <w:spacing w:line="588" w:lineRule="exact"/>
        <w:ind w:right="1560" w:firstLine="506" w:firstLineChars="200"/>
        <w:jc w:val="center"/>
        <w:textAlignment w:val="auto"/>
        <w:rPr>
          <w:rFonts w:hint="eastAsia" w:ascii="宋体" w:hAnsi="宋体" w:eastAsia="宋体" w:cs="宋体"/>
          <w:b/>
          <w:snapToGrid/>
          <w:color w:val="000000" w:themeColor="text1"/>
          <w:spacing w:val="6"/>
          <w:kern w:val="2"/>
          <w:sz w:val="24"/>
          <w:szCs w:val="24"/>
          <w:highlight w:val="none"/>
          <w:u w:val="single"/>
          <w:lang w:eastAsia="zh-CN"/>
          <w14:textFill>
            <w14:solidFill>
              <w14:schemeClr w14:val="tx1"/>
            </w14:solidFill>
          </w14:textFill>
        </w:rPr>
      </w:pPr>
      <w:r>
        <w:rPr>
          <w:rFonts w:hint="eastAsia" w:ascii="宋体" w:hAnsi="宋体" w:eastAsia="宋体" w:cs="宋体"/>
          <w:b/>
          <w:snapToGrid/>
          <w:color w:val="000000" w:themeColor="text1"/>
          <w:spacing w:val="6"/>
          <w:kern w:val="2"/>
          <w:sz w:val="24"/>
          <w:szCs w:val="24"/>
          <w:highlight w:val="none"/>
          <w:lang w:eastAsia="zh-CN"/>
          <w14:textFill>
            <w14:solidFill>
              <w14:schemeClr w14:val="tx1"/>
            </w14:solidFill>
          </w14:textFill>
        </w:rPr>
        <w:t xml:space="preserve">                 单位名称公章（CA签章）：</w:t>
      </w:r>
      <w:r>
        <w:rPr>
          <w:rFonts w:hint="eastAsia" w:ascii="宋体" w:hAnsi="宋体" w:eastAsia="宋体" w:cs="宋体"/>
          <w:b/>
          <w:snapToGrid/>
          <w:color w:val="000000" w:themeColor="text1"/>
          <w:spacing w:val="6"/>
          <w:kern w:val="2"/>
          <w:sz w:val="24"/>
          <w:szCs w:val="24"/>
          <w:highlight w:val="none"/>
          <w:u w:val="single"/>
          <w:lang w:eastAsia="zh-CN"/>
          <w14:textFill>
            <w14:solidFill>
              <w14:schemeClr w14:val="tx1"/>
            </w14:solidFill>
          </w14:textFill>
        </w:rPr>
        <w:t xml:space="preserve">           </w:t>
      </w:r>
    </w:p>
    <w:p w14:paraId="3636B715">
      <w:pPr>
        <w:widowControl w:val="0"/>
        <w:tabs>
          <w:tab w:val="left" w:pos="4860"/>
        </w:tabs>
        <w:kinsoku/>
        <w:autoSpaceDE/>
        <w:autoSpaceDN/>
        <w:adjustRightInd/>
        <w:snapToGrid/>
        <w:spacing w:line="588" w:lineRule="exact"/>
        <w:ind w:right="1560" w:firstLine="506" w:firstLineChars="200"/>
        <w:jc w:val="center"/>
        <w:textAlignment w:val="auto"/>
        <w:rPr>
          <w:rFonts w:hint="eastAsia" w:ascii="宋体" w:hAnsi="宋体" w:eastAsia="宋体" w:cs="宋体"/>
          <w:b/>
          <w:bCs/>
          <w:snapToGrid/>
          <w:color w:val="000000" w:themeColor="text1"/>
          <w:kern w:val="2"/>
          <w:sz w:val="24"/>
          <w:szCs w:val="24"/>
          <w:highlight w:val="none"/>
          <w:lang w:eastAsia="zh-CN"/>
          <w14:textFill>
            <w14:solidFill>
              <w14:schemeClr w14:val="tx1"/>
            </w14:solidFill>
          </w14:textFill>
        </w:rPr>
      </w:pPr>
      <w:r>
        <w:rPr>
          <w:rFonts w:hint="eastAsia" w:ascii="宋体" w:hAnsi="宋体" w:eastAsia="宋体" w:cs="宋体"/>
          <w:b/>
          <w:snapToGrid/>
          <w:color w:val="000000" w:themeColor="text1"/>
          <w:spacing w:val="6"/>
          <w:kern w:val="2"/>
          <w:sz w:val="24"/>
          <w:szCs w:val="24"/>
          <w:highlight w:val="none"/>
          <w:lang w:eastAsia="zh-CN"/>
          <w14:textFill>
            <w14:solidFill>
              <w14:schemeClr w14:val="tx1"/>
            </w14:solidFill>
          </w14:textFill>
        </w:rPr>
        <w:t xml:space="preserve">            日  期：</w:t>
      </w:r>
      <w:r>
        <w:rPr>
          <w:rFonts w:hint="eastAsia" w:ascii="宋体" w:hAnsi="宋体" w:eastAsia="宋体" w:cs="宋体"/>
          <w:b/>
          <w:bCs/>
          <w:snapToGrid/>
          <w:color w:val="000000" w:themeColor="text1"/>
          <w:kern w:val="2"/>
          <w:sz w:val="24"/>
          <w:szCs w:val="24"/>
          <w:highlight w:val="none"/>
          <w:u w:val="single"/>
          <w:lang w:eastAsia="zh-CN"/>
          <w14:textFill>
            <w14:solidFill>
              <w14:schemeClr w14:val="tx1"/>
            </w14:solidFill>
          </w14:textFill>
        </w:rPr>
        <w:t xml:space="preserve">                 </w:t>
      </w:r>
    </w:p>
    <w:p w14:paraId="2F022EA2">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000000" w:themeColor="text1"/>
          <w:kern w:val="2"/>
          <w:szCs w:val="24"/>
          <w:highlight w:val="none"/>
          <w:lang w:eastAsia="zh-CN"/>
          <w14:textFill>
            <w14:solidFill>
              <w14:schemeClr w14:val="tx1"/>
            </w14:solidFill>
          </w14:textFill>
        </w:rPr>
      </w:pPr>
    </w:p>
    <w:p w14:paraId="3A4D4508">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000000" w:themeColor="text1"/>
          <w:kern w:val="2"/>
          <w:szCs w:val="24"/>
          <w:highlight w:val="none"/>
          <w:lang w:eastAsia="zh-CN"/>
          <w14:textFill>
            <w14:solidFill>
              <w14:schemeClr w14:val="tx1"/>
            </w14:solidFill>
          </w14:textFill>
        </w:rPr>
      </w:pPr>
    </w:p>
    <w:p w14:paraId="3A14CB8F">
      <w:pPr>
        <w:widowControl w:val="0"/>
        <w:kinsoku/>
        <w:autoSpaceDE/>
        <w:autoSpaceDN/>
        <w:adjustRightInd/>
        <w:snapToGrid w:val="0"/>
        <w:spacing w:line="360" w:lineRule="auto"/>
        <w:ind w:firstLine="211" w:firstLineChars="100"/>
        <w:jc w:val="both"/>
        <w:textAlignment w:val="auto"/>
        <w:rPr>
          <w:rFonts w:hint="eastAsia" w:ascii="宋体" w:hAnsi="宋体" w:eastAsia="宋体" w:cs="宋体"/>
          <w:b/>
          <w:snapToGrid/>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snapToGrid/>
          <w:color w:val="000000" w:themeColor="text1"/>
          <w:kern w:val="2"/>
          <w:szCs w:val="24"/>
          <w:highlight w:val="none"/>
          <w:lang w:eastAsia="zh-CN"/>
          <w14:textFill>
            <w14:solidFill>
              <w14:schemeClr w14:val="tx1"/>
            </w14:solidFill>
          </w14:textFill>
        </w:rPr>
        <w:t>注：中标人为残疾人福利性单位的，采购人或者其委托的采购代理机构应当随中标、成交结果同时公告其《残疾人福利性单位声明函》，接受社会监督。</w:t>
      </w:r>
    </w:p>
    <w:p w14:paraId="59CE5454">
      <w:pPr>
        <w:widowControl w:val="0"/>
        <w:kinsoku/>
        <w:autoSpaceDE/>
        <w:autoSpaceDN/>
        <w:adjustRightInd/>
        <w:snapToGrid/>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650030E0">
      <w:pPr>
        <w:widowControl w:val="0"/>
        <w:autoSpaceDE w:val="0"/>
        <w:autoSpaceDN w:val="0"/>
        <w:adjustRightInd w:val="0"/>
        <w:spacing w:line="420" w:lineRule="exact"/>
        <w:ind w:firstLine="562" w:firstLineChars="200"/>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pPr>
    </w:p>
    <w:p w14:paraId="503E5DA9">
      <w:pPr>
        <w:widowControl w:val="0"/>
        <w:autoSpaceDE w:val="0"/>
        <w:autoSpaceDN w:val="0"/>
        <w:adjustRightInd w:val="0"/>
        <w:spacing w:line="420" w:lineRule="exact"/>
        <w:ind w:firstLine="562" w:firstLineChars="200"/>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pPr>
    </w:p>
    <w:p w14:paraId="5E3AE456">
      <w:pPr>
        <w:widowControl w:val="0"/>
        <w:autoSpaceDE w:val="0"/>
        <w:autoSpaceDN w:val="0"/>
        <w:adjustRightInd w:val="0"/>
        <w:spacing w:line="420" w:lineRule="exact"/>
        <w:ind w:firstLine="562" w:firstLineChars="200"/>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pPr>
    </w:p>
    <w:p w14:paraId="3DEBEB6B">
      <w:pPr>
        <w:widowControl w:val="0"/>
        <w:autoSpaceDE w:val="0"/>
        <w:autoSpaceDN w:val="0"/>
        <w:adjustRightInd w:val="0"/>
        <w:spacing w:line="420" w:lineRule="exact"/>
        <w:ind w:firstLine="562" w:firstLineChars="200"/>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pPr>
    </w:p>
    <w:p w14:paraId="0720DDF4">
      <w:pPr>
        <w:widowControl w:val="0"/>
        <w:autoSpaceDE w:val="0"/>
        <w:autoSpaceDN w:val="0"/>
        <w:adjustRightInd w:val="0"/>
        <w:spacing w:line="420" w:lineRule="exact"/>
        <w:ind w:firstLine="562" w:firstLineChars="200"/>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pPr>
    </w:p>
    <w:p w14:paraId="7E7DF3BF">
      <w:pPr>
        <w:widowControl w:val="0"/>
        <w:autoSpaceDE w:val="0"/>
        <w:autoSpaceDN w:val="0"/>
        <w:adjustRightInd w:val="0"/>
        <w:spacing w:line="420" w:lineRule="exact"/>
        <w:rPr>
          <w:rFonts w:hint="eastAsia" w:ascii="宋体" w:hAnsi="宋体" w:eastAsia="宋体" w:cs="宋体"/>
          <w:b/>
          <w:color w:val="000000" w:themeColor="text1"/>
          <w:sz w:val="28"/>
          <w:szCs w:val="28"/>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t>4.关于符合本国产品标准的声明函</w:t>
      </w:r>
      <w:r>
        <w:rPr>
          <w:rFonts w:hint="eastAsia" w:ascii="宋体" w:hAnsi="宋体" w:eastAsia="宋体" w:cs="宋体"/>
          <w:b/>
          <w:color w:val="000000" w:themeColor="text1"/>
          <w:kern w:val="2"/>
          <w:sz w:val="28"/>
          <w:szCs w:val="28"/>
          <w:highlight w:val="none"/>
          <w:lang w:val="en-US" w:eastAsia="zh-CN" w:bidi="ar-SA"/>
          <w14:textFill>
            <w14:solidFill>
              <w14:schemeClr w14:val="tx1"/>
            </w14:solidFill>
          </w14:textFill>
        </w:rPr>
        <w:t>（见附件）</w:t>
      </w:r>
      <w:r>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t>（如有，请提供）；</w:t>
      </w:r>
    </w:p>
    <w:p w14:paraId="05741747">
      <w:pPr>
        <w:widowControl w:val="0"/>
        <w:kinsoku/>
        <w:autoSpaceDE/>
        <w:autoSpaceDN/>
        <w:adjustRightInd/>
        <w:snapToGrid/>
        <w:spacing w:before="317" w:beforeLines="100" w:after="317" w:afterLines="100" w:line="360" w:lineRule="auto"/>
        <w:jc w:val="center"/>
        <w:textAlignment w:val="auto"/>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pPr>
      <w:r>
        <w:rPr>
          <w:rFonts w:hint="eastAsia" w:ascii="宋体" w:hAnsi="宋体" w:eastAsia="宋体" w:cs="宋体"/>
          <w:b/>
          <w:bCs/>
          <w:snapToGrid/>
          <w:color w:val="000000" w:themeColor="text1"/>
          <w:kern w:val="2"/>
          <w:sz w:val="28"/>
          <w:szCs w:val="28"/>
          <w:highlight w:val="none"/>
          <w:lang w:eastAsia="zh-CN"/>
          <w14:textFill>
            <w14:solidFill>
              <w14:schemeClr w14:val="tx1"/>
            </w14:solidFill>
          </w14:textFill>
        </w:rPr>
        <w:t>关于符合本国产品标准的声明函</w:t>
      </w:r>
    </w:p>
    <w:p w14:paraId="0C35F509">
      <w:pPr>
        <w:widowControl w:val="0"/>
        <w:kinsoku/>
        <w:autoSpaceDE/>
        <w:autoSpaceDN/>
        <w:adjustRightInd/>
        <w:snapToGrid/>
        <w:spacing w:line="460" w:lineRule="exact"/>
        <w:ind w:firstLine="444" w:firstLineChars="200"/>
        <w:jc w:val="both"/>
        <w:textAlignment w:val="auto"/>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pP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本公司</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（单位名称）</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郑重声明，根据《国务院办公厅关于在政府采购中实施本国产品标准及相关政策的通知》（国办发〔2025〕34号）的规定，本公司（单位）提供的以下产品属于本国产品。具体情况如下:</w:t>
      </w:r>
    </w:p>
    <w:p w14:paraId="72114866">
      <w:pPr>
        <w:widowControl w:val="0"/>
        <w:kinsoku/>
        <w:autoSpaceDE/>
        <w:autoSpaceDN/>
        <w:adjustRightInd/>
        <w:snapToGrid/>
        <w:spacing w:line="460" w:lineRule="exact"/>
        <w:ind w:left="210" w:leftChars="100" w:firstLine="222" w:firstLineChars="100"/>
        <w:jc w:val="left"/>
        <w:textAlignment w:val="auto"/>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pP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1.</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（产品名称1）</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，生产厂为</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（厂名） </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 xml:space="preserve">，厂址为 </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（生产厂址）</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（产品名称1）</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的中国境内生产的组件成本占比≥</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（规定比例）</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（产品名称1）</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（关键组件）</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在中国境内生产。</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（产品名称1）</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（关键工序）</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在中国境内完成。</w:t>
      </w:r>
    </w:p>
    <w:p w14:paraId="26DDCAEA">
      <w:pPr>
        <w:widowControl w:val="0"/>
        <w:kinsoku/>
        <w:autoSpaceDE/>
        <w:autoSpaceDN/>
        <w:adjustRightInd/>
        <w:snapToGrid/>
        <w:spacing w:line="460" w:lineRule="exact"/>
        <w:ind w:firstLine="444" w:firstLineChars="200"/>
        <w:jc w:val="both"/>
        <w:textAlignment w:val="auto"/>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pP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2.</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（产品名称2）</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，生产厂为</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（厂名） </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 xml:space="preserve">，厂址为 </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（生产厂址）</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（产品名称2）</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的中国境内生产的组件成本占比≥</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（规定比例）</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（产品名称2）</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（关键组件）</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在中国境内生产。</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 xml:space="preserve">        （产品名称2）</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的</w:t>
      </w:r>
      <w:r>
        <w:rPr>
          <w:rFonts w:hint="eastAsia" w:ascii="宋体" w:hAnsi="宋体" w:eastAsia="宋体" w:cs="宋体"/>
          <w:snapToGrid/>
          <w:color w:val="000000" w:themeColor="text1"/>
          <w:spacing w:val="6"/>
          <w:kern w:val="2"/>
          <w:szCs w:val="21"/>
          <w:highlight w:val="none"/>
          <w:u w:val="single"/>
          <w:lang w:eastAsia="zh-CN"/>
          <w14:textFill>
            <w14:solidFill>
              <w14:schemeClr w14:val="tx1"/>
            </w14:solidFill>
          </w14:textFill>
        </w:rPr>
        <w:t>（关键工序）</w:t>
      </w:r>
      <w:r>
        <w:rPr>
          <w:rFonts w:hint="eastAsia" w:ascii="宋体" w:hAnsi="宋体" w:eastAsia="宋体" w:cs="宋体"/>
          <w:snapToGrid/>
          <w:color w:val="000000" w:themeColor="text1"/>
          <w:spacing w:val="6"/>
          <w:kern w:val="2"/>
          <w:szCs w:val="21"/>
          <w:highlight w:val="none"/>
          <w:lang w:eastAsia="zh-CN"/>
          <w14:textFill>
            <w14:solidFill>
              <w14:schemeClr w14:val="tx1"/>
            </w14:solidFill>
          </w14:textFill>
        </w:rPr>
        <w:t>在中国境内完成。</w:t>
      </w:r>
    </w:p>
    <w:p w14:paraId="449287B5">
      <w:pPr>
        <w:widowControl w:val="0"/>
        <w:kinsoku/>
        <w:autoSpaceDE/>
        <w:autoSpaceDN/>
        <w:adjustRightInd/>
        <w:snapToGrid/>
        <w:spacing w:line="460" w:lineRule="exact"/>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3D47765C">
      <w:pPr>
        <w:widowControl w:val="0"/>
        <w:kinsoku/>
        <w:autoSpaceDE/>
        <w:autoSpaceDN/>
        <w:adjustRightInd/>
        <w:snapToGrid/>
        <w:spacing w:line="460" w:lineRule="exact"/>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w:t>
      </w:r>
    </w:p>
    <w:p w14:paraId="40244ADF">
      <w:pPr>
        <w:widowControl w:val="0"/>
        <w:kinsoku/>
        <w:autoSpaceDE/>
        <w:autoSpaceDN/>
        <w:adjustRightInd/>
        <w:snapToGrid/>
        <w:spacing w:line="460" w:lineRule="exact"/>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5D272BC1">
      <w:pPr>
        <w:widowControl w:val="0"/>
        <w:kinsoku/>
        <w:autoSpaceDE/>
        <w:autoSpaceDN/>
        <w:adjustRightInd/>
        <w:snapToGrid/>
        <w:spacing w:line="460" w:lineRule="exact"/>
        <w:ind w:firstLine="420" w:firstLineChars="200"/>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r>
        <w:rPr>
          <w:rFonts w:hint="eastAsia" w:ascii="宋体" w:hAnsi="宋体" w:eastAsia="宋体" w:cs="宋体"/>
          <w:snapToGrid/>
          <w:color w:val="000000" w:themeColor="text1"/>
          <w:kern w:val="2"/>
          <w:szCs w:val="21"/>
          <w:highlight w:val="none"/>
          <w:lang w:eastAsia="zh-CN"/>
          <w14:textFill>
            <w14:solidFill>
              <w14:schemeClr w14:val="tx1"/>
            </w14:solidFill>
          </w14:textFill>
        </w:rPr>
        <w:t>本公司（单位）对上述声明内容的真实性负责。如有虚假，愿承担相应法律责任。</w:t>
      </w:r>
    </w:p>
    <w:p w14:paraId="6BD7CA91">
      <w:pPr>
        <w:widowControl w:val="0"/>
        <w:kinsoku/>
        <w:autoSpaceDE/>
        <w:autoSpaceDN/>
        <w:adjustRightInd/>
        <w:snapToGrid/>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7B5A7E54">
      <w:pPr>
        <w:widowControl w:val="0"/>
        <w:kinsoku/>
        <w:autoSpaceDE/>
        <w:autoSpaceDN/>
        <w:adjustRightInd/>
        <w:snapToGrid/>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1193CCE8">
      <w:pPr>
        <w:widowControl w:val="0"/>
        <w:kinsoku/>
        <w:autoSpaceDE/>
        <w:autoSpaceDN/>
        <w:adjustRightInd/>
        <w:snapToGrid/>
        <w:jc w:val="both"/>
        <w:textAlignment w:val="auto"/>
        <w:rPr>
          <w:rFonts w:hint="eastAsia" w:ascii="宋体" w:hAnsi="宋体" w:eastAsia="宋体" w:cs="宋体"/>
          <w:snapToGrid/>
          <w:color w:val="000000" w:themeColor="text1"/>
          <w:kern w:val="2"/>
          <w:szCs w:val="21"/>
          <w:highlight w:val="none"/>
          <w:lang w:eastAsia="zh-CN"/>
          <w14:textFill>
            <w14:solidFill>
              <w14:schemeClr w14:val="tx1"/>
            </w14:solidFill>
          </w14:textFill>
        </w:rPr>
      </w:pPr>
    </w:p>
    <w:p w14:paraId="69E2B1FB">
      <w:pPr>
        <w:widowControl w:val="0"/>
        <w:spacing w:before="0" w:beforeAutospacing="0" w:after="0" w:afterAutospacing="0" w:line="360" w:lineRule="auto"/>
        <w:ind w:left="0" w:right="0"/>
        <w:jc w:val="cente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t xml:space="preserve">                 企业名称公章（电子签章）：</w:t>
      </w:r>
      <w:r>
        <w:rPr>
          <w:rFonts w:hint="eastAsia" w:ascii="宋体" w:hAnsi="宋体" w:eastAsia="宋体" w:cs="宋体"/>
          <w:b/>
          <w:color w:val="000000" w:themeColor="text1"/>
          <w:kern w:val="0"/>
          <w:sz w:val="21"/>
          <w:szCs w:val="21"/>
          <w:highlight w:val="none"/>
          <w:u w:val="single"/>
          <w:lang w:val="en-US" w:eastAsia="zh-CN" w:bidi="ar"/>
          <w14:textFill>
            <w14:solidFill>
              <w14:schemeClr w14:val="tx1"/>
            </w14:solidFill>
          </w14:textFill>
        </w:rPr>
        <w:t xml:space="preserve">              </w:t>
      </w:r>
      <w:r>
        <w:rPr>
          <w:rFonts w:hint="eastAsia" w:ascii="宋体" w:hAnsi="宋体" w:eastAsia="宋体" w:cs="宋体"/>
          <w:b/>
          <w:color w:val="000000" w:themeColor="text1"/>
          <w:kern w:val="0"/>
          <w:sz w:val="21"/>
          <w:szCs w:val="21"/>
          <w:highlight w:val="none"/>
          <w:lang w:val="en-US" w:eastAsia="zh-CN" w:bidi="ar"/>
          <w14:textFill>
            <w14:solidFill>
              <w14:schemeClr w14:val="tx1"/>
            </w14:solidFill>
          </w14:textFill>
        </w:rPr>
        <w:t xml:space="preserve">   </w:t>
      </w:r>
    </w:p>
    <w:p w14:paraId="0041367F">
      <w:pPr>
        <w:widowControl w:val="0"/>
        <w:autoSpaceDE w:val="0"/>
        <w:autoSpaceDN w:val="0"/>
        <w:adjustRightInd w:val="0"/>
        <w:spacing w:line="360" w:lineRule="auto"/>
        <w:ind w:firstLine="4427" w:firstLineChars="2100"/>
        <w:jc w:val="both"/>
        <w:rPr>
          <w:rFonts w:hint="eastAsia" w:ascii="宋体" w:hAnsi="宋体" w:eastAsia="宋体" w:cs="宋体"/>
          <w:b/>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bidi="ar-SA"/>
          <w14:textFill>
            <w14:solidFill>
              <w14:schemeClr w14:val="tx1"/>
            </w14:solidFill>
          </w14:textFill>
        </w:rPr>
        <w:t>日期：</w:t>
      </w:r>
      <w:r>
        <w:rPr>
          <w:rFonts w:hint="eastAsia" w:ascii="宋体" w:hAnsi="宋体" w:eastAsia="宋体" w:cs="宋体"/>
          <w:b/>
          <w:bCs/>
          <w:color w:val="000000" w:themeColor="text1"/>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b/>
          <w:color w:val="000000" w:themeColor="text1"/>
          <w:sz w:val="21"/>
          <w:szCs w:val="21"/>
          <w:highlight w:val="none"/>
          <w:lang w:val="en-US" w:eastAsia="zh-CN" w:bidi="ar-SA"/>
          <w14:textFill>
            <w14:solidFill>
              <w14:schemeClr w14:val="tx1"/>
            </w14:solidFill>
          </w14:textFill>
        </w:rPr>
        <w:t> </w:t>
      </w:r>
    </w:p>
    <w:p w14:paraId="202FF003">
      <w:pPr>
        <w:widowControl w:val="0"/>
        <w:kinsoku/>
        <w:autoSpaceDE/>
        <w:autoSpaceDN/>
        <w:adjustRightInd/>
        <w:snapToGrid/>
        <w:spacing w:line="360" w:lineRule="auto"/>
        <w:ind w:firstLine="562" w:firstLineChars="200"/>
        <w:jc w:val="both"/>
        <w:textAlignment w:val="auto"/>
        <w:rPr>
          <w:rFonts w:hint="eastAsia" w:ascii="宋体" w:hAnsi="宋体" w:eastAsia="宋体" w:cs="宋体"/>
          <w:b/>
          <w:snapToGrid/>
          <w:color w:val="000000" w:themeColor="text1"/>
          <w:kern w:val="2"/>
          <w:sz w:val="28"/>
          <w:szCs w:val="28"/>
          <w:highlight w:val="none"/>
          <w:lang w:eastAsia="zh-CN"/>
          <w14:textFill>
            <w14:solidFill>
              <w14:schemeClr w14:val="tx1"/>
            </w14:solidFill>
          </w14:textFill>
        </w:rPr>
      </w:pPr>
    </w:p>
    <w:p w14:paraId="556BF6B3">
      <w:pPr>
        <w:widowControl w:val="0"/>
        <w:kinsoku/>
        <w:autoSpaceDE/>
        <w:autoSpaceDN/>
        <w:adjustRightInd/>
        <w:snapToGrid/>
        <w:spacing w:line="360" w:lineRule="auto"/>
        <w:ind w:firstLine="422" w:firstLineChars="200"/>
        <w:jc w:val="both"/>
        <w:textAlignment w:val="auto"/>
        <w:rPr>
          <w:rFonts w:hint="eastAsia" w:ascii="宋体" w:hAnsi="宋体" w:eastAsia="宋体" w:cs="宋体"/>
          <w:b/>
          <w:snapToGrid/>
          <w:color w:val="000000" w:themeColor="text1"/>
          <w:kern w:val="2"/>
          <w:szCs w:val="21"/>
          <w:highlight w:val="none"/>
          <w:lang w:eastAsia="zh-CN"/>
          <w14:textFill>
            <w14:solidFill>
              <w14:schemeClr w14:val="tx1"/>
            </w14:solidFill>
          </w14:textFill>
        </w:rPr>
      </w:pPr>
      <w:r>
        <w:rPr>
          <w:rFonts w:hint="eastAsia" w:ascii="宋体" w:hAnsi="宋体" w:eastAsia="宋体" w:cs="宋体"/>
          <w:b/>
          <w:snapToGrid/>
          <w:color w:val="000000" w:themeColor="text1"/>
          <w:kern w:val="2"/>
          <w:szCs w:val="21"/>
          <w:highlight w:val="none"/>
          <w:lang w:eastAsia="zh-CN"/>
          <w14:textFill>
            <w14:solidFill>
              <w14:schemeClr w14:val="tx1"/>
            </w14:solidFill>
          </w14:textFill>
        </w:rPr>
        <w:t>注：供应商须按</w:t>
      </w:r>
      <w:r>
        <w:rPr>
          <w:rFonts w:hint="eastAsia" w:ascii="宋体" w:hAnsi="宋体" w:eastAsia="宋体" w:cs="宋体"/>
          <w:b/>
          <w:snapToGrid/>
          <w:color w:val="000000" w:themeColor="text1"/>
          <w:spacing w:val="6"/>
          <w:kern w:val="2"/>
          <w:szCs w:val="21"/>
          <w:highlight w:val="none"/>
          <w:lang w:eastAsia="zh-CN"/>
          <w14:textFill>
            <w14:solidFill>
              <w14:schemeClr w14:val="tx1"/>
            </w14:solidFill>
          </w14:textFill>
        </w:rPr>
        <w:t>《国务院办公厅关于在政府采购中实施本国产品标准及相关政策的通知》（国办发〔2025〕34号）的规定</w:t>
      </w:r>
      <w:r>
        <w:rPr>
          <w:rFonts w:hint="eastAsia" w:ascii="宋体" w:hAnsi="宋体" w:eastAsia="宋体" w:cs="宋体"/>
          <w:b/>
          <w:snapToGrid/>
          <w:color w:val="000000" w:themeColor="text1"/>
          <w:kern w:val="2"/>
          <w:szCs w:val="21"/>
          <w:highlight w:val="none"/>
          <w:lang w:eastAsia="zh-CN"/>
          <w14:textFill>
            <w14:solidFill>
              <w14:schemeClr w14:val="tx1"/>
            </w14:solidFill>
          </w14:textFill>
        </w:rPr>
        <w:t>要求填写。</w:t>
      </w:r>
    </w:p>
    <w:p w14:paraId="374FD17E">
      <w:pPr>
        <w:pStyle w:val="11"/>
        <w:pageBreakBefore w:val="0"/>
        <w:overflowPunct/>
        <w:topLinePunct w:val="0"/>
        <w:bidi w:val="0"/>
        <w:spacing w:line="400" w:lineRule="exact"/>
        <w:rPr>
          <w:rFonts w:hint="eastAsia" w:ascii="宋体" w:hAnsi="宋体" w:eastAsia="宋体" w:cs="宋体"/>
          <w:b/>
          <w:color w:val="000000" w:themeColor="text1"/>
          <w:kern w:val="0"/>
          <w:sz w:val="32"/>
          <w:highlight w:val="none"/>
          <w:lang w:val="en-US" w:eastAsia="zh-CN"/>
          <w14:textFill>
            <w14:solidFill>
              <w14:schemeClr w14:val="tx1"/>
            </w14:solidFill>
          </w14:textFill>
        </w:rPr>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pPr>
    </w:p>
    <w:p w14:paraId="40533645">
      <w:pPr>
        <w:pStyle w:val="11"/>
        <w:pageBreakBefore w:val="0"/>
        <w:overflowPunct/>
        <w:topLinePunct w:val="0"/>
        <w:bidi w:val="0"/>
        <w:spacing w:line="400" w:lineRule="exact"/>
        <w:rPr>
          <w:rFonts w:hint="eastAsia" w:ascii="宋体" w:hAnsi="宋体" w:eastAsia="宋体" w:cs="宋体"/>
          <w:color w:val="000000" w:themeColor="text1"/>
          <w:highlight w:val="none"/>
          <w14:textFill>
            <w14:solidFill>
              <w14:schemeClr w14:val="tx1"/>
            </w14:solidFill>
          </w14:textFill>
        </w:rPr>
      </w:pPr>
      <w:r>
        <w:rPr>
          <w:rFonts w:hint="eastAsia" w:hAnsi="宋体" w:eastAsia="宋体" w:cs="宋体"/>
          <w:b/>
          <w:color w:val="000000" w:themeColor="text1"/>
          <w:kern w:val="0"/>
          <w:sz w:val="32"/>
          <w:highlight w:val="none"/>
          <w:lang w:val="en-US" w:eastAsia="zh-CN"/>
          <w14:textFill>
            <w14:solidFill>
              <w14:schemeClr w14:val="tx1"/>
            </w14:solidFill>
          </w14:textFill>
        </w:rPr>
        <w:t>5</w:t>
      </w:r>
      <w:r>
        <w:rPr>
          <w:rFonts w:hint="eastAsia" w:ascii="宋体" w:hAnsi="宋体" w:eastAsia="宋体" w:cs="宋体"/>
          <w:b/>
          <w:color w:val="000000" w:themeColor="text1"/>
          <w:kern w:val="0"/>
          <w:sz w:val="32"/>
          <w:highlight w:val="none"/>
          <w:lang w:val="en-US" w:eastAsia="zh-CN"/>
          <w14:textFill>
            <w14:solidFill>
              <w14:schemeClr w14:val="tx1"/>
            </w14:solidFill>
          </w14:textFill>
        </w:rPr>
        <w:t>.节能方面的证书扫描件（如有，请提供）</w:t>
      </w:r>
    </w:p>
    <w:p w14:paraId="78C7AEC7">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A5DA4A5">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27A84603">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3249DB7">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567550F9">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984D56D">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CA7D405">
      <w:pPr>
        <w:pageBreakBefore w:val="0"/>
        <w:overflowPunct/>
        <w:topLinePunct w:val="0"/>
        <w:bidi w:val="0"/>
        <w:spacing w:line="400" w:lineRule="exact"/>
        <w:rPr>
          <w:rFonts w:hint="eastAsia" w:ascii="宋体" w:hAnsi="宋体" w:eastAsia="宋体" w:cs="宋体"/>
          <w:color w:val="000000" w:themeColor="text1"/>
          <w:sz w:val="21"/>
          <w:highlight w:val="none"/>
          <w14:textFill>
            <w14:solidFill>
              <w14:schemeClr w14:val="tx1"/>
            </w14:solidFill>
          </w14:textFill>
        </w:rPr>
      </w:pPr>
    </w:p>
    <w:p w14:paraId="099351A0">
      <w:pPr>
        <w:pStyle w:val="11"/>
        <w:pageBreakBefore w:val="0"/>
        <w:overflowPunct/>
        <w:topLinePunct w:val="0"/>
        <w:bidi w:val="0"/>
        <w:spacing w:line="400" w:lineRule="exact"/>
        <w:rPr>
          <w:rFonts w:hint="eastAsia" w:ascii="宋体" w:hAnsi="宋体" w:eastAsia="宋体" w:cs="宋体"/>
          <w:b/>
          <w:color w:val="000000" w:themeColor="text1"/>
          <w:kern w:val="0"/>
          <w:sz w:val="32"/>
          <w:highlight w:val="none"/>
          <w:lang w:val="en-US" w:eastAsia="zh-CN"/>
          <w14:textFill>
            <w14:solidFill>
              <w14:schemeClr w14:val="tx1"/>
            </w14:solidFill>
          </w14:textFill>
        </w:rPr>
      </w:pPr>
      <w:r>
        <w:rPr>
          <w:rFonts w:hint="eastAsia" w:hAnsi="宋体" w:eastAsia="宋体" w:cs="宋体"/>
          <w:b/>
          <w:color w:val="000000" w:themeColor="text1"/>
          <w:kern w:val="0"/>
          <w:sz w:val="32"/>
          <w:highlight w:val="none"/>
          <w:lang w:val="en-US" w:eastAsia="zh-CN"/>
          <w14:textFill>
            <w14:solidFill>
              <w14:schemeClr w14:val="tx1"/>
            </w14:solidFill>
          </w14:textFill>
        </w:rPr>
        <w:t>6</w:t>
      </w:r>
      <w:r>
        <w:rPr>
          <w:rFonts w:hint="eastAsia" w:ascii="宋体" w:hAnsi="宋体" w:eastAsia="宋体" w:cs="宋体"/>
          <w:b/>
          <w:color w:val="000000" w:themeColor="text1"/>
          <w:kern w:val="0"/>
          <w:sz w:val="32"/>
          <w:highlight w:val="none"/>
          <w:lang w:val="en-US" w:eastAsia="zh-CN"/>
          <w14:textFill>
            <w14:solidFill>
              <w14:schemeClr w14:val="tx1"/>
            </w14:solidFill>
          </w14:textFill>
        </w:rPr>
        <w:t>.环境标志方面的证书扫描件（如有，请提供）</w:t>
      </w:r>
    </w:p>
    <w:p w14:paraId="04DEC658">
      <w:pPr>
        <w:pStyle w:val="6"/>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lang w:val="en-US" w:eastAsia="zh-CN"/>
          <w14:textFill>
            <w14:solidFill>
              <w14:schemeClr w14:val="tx1"/>
            </w14:solidFill>
          </w14:textFill>
        </w:rPr>
      </w:pPr>
    </w:p>
    <w:p w14:paraId="762DAEA8">
      <w:pPr>
        <w:pageBreakBefore w:val="0"/>
        <w:overflowPunct/>
        <w:topLinePunct w:val="0"/>
        <w:bidi w:val="0"/>
        <w:spacing w:line="400" w:lineRule="exact"/>
        <w:rPr>
          <w:rFonts w:hint="eastAsia" w:ascii="宋体" w:hAnsi="宋体" w:eastAsia="宋体" w:cs="宋体"/>
          <w:b/>
          <w:bCs/>
          <w:color w:val="000000" w:themeColor="text1"/>
          <w:kern w:val="0"/>
          <w:sz w:val="32"/>
          <w:szCs w:val="32"/>
          <w:highlight w:val="none"/>
          <w:lang w:val="en-US" w:eastAsia="zh-CN"/>
          <w14:textFill>
            <w14:solidFill>
              <w14:schemeClr w14:val="tx1"/>
            </w14:solidFill>
          </w14:textFill>
        </w:rPr>
      </w:pPr>
    </w:p>
    <w:p w14:paraId="54D0708C">
      <w:pPr>
        <w:pageBreakBefore w:val="0"/>
        <w:overflowPunct/>
        <w:topLinePunct w:val="0"/>
        <w:bidi w:val="0"/>
        <w:spacing w:line="400" w:lineRule="exact"/>
        <w:rPr>
          <w:rFonts w:hint="eastAsia" w:ascii="宋体" w:hAnsi="宋体" w:eastAsia="宋体" w:cs="宋体"/>
          <w:color w:val="000000" w:themeColor="text1"/>
          <w:highlight w:val="none"/>
          <w14:textFill>
            <w14:solidFill>
              <w14:schemeClr w14:val="tx1"/>
            </w14:solidFill>
          </w14:textFill>
        </w:rPr>
      </w:pPr>
    </w:p>
    <w:p w14:paraId="24438FD6">
      <w:pPr>
        <w:pageBreakBefore w:val="0"/>
        <w:tabs>
          <w:tab w:val="left" w:pos="4860"/>
        </w:tabs>
        <w:overflowPunct/>
        <w:topLinePunct w:val="0"/>
        <w:bidi w:val="0"/>
        <w:spacing w:line="400" w:lineRule="exact"/>
        <w:ind w:right="1560" w:firstLine="643" w:firstLineChars="200"/>
        <w:jc w:val="center"/>
        <w:rPr>
          <w:rFonts w:hint="eastAsia" w:ascii="宋体" w:hAnsi="宋体" w:eastAsia="宋体" w:cs="宋体"/>
          <w:b/>
          <w:bCs/>
          <w:color w:val="000000" w:themeColor="text1"/>
          <w:kern w:val="0"/>
          <w:sz w:val="32"/>
          <w:szCs w:val="32"/>
          <w:highlight w:val="none"/>
          <w14:textFill>
            <w14:solidFill>
              <w14:schemeClr w14:val="tx1"/>
            </w14:solidFill>
          </w14:textFill>
        </w:rPr>
      </w:pPr>
    </w:p>
    <w:p w14:paraId="5FE7FF6B">
      <w:pPr>
        <w:pageBreakBefore w:val="0"/>
        <w:tabs>
          <w:tab w:val="left" w:pos="4860"/>
        </w:tabs>
        <w:overflowPunct/>
        <w:topLinePunct w:val="0"/>
        <w:bidi w:val="0"/>
        <w:spacing w:line="400" w:lineRule="exact"/>
        <w:ind w:right="1560" w:firstLine="643" w:firstLineChars="200"/>
        <w:jc w:val="center"/>
        <w:rPr>
          <w:rFonts w:hint="eastAsia" w:ascii="宋体" w:hAnsi="宋体" w:eastAsia="宋体" w:cs="宋体"/>
          <w:b/>
          <w:bCs/>
          <w:color w:val="000000" w:themeColor="text1"/>
          <w:kern w:val="0"/>
          <w:sz w:val="32"/>
          <w:szCs w:val="32"/>
          <w:highlight w:val="none"/>
          <w14:textFill>
            <w14:solidFill>
              <w14:schemeClr w14:val="tx1"/>
            </w14:solidFill>
          </w14:textFill>
        </w:rPr>
      </w:pPr>
    </w:p>
    <w:p w14:paraId="570302DD">
      <w:pPr>
        <w:pageBreakBefore w:val="0"/>
        <w:tabs>
          <w:tab w:val="left" w:pos="4860"/>
        </w:tabs>
        <w:overflowPunct/>
        <w:topLinePunct w:val="0"/>
        <w:bidi w:val="0"/>
        <w:spacing w:line="400" w:lineRule="exact"/>
        <w:rPr>
          <w:rFonts w:hint="eastAsia" w:ascii="宋体" w:hAnsi="宋体" w:eastAsia="宋体" w:cs="宋体"/>
          <w:color w:val="000000" w:themeColor="text1"/>
          <w:kern w:val="0"/>
          <w:sz w:val="30"/>
          <w:szCs w:val="30"/>
          <w:highlight w:val="none"/>
          <w14:textFill>
            <w14:solidFill>
              <w14:schemeClr w14:val="tx1"/>
            </w14:solidFill>
          </w14:textFill>
        </w:rPr>
      </w:pPr>
      <w:r>
        <w:rPr>
          <w:rFonts w:hint="eastAsia" w:ascii="宋体" w:hAnsi="宋体" w:eastAsia="宋体" w:cs="宋体"/>
          <w:b/>
          <w:bCs/>
          <w:color w:val="000000" w:themeColor="text1"/>
          <w:kern w:val="0"/>
          <w:sz w:val="32"/>
          <w:szCs w:val="32"/>
          <w:highlight w:val="none"/>
          <w:lang w:val="en-US" w:eastAsia="zh-CN"/>
          <w14:textFill>
            <w14:solidFill>
              <w14:schemeClr w14:val="tx1"/>
            </w14:solidFill>
          </w14:textFill>
        </w:rPr>
        <w:t>7</w:t>
      </w:r>
      <w:r>
        <w:rPr>
          <w:rFonts w:hint="eastAsia" w:ascii="宋体" w:hAnsi="宋体" w:eastAsia="宋体" w:cs="宋体"/>
          <w:b/>
          <w:bCs/>
          <w:color w:val="000000" w:themeColor="text1"/>
          <w:kern w:val="0"/>
          <w:sz w:val="32"/>
          <w:szCs w:val="32"/>
          <w:highlight w:val="none"/>
          <w14:textFill>
            <w14:solidFill>
              <w14:schemeClr w14:val="tx1"/>
            </w14:solidFill>
          </w14:textFill>
        </w:rPr>
        <w:t>.供应商可结合本项目的评审办法视自身情况自行提交相关证明材料（如有，请提供）</w:t>
      </w:r>
    </w:p>
    <w:p w14:paraId="5E15FDF4">
      <w:pPr>
        <w:pageBreakBefore w:val="0"/>
        <w:tabs>
          <w:tab w:val="left" w:pos="4860"/>
        </w:tabs>
        <w:overflowPunct/>
        <w:topLinePunct w:val="0"/>
        <w:bidi w:val="0"/>
        <w:spacing w:line="400" w:lineRule="exact"/>
        <w:rPr>
          <w:rFonts w:hint="eastAsia" w:ascii="宋体" w:hAnsi="宋体" w:eastAsia="宋体" w:cs="宋体"/>
          <w:color w:val="000000" w:themeColor="text1"/>
          <w:kern w:val="0"/>
          <w:sz w:val="30"/>
          <w:szCs w:val="30"/>
          <w:highlight w:val="none"/>
          <w14:textFill>
            <w14:solidFill>
              <w14:schemeClr w14:val="tx1"/>
            </w14:solidFill>
          </w14:textFill>
        </w:rPr>
      </w:pPr>
    </w:p>
    <w:p w14:paraId="207A8BB7">
      <w:pPr>
        <w:pageBreakBefore w:val="0"/>
        <w:widowControl w:val="0"/>
        <w:overflowPunct/>
        <w:topLinePunct w:val="0"/>
        <w:bidi w:val="0"/>
        <w:spacing w:line="400" w:lineRule="exact"/>
        <w:rPr>
          <w:rFonts w:hint="eastAsia" w:ascii="宋体" w:hAnsi="宋体" w:eastAsia="宋体" w:cs="宋体"/>
          <w:color w:val="000000" w:themeColor="text1"/>
          <w:sz w:val="31"/>
          <w:szCs w:val="31"/>
          <w:highlight w:val="none"/>
          <w:lang w:eastAsia="zh-CN"/>
          <w14:textFill>
            <w14:solidFill>
              <w14:schemeClr w14:val="tx1"/>
            </w14:solidFill>
          </w14:textFill>
        </w:rPr>
      </w:pPr>
    </w:p>
    <w:sectPr>
      <w:pgSz w:w="11906" w:h="16839"/>
      <w:pgMar w:top="1247" w:right="1247" w:bottom="1247" w:left="1247" w:header="0" w:footer="822" w:gutter="0"/>
      <w:pgBorders>
        <w:top w:val="none" w:sz="0" w:space="0"/>
        <w:left w:val="none" w:sz="0" w:space="0"/>
        <w:bottom w:val="none" w:sz="0" w:space="0"/>
        <w:right w:val="none" w:sz="0" w:space="0"/>
      </w:pgBorders>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7D1E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499B2">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D4CE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789D4CE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9350E">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1BECD">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3861BECD">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3E139">
    <w:pPr>
      <w:pStyle w:val="1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8885A6">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608885A6">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F0E86">
    <w:pPr>
      <w:pStyle w:val="1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CB354">
                          <w:pPr>
                            <w:pStyle w:val="12"/>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546CB354">
                    <w:pPr>
                      <w:pStyle w:val="12"/>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D6FD1">
    <w:pPr>
      <w:pStyle w:val="12"/>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EB9630">
                          <w:pPr>
                            <w:pStyle w:val="1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74EB9630">
                    <w:pPr>
                      <w:pStyle w:val="1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83EE1">
    <w:pPr>
      <w:pStyle w:val="12"/>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14D923">
                          <w:pPr>
                            <w:pStyle w:val="1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2214D923">
                    <w:pPr>
                      <w:pStyle w:val="1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1A76A">
    <w:pPr>
      <w:pStyle w:val="12"/>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3A724">
                          <w:pPr>
                            <w:pStyle w:val="12"/>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4AZkg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4AZkgtAgAAVwQAAA4AAAAAAAAAAQAgAAAAHwEAAGRycy9lMm9Eb2MueG1sUEsFBgAAAAAG&#10;AAYAWQEAAL4FAAAAAA==&#10;">
              <v:fill on="f" focussize="0,0"/>
              <v:stroke on="f" weight="0.5pt"/>
              <v:imagedata o:title=""/>
              <o:lock v:ext="edit" aspectratio="f"/>
              <v:textbox inset="0mm,0mm,0mm,0mm" style="mso-fit-shape-to-text:t;">
                <w:txbxContent>
                  <w:p w14:paraId="7F53A724">
                    <w:pPr>
                      <w:pStyle w:val="12"/>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1C130">
    <w:pPr>
      <w:pStyle w:val="12"/>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F6D105">
                          <w:pPr>
                            <w:pStyle w:val="12"/>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33F6D105">
                    <w:pPr>
                      <w:pStyle w:val="12"/>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655BC">
    <w:pPr>
      <w:pStyle w:val="12"/>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1948B">
                          <w:pPr>
                            <w:pStyle w:val="12"/>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7481948B">
                    <w:pPr>
                      <w:pStyle w:val="12"/>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A5077">
    <w:pPr>
      <w:pStyle w:val="12"/>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E53EC">
                          <w:pPr>
                            <w:pStyle w:val="12"/>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2CDE53EC">
                    <w:pPr>
                      <w:pStyle w:val="12"/>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839EC">
    <w:pPr>
      <w:pStyle w:val="12"/>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111FE">
                          <w:pPr>
                            <w:pStyle w:val="1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0A6111FE">
                    <w:pPr>
                      <w:pStyle w:val="1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03453">
    <w:pPr>
      <w:pStyle w:val="12"/>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B4FCF">
                          <w:pPr>
                            <w:pStyle w:val="12"/>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Lg11k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Lg11ktAgAAVwQAAA4AAAAAAAAAAQAgAAAAHwEAAGRycy9lMm9Eb2MueG1sUEsFBgAAAAAG&#10;AAYAWQEAAL4FAAAAAA==&#10;">
              <v:fill on="f" focussize="0,0"/>
              <v:stroke on="f" weight="0.5pt"/>
              <v:imagedata o:title=""/>
              <o:lock v:ext="edit" aspectratio="f"/>
              <v:textbox inset="0mm,0mm,0mm,0mm" style="mso-fit-shape-to-text:t;">
                <w:txbxContent>
                  <w:p w14:paraId="7EDB4FCF">
                    <w:pPr>
                      <w:pStyle w:val="12"/>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A6E22">
    <w:pPr>
      <w:pStyle w:val="12"/>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F0DDC">
                          <w:pPr>
                            <w:pStyle w:val="12"/>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thBktAgAAVwQAAA4AAABkcnMvZTJvRG9jLnhtbK1UzY7TMBC+I/EO&#10;lu80aYGlqp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Ks3lGimUPHT92+n&#10;H79OP78SnEGg1voZ4jYWkaF7azq0zXDucRh5d5VT8QtGBH7Ie7zIK7pAeLw0nUynOVwcvmED/Ozh&#10;unU+vBNGkWgU1KF+SVZ2uPWhDx1CYjZt1o2UqYZSk7agVy9f5+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qthBktAgAAVwQAAA4AAAAAAAAAAQAgAAAAHwEAAGRycy9lMm9Eb2MueG1sUEsFBgAAAAAG&#10;AAYAWQEAAL4FAAAAAA==&#10;">
              <v:fill on="f" focussize="0,0"/>
              <v:stroke on="f" weight="0.5pt"/>
              <v:imagedata o:title=""/>
              <o:lock v:ext="edit" aspectratio="f"/>
              <v:textbox inset="0mm,0mm,0mm,0mm" style="mso-fit-shape-to-text:t;">
                <w:txbxContent>
                  <w:p w14:paraId="155F0DDC">
                    <w:pPr>
                      <w:pStyle w:val="12"/>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BDB07">
    <w:pPr>
      <w:pStyle w:val="12"/>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CFE74">
                          <w:pPr>
                            <w:pStyle w:val="12"/>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AsRGw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5B3TVTqPjpx/fT&#10;z4fTr28EZxCotX6GuHuLyNC9Mx3aZjj3OIy8u8qp+AUjAj/kPV7kFV0gPF6aTqbTHC4O37ABfvZ4&#10;3Tof3gujSDQK6lC/JCs7bHzoQ4eQmE2bdSNlqqHUpC3o1eu3ebpw8QBcauSIJPrHRit02+7MbGvK&#10;I4g50/eGt3zdIPmG+XDHHJoBD8a4hFsslTRIYs4WJbVxX/91HuNRI3gpadFcBdWYJUrkB43aATAM&#10;hhuM7WDovbox6NYxxtDyZOKCC3IwK2fUF8zQMuaAi2mOTAUNg3kT+gbHDHKxXKYgdJtlYaPvLY/Q&#10;UTxvl/sAAZOuUZReibNW6LdUmfNsxIb+c5+iHv8Hi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ACxEbCwCAABXBAAADgAAAAAAAAABACAAAAAfAQAAZHJzL2Uyb0RvYy54bWxQSwUGAAAAAAYA&#10;BgBZAQAAvQUAAAAA&#10;">
              <v:fill on="f" focussize="0,0"/>
              <v:stroke on="f" weight="0.5pt"/>
              <v:imagedata o:title=""/>
              <o:lock v:ext="edit" aspectratio="f"/>
              <v:textbox inset="0mm,0mm,0mm,0mm" style="mso-fit-shape-to-text:t;">
                <w:txbxContent>
                  <w:p w14:paraId="0A3CFE74">
                    <w:pPr>
                      <w:pStyle w:val="12"/>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4CD8B">
    <w:pPr>
      <w:pStyle w:val="12"/>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095C6">
                          <w:pPr>
                            <w:pStyle w:val="12"/>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DPAE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UDPAEtAgAAVwQAAA4AAAAAAAAAAQAgAAAAHwEAAGRycy9lMm9Eb2MueG1sUEsFBgAAAAAG&#10;AAYAWQEAAL4FAAAAAA==&#10;">
              <v:fill on="f" focussize="0,0"/>
              <v:stroke on="f" weight="0.5pt"/>
              <v:imagedata o:title=""/>
              <o:lock v:ext="edit" aspectratio="f"/>
              <v:textbox inset="0mm,0mm,0mm,0mm" style="mso-fit-shape-to-text:t;">
                <w:txbxContent>
                  <w:p w14:paraId="523095C6">
                    <w:pPr>
                      <w:pStyle w:val="12"/>
                    </w:pPr>
                    <w:r>
                      <w:fldChar w:fldCharType="begin"/>
                    </w:r>
                    <w:r>
                      <w:instrText xml:space="preserve"> PAGE  \* MERGEFORMAT </w:instrText>
                    </w:r>
                    <w:r>
                      <w:fldChar w:fldCharType="separate"/>
                    </w:r>
                    <w:r>
                      <w:t>58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34AE4">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3E157D"/>
    <w:multiLevelType w:val="singleLevel"/>
    <w:tmpl w:val="FD3E157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
    </o:shapelayout>
  </w:hdrShapeDefaults>
  <w:compat>
    <w:spaceForUL/>
    <w:ulTrailSpace/>
    <w:doNotExpandShiftReturn/>
    <w:doNotWrapTextWithPunct/>
    <w:doNotUseEastAsianBreakRules/>
    <w:useFELayout/>
    <w:compatSetting w:name="compatibilityMode" w:uri="http://schemas.microsoft.com/office/word" w:val="14"/>
  </w:compat>
  <w:rsids>
    <w:rsidRoot w:val="000B6792"/>
    <w:rsid w:val="000274A3"/>
    <w:rsid w:val="00057689"/>
    <w:rsid w:val="000B6792"/>
    <w:rsid w:val="001B7CBD"/>
    <w:rsid w:val="00294959"/>
    <w:rsid w:val="00305C0B"/>
    <w:rsid w:val="0037179E"/>
    <w:rsid w:val="004B6FA9"/>
    <w:rsid w:val="005714C6"/>
    <w:rsid w:val="005D59E5"/>
    <w:rsid w:val="007743B3"/>
    <w:rsid w:val="007C3975"/>
    <w:rsid w:val="008935D6"/>
    <w:rsid w:val="00AA1B86"/>
    <w:rsid w:val="017D5F03"/>
    <w:rsid w:val="01D34B7C"/>
    <w:rsid w:val="02C24BF1"/>
    <w:rsid w:val="030D3B33"/>
    <w:rsid w:val="032C4E8C"/>
    <w:rsid w:val="03770A73"/>
    <w:rsid w:val="03791A86"/>
    <w:rsid w:val="03896A86"/>
    <w:rsid w:val="05357FCB"/>
    <w:rsid w:val="05A216B9"/>
    <w:rsid w:val="05D85805"/>
    <w:rsid w:val="06693418"/>
    <w:rsid w:val="0701711F"/>
    <w:rsid w:val="07736E5C"/>
    <w:rsid w:val="07E66F84"/>
    <w:rsid w:val="08346D03"/>
    <w:rsid w:val="08AB2AC3"/>
    <w:rsid w:val="08B576D2"/>
    <w:rsid w:val="0970184A"/>
    <w:rsid w:val="0A2D5AFE"/>
    <w:rsid w:val="0A47634D"/>
    <w:rsid w:val="0AE55920"/>
    <w:rsid w:val="0B8D2240"/>
    <w:rsid w:val="0BC23F6A"/>
    <w:rsid w:val="0BC36F28"/>
    <w:rsid w:val="0CAB0443"/>
    <w:rsid w:val="0CE819E3"/>
    <w:rsid w:val="0D814026"/>
    <w:rsid w:val="0DEF111A"/>
    <w:rsid w:val="0E262D6A"/>
    <w:rsid w:val="101F1C09"/>
    <w:rsid w:val="10305890"/>
    <w:rsid w:val="10E36DA6"/>
    <w:rsid w:val="1112295F"/>
    <w:rsid w:val="11526678"/>
    <w:rsid w:val="11C16CE3"/>
    <w:rsid w:val="120D4228"/>
    <w:rsid w:val="122F6D00"/>
    <w:rsid w:val="13003561"/>
    <w:rsid w:val="14151024"/>
    <w:rsid w:val="14232BF3"/>
    <w:rsid w:val="151222AE"/>
    <w:rsid w:val="165C62AE"/>
    <w:rsid w:val="16EB0578"/>
    <w:rsid w:val="172872C1"/>
    <w:rsid w:val="17824C23"/>
    <w:rsid w:val="1797673A"/>
    <w:rsid w:val="17E27104"/>
    <w:rsid w:val="183A3BE7"/>
    <w:rsid w:val="184B0543"/>
    <w:rsid w:val="18756535"/>
    <w:rsid w:val="189E7F6C"/>
    <w:rsid w:val="198B7D44"/>
    <w:rsid w:val="1A9A00FE"/>
    <w:rsid w:val="1B0F6E5C"/>
    <w:rsid w:val="1B321E01"/>
    <w:rsid w:val="1B916894"/>
    <w:rsid w:val="1C5431DC"/>
    <w:rsid w:val="1CAD4584"/>
    <w:rsid w:val="1D00160A"/>
    <w:rsid w:val="1D1D0849"/>
    <w:rsid w:val="1DAB4FA6"/>
    <w:rsid w:val="1DEF1254"/>
    <w:rsid w:val="1DFEF69F"/>
    <w:rsid w:val="1E4E1D03"/>
    <w:rsid w:val="1E741DD1"/>
    <w:rsid w:val="1E865698"/>
    <w:rsid w:val="1EA02FB0"/>
    <w:rsid w:val="1EC53A8E"/>
    <w:rsid w:val="1FE36203"/>
    <w:rsid w:val="201E7211"/>
    <w:rsid w:val="20296471"/>
    <w:rsid w:val="2047766D"/>
    <w:rsid w:val="20496552"/>
    <w:rsid w:val="209F11B8"/>
    <w:rsid w:val="20F3114C"/>
    <w:rsid w:val="216D6944"/>
    <w:rsid w:val="22B00443"/>
    <w:rsid w:val="22B54F2E"/>
    <w:rsid w:val="23084E6B"/>
    <w:rsid w:val="23601CDC"/>
    <w:rsid w:val="23A83C63"/>
    <w:rsid w:val="23D1070E"/>
    <w:rsid w:val="23E546F9"/>
    <w:rsid w:val="23E9747A"/>
    <w:rsid w:val="25606636"/>
    <w:rsid w:val="26663961"/>
    <w:rsid w:val="26C1356B"/>
    <w:rsid w:val="274F0739"/>
    <w:rsid w:val="27644345"/>
    <w:rsid w:val="27EB1DB3"/>
    <w:rsid w:val="2842532D"/>
    <w:rsid w:val="28B5472C"/>
    <w:rsid w:val="28D177B8"/>
    <w:rsid w:val="298143E7"/>
    <w:rsid w:val="29913866"/>
    <w:rsid w:val="2A7E1602"/>
    <w:rsid w:val="2A9E73BD"/>
    <w:rsid w:val="2ACD2AAF"/>
    <w:rsid w:val="2B0D781D"/>
    <w:rsid w:val="2B2D6293"/>
    <w:rsid w:val="2B391645"/>
    <w:rsid w:val="2BC41856"/>
    <w:rsid w:val="2BE452E6"/>
    <w:rsid w:val="2C421375"/>
    <w:rsid w:val="2C862667"/>
    <w:rsid w:val="2CFE05A2"/>
    <w:rsid w:val="2D200D0E"/>
    <w:rsid w:val="2D406468"/>
    <w:rsid w:val="2D7E7834"/>
    <w:rsid w:val="2EEA15D4"/>
    <w:rsid w:val="2F7178E6"/>
    <w:rsid w:val="2F8C268B"/>
    <w:rsid w:val="302B1693"/>
    <w:rsid w:val="30A46DA7"/>
    <w:rsid w:val="30CA3877"/>
    <w:rsid w:val="315D0DDA"/>
    <w:rsid w:val="316046D6"/>
    <w:rsid w:val="31BE5A57"/>
    <w:rsid w:val="31BF5FB6"/>
    <w:rsid w:val="327805B7"/>
    <w:rsid w:val="32A833EE"/>
    <w:rsid w:val="32CE32BE"/>
    <w:rsid w:val="32DF400A"/>
    <w:rsid w:val="330A7892"/>
    <w:rsid w:val="331C310A"/>
    <w:rsid w:val="33274D42"/>
    <w:rsid w:val="33945FB2"/>
    <w:rsid w:val="33A23909"/>
    <w:rsid w:val="34AC21EC"/>
    <w:rsid w:val="34C9767B"/>
    <w:rsid w:val="35A83E4D"/>
    <w:rsid w:val="35F8B80D"/>
    <w:rsid w:val="361A2073"/>
    <w:rsid w:val="3627012C"/>
    <w:rsid w:val="362A73BC"/>
    <w:rsid w:val="36301896"/>
    <w:rsid w:val="365D1316"/>
    <w:rsid w:val="3678231E"/>
    <w:rsid w:val="36E33AD3"/>
    <w:rsid w:val="371A4586"/>
    <w:rsid w:val="372413FB"/>
    <w:rsid w:val="37533A8E"/>
    <w:rsid w:val="383E029A"/>
    <w:rsid w:val="387400A6"/>
    <w:rsid w:val="387463B2"/>
    <w:rsid w:val="38791FB1"/>
    <w:rsid w:val="38B95344"/>
    <w:rsid w:val="38F44EBF"/>
    <w:rsid w:val="397036DA"/>
    <w:rsid w:val="39B73D2D"/>
    <w:rsid w:val="39B7638A"/>
    <w:rsid w:val="3A2C110F"/>
    <w:rsid w:val="3A5E2E76"/>
    <w:rsid w:val="3A7A5575"/>
    <w:rsid w:val="3ADE1089"/>
    <w:rsid w:val="3AF410E4"/>
    <w:rsid w:val="3BCD02B3"/>
    <w:rsid w:val="3BCE62EF"/>
    <w:rsid w:val="3C072D02"/>
    <w:rsid w:val="3C374690"/>
    <w:rsid w:val="3CCA034E"/>
    <w:rsid w:val="3DBF1E7D"/>
    <w:rsid w:val="3DEF1F46"/>
    <w:rsid w:val="3E7A2248"/>
    <w:rsid w:val="3E9933B0"/>
    <w:rsid w:val="3EDE519D"/>
    <w:rsid w:val="3F055FB6"/>
    <w:rsid w:val="3F294ACA"/>
    <w:rsid w:val="3F9E7ADA"/>
    <w:rsid w:val="3FEA7B57"/>
    <w:rsid w:val="3FEE26D7"/>
    <w:rsid w:val="40544C96"/>
    <w:rsid w:val="410F33EC"/>
    <w:rsid w:val="41270465"/>
    <w:rsid w:val="41590C98"/>
    <w:rsid w:val="41EA3241"/>
    <w:rsid w:val="41FC5689"/>
    <w:rsid w:val="4201680A"/>
    <w:rsid w:val="428D2352"/>
    <w:rsid w:val="4359242C"/>
    <w:rsid w:val="43956DFD"/>
    <w:rsid w:val="43CC75FC"/>
    <w:rsid w:val="449F7162"/>
    <w:rsid w:val="44A0122D"/>
    <w:rsid w:val="44D206E8"/>
    <w:rsid w:val="45055140"/>
    <w:rsid w:val="45551DD1"/>
    <w:rsid w:val="455827CF"/>
    <w:rsid w:val="45EF0D55"/>
    <w:rsid w:val="46770C1C"/>
    <w:rsid w:val="469043B7"/>
    <w:rsid w:val="4757795B"/>
    <w:rsid w:val="47811F51"/>
    <w:rsid w:val="48351FF1"/>
    <w:rsid w:val="488937B4"/>
    <w:rsid w:val="489410ED"/>
    <w:rsid w:val="48DB78B4"/>
    <w:rsid w:val="48EA3CA3"/>
    <w:rsid w:val="4914471C"/>
    <w:rsid w:val="4A2C089A"/>
    <w:rsid w:val="4A3D04B7"/>
    <w:rsid w:val="4A437992"/>
    <w:rsid w:val="4B1F21AD"/>
    <w:rsid w:val="4B5137EE"/>
    <w:rsid w:val="4B5D2E6D"/>
    <w:rsid w:val="4B605E15"/>
    <w:rsid w:val="4B7E4D22"/>
    <w:rsid w:val="4B934057"/>
    <w:rsid w:val="4C8F6EBF"/>
    <w:rsid w:val="4E0E3438"/>
    <w:rsid w:val="4EB42FEC"/>
    <w:rsid w:val="4ED91097"/>
    <w:rsid w:val="4F0C71D9"/>
    <w:rsid w:val="4F3178BF"/>
    <w:rsid w:val="4F8F4431"/>
    <w:rsid w:val="4FAB4CF6"/>
    <w:rsid w:val="50A075E8"/>
    <w:rsid w:val="50D10C2C"/>
    <w:rsid w:val="51383FC9"/>
    <w:rsid w:val="51C20936"/>
    <w:rsid w:val="520925F1"/>
    <w:rsid w:val="52E361B6"/>
    <w:rsid w:val="52F263F9"/>
    <w:rsid w:val="53894668"/>
    <w:rsid w:val="538C54A6"/>
    <w:rsid w:val="53D75643"/>
    <w:rsid w:val="54746C39"/>
    <w:rsid w:val="54CD22BD"/>
    <w:rsid w:val="54EA73DD"/>
    <w:rsid w:val="54F21EDD"/>
    <w:rsid w:val="561B17C3"/>
    <w:rsid w:val="56C50A07"/>
    <w:rsid w:val="57F93BFB"/>
    <w:rsid w:val="58031050"/>
    <w:rsid w:val="58064780"/>
    <w:rsid w:val="580B7BFD"/>
    <w:rsid w:val="58154502"/>
    <w:rsid w:val="58404DF9"/>
    <w:rsid w:val="588E5AA3"/>
    <w:rsid w:val="59494D0D"/>
    <w:rsid w:val="597F62A7"/>
    <w:rsid w:val="59952C54"/>
    <w:rsid w:val="5B190340"/>
    <w:rsid w:val="5C2D1AE0"/>
    <w:rsid w:val="5C5123E2"/>
    <w:rsid w:val="5C8A75DB"/>
    <w:rsid w:val="5CB73713"/>
    <w:rsid w:val="5CE147D7"/>
    <w:rsid w:val="5D854182"/>
    <w:rsid w:val="5DEC14F9"/>
    <w:rsid w:val="5E53131C"/>
    <w:rsid w:val="5EF13A09"/>
    <w:rsid w:val="5FBF6CB8"/>
    <w:rsid w:val="5FEE4105"/>
    <w:rsid w:val="6072155E"/>
    <w:rsid w:val="60A725D1"/>
    <w:rsid w:val="60D43373"/>
    <w:rsid w:val="61314C94"/>
    <w:rsid w:val="614E2111"/>
    <w:rsid w:val="61B067C2"/>
    <w:rsid w:val="625C5618"/>
    <w:rsid w:val="62C51434"/>
    <w:rsid w:val="62F133AA"/>
    <w:rsid w:val="636D47BB"/>
    <w:rsid w:val="639E5FFE"/>
    <w:rsid w:val="63D2562D"/>
    <w:rsid w:val="645657DF"/>
    <w:rsid w:val="650A2634"/>
    <w:rsid w:val="6521263D"/>
    <w:rsid w:val="666351EC"/>
    <w:rsid w:val="66F12A90"/>
    <w:rsid w:val="67734C82"/>
    <w:rsid w:val="67DF4D79"/>
    <w:rsid w:val="67FD3B94"/>
    <w:rsid w:val="686C2E08"/>
    <w:rsid w:val="68AF1F4F"/>
    <w:rsid w:val="68E533EA"/>
    <w:rsid w:val="68EB66C8"/>
    <w:rsid w:val="698A6279"/>
    <w:rsid w:val="6AD77F23"/>
    <w:rsid w:val="6AE73F2B"/>
    <w:rsid w:val="6B0644FF"/>
    <w:rsid w:val="6B2C0954"/>
    <w:rsid w:val="6B4355EC"/>
    <w:rsid w:val="6B6932A5"/>
    <w:rsid w:val="6BEC5C84"/>
    <w:rsid w:val="6C3109FE"/>
    <w:rsid w:val="6C8D10B0"/>
    <w:rsid w:val="6DA560EA"/>
    <w:rsid w:val="6DC120EF"/>
    <w:rsid w:val="6DF732F4"/>
    <w:rsid w:val="6E0A005A"/>
    <w:rsid w:val="6E657628"/>
    <w:rsid w:val="6E6C6E9D"/>
    <w:rsid w:val="6F000463"/>
    <w:rsid w:val="6F01303C"/>
    <w:rsid w:val="6F5316A2"/>
    <w:rsid w:val="6F8B35EB"/>
    <w:rsid w:val="6F97284E"/>
    <w:rsid w:val="6FB90B16"/>
    <w:rsid w:val="6FD3327C"/>
    <w:rsid w:val="7000572D"/>
    <w:rsid w:val="70205B1C"/>
    <w:rsid w:val="705016AE"/>
    <w:rsid w:val="706F7985"/>
    <w:rsid w:val="70A272B7"/>
    <w:rsid w:val="70D46396"/>
    <w:rsid w:val="71FA6AAB"/>
    <w:rsid w:val="72BD0CAF"/>
    <w:rsid w:val="733858B8"/>
    <w:rsid w:val="73880767"/>
    <w:rsid w:val="7514304A"/>
    <w:rsid w:val="75613CFA"/>
    <w:rsid w:val="76E92CF5"/>
    <w:rsid w:val="776712F6"/>
    <w:rsid w:val="777F53C6"/>
    <w:rsid w:val="778B00FF"/>
    <w:rsid w:val="77FEBDA5"/>
    <w:rsid w:val="783A38D3"/>
    <w:rsid w:val="784C1F84"/>
    <w:rsid w:val="78EA52F9"/>
    <w:rsid w:val="790245B3"/>
    <w:rsid w:val="792050C1"/>
    <w:rsid w:val="79D819B0"/>
    <w:rsid w:val="7AB14F4C"/>
    <w:rsid w:val="7AFE508C"/>
    <w:rsid w:val="7B670E83"/>
    <w:rsid w:val="7B7E9D0A"/>
    <w:rsid w:val="7B9C4351"/>
    <w:rsid w:val="7C4116D4"/>
    <w:rsid w:val="7CF32DAA"/>
    <w:rsid w:val="7D1269EF"/>
    <w:rsid w:val="7D250FF6"/>
    <w:rsid w:val="7D4B74C7"/>
    <w:rsid w:val="7DAC40A3"/>
    <w:rsid w:val="7DF764EE"/>
    <w:rsid w:val="7ED3FB5F"/>
    <w:rsid w:val="7EE137B6"/>
    <w:rsid w:val="7EF33724"/>
    <w:rsid w:val="7F014C34"/>
    <w:rsid w:val="7F488EAA"/>
    <w:rsid w:val="7FC02470"/>
    <w:rsid w:val="7FDFD17F"/>
    <w:rsid w:val="7FE36EBF"/>
    <w:rsid w:val="7FE7085F"/>
    <w:rsid w:val="B67FC39D"/>
    <w:rsid w:val="BF9F0300"/>
    <w:rsid w:val="BFFB5E75"/>
    <w:rsid w:val="E57C56EF"/>
    <w:rsid w:val="EECA1FD3"/>
    <w:rsid w:val="EF9DB835"/>
    <w:rsid w:val="F3FD1D97"/>
    <w:rsid w:val="F7DDBA6A"/>
    <w:rsid w:val="F8FFD8EB"/>
    <w:rsid w:val="FC3B25F1"/>
    <w:rsid w:val="FED7DCE4"/>
    <w:rsid w:val="FFA7A995"/>
    <w:rsid w:val="FFF7E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widowControl w:val="0"/>
      <w:spacing w:line="360" w:lineRule="auto"/>
      <w:jc w:val="both"/>
      <w:outlineLvl w:val="1"/>
    </w:pPr>
    <w:rPr>
      <w:rFonts w:eastAsia="宋体" w:cs="Times New Roman"/>
      <w:b/>
      <w:kern w:val="2"/>
      <w:sz w:val="24"/>
      <w:szCs w:val="32"/>
      <w:lang w:eastAsia="zh-CN"/>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Cambria" w:hAnsi="Cambria" w:eastAsia="宋体" w:cs="宋体"/>
      <w:b/>
      <w:bCs/>
      <w:sz w:val="28"/>
      <w:szCs w:val="28"/>
    </w:rPr>
  </w:style>
  <w:style w:type="character" w:default="1" w:styleId="22">
    <w:name w:val="Default Paragraph Font"/>
    <w:unhideWhenUsed/>
    <w:qFormat/>
    <w:uiPriority w:val="1"/>
  </w:style>
  <w:style w:type="table" w:default="1" w:styleId="20">
    <w:name w:val="Normal Table"/>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annotation text"/>
    <w:basedOn w:val="1"/>
    <w:qFormat/>
    <w:uiPriority w:val="0"/>
  </w:style>
  <w:style w:type="paragraph" w:styleId="8">
    <w:name w:val="Body Text"/>
    <w:basedOn w:val="1"/>
    <w:next w:val="1"/>
    <w:semiHidden/>
    <w:qFormat/>
    <w:uiPriority w:val="0"/>
  </w:style>
  <w:style w:type="paragraph" w:styleId="9">
    <w:name w:val="Body Text Indent"/>
    <w:basedOn w:val="1"/>
    <w:next w:val="10"/>
    <w:qFormat/>
    <w:uiPriority w:val="0"/>
    <w:pPr>
      <w:spacing w:after="120"/>
      <w:ind w:left="420" w:leftChars="200"/>
    </w:pPr>
  </w:style>
  <w:style w:type="paragraph" w:styleId="10">
    <w:name w:val="envelope return"/>
    <w:qFormat/>
    <w:uiPriority w:val="0"/>
    <w:pPr>
      <w:widowControl w:val="0"/>
      <w:snapToGrid w:val="0"/>
      <w:spacing w:line="400" w:lineRule="exact"/>
      <w:ind w:firstLine="1044" w:firstLineChars="200"/>
      <w:jc w:val="left"/>
    </w:pPr>
    <w:rPr>
      <w:rFonts w:ascii="Arial" w:hAnsi="Arial" w:eastAsia="宋体" w:cs="Arial"/>
      <w:kern w:val="2"/>
      <w:sz w:val="21"/>
      <w:szCs w:val="24"/>
      <w:lang w:val="en-US" w:eastAsia="zh-CN" w:bidi="ar-SA"/>
    </w:rPr>
  </w:style>
  <w:style w:type="paragraph" w:styleId="11">
    <w:name w:val="Plain Text"/>
    <w:basedOn w:val="1"/>
    <w:next w:val="6"/>
    <w:qFormat/>
    <w:uiPriority w:val="99"/>
    <w:rPr>
      <w:rFonts w:ascii="宋体" w:hAnsi="Courier New"/>
      <w:szCs w:val="20"/>
    </w:rPr>
  </w:style>
  <w:style w:type="paragraph" w:styleId="12">
    <w:name w:val="footer"/>
    <w:basedOn w:val="1"/>
    <w:next w:val="1"/>
    <w:qFormat/>
    <w:uiPriority w:val="0"/>
    <w:pPr>
      <w:tabs>
        <w:tab w:val="center" w:pos="4153"/>
        <w:tab w:val="right" w:pos="8306"/>
      </w:tabs>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toc 1"/>
    <w:basedOn w:val="1"/>
    <w:next w:val="1"/>
    <w:qFormat/>
    <w:uiPriority w:val="0"/>
  </w:style>
  <w:style w:type="paragraph" w:styleId="15">
    <w:name w:val="Normal (Web)"/>
    <w:qFormat/>
    <w:uiPriority w:val="99"/>
    <w:pPr>
      <w:widowControl/>
      <w:spacing w:before="100" w:beforeAutospacing="1" w:after="100" w:afterAutospacing="1"/>
      <w:jc w:val="left"/>
    </w:pPr>
    <w:rPr>
      <w:rFonts w:ascii="宋体" w:hAnsi="宋体" w:eastAsia="宋体" w:cs="Times New Roman"/>
      <w:kern w:val="0"/>
      <w:sz w:val="24"/>
      <w:szCs w:val="20"/>
      <w:lang w:val="en-US" w:eastAsia="zh-CN" w:bidi="ar-SA"/>
    </w:rPr>
  </w:style>
  <w:style w:type="paragraph" w:styleId="16">
    <w:name w:val="index 1"/>
    <w:basedOn w:val="1"/>
    <w:next w:val="1"/>
    <w:semiHidden/>
    <w:qFormat/>
    <w:uiPriority w:val="0"/>
    <w:pPr>
      <w:spacing w:line="400" w:lineRule="exact"/>
      <w:ind w:firstLine="420" w:firstLineChars="200"/>
    </w:pPr>
    <w:rPr>
      <w:rFonts w:ascii="宋体" w:hAnsi="Courier New"/>
      <w:b/>
      <w:szCs w:val="20"/>
    </w:rPr>
  </w:style>
  <w:style w:type="paragraph" w:styleId="17">
    <w:name w:val="Title"/>
    <w:basedOn w:val="1"/>
    <w:next w:val="1"/>
    <w:qFormat/>
    <w:uiPriority w:val="0"/>
    <w:pPr>
      <w:spacing w:before="240" w:after="60"/>
      <w:jc w:val="center"/>
      <w:outlineLvl w:val="0"/>
    </w:pPr>
    <w:rPr>
      <w:rFonts w:ascii="等线 Light" w:hAnsi="等线 Light"/>
      <w:b/>
      <w:bCs/>
      <w:sz w:val="32"/>
      <w:szCs w:val="32"/>
    </w:rPr>
  </w:style>
  <w:style w:type="paragraph" w:styleId="18">
    <w:name w:val="Body Text First Indent 2"/>
    <w:basedOn w:val="9"/>
    <w:next w:val="19"/>
    <w:qFormat/>
    <w:uiPriority w:val="0"/>
    <w:pPr>
      <w:spacing w:after="120" w:afterLines="0"/>
      <w:ind w:left="420" w:leftChars="200" w:firstLine="420" w:firstLineChars="200"/>
    </w:pPr>
    <w:rPr>
      <w:rFonts w:ascii="Times New Roman" w:eastAsia="宋体"/>
      <w:sz w:val="21"/>
      <w:szCs w:val="24"/>
    </w:rPr>
  </w:style>
  <w:style w:type="paragraph" w:customStyle="1" w:styleId="19">
    <w:name w:val="**正文"/>
    <w:basedOn w:val="1"/>
    <w:qFormat/>
    <w:uiPriority w:val="0"/>
    <w:pPr>
      <w:ind w:firstLine="482"/>
    </w:pPr>
    <w:rPr>
      <w:rFonts w:ascii="宋体" w:hAnsi="宋体"/>
      <w:sz w:val="24"/>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mphasis"/>
    <w:qFormat/>
    <w:uiPriority w:val="0"/>
    <w:rPr>
      <w:rFonts w:ascii="Times New Roman" w:hAnsi="Times New Roman" w:eastAsia="宋体" w:cs="Times New Roman"/>
      <w:color w:val="CC0000"/>
    </w:rPr>
  </w:style>
  <w:style w:type="character" w:styleId="24">
    <w:name w:val="annotation reference"/>
    <w:basedOn w:val="22"/>
    <w:qFormat/>
    <w:uiPriority w:val="0"/>
    <w:rPr>
      <w:sz w:val="21"/>
      <w:szCs w:val="21"/>
    </w:rPr>
  </w:style>
  <w:style w:type="paragraph" w:customStyle="1" w:styleId="25">
    <w:name w:val="样式 正文文本缩进 + 首行缩进:  2 字符 行距: 1.5 倍行距"/>
    <w:basedOn w:val="9"/>
    <w:qFormat/>
    <w:uiPriority w:val="0"/>
    <w:rPr>
      <w:rFonts w:cs="宋体"/>
    </w:rPr>
  </w:style>
  <w:style w:type="table" w:customStyle="1" w:styleId="26">
    <w:name w:val="Table Normal"/>
    <w:unhideWhenUsed/>
    <w:qFormat/>
    <w:uiPriority w:val="0"/>
    <w:tblPr>
      <w:tblCellMar>
        <w:top w:w="0" w:type="dxa"/>
        <w:left w:w="0" w:type="dxa"/>
        <w:bottom w:w="0" w:type="dxa"/>
        <w:right w:w="0" w:type="dxa"/>
      </w:tblCellMar>
    </w:tblPr>
  </w:style>
  <w:style w:type="paragraph" w:customStyle="1" w:styleId="27">
    <w:name w:val="Table Text"/>
    <w:basedOn w:val="1"/>
    <w:semiHidden/>
    <w:qFormat/>
    <w:uiPriority w:val="0"/>
    <w:rPr>
      <w:rFonts w:ascii="宋体" w:hAnsi="宋体" w:eastAsia="宋体" w:cs="宋体"/>
      <w:sz w:val="20"/>
      <w:szCs w:val="20"/>
    </w:rPr>
  </w:style>
  <w:style w:type="paragraph" w:customStyle="1" w:styleId="28">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9">
    <w:name w:val="font01"/>
    <w:qFormat/>
    <w:uiPriority w:val="0"/>
    <w:rPr>
      <w:rFonts w:hint="eastAsia" w:ascii="等线" w:hAnsi="等线" w:eastAsia="等线" w:cs="等线"/>
      <w:color w:val="000000"/>
      <w:sz w:val="22"/>
      <w:szCs w:val="22"/>
      <w:u w:val="none"/>
    </w:rPr>
  </w:style>
  <w:style w:type="character" w:customStyle="1" w:styleId="30">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header" Target="header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93</Pages>
  <Words>37542</Words>
  <Characters>41181</Characters>
  <Lines>337</Lines>
  <Paragraphs>95</Paragraphs>
  <TotalTime>10</TotalTime>
  <ScaleCrop>false</ScaleCrop>
  <LinksUpToDate>false</LinksUpToDate>
  <CharactersWithSpaces>42848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2025-04-13T02:45:00Z</dcterms:created>
  <dc:creator>Administrator</dc:creator>
  <cp:lastModifiedBy>NOTE </cp:lastModifiedBy>
  <cp:lastPrinted>2026-10-08T21:52:00Z</cp:lastPrinted>
  <dcterms:modified xsi:type="dcterms:W3CDTF">2026-10-19T07:02:45Z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2025-06-20T09:44:10Z</vt:filetime>
  </property>
  <property fmtid="{D5CDD505-2E9C-101B-9397-08002B2CF9AE}" pid="4" name="KSOTemplateDocerSaveRecord">
    <vt:lpwstr>eyJoZGlkIjoiZTcyODQ5NjA1NGZlM2MwNDFmZDQwMzUxNDM1OGNjYmUiLCJ1c2VySWQiOiIxOTkwMTQ3ODgifQ==</vt:lpwstr>
  </property>
  <property fmtid="{D5CDD505-2E9C-101B-9397-08002B2CF9AE}" pid="5" name="KSOProductBuildVer">
    <vt:lpwstr>2052-12.1.0.28505</vt:lpwstr>
  </property>
  <property fmtid="{D5CDD505-2E9C-101B-9397-08002B2CF9AE}" pid="6" name="ICV">
    <vt:lpwstr>449F56CC68CCBD33C20AC76A384812C5_43</vt:lpwstr>
  </property>
</Properties>
</file>