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22AEC1">
      <w:pPr>
        <w:pageBreakBefore w:val="0"/>
        <w:widowControl w:val="0"/>
        <w:overflowPunct/>
        <w:topLinePunct w:val="0"/>
        <w:bidi w:val="0"/>
        <w:spacing w:line="400" w:lineRule="exact"/>
        <w:ind w:left="3" w:leftChars="-95" w:right="-275" w:rightChars="-131" w:hanging="202" w:hangingChars="28"/>
        <w:jc w:val="center"/>
        <w:rPr>
          <w:rFonts w:hint="eastAsia" w:ascii="宋体" w:hAnsi="宋体" w:eastAsia="宋体" w:cs="宋体"/>
          <w:b/>
          <w:bCs/>
          <w:color w:val="auto"/>
          <w:sz w:val="72"/>
          <w:szCs w:val="72"/>
          <w:highlight w:val="none"/>
          <w:lang w:eastAsia="zh-CN"/>
        </w:rPr>
      </w:pPr>
    </w:p>
    <w:p w14:paraId="28F5D607">
      <w:pPr>
        <w:pageBreakBefore w:val="0"/>
        <w:widowControl w:val="0"/>
        <w:overflowPunct/>
        <w:topLinePunct w:val="0"/>
        <w:bidi w:val="0"/>
        <w:spacing w:line="360" w:lineRule="auto"/>
        <w:ind w:left="3" w:leftChars="-95" w:right="-275" w:rightChars="-131" w:hanging="202" w:hangingChars="28"/>
        <w:jc w:val="center"/>
        <w:rPr>
          <w:rFonts w:hint="eastAsia" w:ascii="宋体" w:hAnsi="宋体" w:eastAsia="宋体" w:cs="宋体"/>
          <w:color w:val="auto"/>
          <w:sz w:val="72"/>
          <w:szCs w:val="72"/>
          <w:highlight w:val="none"/>
          <w:lang w:eastAsia="zh-CN"/>
        </w:rPr>
      </w:pPr>
      <w:r>
        <w:rPr>
          <w:rFonts w:hint="eastAsia" w:ascii="宋体" w:hAnsi="宋体" w:eastAsia="宋体" w:cs="宋体"/>
          <w:b/>
          <w:bCs/>
          <w:color w:val="auto"/>
          <w:sz w:val="72"/>
          <w:szCs w:val="72"/>
          <w:highlight w:val="none"/>
          <w:lang w:eastAsia="zh-CN"/>
        </w:rPr>
        <w:t>大华建设项目管理有限公司</w:t>
      </w:r>
    </w:p>
    <w:p w14:paraId="21026BD0">
      <w:pPr>
        <w:pStyle w:val="8"/>
        <w:pageBreakBefore w:val="0"/>
        <w:widowControl w:val="0"/>
        <w:overflowPunct/>
        <w:topLinePunct w:val="0"/>
        <w:bidi w:val="0"/>
        <w:spacing w:line="360" w:lineRule="auto"/>
        <w:ind w:firstLine="420" w:firstLineChars="200"/>
        <w:rPr>
          <w:rFonts w:hint="eastAsia" w:ascii="宋体" w:hAnsi="宋体" w:eastAsia="宋体" w:cs="宋体"/>
          <w:color w:val="auto"/>
          <w:highlight w:val="none"/>
          <w:lang w:eastAsia="zh-CN"/>
        </w:rPr>
      </w:pPr>
    </w:p>
    <w:p w14:paraId="19B9F234">
      <w:pPr>
        <w:pStyle w:val="8"/>
        <w:pageBreakBefore w:val="0"/>
        <w:widowControl w:val="0"/>
        <w:overflowPunct/>
        <w:topLinePunct w:val="0"/>
        <w:bidi w:val="0"/>
        <w:spacing w:line="360" w:lineRule="auto"/>
        <w:ind w:firstLine="420" w:firstLineChars="200"/>
        <w:rPr>
          <w:rFonts w:hint="eastAsia" w:ascii="宋体" w:hAnsi="宋体" w:eastAsia="宋体" w:cs="宋体"/>
          <w:color w:val="auto"/>
          <w:highlight w:val="none"/>
          <w:lang w:eastAsia="zh-CN"/>
        </w:rPr>
      </w:pPr>
    </w:p>
    <w:p w14:paraId="45529A7B">
      <w:pPr>
        <w:pStyle w:val="8"/>
        <w:pageBreakBefore w:val="0"/>
        <w:widowControl w:val="0"/>
        <w:overflowPunct/>
        <w:topLinePunct w:val="0"/>
        <w:bidi w:val="0"/>
        <w:spacing w:line="360" w:lineRule="auto"/>
        <w:ind w:firstLine="420" w:firstLineChars="200"/>
        <w:rPr>
          <w:rFonts w:hint="eastAsia" w:ascii="宋体" w:hAnsi="宋体" w:eastAsia="宋体" w:cs="宋体"/>
          <w:color w:val="auto"/>
          <w:highlight w:val="none"/>
          <w:lang w:eastAsia="zh-CN"/>
        </w:rPr>
      </w:pPr>
    </w:p>
    <w:p w14:paraId="1B22A0EF">
      <w:pPr>
        <w:pStyle w:val="8"/>
        <w:pageBreakBefore w:val="0"/>
        <w:widowControl w:val="0"/>
        <w:overflowPunct/>
        <w:topLinePunct w:val="0"/>
        <w:bidi w:val="0"/>
        <w:spacing w:line="360" w:lineRule="auto"/>
        <w:rPr>
          <w:rFonts w:hint="eastAsia" w:ascii="宋体" w:hAnsi="宋体" w:eastAsia="宋体" w:cs="宋体"/>
          <w:color w:val="auto"/>
          <w:highlight w:val="none"/>
          <w:lang w:eastAsia="zh-CN"/>
        </w:rPr>
      </w:pPr>
    </w:p>
    <w:p w14:paraId="58E5E4F6">
      <w:pPr>
        <w:pStyle w:val="8"/>
        <w:pageBreakBefore w:val="0"/>
        <w:widowControl w:val="0"/>
        <w:overflowPunct/>
        <w:topLinePunct w:val="0"/>
        <w:bidi w:val="0"/>
        <w:spacing w:line="360" w:lineRule="auto"/>
        <w:ind w:firstLine="420" w:firstLineChars="200"/>
        <w:rPr>
          <w:rFonts w:hint="eastAsia" w:ascii="宋体" w:hAnsi="宋体" w:eastAsia="宋体" w:cs="宋体"/>
          <w:color w:val="auto"/>
          <w:highlight w:val="none"/>
          <w:lang w:eastAsia="zh-CN"/>
        </w:rPr>
      </w:pPr>
    </w:p>
    <w:p w14:paraId="1A22B438">
      <w:pPr>
        <w:pStyle w:val="8"/>
        <w:pageBreakBefore w:val="0"/>
        <w:widowControl w:val="0"/>
        <w:overflowPunct/>
        <w:topLinePunct w:val="0"/>
        <w:bidi w:val="0"/>
        <w:spacing w:line="360" w:lineRule="auto"/>
        <w:ind w:firstLine="420" w:firstLineChars="200"/>
        <w:rPr>
          <w:rFonts w:hint="eastAsia" w:ascii="宋体" w:hAnsi="宋体" w:eastAsia="宋体" w:cs="宋体"/>
          <w:color w:val="auto"/>
          <w:highlight w:val="none"/>
          <w:lang w:eastAsia="zh-CN"/>
        </w:rPr>
      </w:pPr>
    </w:p>
    <w:p w14:paraId="3B3A70C4">
      <w:pPr>
        <w:pageBreakBefore w:val="0"/>
        <w:widowControl w:val="0"/>
        <w:overflowPunct/>
        <w:topLinePunct w:val="0"/>
        <w:bidi w:val="0"/>
        <w:spacing w:line="360" w:lineRule="auto"/>
        <w:ind w:firstLine="1666" w:firstLineChars="200"/>
        <w:rPr>
          <w:rFonts w:hint="eastAsia" w:ascii="宋体" w:hAnsi="宋体" w:eastAsia="宋体" w:cs="宋体"/>
          <w:color w:val="auto"/>
          <w:sz w:val="83"/>
          <w:szCs w:val="83"/>
          <w:highlight w:val="none"/>
          <w:lang w:eastAsia="zh-CN"/>
        </w:rPr>
      </w:pPr>
      <w:r>
        <w:rPr>
          <w:rFonts w:hint="eastAsia" w:ascii="宋体" w:hAnsi="宋体" w:eastAsia="宋体" w:cs="宋体"/>
          <w:b/>
          <w:bCs/>
          <w:color w:val="auto"/>
          <w:sz w:val="83"/>
          <w:szCs w:val="83"/>
          <w:highlight w:val="none"/>
          <w:lang w:eastAsia="zh-CN"/>
        </w:rPr>
        <w:t>竞争性谈判文件</w:t>
      </w:r>
    </w:p>
    <w:p w14:paraId="599957B9">
      <w:pPr>
        <w:pStyle w:val="8"/>
        <w:pageBreakBefore w:val="0"/>
        <w:widowControl w:val="0"/>
        <w:overflowPunct/>
        <w:topLinePunct w:val="0"/>
        <w:bidi w:val="0"/>
        <w:spacing w:line="360" w:lineRule="auto"/>
        <w:ind w:firstLine="420" w:firstLineChars="200"/>
        <w:rPr>
          <w:rFonts w:hint="eastAsia" w:ascii="宋体" w:hAnsi="宋体" w:eastAsia="宋体" w:cs="宋体"/>
          <w:color w:val="auto"/>
          <w:highlight w:val="none"/>
          <w:lang w:eastAsia="zh-CN"/>
        </w:rPr>
      </w:pPr>
    </w:p>
    <w:p w14:paraId="6DA48FD6">
      <w:pPr>
        <w:pageBreakBefore w:val="0"/>
        <w:widowControl w:val="0"/>
        <w:overflowPunct/>
        <w:topLinePunct w:val="0"/>
        <w:bidi w:val="0"/>
        <w:spacing w:line="360" w:lineRule="auto"/>
        <w:ind w:firstLine="1245" w:firstLineChars="400"/>
        <w:rPr>
          <w:rFonts w:hint="eastAsia" w:ascii="宋体" w:hAnsi="宋体" w:eastAsia="宋体" w:cs="宋体"/>
          <w:b/>
          <w:bCs/>
          <w:color w:val="auto"/>
          <w:sz w:val="31"/>
          <w:szCs w:val="31"/>
          <w:highlight w:val="none"/>
          <w:lang w:eastAsia="zh-CN"/>
        </w:rPr>
      </w:pPr>
    </w:p>
    <w:p w14:paraId="435F308A">
      <w:pPr>
        <w:pageBreakBefore w:val="0"/>
        <w:widowControl w:val="0"/>
        <w:overflowPunct/>
        <w:topLinePunct w:val="0"/>
        <w:bidi w:val="0"/>
        <w:spacing w:line="360" w:lineRule="auto"/>
        <w:ind w:firstLine="1245" w:firstLineChars="400"/>
        <w:rPr>
          <w:rFonts w:hint="eastAsia" w:ascii="宋体" w:hAnsi="宋体" w:eastAsia="宋体" w:cs="宋体"/>
          <w:b/>
          <w:bCs/>
          <w:color w:val="auto"/>
          <w:sz w:val="31"/>
          <w:szCs w:val="31"/>
          <w:highlight w:val="none"/>
          <w:lang w:eastAsia="zh-CN"/>
        </w:rPr>
      </w:pPr>
    </w:p>
    <w:p w14:paraId="6CA94A6C">
      <w:pPr>
        <w:pageBreakBefore w:val="0"/>
        <w:widowControl w:val="0"/>
        <w:overflowPunct/>
        <w:topLinePunct w:val="0"/>
        <w:bidi w:val="0"/>
        <w:spacing w:line="360" w:lineRule="auto"/>
        <w:ind w:firstLine="1245" w:firstLineChars="400"/>
        <w:rPr>
          <w:rFonts w:hint="eastAsia" w:ascii="宋体" w:hAnsi="宋体" w:eastAsia="宋体" w:cs="宋体"/>
          <w:b/>
          <w:bCs/>
          <w:color w:val="auto"/>
          <w:sz w:val="31"/>
          <w:szCs w:val="31"/>
          <w:highlight w:val="none"/>
          <w:lang w:eastAsia="zh-CN"/>
        </w:rPr>
      </w:pPr>
    </w:p>
    <w:p w14:paraId="54D14094">
      <w:pPr>
        <w:pageBreakBefore w:val="0"/>
        <w:widowControl w:val="0"/>
        <w:overflowPunct/>
        <w:topLinePunct w:val="0"/>
        <w:bidi w:val="0"/>
        <w:spacing w:line="360" w:lineRule="auto"/>
        <w:ind w:left="0" w:leftChars="0" w:right="0" w:rightChars="0" w:firstLine="622" w:firstLineChars="200"/>
        <w:jc w:val="both"/>
        <w:rPr>
          <w:rFonts w:hint="eastAsia" w:ascii="宋体" w:hAnsi="宋体" w:eastAsia="宋体" w:cs="宋体"/>
          <w:b/>
          <w:bCs/>
          <w:color w:val="auto"/>
          <w:sz w:val="31"/>
          <w:szCs w:val="31"/>
          <w:highlight w:val="none"/>
          <w:lang w:eastAsia="zh-CN"/>
        </w:rPr>
      </w:pPr>
      <w:r>
        <w:rPr>
          <w:rFonts w:hint="eastAsia" w:ascii="宋体" w:hAnsi="宋体" w:eastAsia="宋体" w:cs="宋体"/>
          <w:b/>
          <w:bCs/>
          <w:color w:val="auto"/>
          <w:sz w:val="31"/>
          <w:szCs w:val="31"/>
          <w:highlight w:val="none"/>
          <w:lang w:eastAsia="zh-CN"/>
        </w:rPr>
        <w:t>项目名称</w:t>
      </w:r>
      <w:r>
        <w:rPr>
          <w:rFonts w:hint="eastAsia" w:ascii="宋体" w:hAnsi="宋体" w:eastAsia="宋体" w:cs="宋体"/>
          <w:color w:val="auto"/>
          <w:sz w:val="31"/>
          <w:szCs w:val="31"/>
          <w:highlight w:val="none"/>
          <w:lang w:eastAsia="zh-CN"/>
        </w:rPr>
        <w:t>：</w:t>
      </w:r>
      <w:r>
        <w:rPr>
          <w:rFonts w:hint="eastAsia" w:ascii="宋体" w:hAnsi="宋体" w:eastAsia="宋体" w:cs="宋体"/>
          <w:b/>
          <w:bCs/>
          <w:color w:val="auto"/>
          <w:sz w:val="31"/>
          <w:szCs w:val="31"/>
          <w:highlight w:val="none"/>
          <w:lang w:eastAsia="zh-CN"/>
        </w:rPr>
        <w:t>2026年桂林市区控水质自动站智慧化改造项目</w:t>
      </w:r>
    </w:p>
    <w:p w14:paraId="7E6041EC">
      <w:pPr>
        <w:pageBreakBefore w:val="0"/>
        <w:widowControl w:val="0"/>
        <w:overflowPunct/>
        <w:topLinePunct w:val="0"/>
        <w:bidi w:val="0"/>
        <w:spacing w:line="360" w:lineRule="auto"/>
        <w:ind w:left="0" w:leftChars="0" w:right="0" w:rightChars="0" w:firstLine="622" w:firstLineChars="200"/>
        <w:jc w:val="left"/>
        <w:rPr>
          <w:rFonts w:hint="eastAsia" w:ascii="宋体" w:hAnsi="宋体" w:eastAsia="宋体" w:cs="宋体"/>
          <w:color w:val="auto"/>
          <w:sz w:val="31"/>
          <w:szCs w:val="31"/>
          <w:highlight w:val="none"/>
          <w:lang w:eastAsia="zh-CN"/>
        </w:rPr>
      </w:pPr>
      <w:r>
        <w:rPr>
          <w:rFonts w:hint="eastAsia" w:ascii="宋体" w:hAnsi="宋体" w:eastAsia="宋体" w:cs="宋体"/>
          <w:b/>
          <w:bCs/>
          <w:color w:val="auto"/>
          <w:sz w:val="31"/>
          <w:szCs w:val="31"/>
          <w:highlight w:val="none"/>
          <w:lang w:eastAsia="zh-CN"/>
        </w:rPr>
        <w:t xml:space="preserve">项目编号：GXZC2026-J1-003281-DHGS </w:t>
      </w:r>
    </w:p>
    <w:p w14:paraId="5948D3B4">
      <w:pPr>
        <w:pStyle w:val="8"/>
        <w:pageBreakBefore w:val="0"/>
        <w:widowControl w:val="0"/>
        <w:overflowPunct/>
        <w:topLinePunct w:val="0"/>
        <w:bidi w:val="0"/>
        <w:spacing w:line="360" w:lineRule="auto"/>
        <w:ind w:firstLine="420" w:firstLineChars="200"/>
        <w:rPr>
          <w:rFonts w:hint="eastAsia" w:ascii="宋体" w:hAnsi="宋体" w:eastAsia="宋体" w:cs="宋体"/>
          <w:color w:val="auto"/>
          <w:highlight w:val="none"/>
          <w:lang w:eastAsia="zh-CN"/>
        </w:rPr>
      </w:pPr>
    </w:p>
    <w:p w14:paraId="1067E42C">
      <w:pPr>
        <w:pageBreakBefore w:val="0"/>
        <w:widowControl w:val="0"/>
        <w:overflowPunct/>
        <w:topLinePunct w:val="0"/>
        <w:bidi w:val="0"/>
        <w:spacing w:line="360" w:lineRule="auto"/>
        <w:ind w:firstLine="622" w:firstLineChars="200"/>
        <w:rPr>
          <w:rFonts w:hint="eastAsia" w:ascii="宋体" w:hAnsi="宋体" w:eastAsia="宋体" w:cs="宋体"/>
          <w:b/>
          <w:bCs/>
          <w:color w:val="auto"/>
          <w:sz w:val="31"/>
          <w:szCs w:val="31"/>
          <w:highlight w:val="none"/>
          <w:lang w:eastAsia="zh-CN"/>
        </w:rPr>
      </w:pPr>
    </w:p>
    <w:p w14:paraId="026726BC">
      <w:pPr>
        <w:pageBreakBefore w:val="0"/>
        <w:widowControl w:val="0"/>
        <w:overflowPunct/>
        <w:topLinePunct w:val="0"/>
        <w:bidi w:val="0"/>
        <w:spacing w:line="360" w:lineRule="auto"/>
        <w:ind w:firstLine="622" w:firstLineChars="200"/>
        <w:rPr>
          <w:rFonts w:hint="eastAsia" w:ascii="宋体" w:hAnsi="宋体" w:eastAsia="宋体" w:cs="宋体"/>
          <w:b/>
          <w:bCs/>
          <w:color w:val="auto"/>
          <w:sz w:val="31"/>
          <w:szCs w:val="31"/>
          <w:highlight w:val="none"/>
          <w:lang w:eastAsia="zh-CN"/>
        </w:rPr>
      </w:pPr>
    </w:p>
    <w:p w14:paraId="6143DF9C">
      <w:pPr>
        <w:pageBreakBefore w:val="0"/>
        <w:widowControl w:val="0"/>
        <w:overflowPunct/>
        <w:topLinePunct w:val="0"/>
        <w:bidi w:val="0"/>
        <w:spacing w:line="360" w:lineRule="auto"/>
        <w:ind w:firstLine="622" w:firstLineChars="200"/>
        <w:rPr>
          <w:rFonts w:hint="eastAsia" w:ascii="宋体" w:hAnsi="宋体" w:eastAsia="宋体" w:cs="宋体"/>
          <w:b/>
          <w:bCs/>
          <w:color w:val="auto"/>
          <w:sz w:val="31"/>
          <w:szCs w:val="31"/>
          <w:highlight w:val="none"/>
          <w:lang w:eastAsia="zh-CN"/>
        </w:rPr>
      </w:pPr>
    </w:p>
    <w:p w14:paraId="2E936EAA">
      <w:pPr>
        <w:pageBreakBefore w:val="0"/>
        <w:widowControl w:val="0"/>
        <w:overflowPunct/>
        <w:topLinePunct w:val="0"/>
        <w:bidi w:val="0"/>
        <w:spacing w:line="360" w:lineRule="auto"/>
        <w:ind w:firstLine="622" w:firstLineChars="200"/>
        <w:rPr>
          <w:rFonts w:hint="eastAsia" w:ascii="宋体" w:hAnsi="宋体" w:eastAsia="宋体" w:cs="宋体"/>
          <w:b/>
          <w:bCs/>
          <w:color w:val="auto"/>
          <w:sz w:val="31"/>
          <w:szCs w:val="31"/>
          <w:highlight w:val="none"/>
          <w:lang w:eastAsia="zh-CN"/>
        </w:rPr>
      </w:pPr>
    </w:p>
    <w:p w14:paraId="79362F2D">
      <w:pPr>
        <w:pageBreakBefore w:val="0"/>
        <w:widowControl w:val="0"/>
        <w:overflowPunct/>
        <w:topLinePunct w:val="0"/>
        <w:bidi w:val="0"/>
        <w:spacing w:line="360" w:lineRule="auto"/>
        <w:jc w:val="center"/>
        <w:rPr>
          <w:rFonts w:hint="eastAsia" w:ascii="宋体" w:hAnsi="宋体" w:eastAsia="宋体" w:cs="宋体"/>
          <w:color w:val="auto"/>
          <w:sz w:val="31"/>
          <w:szCs w:val="31"/>
          <w:highlight w:val="none"/>
          <w:lang w:eastAsia="zh-CN"/>
        </w:rPr>
      </w:pPr>
      <w:r>
        <w:rPr>
          <w:rFonts w:hint="eastAsia" w:ascii="宋体" w:hAnsi="宋体" w:eastAsia="宋体" w:cs="宋体"/>
          <w:b/>
          <w:bCs/>
          <w:color w:val="auto"/>
          <w:sz w:val="31"/>
          <w:szCs w:val="31"/>
          <w:highlight w:val="none"/>
          <w:lang w:eastAsia="zh-CN"/>
        </w:rPr>
        <w:t>采购代理机构：大华建设项目管理有限公司</w:t>
      </w:r>
    </w:p>
    <w:p w14:paraId="53ABDCB1">
      <w:pPr>
        <w:pageBreakBefore w:val="0"/>
        <w:widowControl w:val="0"/>
        <w:overflowPunct/>
        <w:topLinePunct w:val="0"/>
        <w:bidi w:val="0"/>
        <w:spacing w:line="360" w:lineRule="auto"/>
        <w:jc w:val="center"/>
        <w:rPr>
          <w:rFonts w:hint="eastAsia" w:ascii="宋体" w:hAnsi="宋体" w:eastAsia="宋体" w:cs="宋体"/>
          <w:b/>
          <w:bCs/>
          <w:color w:val="auto"/>
          <w:sz w:val="31"/>
          <w:szCs w:val="31"/>
          <w:highlight w:val="none"/>
          <w:lang w:val="en-US" w:eastAsia="zh-CN"/>
        </w:rPr>
      </w:pPr>
      <w:r>
        <w:rPr>
          <w:rFonts w:hint="eastAsia" w:ascii="宋体" w:hAnsi="宋体" w:eastAsia="宋体" w:cs="宋体"/>
          <w:b/>
          <w:bCs/>
          <w:color w:val="auto"/>
          <w:sz w:val="31"/>
          <w:szCs w:val="31"/>
          <w:highlight w:val="none"/>
          <w:lang w:eastAsia="zh-CN"/>
        </w:rPr>
        <w:t>202</w:t>
      </w:r>
      <w:r>
        <w:rPr>
          <w:rFonts w:hint="eastAsia" w:ascii="宋体" w:hAnsi="宋体" w:eastAsia="宋体" w:cs="宋体"/>
          <w:b/>
          <w:bCs/>
          <w:color w:val="auto"/>
          <w:sz w:val="31"/>
          <w:szCs w:val="31"/>
          <w:highlight w:val="none"/>
          <w:lang w:val="en-US" w:eastAsia="zh-CN"/>
        </w:rPr>
        <w:t>6</w:t>
      </w:r>
      <w:r>
        <w:rPr>
          <w:rFonts w:hint="eastAsia" w:ascii="宋体" w:hAnsi="宋体" w:eastAsia="宋体" w:cs="宋体"/>
          <w:b/>
          <w:bCs/>
          <w:color w:val="auto"/>
          <w:sz w:val="31"/>
          <w:szCs w:val="31"/>
          <w:highlight w:val="none"/>
          <w:lang w:eastAsia="zh-CN"/>
        </w:rPr>
        <w:t>年</w:t>
      </w:r>
      <w:r>
        <w:rPr>
          <w:rFonts w:hint="eastAsia" w:ascii="宋体" w:hAnsi="宋体" w:eastAsia="宋体" w:cs="宋体"/>
          <w:b/>
          <w:bCs/>
          <w:color w:val="auto"/>
          <w:sz w:val="31"/>
          <w:szCs w:val="31"/>
          <w:highlight w:val="none"/>
          <w:lang w:val="en-US" w:eastAsia="zh-CN"/>
        </w:rPr>
        <w:t>10月</w:t>
      </w:r>
    </w:p>
    <w:p w14:paraId="5ED6BE28">
      <w:pPr>
        <w:pageBreakBefore w:val="0"/>
        <w:widowControl w:val="0"/>
        <w:overflowPunct/>
        <w:topLinePunct w:val="0"/>
        <w:bidi w:val="0"/>
        <w:spacing w:line="360" w:lineRule="auto"/>
        <w:ind w:firstLine="620" w:firstLineChars="200"/>
        <w:rPr>
          <w:rFonts w:hint="eastAsia" w:ascii="宋体" w:hAnsi="宋体" w:eastAsia="宋体" w:cs="宋体"/>
          <w:color w:val="auto"/>
          <w:sz w:val="31"/>
          <w:szCs w:val="31"/>
          <w:highlight w:val="none"/>
        </w:rPr>
        <w:sectPr>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sdt>
      <w:sdtPr>
        <w:rPr>
          <w:rFonts w:hint="eastAsia" w:ascii="宋体" w:hAnsi="宋体" w:eastAsia="宋体" w:cs="宋体"/>
          <w:color w:val="auto"/>
          <w:sz w:val="44"/>
          <w:szCs w:val="44"/>
          <w:highlight w:val="none"/>
        </w:rPr>
        <w:id w:val="147470290"/>
        <w15:color w:val="DBDBDB"/>
      </w:sdtPr>
      <w:sdtEndPr>
        <w:rPr>
          <w:rFonts w:hint="eastAsia" w:ascii="宋体" w:hAnsi="宋体" w:eastAsia="宋体" w:cs="宋体"/>
          <w:color w:val="auto"/>
          <w:sz w:val="21"/>
          <w:szCs w:val="31"/>
          <w:highlight w:val="none"/>
        </w:rPr>
      </w:sdtEndPr>
      <w:sdtContent>
        <w:p w14:paraId="4454C096">
          <w:pPr>
            <w:pageBreakBefore w:val="0"/>
            <w:widowControl w:val="0"/>
            <w:overflowPunct/>
            <w:topLinePunct w:val="0"/>
            <w:bidi w:val="0"/>
            <w:spacing w:line="360" w:lineRule="auto"/>
            <w:jc w:val="center"/>
            <w:rPr>
              <w:rFonts w:hint="eastAsia" w:ascii="宋体" w:hAnsi="宋体" w:eastAsia="宋体" w:cs="宋体"/>
              <w:color w:val="auto"/>
              <w:sz w:val="44"/>
              <w:szCs w:val="44"/>
              <w:highlight w:val="none"/>
            </w:rPr>
          </w:pPr>
        </w:p>
        <w:p w14:paraId="33C9BAAC">
          <w:pPr>
            <w:pageBreakBefore w:val="0"/>
            <w:widowControl w:val="0"/>
            <w:overflowPunct/>
            <w:topLinePunct w:val="0"/>
            <w:bidi w:val="0"/>
            <w:spacing w:line="360" w:lineRule="auto"/>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目</w:t>
          </w:r>
          <w:r>
            <w:rPr>
              <w:rFonts w:hint="eastAsia" w:ascii="宋体" w:hAnsi="宋体" w:eastAsia="宋体" w:cs="宋体"/>
              <w:b/>
              <w:bCs/>
              <w:color w:val="auto"/>
              <w:sz w:val="44"/>
              <w:szCs w:val="44"/>
              <w:highlight w:val="none"/>
              <w:lang w:eastAsia="zh-CN"/>
            </w:rPr>
            <w:t xml:space="preserve">  </w:t>
          </w:r>
          <w:r>
            <w:rPr>
              <w:rFonts w:hint="eastAsia" w:ascii="宋体" w:hAnsi="宋体" w:eastAsia="宋体" w:cs="宋体"/>
              <w:b/>
              <w:bCs/>
              <w:color w:val="auto"/>
              <w:sz w:val="44"/>
              <w:szCs w:val="44"/>
              <w:highlight w:val="none"/>
            </w:rPr>
            <w:t>录</w:t>
          </w:r>
        </w:p>
        <w:p w14:paraId="0DC41CBB">
          <w:pPr>
            <w:pStyle w:val="14"/>
            <w:pageBreakBefore w:val="0"/>
            <w:widowControl w:val="0"/>
            <w:tabs>
              <w:tab w:val="right" w:leader="dot" w:pos="8807"/>
            </w:tabs>
            <w:overflowPunct/>
            <w:topLinePunct w:val="0"/>
            <w:bidi w:val="0"/>
            <w:spacing w:line="360" w:lineRule="auto"/>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fldChar w:fldCharType="begin"/>
          </w:r>
          <w:r>
            <w:rPr>
              <w:rFonts w:hint="eastAsia" w:ascii="宋体" w:hAnsi="宋体" w:eastAsia="宋体" w:cs="宋体"/>
              <w:color w:val="auto"/>
              <w:sz w:val="30"/>
              <w:szCs w:val="30"/>
              <w:highlight w:val="none"/>
            </w:rPr>
            <w:instrText xml:space="preserve">TOC \o "1-1" \h \u </w:instrText>
          </w:r>
          <w:r>
            <w:rPr>
              <w:rFonts w:hint="eastAsia" w:ascii="宋体" w:hAnsi="宋体" w:eastAsia="宋体" w:cs="宋体"/>
              <w:color w:val="auto"/>
              <w:sz w:val="30"/>
              <w:szCs w:val="30"/>
              <w:highlight w:val="none"/>
            </w:rPr>
            <w:fldChar w:fldCharType="separate"/>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"_Toc7047" </w:instrText>
          </w:r>
          <w:r>
            <w:rPr>
              <w:rFonts w:hint="eastAsia" w:ascii="宋体" w:hAnsi="宋体" w:eastAsia="宋体" w:cs="宋体"/>
              <w:color w:val="auto"/>
              <w:highlight w:val="none"/>
            </w:rPr>
            <w:fldChar w:fldCharType="separate"/>
          </w:r>
          <w:r>
            <w:rPr>
              <w:rFonts w:hint="eastAsia" w:ascii="宋体" w:hAnsi="宋体" w:eastAsia="宋体" w:cs="宋体"/>
              <w:bCs/>
              <w:color w:val="auto"/>
              <w:sz w:val="30"/>
              <w:szCs w:val="30"/>
              <w:highlight w:val="none"/>
            </w:rPr>
            <w:t>第一章</w:t>
          </w:r>
          <w:r>
            <w:rPr>
              <w:rFonts w:hint="eastAsia" w:ascii="宋体" w:hAnsi="宋体" w:eastAsia="宋体" w:cs="宋体"/>
              <w:color w:val="auto"/>
              <w:sz w:val="30"/>
              <w:szCs w:val="30"/>
              <w:highlight w:val="none"/>
            </w:rPr>
            <w:t xml:space="preserve"> </w:t>
          </w:r>
          <w:r>
            <w:rPr>
              <w:rFonts w:hint="eastAsia" w:ascii="宋体" w:hAnsi="宋体" w:eastAsia="宋体" w:cs="宋体"/>
              <w:bCs/>
              <w:color w:val="auto"/>
              <w:sz w:val="30"/>
              <w:szCs w:val="30"/>
              <w:highlight w:val="none"/>
            </w:rPr>
            <w:t>竞争性谈判公告</w:t>
          </w:r>
          <w:r>
            <w:rPr>
              <w:rFonts w:hint="eastAsia" w:ascii="宋体" w:hAnsi="宋体" w:eastAsia="宋体" w:cs="宋体"/>
              <w:color w:val="auto"/>
              <w:sz w:val="30"/>
              <w:szCs w:val="30"/>
              <w:highlight w:val="none"/>
            </w:rPr>
            <w:tab/>
          </w:r>
          <w:r>
            <w:rPr>
              <w:rFonts w:hint="eastAsia" w:ascii="宋体" w:hAnsi="宋体" w:eastAsia="宋体" w:cs="宋体"/>
              <w:color w:val="auto"/>
              <w:sz w:val="30"/>
              <w:szCs w:val="30"/>
              <w:highlight w:val="none"/>
            </w:rPr>
            <w:fldChar w:fldCharType="begin"/>
          </w:r>
          <w:r>
            <w:rPr>
              <w:rFonts w:hint="eastAsia" w:ascii="宋体" w:hAnsi="宋体" w:eastAsia="宋体" w:cs="宋体"/>
              <w:color w:val="auto"/>
              <w:sz w:val="30"/>
              <w:szCs w:val="30"/>
              <w:highlight w:val="none"/>
            </w:rPr>
            <w:instrText xml:space="preserve"> PAGEREF _Toc7047 \h </w:instrText>
          </w:r>
          <w:r>
            <w:rPr>
              <w:rFonts w:hint="eastAsia" w:ascii="宋体" w:hAnsi="宋体" w:eastAsia="宋体" w:cs="宋体"/>
              <w:color w:val="auto"/>
              <w:sz w:val="30"/>
              <w:szCs w:val="30"/>
              <w:highlight w:val="none"/>
            </w:rPr>
            <w:fldChar w:fldCharType="separate"/>
          </w:r>
          <w:r>
            <w:rPr>
              <w:rFonts w:hint="eastAsia" w:ascii="宋体" w:hAnsi="宋体" w:eastAsia="宋体" w:cs="宋体"/>
              <w:color w:val="auto"/>
              <w:sz w:val="30"/>
              <w:szCs w:val="30"/>
              <w:highlight w:val="none"/>
            </w:rPr>
            <w:t>1</w:t>
          </w:r>
          <w:r>
            <w:rPr>
              <w:rFonts w:hint="eastAsia" w:ascii="宋体" w:hAnsi="宋体" w:eastAsia="宋体" w:cs="宋体"/>
              <w:color w:val="auto"/>
              <w:sz w:val="30"/>
              <w:szCs w:val="30"/>
              <w:highlight w:val="none"/>
            </w:rPr>
            <w:fldChar w:fldCharType="end"/>
          </w:r>
          <w:r>
            <w:rPr>
              <w:rFonts w:hint="eastAsia" w:ascii="宋体" w:hAnsi="宋体" w:eastAsia="宋体" w:cs="宋体"/>
              <w:color w:val="auto"/>
              <w:sz w:val="30"/>
              <w:szCs w:val="30"/>
              <w:highlight w:val="none"/>
            </w:rPr>
            <w:fldChar w:fldCharType="end"/>
          </w:r>
        </w:p>
        <w:p w14:paraId="2F7F55B0">
          <w:pPr>
            <w:pStyle w:val="14"/>
            <w:pageBreakBefore w:val="0"/>
            <w:widowControl w:val="0"/>
            <w:tabs>
              <w:tab w:val="right" w:leader="dot" w:pos="8807"/>
            </w:tabs>
            <w:overflowPunct/>
            <w:topLinePunct w:val="0"/>
            <w:bidi w:val="0"/>
            <w:spacing w:line="360" w:lineRule="auto"/>
            <w:rPr>
              <w:rFonts w:hint="eastAsia" w:ascii="宋体" w:hAnsi="宋体" w:eastAsia="宋体" w:cs="宋体"/>
              <w:color w:val="auto"/>
              <w:sz w:val="30"/>
              <w:szCs w:val="30"/>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"_Toc9984" </w:instrText>
          </w:r>
          <w:r>
            <w:rPr>
              <w:rFonts w:hint="eastAsia" w:ascii="宋体" w:hAnsi="宋体" w:eastAsia="宋体" w:cs="宋体"/>
              <w:color w:val="auto"/>
              <w:highlight w:val="none"/>
            </w:rPr>
            <w:fldChar w:fldCharType="separate"/>
          </w:r>
          <w:r>
            <w:rPr>
              <w:rFonts w:hint="eastAsia" w:ascii="宋体" w:hAnsi="宋体" w:eastAsia="宋体" w:cs="宋体"/>
              <w:bCs/>
              <w:color w:val="auto"/>
              <w:sz w:val="30"/>
              <w:szCs w:val="30"/>
              <w:highlight w:val="none"/>
            </w:rPr>
            <w:t>第二章</w:t>
          </w:r>
          <w:r>
            <w:rPr>
              <w:rFonts w:hint="eastAsia" w:ascii="宋体" w:hAnsi="宋体" w:eastAsia="宋体" w:cs="宋体"/>
              <w:color w:val="auto"/>
              <w:sz w:val="30"/>
              <w:szCs w:val="30"/>
              <w:highlight w:val="none"/>
            </w:rPr>
            <w:t xml:space="preserve"> </w:t>
          </w:r>
          <w:r>
            <w:rPr>
              <w:rFonts w:hint="eastAsia" w:ascii="宋体" w:hAnsi="宋体" w:eastAsia="宋体" w:cs="宋体"/>
              <w:bCs/>
              <w:color w:val="auto"/>
              <w:sz w:val="30"/>
              <w:szCs w:val="30"/>
              <w:highlight w:val="none"/>
            </w:rPr>
            <w:t>供应商须知</w:t>
          </w:r>
          <w:r>
            <w:rPr>
              <w:rFonts w:hint="eastAsia" w:ascii="宋体" w:hAnsi="宋体" w:eastAsia="宋体" w:cs="宋体"/>
              <w:color w:val="auto"/>
              <w:sz w:val="30"/>
              <w:szCs w:val="30"/>
              <w:highlight w:val="none"/>
            </w:rPr>
            <w:tab/>
          </w:r>
          <w:r>
            <w:rPr>
              <w:rFonts w:hint="eastAsia" w:ascii="宋体" w:hAnsi="宋体" w:eastAsia="宋体" w:cs="宋体"/>
              <w:color w:val="auto"/>
              <w:sz w:val="30"/>
              <w:szCs w:val="30"/>
              <w:highlight w:val="none"/>
            </w:rPr>
            <w:fldChar w:fldCharType="begin"/>
          </w:r>
          <w:r>
            <w:rPr>
              <w:rFonts w:hint="eastAsia" w:ascii="宋体" w:hAnsi="宋体" w:eastAsia="宋体" w:cs="宋体"/>
              <w:color w:val="auto"/>
              <w:sz w:val="30"/>
              <w:szCs w:val="30"/>
              <w:highlight w:val="none"/>
            </w:rPr>
            <w:instrText xml:space="preserve"> PAGEREF _Toc9984 \h </w:instrText>
          </w:r>
          <w:r>
            <w:rPr>
              <w:rFonts w:hint="eastAsia" w:ascii="宋体" w:hAnsi="宋体" w:eastAsia="宋体" w:cs="宋体"/>
              <w:color w:val="auto"/>
              <w:sz w:val="30"/>
              <w:szCs w:val="30"/>
              <w:highlight w:val="none"/>
            </w:rPr>
            <w:fldChar w:fldCharType="separate"/>
          </w:r>
          <w:r>
            <w:rPr>
              <w:rFonts w:hint="eastAsia" w:ascii="宋体" w:hAnsi="宋体" w:eastAsia="宋体" w:cs="宋体"/>
              <w:color w:val="auto"/>
              <w:sz w:val="30"/>
              <w:szCs w:val="30"/>
              <w:highlight w:val="none"/>
            </w:rPr>
            <w:t>4</w:t>
          </w:r>
          <w:r>
            <w:rPr>
              <w:rFonts w:hint="eastAsia" w:ascii="宋体" w:hAnsi="宋体" w:eastAsia="宋体" w:cs="宋体"/>
              <w:color w:val="auto"/>
              <w:sz w:val="30"/>
              <w:szCs w:val="30"/>
              <w:highlight w:val="none"/>
            </w:rPr>
            <w:fldChar w:fldCharType="end"/>
          </w:r>
          <w:r>
            <w:rPr>
              <w:rFonts w:hint="eastAsia" w:ascii="宋体" w:hAnsi="宋体" w:eastAsia="宋体" w:cs="宋体"/>
              <w:color w:val="auto"/>
              <w:sz w:val="30"/>
              <w:szCs w:val="30"/>
              <w:highlight w:val="none"/>
            </w:rPr>
            <w:fldChar w:fldCharType="end"/>
          </w:r>
        </w:p>
        <w:p w14:paraId="3BA2ED53">
          <w:pPr>
            <w:pStyle w:val="14"/>
            <w:pageBreakBefore w:val="0"/>
            <w:widowControl w:val="0"/>
            <w:tabs>
              <w:tab w:val="right" w:leader="dot" w:pos="8807"/>
            </w:tabs>
            <w:overflowPunct/>
            <w:topLinePunct w:val="0"/>
            <w:bidi w:val="0"/>
            <w:spacing w:line="360" w:lineRule="auto"/>
            <w:rPr>
              <w:rFonts w:hint="eastAsia" w:ascii="宋体" w:hAnsi="宋体" w:eastAsia="宋体" w:cs="宋体"/>
              <w:color w:val="auto"/>
              <w:sz w:val="30"/>
              <w:szCs w:val="30"/>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"_Toc32758" </w:instrText>
          </w:r>
          <w:r>
            <w:rPr>
              <w:rFonts w:hint="eastAsia" w:ascii="宋体" w:hAnsi="宋体" w:eastAsia="宋体" w:cs="宋体"/>
              <w:color w:val="auto"/>
              <w:highlight w:val="none"/>
            </w:rPr>
            <w:fldChar w:fldCharType="separate"/>
          </w:r>
          <w:r>
            <w:rPr>
              <w:rFonts w:hint="eastAsia" w:ascii="宋体" w:hAnsi="宋体" w:eastAsia="宋体" w:cs="宋体"/>
              <w:bCs/>
              <w:color w:val="auto"/>
              <w:sz w:val="30"/>
              <w:szCs w:val="30"/>
              <w:highlight w:val="none"/>
            </w:rPr>
            <w:t>第三章</w:t>
          </w:r>
          <w:r>
            <w:rPr>
              <w:rFonts w:hint="eastAsia" w:ascii="宋体" w:hAnsi="宋体" w:eastAsia="宋体" w:cs="宋体"/>
              <w:color w:val="auto"/>
              <w:sz w:val="30"/>
              <w:szCs w:val="30"/>
              <w:highlight w:val="none"/>
            </w:rPr>
            <w:t xml:space="preserve"> </w:t>
          </w:r>
          <w:r>
            <w:rPr>
              <w:rFonts w:hint="eastAsia" w:ascii="宋体" w:hAnsi="宋体" w:eastAsia="宋体" w:cs="宋体"/>
              <w:bCs/>
              <w:color w:val="auto"/>
              <w:sz w:val="30"/>
              <w:szCs w:val="30"/>
              <w:highlight w:val="none"/>
            </w:rPr>
            <w:t>采购需求</w:t>
          </w:r>
          <w:r>
            <w:rPr>
              <w:rFonts w:hint="eastAsia" w:ascii="宋体" w:hAnsi="宋体" w:eastAsia="宋体" w:cs="宋体"/>
              <w:color w:val="auto"/>
              <w:sz w:val="30"/>
              <w:szCs w:val="30"/>
              <w:highlight w:val="none"/>
            </w:rPr>
            <w:tab/>
          </w:r>
          <w:r>
            <w:rPr>
              <w:rFonts w:hint="eastAsia" w:ascii="宋体" w:hAnsi="宋体" w:eastAsia="宋体" w:cs="宋体"/>
              <w:color w:val="auto"/>
              <w:sz w:val="30"/>
              <w:szCs w:val="30"/>
              <w:highlight w:val="none"/>
            </w:rPr>
            <w:fldChar w:fldCharType="begin"/>
          </w:r>
          <w:r>
            <w:rPr>
              <w:rFonts w:hint="eastAsia" w:ascii="宋体" w:hAnsi="宋体" w:eastAsia="宋体" w:cs="宋体"/>
              <w:color w:val="auto"/>
              <w:sz w:val="30"/>
              <w:szCs w:val="30"/>
              <w:highlight w:val="none"/>
            </w:rPr>
            <w:instrText xml:space="preserve"> PAGEREF _Toc32758 \h </w:instrText>
          </w:r>
          <w:r>
            <w:rPr>
              <w:rFonts w:hint="eastAsia" w:ascii="宋体" w:hAnsi="宋体" w:eastAsia="宋体" w:cs="宋体"/>
              <w:color w:val="auto"/>
              <w:sz w:val="30"/>
              <w:szCs w:val="30"/>
              <w:highlight w:val="none"/>
            </w:rPr>
            <w:fldChar w:fldCharType="separate"/>
          </w:r>
          <w:r>
            <w:rPr>
              <w:rFonts w:hint="eastAsia" w:ascii="宋体" w:hAnsi="宋体" w:eastAsia="宋体" w:cs="宋体"/>
              <w:color w:val="auto"/>
              <w:sz w:val="30"/>
              <w:szCs w:val="30"/>
              <w:highlight w:val="none"/>
            </w:rPr>
            <w:t>30</w:t>
          </w:r>
          <w:r>
            <w:rPr>
              <w:rFonts w:hint="eastAsia" w:ascii="宋体" w:hAnsi="宋体" w:eastAsia="宋体" w:cs="宋体"/>
              <w:color w:val="auto"/>
              <w:sz w:val="30"/>
              <w:szCs w:val="30"/>
              <w:highlight w:val="none"/>
            </w:rPr>
            <w:fldChar w:fldCharType="end"/>
          </w:r>
          <w:r>
            <w:rPr>
              <w:rFonts w:hint="eastAsia" w:ascii="宋体" w:hAnsi="宋体" w:eastAsia="宋体" w:cs="宋体"/>
              <w:color w:val="auto"/>
              <w:sz w:val="30"/>
              <w:szCs w:val="30"/>
              <w:highlight w:val="none"/>
            </w:rPr>
            <w:fldChar w:fldCharType="end"/>
          </w:r>
        </w:p>
        <w:p w14:paraId="626040AA">
          <w:pPr>
            <w:pStyle w:val="14"/>
            <w:pageBreakBefore w:val="0"/>
            <w:widowControl w:val="0"/>
            <w:tabs>
              <w:tab w:val="right" w:leader="dot" w:pos="8807"/>
            </w:tabs>
            <w:overflowPunct/>
            <w:topLinePunct w:val="0"/>
            <w:bidi w:val="0"/>
            <w:spacing w:line="360" w:lineRule="auto"/>
            <w:rPr>
              <w:rFonts w:hint="eastAsia" w:ascii="宋体" w:hAnsi="宋体" w:eastAsia="宋体" w:cs="宋体"/>
              <w:color w:val="auto"/>
              <w:sz w:val="30"/>
              <w:szCs w:val="30"/>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"_Toc25408" </w:instrText>
          </w:r>
          <w:r>
            <w:rPr>
              <w:rFonts w:hint="eastAsia" w:ascii="宋体" w:hAnsi="宋体" w:eastAsia="宋体" w:cs="宋体"/>
              <w:color w:val="auto"/>
              <w:highlight w:val="none"/>
            </w:rPr>
            <w:fldChar w:fldCharType="separate"/>
          </w:r>
          <w:r>
            <w:rPr>
              <w:rFonts w:hint="eastAsia" w:ascii="宋体" w:hAnsi="宋体" w:eastAsia="宋体" w:cs="宋体"/>
              <w:bCs/>
              <w:color w:val="auto"/>
              <w:sz w:val="30"/>
              <w:szCs w:val="30"/>
              <w:highlight w:val="none"/>
            </w:rPr>
            <w:t>第四章 评审办法</w:t>
          </w:r>
          <w:r>
            <w:rPr>
              <w:rFonts w:hint="eastAsia" w:ascii="宋体" w:hAnsi="宋体" w:eastAsia="宋体" w:cs="宋体"/>
              <w:color w:val="auto"/>
              <w:sz w:val="30"/>
              <w:szCs w:val="30"/>
              <w:highlight w:val="none"/>
            </w:rPr>
            <w:tab/>
          </w:r>
          <w:r>
            <w:rPr>
              <w:rFonts w:hint="eastAsia" w:ascii="宋体" w:hAnsi="宋体" w:eastAsia="宋体" w:cs="宋体"/>
              <w:color w:val="auto"/>
              <w:sz w:val="30"/>
              <w:szCs w:val="30"/>
              <w:highlight w:val="none"/>
            </w:rPr>
            <w:fldChar w:fldCharType="begin"/>
          </w:r>
          <w:r>
            <w:rPr>
              <w:rFonts w:hint="eastAsia" w:ascii="宋体" w:hAnsi="宋体" w:eastAsia="宋体" w:cs="宋体"/>
              <w:color w:val="auto"/>
              <w:sz w:val="30"/>
              <w:szCs w:val="30"/>
              <w:highlight w:val="none"/>
            </w:rPr>
            <w:instrText xml:space="preserve"> PAGEREF _Toc25408 \h </w:instrText>
          </w:r>
          <w:r>
            <w:rPr>
              <w:rFonts w:hint="eastAsia" w:ascii="宋体" w:hAnsi="宋体" w:eastAsia="宋体" w:cs="宋体"/>
              <w:color w:val="auto"/>
              <w:sz w:val="30"/>
              <w:szCs w:val="30"/>
              <w:highlight w:val="none"/>
            </w:rPr>
            <w:fldChar w:fldCharType="separate"/>
          </w:r>
          <w:r>
            <w:rPr>
              <w:rFonts w:hint="eastAsia" w:ascii="宋体" w:hAnsi="宋体" w:eastAsia="宋体" w:cs="宋体"/>
              <w:color w:val="auto"/>
              <w:sz w:val="30"/>
              <w:szCs w:val="30"/>
              <w:highlight w:val="none"/>
            </w:rPr>
            <w:t>66</w:t>
          </w:r>
          <w:r>
            <w:rPr>
              <w:rFonts w:hint="eastAsia" w:ascii="宋体" w:hAnsi="宋体" w:eastAsia="宋体" w:cs="宋体"/>
              <w:color w:val="auto"/>
              <w:sz w:val="30"/>
              <w:szCs w:val="30"/>
              <w:highlight w:val="none"/>
            </w:rPr>
            <w:fldChar w:fldCharType="end"/>
          </w:r>
          <w:r>
            <w:rPr>
              <w:rFonts w:hint="eastAsia" w:ascii="宋体" w:hAnsi="宋体" w:eastAsia="宋体" w:cs="宋体"/>
              <w:color w:val="auto"/>
              <w:sz w:val="30"/>
              <w:szCs w:val="30"/>
              <w:highlight w:val="none"/>
            </w:rPr>
            <w:fldChar w:fldCharType="end"/>
          </w:r>
        </w:p>
        <w:p w14:paraId="1E6BED4B">
          <w:pPr>
            <w:pStyle w:val="14"/>
            <w:pageBreakBefore w:val="0"/>
            <w:widowControl w:val="0"/>
            <w:tabs>
              <w:tab w:val="right" w:leader="dot" w:pos="8807"/>
            </w:tabs>
            <w:overflowPunct/>
            <w:topLinePunct w:val="0"/>
            <w:bidi w:val="0"/>
            <w:spacing w:line="360" w:lineRule="auto"/>
            <w:rPr>
              <w:rFonts w:hint="eastAsia" w:ascii="宋体" w:hAnsi="宋体" w:eastAsia="宋体" w:cs="宋体"/>
              <w:color w:val="auto"/>
              <w:sz w:val="30"/>
              <w:szCs w:val="30"/>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"_Toc17335" </w:instrText>
          </w:r>
          <w:r>
            <w:rPr>
              <w:rFonts w:hint="eastAsia" w:ascii="宋体" w:hAnsi="宋体" w:eastAsia="宋体" w:cs="宋体"/>
              <w:color w:val="auto"/>
              <w:highlight w:val="none"/>
            </w:rPr>
            <w:fldChar w:fldCharType="separate"/>
          </w:r>
          <w:r>
            <w:rPr>
              <w:rFonts w:hint="eastAsia" w:ascii="宋体" w:hAnsi="宋体" w:eastAsia="宋体" w:cs="宋体"/>
              <w:bCs/>
              <w:color w:val="auto"/>
              <w:sz w:val="30"/>
              <w:szCs w:val="30"/>
              <w:highlight w:val="none"/>
            </w:rPr>
            <w:t>第五章</w:t>
          </w:r>
          <w:r>
            <w:rPr>
              <w:rFonts w:hint="eastAsia" w:ascii="宋体" w:hAnsi="宋体" w:eastAsia="宋体" w:cs="宋体"/>
              <w:color w:val="auto"/>
              <w:sz w:val="30"/>
              <w:szCs w:val="30"/>
              <w:highlight w:val="none"/>
            </w:rPr>
            <w:t xml:space="preserve"> </w:t>
          </w:r>
          <w:r>
            <w:rPr>
              <w:rFonts w:hint="eastAsia" w:ascii="宋体" w:hAnsi="宋体" w:eastAsia="宋体" w:cs="宋体"/>
              <w:bCs/>
              <w:color w:val="auto"/>
              <w:sz w:val="30"/>
              <w:szCs w:val="30"/>
              <w:highlight w:val="none"/>
            </w:rPr>
            <w:t>政府采购合同（合同主要条款及格式）</w:t>
          </w:r>
          <w:r>
            <w:rPr>
              <w:rFonts w:hint="eastAsia" w:ascii="宋体" w:hAnsi="宋体" w:eastAsia="宋体" w:cs="宋体"/>
              <w:color w:val="auto"/>
              <w:sz w:val="30"/>
              <w:szCs w:val="30"/>
              <w:highlight w:val="none"/>
            </w:rPr>
            <w:tab/>
          </w:r>
          <w:r>
            <w:rPr>
              <w:rFonts w:hint="eastAsia" w:ascii="宋体" w:hAnsi="宋体" w:eastAsia="宋体" w:cs="宋体"/>
              <w:color w:val="auto"/>
              <w:sz w:val="30"/>
              <w:szCs w:val="30"/>
              <w:highlight w:val="none"/>
            </w:rPr>
            <w:fldChar w:fldCharType="begin"/>
          </w:r>
          <w:r>
            <w:rPr>
              <w:rFonts w:hint="eastAsia" w:ascii="宋体" w:hAnsi="宋体" w:eastAsia="宋体" w:cs="宋体"/>
              <w:color w:val="auto"/>
              <w:sz w:val="30"/>
              <w:szCs w:val="30"/>
              <w:highlight w:val="none"/>
            </w:rPr>
            <w:instrText xml:space="preserve"> PAGEREF _Toc17335 \h </w:instrText>
          </w:r>
          <w:r>
            <w:rPr>
              <w:rFonts w:hint="eastAsia" w:ascii="宋体" w:hAnsi="宋体" w:eastAsia="宋体" w:cs="宋体"/>
              <w:color w:val="auto"/>
              <w:sz w:val="30"/>
              <w:szCs w:val="30"/>
              <w:highlight w:val="none"/>
            </w:rPr>
            <w:fldChar w:fldCharType="separate"/>
          </w:r>
          <w:r>
            <w:rPr>
              <w:rFonts w:hint="eastAsia" w:ascii="宋体" w:hAnsi="宋体" w:eastAsia="宋体" w:cs="宋体"/>
              <w:color w:val="auto"/>
              <w:sz w:val="30"/>
              <w:szCs w:val="30"/>
              <w:highlight w:val="none"/>
            </w:rPr>
            <w:t>75</w:t>
          </w:r>
          <w:r>
            <w:rPr>
              <w:rFonts w:hint="eastAsia" w:ascii="宋体" w:hAnsi="宋体" w:eastAsia="宋体" w:cs="宋体"/>
              <w:color w:val="auto"/>
              <w:sz w:val="30"/>
              <w:szCs w:val="30"/>
              <w:highlight w:val="none"/>
            </w:rPr>
            <w:fldChar w:fldCharType="end"/>
          </w:r>
          <w:r>
            <w:rPr>
              <w:rFonts w:hint="eastAsia" w:ascii="宋体" w:hAnsi="宋体" w:eastAsia="宋体" w:cs="宋体"/>
              <w:color w:val="auto"/>
              <w:sz w:val="30"/>
              <w:szCs w:val="30"/>
              <w:highlight w:val="none"/>
            </w:rPr>
            <w:fldChar w:fldCharType="end"/>
          </w:r>
        </w:p>
        <w:p w14:paraId="64394683">
          <w:pPr>
            <w:pStyle w:val="14"/>
            <w:pageBreakBefore w:val="0"/>
            <w:widowControl w:val="0"/>
            <w:tabs>
              <w:tab w:val="right" w:leader="dot" w:pos="8807"/>
            </w:tabs>
            <w:overflowPunct/>
            <w:topLinePunct w:val="0"/>
            <w:bidi w:val="0"/>
            <w:spacing w:line="360" w:lineRule="auto"/>
            <w:rPr>
              <w:rFonts w:hint="eastAsia" w:ascii="宋体" w:hAnsi="宋体" w:eastAsia="宋体" w:cs="宋体"/>
              <w:color w:val="auto"/>
              <w:sz w:val="30"/>
              <w:szCs w:val="30"/>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"_Toc20031" </w:instrText>
          </w:r>
          <w:r>
            <w:rPr>
              <w:rFonts w:hint="eastAsia" w:ascii="宋体" w:hAnsi="宋体" w:eastAsia="宋体" w:cs="宋体"/>
              <w:color w:val="auto"/>
              <w:highlight w:val="none"/>
            </w:rPr>
            <w:fldChar w:fldCharType="separate"/>
          </w:r>
          <w:r>
            <w:rPr>
              <w:rFonts w:hint="eastAsia" w:ascii="宋体" w:hAnsi="宋体" w:eastAsia="宋体" w:cs="宋体"/>
              <w:bCs/>
              <w:color w:val="auto"/>
              <w:sz w:val="30"/>
              <w:szCs w:val="30"/>
              <w:highlight w:val="none"/>
            </w:rPr>
            <w:t>第六章</w:t>
          </w:r>
          <w:r>
            <w:rPr>
              <w:rFonts w:hint="eastAsia" w:ascii="宋体" w:hAnsi="宋体" w:eastAsia="宋体" w:cs="宋体"/>
              <w:color w:val="auto"/>
              <w:sz w:val="30"/>
              <w:szCs w:val="30"/>
              <w:highlight w:val="none"/>
            </w:rPr>
            <w:t xml:space="preserve"> </w:t>
          </w:r>
          <w:r>
            <w:rPr>
              <w:rFonts w:hint="eastAsia" w:ascii="宋体" w:hAnsi="宋体" w:eastAsia="宋体" w:cs="宋体"/>
              <w:bCs/>
              <w:color w:val="auto"/>
              <w:sz w:val="30"/>
              <w:szCs w:val="30"/>
              <w:highlight w:val="none"/>
            </w:rPr>
            <w:t>响应文件（格式）</w:t>
          </w:r>
          <w:r>
            <w:rPr>
              <w:rFonts w:hint="eastAsia" w:ascii="宋体" w:hAnsi="宋体" w:eastAsia="宋体" w:cs="宋体"/>
              <w:color w:val="auto"/>
              <w:sz w:val="30"/>
              <w:szCs w:val="30"/>
              <w:highlight w:val="none"/>
            </w:rPr>
            <w:tab/>
          </w:r>
          <w:r>
            <w:rPr>
              <w:rFonts w:hint="eastAsia" w:ascii="宋体" w:hAnsi="宋体" w:eastAsia="宋体" w:cs="宋体"/>
              <w:color w:val="auto"/>
              <w:sz w:val="30"/>
              <w:szCs w:val="30"/>
              <w:highlight w:val="none"/>
            </w:rPr>
            <w:fldChar w:fldCharType="begin"/>
          </w:r>
          <w:r>
            <w:rPr>
              <w:rFonts w:hint="eastAsia" w:ascii="宋体" w:hAnsi="宋体" w:eastAsia="宋体" w:cs="宋体"/>
              <w:color w:val="auto"/>
              <w:sz w:val="30"/>
              <w:szCs w:val="30"/>
              <w:highlight w:val="none"/>
            </w:rPr>
            <w:instrText xml:space="preserve"> PAGEREF _Toc20031 \h </w:instrText>
          </w:r>
          <w:r>
            <w:rPr>
              <w:rFonts w:hint="eastAsia" w:ascii="宋体" w:hAnsi="宋体" w:eastAsia="宋体" w:cs="宋体"/>
              <w:color w:val="auto"/>
              <w:sz w:val="30"/>
              <w:szCs w:val="30"/>
              <w:highlight w:val="none"/>
            </w:rPr>
            <w:fldChar w:fldCharType="separate"/>
          </w:r>
          <w:r>
            <w:rPr>
              <w:rFonts w:hint="eastAsia" w:ascii="宋体" w:hAnsi="宋体" w:eastAsia="宋体" w:cs="宋体"/>
              <w:color w:val="auto"/>
              <w:sz w:val="30"/>
              <w:szCs w:val="30"/>
              <w:highlight w:val="none"/>
            </w:rPr>
            <w:t>81</w:t>
          </w:r>
          <w:r>
            <w:rPr>
              <w:rFonts w:hint="eastAsia" w:ascii="宋体" w:hAnsi="宋体" w:eastAsia="宋体" w:cs="宋体"/>
              <w:color w:val="auto"/>
              <w:sz w:val="30"/>
              <w:szCs w:val="30"/>
              <w:highlight w:val="none"/>
            </w:rPr>
            <w:fldChar w:fldCharType="end"/>
          </w:r>
          <w:r>
            <w:rPr>
              <w:rFonts w:hint="eastAsia" w:ascii="宋体" w:hAnsi="宋体" w:eastAsia="宋体" w:cs="宋体"/>
              <w:color w:val="auto"/>
              <w:sz w:val="30"/>
              <w:szCs w:val="30"/>
              <w:highlight w:val="none"/>
            </w:rPr>
            <w:fldChar w:fldCharType="end"/>
          </w:r>
        </w:p>
        <w:p w14:paraId="0F0331E4">
          <w:pPr>
            <w:pStyle w:val="14"/>
            <w:pageBreakBefore w:val="0"/>
            <w:widowControl w:val="0"/>
            <w:tabs>
              <w:tab w:val="right" w:leader="dot" w:pos="8807"/>
            </w:tabs>
            <w:overflowPunct/>
            <w:topLinePunct w:val="0"/>
            <w:bidi w:val="0"/>
            <w:spacing w:line="360" w:lineRule="auto"/>
            <w:rPr>
              <w:rFonts w:hint="eastAsia" w:ascii="宋体" w:hAnsi="宋体" w:eastAsia="宋体" w:cs="宋体"/>
              <w:color w:val="auto"/>
              <w:sz w:val="30"/>
              <w:szCs w:val="30"/>
              <w:highlight w:val="none"/>
            </w:rPr>
          </w:pPr>
        </w:p>
        <w:p w14:paraId="293B231E">
          <w:pPr>
            <w:pageBreakBefore w:val="0"/>
            <w:widowControl w:val="0"/>
            <w:overflowPunct/>
            <w:topLinePunct w:val="0"/>
            <w:bidi w:val="0"/>
            <w:spacing w:line="360" w:lineRule="auto"/>
            <w:ind w:firstLine="600" w:firstLineChars="200"/>
            <w:rPr>
              <w:rFonts w:hint="eastAsia" w:ascii="宋体" w:hAnsi="宋体" w:eastAsia="宋体" w:cs="宋体"/>
              <w:color w:val="auto"/>
              <w:szCs w:val="31"/>
              <w:highlight w:val="none"/>
            </w:rPr>
          </w:pPr>
          <w:r>
            <w:rPr>
              <w:rFonts w:hint="eastAsia" w:ascii="宋体" w:hAnsi="宋体" w:eastAsia="宋体" w:cs="宋体"/>
              <w:color w:val="auto"/>
              <w:sz w:val="30"/>
              <w:szCs w:val="30"/>
              <w:highlight w:val="none"/>
            </w:rPr>
            <w:fldChar w:fldCharType="end"/>
          </w:r>
        </w:p>
      </w:sdtContent>
    </w:sdt>
    <w:p w14:paraId="3AA88393">
      <w:pPr>
        <w:pageBreakBefore w:val="0"/>
        <w:widowControl w:val="0"/>
        <w:overflowPunct/>
        <w:topLinePunct w:val="0"/>
        <w:bidi w:val="0"/>
        <w:spacing w:line="400" w:lineRule="exact"/>
        <w:ind w:firstLine="420" w:firstLineChars="200"/>
        <w:rPr>
          <w:rFonts w:hint="eastAsia" w:ascii="宋体" w:hAnsi="宋体" w:eastAsia="宋体" w:cs="宋体"/>
          <w:color w:val="auto"/>
          <w:szCs w:val="31"/>
          <w:highlight w:val="none"/>
        </w:rPr>
        <w:sectPr>
          <w:footerReference r:id="rId3" w:type="default"/>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p w14:paraId="1296A66F">
      <w:pPr>
        <w:pageBreakBefore w:val="0"/>
        <w:widowControl w:val="0"/>
        <w:overflowPunct/>
        <w:topLinePunct w:val="0"/>
        <w:bidi w:val="0"/>
        <w:spacing w:line="400" w:lineRule="exact"/>
        <w:jc w:val="center"/>
        <w:outlineLvl w:val="0"/>
        <w:rPr>
          <w:rFonts w:hint="eastAsia" w:ascii="宋体" w:hAnsi="宋体" w:eastAsia="宋体" w:cs="宋体"/>
          <w:color w:val="auto"/>
          <w:sz w:val="31"/>
          <w:szCs w:val="31"/>
          <w:highlight w:val="none"/>
        </w:rPr>
      </w:pPr>
      <w:bookmarkStart w:id="0" w:name="bookmark2"/>
      <w:bookmarkEnd w:id="0"/>
      <w:bookmarkStart w:id="1" w:name="bookmark1"/>
      <w:bookmarkEnd w:id="1"/>
      <w:bookmarkStart w:id="2" w:name="_Toc7047"/>
      <w:r>
        <w:rPr>
          <w:rFonts w:hint="eastAsia" w:ascii="宋体" w:hAnsi="宋体" w:eastAsia="宋体" w:cs="宋体"/>
          <w:b/>
          <w:bCs/>
          <w:color w:val="auto"/>
          <w:sz w:val="31"/>
          <w:szCs w:val="31"/>
          <w:highlight w:val="none"/>
        </w:rPr>
        <w:t>第一章</w:t>
      </w:r>
      <w:r>
        <w:rPr>
          <w:rFonts w:hint="eastAsia" w:ascii="宋体" w:hAnsi="宋体" w:eastAsia="宋体" w:cs="宋体"/>
          <w:color w:val="auto"/>
          <w:sz w:val="31"/>
          <w:szCs w:val="31"/>
          <w:highlight w:val="none"/>
        </w:rPr>
        <w:t xml:space="preserve"> </w:t>
      </w:r>
      <w:r>
        <w:rPr>
          <w:rFonts w:hint="eastAsia" w:ascii="宋体" w:hAnsi="宋体" w:eastAsia="宋体" w:cs="宋体"/>
          <w:b/>
          <w:bCs/>
          <w:color w:val="auto"/>
          <w:sz w:val="31"/>
          <w:szCs w:val="31"/>
          <w:highlight w:val="none"/>
        </w:rPr>
        <w:t>竞争性谈判公告</w:t>
      </w:r>
      <w:bookmarkEnd w:id="2"/>
    </w:p>
    <w:p w14:paraId="0AAB40ED">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rPr>
      </w:pPr>
    </w:p>
    <w:tbl>
      <w:tblPr>
        <w:tblStyle w:val="26"/>
        <w:tblW w:w="9471"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471"/>
      </w:tblGrid>
      <w:tr w14:paraId="3808CFDB">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410" w:hRule="atLeast"/>
        </w:trPr>
        <w:tc>
          <w:tcPr>
            <w:tcW w:w="9471" w:type="dxa"/>
          </w:tcPr>
          <w:p w14:paraId="164CE827">
            <w:pPr>
              <w:pStyle w:val="27"/>
              <w:pageBreakBefore w:val="0"/>
              <w:widowControl w:val="0"/>
              <w:overflowPunct/>
              <w:topLinePunct w:val="0"/>
              <w:bidi w:val="0"/>
              <w:spacing w:line="40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项目概况</w:t>
            </w:r>
          </w:p>
          <w:p w14:paraId="4072D853">
            <w:pPr>
              <w:pStyle w:val="27"/>
              <w:pageBreakBefore w:val="0"/>
              <w:widowControl w:val="0"/>
              <w:overflowPunct/>
              <w:topLinePunct w:val="0"/>
              <w:bidi w:val="0"/>
              <w:spacing w:line="40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2026年桂林市区控水质自动站智慧化改造项目的潜在供应商应在广西政府采购云平台线上获取获取采购文件，并于</w:t>
            </w:r>
            <w:r>
              <w:rPr>
                <w:rFonts w:hint="eastAsia" w:cs="宋体"/>
                <w:color w:val="auto"/>
                <w:sz w:val="21"/>
                <w:szCs w:val="21"/>
                <w:highlight w:val="none"/>
                <w:lang w:eastAsia="zh-CN"/>
              </w:rPr>
              <w:t>2026年10月15日</w:t>
            </w:r>
            <w:r>
              <w:rPr>
                <w:rFonts w:hint="eastAsia" w:ascii="宋体" w:hAnsi="宋体" w:eastAsia="宋体" w:cs="宋体"/>
                <w:color w:val="auto"/>
                <w:sz w:val="21"/>
                <w:szCs w:val="21"/>
                <w:highlight w:val="none"/>
                <w:lang w:val="en-US" w:eastAsia="zh-CN"/>
              </w:rPr>
              <w:t>09</w:t>
            </w:r>
            <w:r>
              <w:rPr>
                <w:rFonts w:hint="eastAsia" w:ascii="宋体" w:hAnsi="宋体" w:eastAsia="宋体" w:cs="宋体"/>
                <w:color w:val="auto"/>
                <w:sz w:val="21"/>
                <w:szCs w:val="21"/>
                <w:highlight w:val="none"/>
                <w:lang w:eastAsia="zh-CN"/>
              </w:rPr>
              <w:t>:30（北京时间）前提交响应文件。</w:t>
            </w:r>
          </w:p>
        </w:tc>
      </w:tr>
    </w:tbl>
    <w:p w14:paraId="0646965A">
      <w:pPr>
        <w:pageBreakBefore w:val="0"/>
        <w:widowControl w:val="0"/>
        <w:overflowPunct/>
        <w:topLinePunct w:val="0"/>
        <w:bidi w:val="0"/>
        <w:spacing w:line="400" w:lineRule="exact"/>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一、项目基本情况</w:t>
      </w:r>
    </w:p>
    <w:p w14:paraId="3727291E">
      <w:pPr>
        <w:keepNext w:val="0"/>
        <w:keepLines w:val="0"/>
        <w:pageBreakBefore w:val="0"/>
        <w:widowControl w:val="0"/>
        <w:kinsoku w:val="0"/>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 xml:space="preserve">项目编号：GXZC2026-J1-003281-DHGS </w:t>
      </w:r>
    </w:p>
    <w:p w14:paraId="0A5AF6C9">
      <w:pPr>
        <w:keepNext w:val="0"/>
        <w:keepLines w:val="0"/>
        <w:pageBreakBefore w:val="0"/>
        <w:widowControl w:val="0"/>
        <w:kinsoku w:val="0"/>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项目名称：2026年桂林市区控水质自动站智慧化改造项目</w:t>
      </w:r>
    </w:p>
    <w:p w14:paraId="3ADBBA45">
      <w:pPr>
        <w:keepNext w:val="0"/>
        <w:keepLines w:val="0"/>
        <w:pageBreakBefore w:val="0"/>
        <w:widowControl w:val="0"/>
        <w:kinsoku w:val="0"/>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采购方式：竞争性谈判</w:t>
      </w:r>
    </w:p>
    <w:p w14:paraId="7A5456FD">
      <w:pPr>
        <w:keepNext w:val="0"/>
        <w:keepLines w:val="0"/>
        <w:pageBreakBefore w:val="0"/>
        <w:widowControl w:val="0"/>
        <w:kinsoku w:val="0"/>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预算总金额（元）：1300000.00元</w:t>
      </w:r>
    </w:p>
    <w:p w14:paraId="3E7C0543">
      <w:pPr>
        <w:keepNext w:val="0"/>
        <w:keepLines w:val="0"/>
        <w:pageBreakBefore w:val="0"/>
        <w:widowControl w:val="0"/>
        <w:kinsoku w:val="0"/>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采购需求：</w:t>
      </w:r>
    </w:p>
    <w:p w14:paraId="476A97CB">
      <w:pPr>
        <w:keepNext w:val="0"/>
        <w:keepLines w:val="0"/>
        <w:pageBreakBefore w:val="0"/>
        <w:widowControl w:val="0"/>
        <w:kinsoku w:val="0"/>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标项名称:2026年桂林市区控水质自动站智慧化改造项目</w:t>
      </w:r>
    </w:p>
    <w:p w14:paraId="3820506D">
      <w:pPr>
        <w:keepNext w:val="0"/>
        <w:keepLines w:val="0"/>
        <w:pageBreakBefore w:val="0"/>
        <w:widowControl w:val="0"/>
        <w:kinsoku w:val="0"/>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数量:一项</w:t>
      </w:r>
    </w:p>
    <w:p w14:paraId="19EDB198">
      <w:pPr>
        <w:keepNext w:val="0"/>
        <w:keepLines w:val="0"/>
        <w:pageBreakBefore w:val="0"/>
        <w:widowControl w:val="0"/>
        <w:kinsoku w:val="0"/>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预算金额（元）:1300000.00元</w:t>
      </w:r>
    </w:p>
    <w:p w14:paraId="4475FA0C">
      <w:pPr>
        <w:keepNext w:val="0"/>
        <w:keepLines w:val="0"/>
        <w:pageBreakBefore w:val="0"/>
        <w:widowControl w:val="0"/>
        <w:kinsoku w:val="0"/>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简要规格描述或项目基本概况介绍、用途：2026年桂林市区控水质自动站智慧化改造项目一项，如需进一步了解详细内容，具体详见竞争性谈判文件。</w:t>
      </w:r>
    </w:p>
    <w:p w14:paraId="432510B3">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最高限价（如有）：1300000.00元</w:t>
      </w:r>
    </w:p>
    <w:p w14:paraId="60C7029E">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合同履约期限：仪器设备验收时间：两个月内完成安装调试、试运行、验收。</w:t>
      </w:r>
      <w:r>
        <w:rPr>
          <w:rFonts w:hint="eastAsia" w:ascii="宋体" w:hAnsi="宋体" w:eastAsia="宋体" w:cs="宋体"/>
          <w:snapToGrid w:val="0"/>
          <w:color w:val="auto"/>
          <w:spacing w:val="7"/>
          <w:kern w:val="0"/>
          <w:sz w:val="21"/>
          <w:szCs w:val="21"/>
          <w:highlight w:val="none"/>
          <w:lang w:val="en-US" w:eastAsia="zh-CN"/>
        </w:rPr>
        <w:t>项目验收通过后运维期为3年，运维期时长及运维内容不随全区区控水站点位调整方案的变化而改变</w:t>
      </w:r>
      <w:r>
        <w:rPr>
          <w:rFonts w:hint="eastAsia" w:ascii="宋体" w:hAnsi="宋体" w:eastAsia="宋体" w:cs="宋体"/>
          <w:color w:val="auto"/>
          <w:highlight w:val="none"/>
          <w:lang w:eastAsia="zh-CN"/>
        </w:rPr>
        <w:t>。</w:t>
      </w:r>
    </w:p>
    <w:p w14:paraId="3F09F2D8">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本项目不接受联合体投标</w:t>
      </w:r>
    </w:p>
    <w:p w14:paraId="444E3FB3">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备注：/</w:t>
      </w:r>
    </w:p>
    <w:p w14:paraId="32D819B4">
      <w:pPr>
        <w:pageBreakBefore w:val="0"/>
        <w:widowControl w:val="0"/>
        <w:overflowPunct/>
        <w:topLinePunct w:val="0"/>
        <w:bidi w:val="0"/>
        <w:spacing w:line="400" w:lineRule="exact"/>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二、</w:t>
      </w:r>
      <w:r>
        <w:rPr>
          <w:rFonts w:hint="eastAsia" w:ascii="宋体" w:hAnsi="宋体" w:eastAsia="宋体" w:cs="宋体"/>
          <w:color w:val="auto"/>
          <w:highlight w:val="none"/>
          <w:lang w:eastAsia="zh-CN"/>
        </w:rPr>
        <w:t xml:space="preserve"> </w:t>
      </w:r>
      <w:r>
        <w:rPr>
          <w:rFonts w:hint="eastAsia" w:ascii="宋体" w:hAnsi="宋体" w:eastAsia="宋体" w:cs="宋体"/>
          <w:b/>
          <w:bCs/>
          <w:color w:val="auto"/>
          <w:highlight w:val="none"/>
          <w:lang w:eastAsia="zh-CN"/>
        </w:rPr>
        <w:t>申请人的资格要求：</w:t>
      </w:r>
    </w:p>
    <w:p w14:paraId="3F7BCE2D">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1.满足《中华人民共和国政府采购法》第二十二条规定。</w:t>
      </w:r>
    </w:p>
    <w:p w14:paraId="458C55C1">
      <w:pPr>
        <w:pageBreakBefore w:val="0"/>
        <w:widowControl w:val="0"/>
        <w:overflowPunct/>
        <w:topLinePunct w:val="0"/>
        <w:bidi w:val="0"/>
        <w:spacing w:line="400" w:lineRule="exact"/>
        <w:ind w:firstLine="420" w:firstLineChars="200"/>
        <w:rPr>
          <w:rFonts w:hint="eastAsia" w:ascii="宋体" w:hAnsi="宋体" w:eastAsia="宋体" w:cs="宋体"/>
          <w:b/>
          <w:bCs/>
          <w:color w:val="auto"/>
          <w:sz w:val="21"/>
          <w:szCs w:val="21"/>
          <w:highlight w:val="none"/>
          <w:lang w:eastAsia="zh-CN"/>
        </w:rPr>
      </w:pPr>
      <w:r>
        <w:rPr>
          <w:rFonts w:hint="eastAsia" w:ascii="宋体" w:hAnsi="宋体" w:eastAsia="宋体" w:cs="宋体"/>
          <w:color w:val="auto"/>
          <w:highlight w:val="none"/>
          <w:lang w:eastAsia="zh-CN"/>
        </w:rPr>
        <w:t>2.落实政府采购政策需满足的资格要求：</w:t>
      </w:r>
      <w:r>
        <w:rPr>
          <w:rFonts w:hint="eastAsia" w:ascii="宋体" w:hAnsi="宋体" w:eastAsia="宋体" w:cs="宋体"/>
          <w:bCs w:val="0"/>
          <w:color w:val="auto"/>
          <w:highlight w:val="none"/>
          <w:lang w:eastAsia="zh-CN"/>
        </w:rPr>
        <w:t>本项目非专门面向中小微企业采购</w:t>
      </w:r>
      <w:r>
        <w:rPr>
          <w:rFonts w:hint="eastAsia" w:ascii="宋体" w:hAnsi="宋体" w:eastAsia="宋体" w:cs="宋体"/>
          <w:b w:val="0"/>
          <w:bCs w:val="0"/>
          <w:color w:val="auto"/>
          <w:sz w:val="21"/>
          <w:szCs w:val="21"/>
          <w:highlight w:val="none"/>
          <w:lang w:eastAsia="zh-CN"/>
        </w:rPr>
        <w:t>。</w:t>
      </w:r>
    </w:p>
    <w:p w14:paraId="56413366">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3.本项目的特定资格要求：</w:t>
      </w:r>
      <w:r>
        <w:rPr>
          <w:rFonts w:hint="eastAsia" w:ascii="宋体" w:hAnsi="宋体" w:eastAsia="宋体" w:cs="宋体"/>
          <w:color w:val="auto"/>
          <w:szCs w:val="21"/>
        </w:rPr>
        <w:t>无</w:t>
      </w:r>
      <w:r>
        <w:rPr>
          <w:rFonts w:hint="eastAsia" w:ascii="宋体" w:hAnsi="宋体" w:eastAsia="宋体" w:cs="宋体"/>
          <w:color w:val="auto"/>
          <w:highlight w:val="none"/>
          <w:lang w:eastAsia="zh-CN"/>
        </w:rPr>
        <w:t>。</w:t>
      </w:r>
    </w:p>
    <w:p w14:paraId="545080E5">
      <w:pPr>
        <w:pageBreakBefore w:val="0"/>
        <w:widowControl w:val="0"/>
        <w:overflowPunct/>
        <w:topLinePunct w:val="0"/>
        <w:bidi w:val="0"/>
        <w:spacing w:line="400" w:lineRule="exact"/>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三、获取采购文件</w:t>
      </w:r>
    </w:p>
    <w:p w14:paraId="7FAFA059">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时间：</w:t>
      </w:r>
      <w:r>
        <w:rPr>
          <w:rFonts w:hint="eastAsia" w:ascii="宋体" w:hAnsi="宋体" w:eastAsia="宋体" w:cs="宋体"/>
          <w:bCs/>
          <w:color w:val="auto"/>
          <w:kern w:val="0"/>
          <w:szCs w:val="21"/>
          <w:highlight w:val="none"/>
        </w:rPr>
        <w:t>202</w:t>
      </w:r>
      <w:r>
        <w:rPr>
          <w:rFonts w:hint="eastAsia" w:ascii="宋体" w:hAnsi="宋体" w:eastAsia="宋体" w:cs="宋体"/>
          <w:bCs/>
          <w:color w:val="auto"/>
          <w:kern w:val="0"/>
          <w:szCs w:val="21"/>
          <w:highlight w:val="none"/>
          <w:lang w:val="en-US" w:eastAsia="zh-CN"/>
        </w:rPr>
        <w:t>6</w:t>
      </w:r>
      <w:r>
        <w:rPr>
          <w:rFonts w:hint="eastAsia" w:ascii="宋体" w:hAnsi="宋体" w:eastAsia="宋体" w:cs="宋体"/>
          <w:bCs/>
          <w:color w:val="auto"/>
          <w:kern w:val="0"/>
          <w:szCs w:val="21"/>
          <w:highlight w:val="none"/>
        </w:rPr>
        <w:t>年</w:t>
      </w:r>
      <w:r>
        <w:rPr>
          <w:rFonts w:hint="eastAsia" w:ascii="宋体" w:hAnsi="宋体" w:eastAsia="宋体" w:cs="宋体"/>
          <w:bCs/>
          <w:color w:val="auto"/>
          <w:kern w:val="0"/>
          <w:szCs w:val="21"/>
          <w:highlight w:val="none"/>
          <w:lang w:val="en-US" w:eastAsia="zh-CN"/>
        </w:rPr>
        <w:t>10</w:t>
      </w:r>
      <w:r>
        <w:rPr>
          <w:rFonts w:hint="eastAsia" w:ascii="宋体" w:hAnsi="宋体" w:eastAsia="宋体" w:cs="宋体"/>
          <w:bCs/>
          <w:color w:val="auto"/>
          <w:kern w:val="0"/>
          <w:szCs w:val="21"/>
          <w:highlight w:val="none"/>
        </w:rPr>
        <w:t>月</w:t>
      </w:r>
      <w:r>
        <w:rPr>
          <w:rFonts w:hint="eastAsia" w:ascii="宋体" w:hAnsi="宋体" w:eastAsia="宋体" w:cs="宋体"/>
          <w:bCs/>
          <w:color w:val="auto"/>
          <w:kern w:val="0"/>
          <w:szCs w:val="21"/>
          <w:highlight w:val="none"/>
          <w:lang w:val="en-US" w:eastAsia="zh-CN"/>
        </w:rPr>
        <w:t>8</w:t>
      </w:r>
      <w:r>
        <w:rPr>
          <w:rFonts w:hint="eastAsia" w:ascii="宋体" w:hAnsi="宋体" w:eastAsia="宋体" w:cs="宋体"/>
          <w:bCs/>
          <w:color w:val="auto"/>
          <w:kern w:val="0"/>
          <w:szCs w:val="21"/>
          <w:highlight w:val="none"/>
        </w:rPr>
        <w:t>日</w:t>
      </w:r>
      <w:r>
        <w:rPr>
          <w:rFonts w:hint="eastAsia" w:ascii="宋体" w:hAnsi="宋体" w:eastAsia="宋体" w:cs="宋体"/>
          <w:color w:val="auto"/>
          <w:highlight w:val="none"/>
          <w:lang w:eastAsia="zh-CN"/>
        </w:rPr>
        <w:t>至</w:t>
      </w:r>
      <w:r>
        <w:rPr>
          <w:rFonts w:hint="eastAsia" w:ascii="宋体" w:hAnsi="宋体" w:eastAsia="宋体" w:cs="宋体"/>
          <w:bCs/>
          <w:color w:val="auto"/>
          <w:kern w:val="0"/>
          <w:szCs w:val="21"/>
          <w:highlight w:val="none"/>
        </w:rPr>
        <w:t>202</w:t>
      </w:r>
      <w:r>
        <w:rPr>
          <w:rFonts w:hint="eastAsia" w:ascii="宋体" w:hAnsi="宋体" w:eastAsia="宋体" w:cs="宋体"/>
          <w:bCs/>
          <w:color w:val="auto"/>
          <w:kern w:val="0"/>
          <w:szCs w:val="21"/>
          <w:highlight w:val="none"/>
          <w:lang w:val="en-US" w:eastAsia="zh-CN"/>
        </w:rPr>
        <w:t>6</w:t>
      </w:r>
      <w:r>
        <w:rPr>
          <w:rFonts w:hint="eastAsia" w:ascii="宋体" w:hAnsi="宋体" w:eastAsia="宋体" w:cs="宋体"/>
          <w:bCs/>
          <w:color w:val="auto"/>
          <w:kern w:val="0"/>
          <w:szCs w:val="21"/>
          <w:highlight w:val="none"/>
        </w:rPr>
        <w:t>年</w:t>
      </w:r>
      <w:r>
        <w:rPr>
          <w:rFonts w:hint="eastAsia" w:ascii="宋体" w:hAnsi="宋体" w:eastAsia="宋体" w:cs="宋体"/>
          <w:bCs/>
          <w:color w:val="auto"/>
          <w:kern w:val="0"/>
          <w:szCs w:val="21"/>
          <w:highlight w:val="none"/>
          <w:lang w:val="en-US" w:eastAsia="zh-CN"/>
        </w:rPr>
        <w:t>10</w:t>
      </w:r>
      <w:r>
        <w:rPr>
          <w:rFonts w:hint="eastAsia" w:ascii="宋体" w:hAnsi="宋体" w:eastAsia="宋体" w:cs="宋体"/>
          <w:bCs/>
          <w:color w:val="auto"/>
          <w:kern w:val="0"/>
          <w:szCs w:val="21"/>
          <w:highlight w:val="none"/>
        </w:rPr>
        <w:t>月</w:t>
      </w:r>
      <w:r>
        <w:rPr>
          <w:rFonts w:hint="eastAsia" w:ascii="宋体" w:hAnsi="宋体" w:eastAsia="宋体" w:cs="宋体"/>
          <w:bCs/>
          <w:color w:val="auto"/>
          <w:kern w:val="0"/>
          <w:szCs w:val="21"/>
          <w:highlight w:val="none"/>
          <w:lang w:val="en-US" w:eastAsia="zh-CN"/>
        </w:rPr>
        <w:t>14</w:t>
      </w:r>
      <w:r>
        <w:rPr>
          <w:rFonts w:hint="eastAsia" w:ascii="宋体" w:hAnsi="宋体" w:eastAsia="宋体" w:cs="宋体"/>
          <w:bCs/>
          <w:color w:val="auto"/>
          <w:kern w:val="0"/>
          <w:szCs w:val="21"/>
          <w:highlight w:val="none"/>
        </w:rPr>
        <w:t>日</w:t>
      </w:r>
      <w:r>
        <w:rPr>
          <w:rFonts w:hint="eastAsia" w:ascii="宋体" w:hAnsi="宋体" w:eastAsia="宋体" w:cs="宋体"/>
          <w:color w:val="auto"/>
          <w:highlight w:val="none"/>
          <w:lang w:eastAsia="zh-CN"/>
        </w:rPr>
        <w:t>，每天00:00至23:59（北京时间，法定节假日除外）</w:t>
      </w:r>
    </w:p>
    <w:p w14:paraId="65680E65">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地点（网址）：广西政府采购云平台线上获取</w:t>
      </w:r>
    </w:p>
    <w:p w14:paraId="116743B6">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方式：供应商登录广西政府采购云平台</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"https://www.gcy.zfcg.gxzf.gov.cn/"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lang w:eastAsia="zh-CN"/>
        </w:rPr>
        <w:t>https://www.gcy.zfcg.gxzf.gov.cn/</w:t>
      </w:r>
      <w:r>
        <w:rPr>
          <w:rFonts w:hint="eastAsia" w:ascii="宋体" w:hAnsi="宋体" w:eastAsia="宋体" w:cs="宋体"/>
          <w:color w:val="auto"/>
          <w:highlight w:val="none"/>
          <w:lang w:eastAsia="zh-CN"/>
        </w:rPr>
        <w:fldChar w:fldCharType="end"/>
      </w:r>
      <w:r>
        <w:rPr>
          <w:rFonts w:hint="eastAsia" w:ascii="宋体" w:hAnsi="宋体" w:eastAsia="宋体" w:cs="宋体"/>
          <w:color w:val="auto"/>
          <w:highlight w:val="none"/>
          <w:lang w:eastAsia="zh-CN"/>
        </w:rPr>
        <w:t>在线申请获取采购文件（进入“项目采购”应用，在获取采购文件菜单中选择项目，申请获取采购文件）</w:t>
      </w:r>
    </w:p>
    <w:p w14:paraId="3E1D0311">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售价（元）：0</w:t>
      </w:r>
    </w:p>
    <w:p w14:paraId="2DA465D4">
      <w:pPr>
        <w:pageBreakBefore w:val="0"/>
        <w:widowControl w:val="0"/>
        <w:overflowPunct/>
        <w:topLinePunct w:val="0"/>
        <w:bidi w:val="0"/>
        <w:spacing w:line="400" w:lineRule="exact"/>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四、响应文件提交</w:t>
      </w:r>
    </w:p>
    <w:p w14:paraId="1F43CAF3">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截止时间：2026年10月15日</w:t>
      </w:r>
      <w:r>
        <w:rPr>
          <w:rFonts w:hint="eastAsia" w:ascii="宋体" w:hAnsi="宋体" w:eastAsia="宋体" w:cs="宋体"/>
          <w:color w:val="auto"/>
          <w:highlight w:val="none"/>
          <w:lang w:val="en-US" w:eastAsia="zh-CN"/>
        </w:rPr>
        <w:t>09</w:t>
      </w:r>
      <w:r>
        <w:rPr>
          <w:rFonts w:hint="eastAsia" w:ascii="宋体" w:hAnsi="宋体" w:eastAsia="宋体" w:cs="宋体"/>
          <w:color w:val="auto"/>
          <w:highlight w:val="none"/>
          <w:lang w:eastAsia="zh-CN"/>
        </w:rPr>
        <w:t>:30（北京时间）</w:t>
      </w:r>
    </w:p>
    <w:p w14:paraId="79992F0D">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地点（网址）：请登录广西政府采购云平台投标客户端投标</w:t>
      </w:r>
    </w:p>
    <w:p w14:paraId="78161F0B">
      <w:pPr>
        <w:pageBreakBefore w:val="0"/>
        <w:widowControl w:val="0"/>
        <w:overflowPunct/>
        <w:topLinePunct w:val="0"/>
        <w:bidi w:val="0"/>
        <w:spacing w:line="400" w:lineRule="exact"/>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五、响应文件开启</w:t>
      </w:r>
    </w:p>
    <w:p w14:paraId="1468E1EE">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开启时间：2026年10月15日</w:t>
      </w:r>
      <w:r>
        <w:rPr>
          <w:rFonts w:hint="eastAsia" w:ascii="宋体" w:hAnsi="宋体" w:eastAsia="宋体" w:cs="宋体"/>
          <w:b w:val="0"/>
          <w:bCs w:val="0"/>
          <w:color w:val="auto"/>
          <w:highlight w:val="none"/>
          <w:lang w:val="en-US" w:eastAsia="zh-CN"/>
        </w:rPr>
        <w:t>09</w:t>
      </w:r>
      <w:r>
        <w:rPr>
          <w:rFonts w:hint="eastAsia" w:ascii="宋体" w:hAnsi="宋体" w:eastAsia="宋体" w:cs="宋体"/>
          <w:b w:val="0"/>
          <w:bCs w:val="0"/>
          <w:color w:val="auto"/>
          <w:highlight w:val="none"/>
          <w:lang w:eastAsia="zh-CN"/>
        </w:rPr>
        <w:t>:30</w:t>
      </w:r>
      <w:r>
        <w:rPr>
          <w:rFonts w:hint="eastAsia" w:ascii="宋体" w:hAnsi="宋体" w:eastAsia="宋体" w:cs="宋体"/>
          <w:color w:val="auto"/>
          <w:highlight w:val="none"/>
          <w:lang w:eastAsia="zh-CN"/>
        </w:rPr>
        <w:t>（北京时间）</w:t>
      </w:r>
    </w:p>
    <w:p w14:paraId="217337CB">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地点：通过广西政府采购云平台在线解密开启</w:t>
      </w:r>
    </w:p>
    <w:p w14:paraId="77760698">
      <w:pPr>
        <w:pageBreakBefore w:val="0"/>
        <w:widowControl w:val="0"/>
        <w:overflowPunct/>
        <w:topLinePunct w:val="0"/>
        <w:bidi w:val="0"/>
        <w:spacing w:line="400" w:lineRule="exact"/>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六、公告期限</w:t>
      </w:r>
    </w:p>
    <w:p w14:paraId="59DE4D36">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自本公告发布之日起</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lang w:eastAsia="zh-CN"/>
        </w:rPr>
        <w:t>个工作日。</w:t>
      </w:r>
    </w:p>
    <w:p w14:paraId="69092C56">
      <w:pPr>
        <w:pageBreakBefore w:val="0"/>
        <w:widowControl w:val="0"/>
        <w:overflowPunct/>
        <w:topLinePunct w:val="0"/>
        <w:bidi w:val="0"/>
        <w:spacing w:line="400" w:lineRule="exact"/>
        <w:rPr>
          <w:rFonts w:hint="eastAsia" w:ascii="宋体" w:hAnsi="宋体" w:eastAsia="宋体" w:cs="宋体"/>
          <w:color w:val="auto"/>
          <w:highlight w:val="none"/>
        </w:rPr>
      </w:pPr>
      <w:r>
        <w:rPr>
          <w:rFonts w:hint="eastAsia" w:ascii="宋体" w:hAnsi="宋体" w:eastAsia="宋体" w:cs="宋体"/>
          <w:b/>
          <w:bCs/>
          <w:color w:val="auto"/>
          <w:highlight w:val="none"/>
        </w:rPr>
        <w:t>七、其他补充事宜</w:t>
      </w:r>
    </w:p>
    <w:p w14:paraId="36747FA5">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1.信息公告发布媒体：http://www.ccgp.gov.cn（中国政府采购网）、http://zfcg.gxzf.gov.cn（广西壮族自治区政府采购网）。</w:t>
      </w:r>
    </w:p>
    <w:p w14:paraId="14D99409">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2.本项目需要落实的政府采购政策：</w:t>
      </w:r>
    </w:p>
    <w:p w14:paraId="333FB8C6">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（1）《政府采购促进中小企业发展管理办法》（财库〔2020〕46号）。</w:t>
      </w:r>
    </w:p>
    <w:p w14:paraId="787B5368">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（2）《关于政府采购支持监狱企业发展有关问题的通知》（财库〔20</w:t>
      </w:r>
      <w:r>
        <w:rPr>
          <w:rFonts w:hint="eastAsia" w:ascii="宋体" w:hAnsi="宋体" w:eastAsia="宋体" w:cs="宋体"/>
          <w:color w:val="auto"/>
          <w:highlight w:val="none"/>
          <w:lang w:val="en-US" w:eastAsia="zh-CN"/>
        </w:rPr>
        <w:t>14</w:t>
      </w:r>
      <w:r>
        <w:rPr>
          <w:rFonts w:hint="eastAsia" w:ascii="宋体" w:hAnsi="宋体" w:eastAsia="宋体" w:cs="宋体"/>
          <w:color w:val="auto"/>
          <w:highlight w:val="none"/>
          <w:lang w:eastAsia="zh-CN"/>
        </w:rPr>
        <w:t>〕68号）。</w:t>
      </w:r>
    </w:p>
    <w:p w14:paraId="05ED662B">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（3）《关于促进残疾人就业政府采购政策的通知》（财库〔20</w:t>
      </w:r>
      <w:r>
        <w:rPr>
          <w:rFonts w:hint="eastAsia" w:ascii="宋体" w:hAnsi="宋体" w:eastAsia="宋体" w:cs="宋体"/>
          <w:color w:val="auto"/>
          <w:highlight w:val="none"/>
          <w:lang w:val="en-US" w:eastAsia="zh-CN"/>
        </w:rPr>
        <w:t>17</w:t>
      </w:r>
      <w:r>
        <w:rPr>
          <w:rFonts w:hint="eastAsia" w:ascii="宋体" w:hAnsi="宋体" w:eastAsia="宋体" w:cs="宋体"/>
          <w:color w:val="auto"/>
          <w:highlight w:val="none"/>
          <w:lang w:eastAsia="zh-CN"/>
        </w:rPr>
        <w:t>〕141号）。</w:t>
      </w:r>
    </w:p>
    <w:p w14:paraId="72E76C1C">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（4）《关于调整优化节能产品、环境标志产品政府采购执行机制的通知》（财库〔2019〕9号）。</w:t>
      </w:r>
    </w:p>
    <w:p w14:paraId="3627C4F7">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（5）政府采购扶持不发达地区和少数民族地区。</w:t>
      </w:r>
    </w:p>
    <w:p w14:paraId="35B4F579">
      <w:pPr>
        <w:pStyle w:val="8"/>
        <w:keepNext w:val="0"/>
        <w:keepLines w:val="0"/>
        <w:pageBreakBefore w:val="0"/>
        <w:widowControl/>
        <w:kinsoku w:val="0"/>
        <w:wordWrap/>
        <w:overflowPunct/>
        <w:topLinePunct w:val="0"/>
        <w:autoSpaceDE w:val="0"/>
        <w:autoSpaceDN w:val="0"/>
        <w:bidi w:val="0"/>
        <w:adjustRightInd w:val="0"/>
        <w:snapToGrid w:val="0"/>
        <w:spacing w:line="400" w:lineRule="exact"/>
        <w:ind w:left="425"/>
        <w:textAlignment w:val="baseline"/>
        <w:rPr>
          <w:rFonts w:hint="eastAsia" w:ascii="宋体" w:hAnsi="宋体" w:eastAsia="宋体" w:cs="宋体"/>
          <w:color w:val="auto"/>
          <w:lang w:val="en-US" w:eastAsia="zh-CN"/>
        </w:rPr>
      </w:pPr>
      <w:r>
        <w:rPr>
          <w:rFonts w:hint="eastAsia" w:ascii="宋体" w:hAnsi="宋体" w:eastAsia="宋体" w:cs="宋体"/>
          <w:color w:val="auto"/>
          <w:spacing w:val="6"/>
          <w:sz w:val="21"/>
          <w:szCs w:val="21"/>
          <w:highlight w:val="none"/>
          <w:lang w:val="en-US" w:eastAsia="zh-CN"/>
        </w:rPr>
        <w:t>3.</w:t>
      </w:r>
      <w:r>
        <w:rPr>
          <w:rFonts w:hint="eastAsia" w:ascii="宋体" w:hAnsi="宋体" w:eastAsia="宋体" w:cs="宋体"/>
          <w:color w:val="auto"/>
          <w:spacing w:val="8"/>
          <w:sz w:val="21"/>
          <w:szCs w:val="21"/>
          <w:highlight w:val="none"/>
        </w:rPr>
        <w:t>本项目中小企业划分标准所属为：</w:t>
      </w:r>
      <w:r>
        <w:rPr>
          <w:rFonts w:hint="eastAsia" w:ascii="宋体" w:hAnsi="宋体" w:eastAsia="宋体" w:cs="宋体"/>
          <w:color w:val="auto"/>
          <w:spacing w:val="8"/>
          <w:sz w:val="21"/>
          <w:szCs w:val="21"/>
          <w:highlight w:val="none"/>
          <w:lang w:eastAsia="zh-CN"/>
        </w:rPr>
        <w:t>工业。</w:t>
      </w:r>
    </w:p>
    <w:p w14:paraId="5CAB66B0">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lang w:eastAsia="zh-CN"/>
        </w:rPr>
        <w:t>资格条件特别说明：</w:t>
      </w:r>
    </w:p>
    <w:p w14:paraId="703DD037">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14:paraId="6EF87134">
      <w:pPr>
        <w:pageBreakBefore w:val="0"/>
        <w:widowControl w:val="0"/>
        <w:overflowPunct/>
        <w:topLinePunct w:val="0"/>
        <w:bidi w:val="0"/>
        <w:spacing w:line="400" w:lineRule="exact"/>
        <w:ind w:firstLine="340" w:firstLineChars="200"/>
        <w:rPr>
          <w:rFonts w:hint="eastAsia" w:ascii="宋体" w:hAnsi="宋体" w:eastAsia="宋体" w:cs="宋体"/>
          <w:color w:val="auto"/>
          <w:highlight w:val="none"/>
          <w:lang w:eastAsia="zh-CN"/>
        </w:rPr>
      </w:pPr>
      <w:r>
        <w:rPr>
          <w:rFonts w:hint="eastAsia" w:ascii="宋体" w:hAnsi="宋体" w:eastAsia="宋体" w:cs="宋体"/>
          <w:color w:val="auto"/>
          <w:spacing w:val="-20"/>
          <w:highlight w:val="none"/>
          <w:lang w:eastAsia="zh-CN"/>
        </w:rPr>
        <w:t>（2）对在“信用中国”网站(</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"https://www.creditchina.gov.cn" </w:instrText>
      </w:r>
      <w:r>
        <w:rPr>
          <w:rFonts w:hint="eastAsia" w:ascii="宋体" w:hAnsi="宋体" w:eastAsia="宋体" w:cs="宋体"/>
          <w:color w:val="auto"/>
          <w:highlight w:val="none"/>
        </w:rPr>
        <w:fldChar w:fldCharType="separate"/>
      </w:r>
      <w:r>
        <w:rPr>
          <w:rFonts w:hint="eastAsia" w:ascii="宋体" w:hAnsi="宋体" w:eastAsia="宋体" w:cs="宋体"/>
          <w:color w:val="auto"/>
          <w:spacing w:val="-20"/>
          <w:highlight w:val="none"/>
          <w:lang w:eastAsia="zh-CN"/>
        </w:rPr>
        <w:t>www.creditchina.gov.cn</w:t>
      </w:r>
      <w:r>
        <w:rPr>
          <w:rFonts w:hint="eastAsia" w:ascii="宋体" w:hAnsi="宋体" w:eastAsia="宋体" w:cs="宋体"/>
          <w:color w:val="auto"/>
          <w:spacing w:val="-20"/>
          <w:highlight w:val="none"/>
          <w:lang w:eastAsia="zh-CN"/>
        </w:rPr>
        <w:fldChar w:fldCharType="end"/>
      </w:r>
      <w:r>
        <w:rPr>
          <w:rFonts w:hint="eastAsia" w:ascii="宋体" w:hAnsi="宋体" w:eastAsia="宋体" w:cs="宋体"/>
          <w:color w:val="auto"/>
          <w:spacing w:val="-20"/>
          <w:highlight w:val="none"/>
          <w:lang w:eastAsia="zh-CN"/>
        </w:rPr>
        <w:t>)、中国政府采购网(</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"https://www.ccgp.gov.cn" </w:instrText>
      </w:r>
      <w:r>
        <w:rPr>
          <w:rFonts w:hint="eastAsia" w:ascii="宋体" w:hAnsi="宋体" w:eastAsia="宋体" w:cs="宋体"/>
          <w:color w:val="auto"/>
          <w:highlight w:val="none"/>
        </w:rPr>
        <w:fldChar w:fldCharType="separate"/>
      </w:r>
      <w:r>
        <w:rPr>
          <w:rFonts w:hint="eastAsia" w:ascii="宋体" w:hAnsi="宋体" w:eastAsia="宋体" w:cs="宋体"/>
          <w:color w:val="auto"/>
          <w:spacing w:val="-20"/>
          <w:highlight w:val="none"/>
          <w:lang w:eastAsia="zh-CN"/>
        </w:rPr>
        <w:t>www.ccgp.gov.cn</w:t>
      </w:r>
      <w:r>
        <w:rPr>
          <w:rFonts w:hint="eastAsia" w:ascii="宋体" w:hAnsi="宋体" w:eastAsia="宋体" w:cs="宋体"/>
          <w:color w:val="auto"/>
          <w:spacing w:val="-20"/>
          <w:highlight w:val="none"/>
          <w:lang w:eastAsia="zh-CN"/>
        </w:rPr>
        <w:fldChar w:fldCharType="end"/>
      </w:r>
      <w:r>
        <w:rPr>
          <w:rFonts w:hint="eastAsia" w:ascii="宋体" w:hAnsi="宋体" w:eastAsia="宋体" w:cs="宋体"/>
          <w:color w:val="auto"/>
          <w:spacing w:val="-20"/>
          <w:highlight w:val="none"/>
          <w:lang w:eastAsia="zh-CN"/>
        </w:rPr>
        <w:t>)被列入失信被执行人、重大税收违法案件当事人名单、政府采购严重违法失信行为记录名单及其他不符</w:t>
      </w:r>
      <w:r>
        <w:rPr>
          <w:rFonts w:hint="eastAsia" w:ascii="宋体" w:hAnsi="宋体" w:eastAsia="宋体" w:cs="宋体"/>
          <w:color w:val="auto"/>
          <w:highlight w:val="none"/>
          <w:lang w:eastAsia="zh-CN"/>
        </w:rPr>
        <w:t>合《中华人民共和国政府采购法》第二十二条规定条件的供应商，不得参与政府采购活动。</w:t>
      </w:r>
    </w:p>
    <w:p w14:paraId="649EE770">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lang w:eastAsia="zh-CN"/>
        </w:rPr>
        <w:t>.广西政府采购云平台电子竞标相关事宜：</w:t>
      </w:r>
    </w:p>
    <w:p w14:paraId="51739D72">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本项目实行全流程电子化采购，供应商通过广西政府采购云平台参与电子竞标，并应做好以下相关准备工作：①在广西政府采购云平台注册成为正式供应商（操作方法详见广西壮族自治区政府采购网—办事服务—办事指南）；②完成CA证书申领和绑定（费用由供应商自行承担，办理流程详见广西壮族自治区政府采购网—办事服务—下载专区，完成CA证书办理预计一周左右，建议供应商尽快办理</w:t>
      </w:r>
      <w:r>
        <w:rPr>
          <w:rFonts w:hint="eastAsia" w:ascii="宋体" w:hAnsi="宋体" w:eastAsia="宋体" w:cs="宋体"/>
          <w:color w:val="auto"/>
          <w:w w:val="89"/>
          <w:highlight w:val="none"/>
          <w:lang w:eastAsia="zh-CN"/>
        </w:rPr>
        <w:t>）；</w:t>
      </w:r>
      <w:r>
        <w:rPr>
          <w:rFonts w:hint="eastAsia" w:ascii="宋体" w:hAnsi="宋体" w:eastAsia="宋体" w:cs="宋体"/>
          <w:color w:val="auto"/>
          <w:highlight w:val="none"/>
          <w:lang w:eastAsia="zh-CN"/>
        </w:rPr>
        <w:t>③下载“广西壮族自治区全流程电子招投标项目管理系统--供应商客户端”（操作方法详见广西壮族自治区政府采购网—办事服务—下载专区，以下称“广西政府采购云平台电子投标客户端”）并安装成功，供应商应当在响应文件提交截止时间前在广西政府采购云平台完成的身份认证，确保能够对相关数据电文进行加密和使用电子签章；④自备计算机和网络设备并确保能接入互联网（费用由供应商自行承担，设备确保可进行视频通话和读取广西政府采购云平台CA证书）。因供应商未做好相关准备工作等自身原因导致无法参加本项目电子竞标或竞标失败的，造成的一切后果，由供应商自行承担。</w:t>
      </w:r>
    </w:p>
    <w:p w14:paraId="4441BF04">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（2）电子竞标具体操作流程参考《政府采购项目电子交易管理操作指南-供应商》（详见桂林市政府采购网—采购资讯—重要通知）；如遇平台技术问题详询95763或者0771-3381253。</w:t>
      </w:r>
    </w:p>
    <w:p w14:paraId="5A215DA1">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（3）电子响应文件的制作、加密、提交、解密等相关事宜详见第二章“供应商须知”。</w:t>
      </w:r>
    </w:p>
    <w:p w14:paraId="264A17DC">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lang w:eastAsia="zh-CN"/>
        </w:rPr>
        <w:t>供应商认为谈判文件使自己的合法权益受到损害的，应当于本项目公告期限届满之日起七个工作日内以书面形式向采购代理机构提出质疑；供应商认为采购过程或成交结果使自己的合法权益受到损害的，应当在各采购程序环节结束之日或成交公告期限届满之日起七个工作日内，以书面形式向采购代理机构提出质疑。否则，采购代理机构有权拒收。</w:t>
      </w:r>
    </w:p>
    <w:p w14:paraId="5D657A6C">
      <w:pPr>
        <w:pageBreakBefore w:val="0"/>
        <w:widowControl w:val="0"/>
        <w:overflowPunct/>
        <w:topLinePunct w:val="0"/>
        <w:bidi w:val="0"/>
        <w:spacing w:line="400" w:lineRule="exact"/>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八、凡对本次招标提出询问，请按以下方式联系</w:t>
      </w:r>
    </w:p>
    <w:p w14:paraId="6F0EE898">
      <w:pPr>
        <w:keepNext w:val="0"/>
        <w:keepLines w:val="0"/>
        <w:pageBreakBefore w:val="0"/>
        <w:wordWrap/>
        <w:overflowPunct/>
        <w:topLinePunct w:val="0"/>
        <w:bidi w:val="0"/>
        <w:spacing w:line="400" w:lineRule="exact"/>
        <w:ind w:firstLine="420" w:firstLineChars="200"/>
        <w:jc w:val="left"/>
        <w:rPr>
          <w:rFonts w:hint="eastAsia" w:ascii="宋体" w:hAnsi="宋体" w:eastAsia="宋体" w:cs="宋体"/>
          <w:color w:val="auto"/>
        </w:rPr>
      </w:pPr>
      <w:r>
        <w:rPr>
          <w:rFonts w:hint="eastAsia" w:ascii="宋体" w:hAnsi="宋体" w:eastAsia="宋体" w:cs="宋体"/>
          <w:color w:val="auto"/>
        </w:rPr>
        <w:t>1.采购人信息</w:t>
      </w:r>
    </w:p>
    <w:p w14:paraId="10CF0F72">
      <w:pPr>
        <w:keepNext w:val="0"/>
        <w:keepLines w:val="0"/>
        <w:pageBreakBefore w:val="0"/>
        <w:wordWrap/>
        <w:overflowPunct/>
        <w:topLinePunct w:val="0"/>
        <w:bidi w:val="0"/>
        <w:spacing w:line="400" w:lineRule="exact"/>
        <w:ind w:firstLine="420" w:firstLineChars="200"/>
        <w:jc w:val="left"/>
        <w:rPr>
          <w:rFonts w:hint="eastAsia" w:ascii="宋体" w:hAnsi="宋体" w:eastAsia="宋体" w:cs="宋体"/>
          <w:color w:val="auto"/>
          <w:lang w:eastAsia="zh-CN"/>
        </w:rPr>
      </w:pPr>
      <w:r>
        <w:rPr>
          <w:rFonts w:hint="eastAsia" w:ascii="宋体" w:hAnsi="宋体" w:eastAsia="宋体" w:cs="宋体"/>
          <w:color w:val="auto"/>
        </w:rPr>
        <w:t>名    称：</w:t>
      </w:r>
      <w:r>
        <w:rPr>
          <w:rFonts w:hint="eastAsia" w:ascii="宋体" w:hAnsi="宋体" w:eastAsia="宋体" w:cs="宋体"/>
          <w:color w:val="auto"/>
          <w:lang w:eastAsia="zh-CN"/>
        </w:rPr>
        <w:t>广西壮族自治区桂林生态环境监测中心</w:t>
      </w:r>
    </w:p>
    <w:p w14:paraId="62C24DB2">
      <w:pPr>
        <w:keepNext w:val="0"/>
        <w:keepLines w:val="0"/>
        <w:pageBreakBefore w:val="0"/>
        <w:wordWrap/>
        <w:overflowPunct/>
        <w:topLinePunct w:val="0"/>
        <w:bidi w:val="0"/>
        <w:spacing w:line="400" w:lineRule="exact"/>
        <w:ind w:firstLine="420" w:firstLineChars="200"/>
        <w:jc w:val="left"/>
        <w:rPr>
          <w:rFonts w:hint="eastAsia" w:ascii="宋体" w:hAnsi="宋体" w:eastAsia="宋体" w:cs="宋体"/>
          <w:color w:val="auto"/>
          <w:lang w:eastAsia="zh-CN"/>
        </w:rPr>
      </w:pPr>
      <w:r>
        <w:rPr>
          <w:rFonts w:hint="eastAsia" w:ascii="宋体" w:hAnsi="宋体" w:eastAsia="宋体" w:cs="宋体"/>
          <w:color w:val="auto"/>
        </w:rPr>
        <w:t>地    址：广西壮族自治区桂林市临桂区万福路鼎晟大厦2号楼11-14层</w:t>
      </w:r>
    </w:p>
    <w:p w14:paraId="4C3D9CB2">
      <w:pPr>
        <w:keepNext w:val="0"/>
        <w:keepLines w:val="0"/>
        <w:pageBreakBefore w:val="0"/>
        <w:wordWrap/>
        <w:overflowPunct/>
        <w:topLinePunct w:val="0"/>
        <w:bidi w:val="0"/>
        <w:spacing w:line="400" w:lineRule="exact"/>
        <w:ind w:firstLine="420" w:firstLineChars="200"/>
        <w:jc w:val="left"/>
        <w:rPr>
          <w:rFonts w:hint="eastAsia" w:ascii="宋体" w:hAnsi="宋体" w:eastAsia="宋体" w:cs="宋体"/>
          <w:color w:val="auto"/>
        </w:rPr>
      </w:pPr>
      <w:r>
        <w:rPr>
          <w:rFonts w:hint="eastAsia" w:ascii="宋体" w:hAnsi="宋体" w:eastAsia="宋体" w:cs="宋体"/>
          <w:color w:val="auto"/>
        </w:rPr>
        <w:t>联系方式：</w:t>
      </w:r>
      <w:r>
        <w:rPr>
          <w:rFonts w:hint="eastAsia" w:ascii="宋体" w:hAnsi="宋体" w:eastAsia="宋体" w:cs="宋体"/>
          <w:color w:val="auto"/>
          <w:lang w:val="en-US" w:eastAsia="zh-CN"/>
        </w:rPr>
        <w:t>0773-3839899</w:t>
      </w:r>
    </w:p>
    <w:p w14:paraId="6E0806BB">
      <w:pPr>
        <w:keepNext w:val="0"/>
        <w:keepLines w:val="0"/>
        <w:pageBreakBefore w:val="0"/>
        <w:wordWrap/>
        <w:overflowPunct/>
        <w:topLinePunct w:val="0"/>
        <w:bidi w:val="0"/>
        <w:spacing w:line="400" w:lineRule="exact"/>
        <w:ind w:firstLine="420" w:firstLineChars="200"/>
        <w:jc w:val="left"/>
        <w:rPr>
          <w:rFonts w:hint="default" w:ascii="宋体" w:hAnsi="宋体" w:eastAsia="宋体" w:cs="宋体"/>
          <w:color w:val="auto"/>
          <w:lang w:val="en-US" w:eastAsia="zh-CN"/>
        </w:rPr>
      </w:pPr>
      <w:r>
        <w:rPr>
          <w:rFonts w:hint="eastAsia" w:ascii="宋体" w:hAnsi="宋体" w:eastAsia="宋体" w:cs="宋体"/>
          <w:color w:val="auto"/>
          <w:lang w:eastAsia="zh-CN"/>
        </w:rPr>
        <w:t>联</w:t>
      </w:r>
      <w:r>
        <w:rPr>
          <w:rFonts w:hint="eastAsia" w:ascii="宋体" w:hAnsi="宋体" w:eastAsia="宋体" w:cs="宋体"/>
          <w:color w:val="auto"/>
          <w:lang w:val="en-US" w:eastAsia="zh-CN"/>
        </w:rPr>
        <w:t xml:space="preserve"> </w:t>
      </w:r>
      <w:r>
        <w:rPr>
          <w:rFonts w:hint="eastAsia" w:ascii="宋体" w:hAnsi="宋体" w:eastAsia="宋体" w:cs="宋体"/>
          <w:color w:val="auto"/>
          <w:lang w:eastAsia="zh-CN"/>
        </w:rPr>
        <w:t>系</w:t>
      </w:r>
      <w:r>
        <w:rPr>
          <w:rFonts w:hint="eastAsia" w:ascii="宋体" w:hAnsi="宋体" w:eastAsia="宋体" w:cs="宋体"/>
          <w:color w:val="auto"/>
          <w:lang w:val="en-US" w:eastAsia="zh-CN"/>
        </w:rPr>
        <w:t xml:space="preserve"> </w:t>
      </w:r>
      <w:r>
        <w:rPr>
          <w:rFonts w:hint="eastAsia" w:ascii="宋体" w:hAnsi="宋体" w:eastAsia="宋体" w:cs="宋体"/>
          <w:color w:val="auto"/>
          <w:lang w:eastAsia="zh-CN"/>
        </w:rPr>
        <w:t>人：涂秀红</w:t>
      </w:r>
    </w:p>
    <w:p w14:paraId="4EEFC35C">
      <w:pPr>
        <w:keepNext w:val="0"/>
        <w:keepLines w:val="0"/>
        <w:pageBreakBefore w:val="0"/>
        <w:wordWrap/>
        <w:overflowPunct/>
        <w:topLinePunct w:val="0"/>
        <w:bidi w:val="0"/>
        <w:spacing w:line="400" w:lineRule="exact"/>
        <w:ind w:firstLine="420" w:firstLineChars="200"/>
        <w:rPr>
          <w:rFonts w:hint="eastAsia" w:ascii="宋体" w:hAnsi="宋体" w:eastAsia="宋体" w:cs="宋体"/>
          <w:color w:val="auto"/>
          <w:kern w:val="0"/>
        </w:rPr>
      </w:pPr>
      <w:r>
        <w:rPr>
          <w:rFonts w:hint="eastAsia" w:ascii="宋体" w:hAnsi="宋体" w:eastAsia="宋体" w:cs="宋体"/>
          <w:color w:val="auto"/>
          <w:kern w:val="0"/>
        </w:rPr>
        <w:t>2.采购代理机构信息</w:t>
      </w:r>
    </w:p>
    <w:p w14:paraId="11C3F81C">
      <w:pPr>
        <w:keepNext w:val="0"/>
        <w:keepLines w:val="0"/>
        <w:pageBreakBefore w:val="0"/>
        <w:wordWrap/>
        <w:overflowPunct/>
        <w:topLinePunct w:val="0"/>
        <w:bidi w:val="0"/>
        <w:spacing w:line="400" w:lineRule="exact"/>
        <w:ind w:firstLine="420" w:firstLineChars="200"/>
        <w:jc w:val="left"/>
        <w:rPr>
          <w:rFonts w:hint="eastAsia" w:ascii="宋体" w:hAnsi="宋体" w:eastAsia="宋体" w:cs="宋体"/>
          <w:color w:val="auto"/>
        </w:rPr>
      </w:pPr>
      <w:r>
        <w:rPr>
          <w:rFonts w:hint="eastAsia" w:ascii="宋体" w:hAnsi="宋体" w:eastAsia="宋体" w:cs="宋体"/>
          <w:color w:val="auto"/>
        </w:rPr>
        <w:t>名  称：大华建设项目管理有限公司</w:t>
      </w:r>
    </w:p>
    <w:p w14:paraId="12DD26A6">
      <w:pPr>
        <w:keepNext w:val="0"/>
        <w:keepLines w:val="0"/>
        <w:pageBreakBefore w:val="0"/>
        <w:wordWrap/>
        <w:overflowPunct/>
        <w:topLinePunct w:val="0"/>
        <w:bidi w:val="0"/>
        <w:spacing w:line="400" w:lineRule="exact"/>
        <w:ind w:firstLine="420" w:firstLineChars="200"/>
        <w:jc w:val="left"/>
        <w:rPr>
          <w:rFonts w:hint="eastAsia" w:ascii="宋体" w:hAnsi="宋体" w:eastAsia="宋体" w:cs="宋体"/>
          <w:color w:val="auto"/>
          <w:lang w:eastAsia="zh-CN"/>
        </w:rPr>
      </w:pPr>
      <w:r>
        <w:rPr>
          <w:rFonts w:hint="eastAsia" w:ascii="宋体" w:hAnsi="宋体" w:eastAsia="宋体" w:cs="宋体"/>
          <w:color w:val="auto"/>
        </w:rPr>
        <w:t>地　址：</w:t>
      </w:r>
      <w:r>
        <w:rPr>
          <w:rFonts w:hint="eastAsia" w:ascii="宋体" w:hAnsi="宋体" w:eastAsia="宋体" w:cs="宋体"/>
          <w:color w:val="auto"/>
          <w:lang w:eastAsia="zh-CN"/>
        </w:rPr>
        <w:t>桂林市秀峰区睦邻小苑5栋3单元</w:t>
      </w:r>
    </w:p>
    <w:p w14:paraId="0721F91D">
      <w:pPr>
        <w:keepNext w:val="0"/>
        <w:keepLines w:val="0"/>
        <w:pageBreakBefore w:val="0"/>
        <w:wordWrap/>
        <w:overflowPunct/>
        <w:topLinePunct w:val="0"/>
        <w:bidi w:val="0"/>
        <w:spacing w:line="400" w:lineRule="exact"/>
        <w:ind w:firstLine="420" w:firstLineChars="200"/>
        <w:jc w:val="left"/>
        <w:rPr>
          <w:rFonts w:hint="eastAsia" w:ascii="宋体" w:hAnsi="宋体" w:eastAsia="宋体" w:cs="宋体"/>
          <w:color w:val="auto"/>
          <w:lang w:eastAsia="zh-CN"/>
        </w:rPr>
      </w:pPr>
      <w:bookmarkStart w:id="3" w:name="_Toc28359010"/>
      <w:bookmarkStart w:id="4" w:name="_Toc28359087"/>
      <w:r>
        <w:rPr>
          <w:rFonts w:hint="eastAsia" w:ascii="宋体" w:hAnsi="宋体" w:eastAsia="宋体" w:cs="宋体"/>
          <w:color w:val="auto"/>
        </w:rPr>
        <w:t>联系</w:t>
      </w:r>
      <w:r>
        <w:rPr>
          <w:rFonts w:hint="eastAsia" w:ascii="宋体" w:hAnsi="宋体" w:eastAsia="宋体" w:cs="宋体"/>
          <w:color w:val="auto"/>
          <w:lang w:eastAsia="zh-CN"/>
        </w:rPr>
        <w:t>方式</w:t>
      </w:r>
      <w:r>
        <w:rPr>
          <w:rFonts w:hint="eastAsia" w:ascii="宋体" w:hAnsi="宋体" w:eastAsia="宋体" w:cs="宋体"/>
          <w:color w:val="auto"/>
        </w:rPr>
        <w:t>：0773-2888667</w:t>
      </w:r>
      <w:bookmarkEnd w:id="3"/>
      <w:bookmarkEnd w:id="4"/>
    </w:p>
    <w:p w14:paraId="3B2D399F">
      <w:pPr>
        <w:keepNext w:val="0"/>
        <w:keepLines w:val="0"/>
        <w:pageBreakBefore w:val="0"/>
        <w:wordWrap/>
        <w:overflowPunct/>
        <w:topLinePunct w:val="0"/>
        <w:bidi w:val="0"/>
        <w:spacing w:line="400" w:lineRule="exact"/>
        <w:ind w:firstLine="420" w:firstLineChars="200"/>
        <w:rPr>
          <w:rFonts w:hint="eastAsia" w:ascii="宋体" w:hAnsi="宋体" w:eastAsia="宋体" w:cs="宋体"/>
          <w:color w:val="auto"/>
          <w:kern w:val="0"/>
        </w:rPr>
      </w:pPr>
      <w:r>
        <w:rPr>
          <w:rFonts w:hint="eastAsia" w:ascii="宋体" w:hAnsi="宋体" w:eastAsia="宋体" w:cs="宋体"/>
          <w:color w:val="auto"/>
          <w:kern w:val="0"/>
        </w:rPr>
        <w:t>3.项目联系方式</w:t>
      </w:r>
    </w:p>
    <w:p w14:paraId="1DF266EB">
      <w:pPr>
        <w:pStyle w:val="11"/>
        <w:keepNext w:val="0"/>
        <w:keepLines w:val="0"/>
        <w:pageBreakBefore w:val="0"/>
        <w:wordWrap/>
        <w:overflowPunct/>
        <w:topLinePunct w:val="0"/>
        <w:bidi w:val="0"/>
        <w:spacing w:line="400" w:lineRule="exact"/>
        <w:ind w:firstLine="420" w:firstLineChars="200"/>
        <w:rPr>
          <w:rFonts w:hint="eastAsia" w:ascii="宋体" w:hAnsi="宋体" w:eastAsia="宋体" w:cs="宋体"/>
          <w:color w:val="auto"/>
          <w:lang w:eastAsia="zh-CN"/>
        </w:rPr>
      </w:pPr>
      <w:r>
        <w:rPr>
          <w:rFonts w:hint="eastAsia" w:ascii="宋体" w:hAnsi="宋体" w:eastAsia="宋体" w:cs="宋体"/>
          <w:color w:val="auto"/>
        </w:rPr>
        <w:t>项目联系人：</w:t>
      </w:r>
      <w:r>
        <w:rPr>
          <w:rFonts w:hint="eastAsia" w:ascii="宋体" w:hAnsi="宋体" w:eastAsia="宋体" w:cs="宋体"/>
          <w:color w:val="auto"/>
          <w:spacing w:val="6"/>
          <w:sz w:val="21"/>
          <w:szCs w:val="21"/>
          <w:highlight w:val="none"/>
          <w:lang w:eastAsia="zh-CN"/>
        </w:rPr>
        <w:t>毛慧敏、周鑫君、李明</w:t>
      </w:r>
    </w:p>
    <w:p w14:paraId="70967A11">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rPr>
        <w:t>电　　话：</w:t>
      </w:r>
      <w:r>
        <w:rPr>
          <w:rFonts w:hint="eastAsia" w:ascii="宋体" w:hAnsi="宋体" w:eastAsia="宋体" w:cs="宋体"/>
          <w:color w:val="auto"/>
          <w:spacing w:val="6"/>
          <w:sz w:val="21"/>
          <w:szCs w:val="21"/>
          <w:highlight w:val="none"/>
        </w:rPr>
        <w:t>0773-2888667</w:t>
      </w:r>
    </w:p>
    <w:p w14:paraId="21405F6F">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sectPr>
          <w:footerReference r:id="rId4" w:type="default"/>
          <w:pgSz w:w="11906" w:h="16839"/>
          <w:pgMar w:top="1247" w:right="1247" w:bottom="1247" w:left="1247" w:header="0" w:footer="822" w:gutter="0"/>
          <w:pgBorders>
            <w:top w:val="none" w:sz="0" w:space="0"/>
            <w:left w:val="none" w:sz="0" w:space="0"/>
            <w:bottom w:val="none" w:sz="0" w:space="0"/>
            <w:right w:val="none" w:sz="0" w:space="0"/>
          </w:pgBorders>
          <w:pgNumType w:start="1"/>
          <w:cols w:space="0" w:num="1"/>
          <w:rtlGutter w:val="0"/>
          <w:docGrid w:linePitch="0" w:charSpace="0"/>
        </w:sectPr>
      </w:pPr>
    </w:p>
    <w:p w14:paraId="2ED5959C">
      <w:pPr>
        <w:pageBreakBefore w:val="0"/>
        <w:widowControl w:val="0"/>
        <w:overflowPunct/>
        <w:topLinePunct w:val="0"/>
        <w:bidi w:val="0"/>
        <w:spacing w:line="400" w:lineRule="exact"/>
        <w:jc w:val="center"/>
        <w:outlineLvl w:val="0"/>
        <w:rPr>
          <w:rFonts w:hint="eastAsia" w:ascii="宋体" w:hAnsi="宋体" w:eastAsia="宋体" w:cs="宋体"/>
          <w:color w:val="auto"/>
          <w:sz w:val="31"/>
          <w:szCs w:val="31"/>
          <w:highlight w:val="none"/>
          <w:lang w:eastAsia="zh-CN"/>
        </w:rPr>
      </w:pPr>
      <w:bookmarkStart w:id="5" w:name="bookmark3"/>
      <w:bookmarkEnd w:id="5"/>
      <w:bookmarkStart w:id="6" w:name="_Toc9984"/>
      <w:r>
        <w:rPr>
          <w:rFonts w:hint="eastAsia" w:ascii="宋体" w:hAnsi="宋体" w:eastAsia="宋体" w:cs="宋体"/>
          <w:b/>
          <w:bCs/>
          <w:color w:val="auto"/>
          <w:sz w:val="31"/>
          <w:szCs w:val="31"/>
          <w:highlight w:val="none"/>
          <w:lang w:eastAsia="zh-CN"/>
        </w:rPr>
        <w:t>第二章</w:t>
      </w:r>
      <w:r>
        <w:rPr>
          <w:rFonts w:hint="eastAsia" w:ascii="宋体" w:hAnsi="宋体" w:eastAsia="宋体" w:cs="宋体"/>
          <w:color w:val="auto"/>
          <w:sz w:val="31"/>
          <w:szCs w:val="31"/>
          <w:highlight w:val="none"/>
          <w:lang w:eastAsia="zh-CN"/>
        </w:rPr>
        <w:t xml:space="preserve"> </w:t>
      </w:r>
      <w:r>
        <w:rPr>
          <w:rFonts w:hint="eastAsia" w:ascii="宋体" w:hAnsi="宋体" w:eastAsia="宋体" w:cs="宋体"/>
          <w:b/>
          <w:bCs/>
          <w:color w:val="auto"/>
          <w:sz w:val="31"/>
          <w:szCs w:val="31"/>
          <w:highlight w:val="none"/>
          <w:lang w:eastAsia="zh-CN"/>
        </w:rPr>
        <w:t>供应商须知</w:t>
      </w:r>
      <w:bookmarkEnd w:id="6"/>
    </w:p>
    <w:p w14:paraId="47E275A1">
      <w:pPr>
        <w:pageBreakBefore w:val="0"/>
        <w:widowControl w:val="0"/>
        <w:overflowPunct/>
        <w:topLinePunct w:val="0"/>
        <w:bidi w:val="0"/>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供</w:t>
      </w:r>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sz w:val="24"/>
          <w:szCs w:val="24"/>
          <w:highlight w:val="none"/>
        </w:rPr>
        <w:t>应</w:t>
      </w:r>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sz w:val="24"/>
          <w:szCs w:val="24"/>
          <w:highlight w:val="none"/>
        </w:rPr>
        <w:t>商</w:t>
      </w:r>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sz w:val="24"/>
          <w:szCs w:val="24"/>
          <w:highlight w:val="none"/>
        </w:rPr>
        <w:t>须</w:t>
      </w:r>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sz w:val="24"/>
          <w:szCs w:val="24"/>
          <w:highlight w:val="none"/>
        </w:rPr>
        <w:t>知</w:t>
      </w:r>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sz w:val="24"/>
          <w:szCs w:val="24"/>
          <w:highlight w:val="none"/>
        </w:rPr>
        <w:t>前</w:t>
      </w:r>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sz w:val="24"/>
          <w:szCs w:val="24"/>
          <w:highlight w:val="none"/>
        </w:rPr>
        <w:t>附</w:t>
      </w:r>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sz w:val="24"/>
          <w:szCs w:val="24"/>
          <w:highlight w:val="none"/>
        </w:rPr>
        <w:t>表</w:t>
      </w:r>
    </w:p>
    <w:p w14:paraId="2C14495D">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rPr>
      </w:pPr>
    </w:p>
    <w:tbl>
      <w:tblPr>
        <w:tblStyle w:val="26"/>
        <w:tblW w:w="9701" w:type="dxa"/>
        <w:tblInd w:w="5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5"/>
        <w:gridCol w:w="12"/>
        <w:gridCol w:w="873"/>
        <w:gridCol w:w="1663"/>
        <w:gridCol w:w="6588"/>
      </w:tblGrid>
      <w:tr w14:paraId="011867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565" w:type="dxa"/>
            <w:vAlign w:val="center"/>
          </w:tcPr>
          <w:p w14:paraId="2E0B71E2">
            <w:pPr>
              <w:pStyle w:val="27"/>
              <w:pageBreakBefore w:val="0"/>
              <w:widowControl w:val="0"/>
              <w:wordWrap w:val="0"/>
              <w:overflowPunct/>
              <w:topLinePunct w:val="0"/>
              <w:bidi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序号</w:t>
            </w:r>
          </w:p>
        </w:tc>
        <w:tc>
          <w:tcPr>
            <w:tcW w:w="885" w:type="dxa"/>
            <w:gridSpan w:val="2"/>
            <w:vAlign w:val="center"/>
          </w:tcPr>
          <w:p w14:paraId="3AD5E913">
            <w:pPr>
              <w:pStyle w:val="27"/>
              <w:pageBreakBefore w:val="0"/>
              <w:widowControl w:val="0"/>
              <w:wordWrap w:val="0"/>
              <w:overflowPunct/>
              <w:topLinePunct w:val="0"/>
              <w:bidi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条款号</w:t>
            </w:r>
          </w:p>
        </w:tc>
        <w:tc>
          <w:tcPr>
            <w:tcW w:w="1663" w:type="dxa"/>
            <w:vAlign w:val="center"/>
          </w:tcPr>
          <w:p w14:paraId="3EE9DB39">
            <w:pPr>
              <w:pStyle w:val="27"/>
              <w:pageBreakBefore w:val="0"/>
              <w:widowControl w:val="0"/>
              <w:wordWrap w:val="0"/>
              <w:overflowPunct/>
              <w:topLinePunct w:val="0"/>
              <w:bidi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条款名称</w:t>
            </w:r>
          </w:p>
        </w:tc>
        <w:tc>
          <w:tcPr>
            <w:tcW w:w="6588" w:type="dxa"/>
            <w:vAlign w:val="center"/>
          </w:tcPr>
          <w:p w14:paraId="38047F75">
            <w:pPr>
              <w:pStyle w:val="27"/>
              <w:pageBreakBefore w:val="0"/>
              <w:widowControl w:val="0"/>
              <w:wordWrap w:val="0"/>
              <w:overflowPunct/>
              <w:topLinePunct w:val="0"/>
              <w:bidi w:val="0"/>
              <w:spacing w:line="400" w:lineRule="exact"/>
              <w:ind w:firstLine="422" w:firstLineChars="200"/>
              <w:jc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内容、要求</w:t>
            </w:r>
          </w:p>
        </w:tc>
      </w:tr>
      <w:tr w14:paraId="55717C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4" w:hRule="atLeast"/>
        </w:trPr>
        <w:tc>
          <w:tcPr>
            <w:tcW w:w="565" w:type="dxa"/>
            <w:vAlign w:val="top"/>
          </w:tcPr>
          <w:p w14:paraId="244F03C2">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755626C8">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885" w:type="dxa"/>
            <w:gridSpan w:val="2"/>
            <w:vAlign w:val="top"/>
          </w:tcPr>
          <w:p w14:paraId="504A6B36">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6D140329">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1663" w:type="dxa"/>
            <w:vAlign w:val="top"/>
          </w:tcPr>
          <w:p w14:paraId="4D2E3DE2">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项目名称及项目编号</w:t>
            </w:r>
          </w:p>
        </w:tc>
        <w:tc>
          <w:tcPr>
            <w:tcW w:w="6588" w:type="dxa"/>
          </w:tcPr>
          <w:p w14:paraId="76396529">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项目名称：</w:t>
            </w:r>
            <w:r>
              <w:rPr>
                <w:rFonts w:hint="eastAsia" w:cs="宋体"/>
                <w:color w:val="auto"/>
                <w:sz w:val="21"/>
                <w:szCs w:val="21"/>
                <w:highlight w:val="none"/>
                <w:lang w:eastAsia="zh-CN"/>
              </w:rPr>
              <w:t>2026年桂林市区控水质自动站智慧化改造项目</w:t>
            </w:r>
          </w:p>
          <w:p w14:paraId="339155BB">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项目编号：</w:t>
            </w:r>
            <w:r>
              <w:rPr>
                <w:rFonts w:hint="eastAsia" w:ascii="宋体" w:hAnsi="宋体" w:eastAsia="宋体" w:cs="宋体"/>
                <w:color w:val="auto"/>
                <w:highlight w:val="none"/>
                <w:lang w:eastAsia="zh-CN"/>
              </w:rPr>
              <w:t>GXZC2026-J1-003281-DHGS</w:t>
            </w:r>
          </w:p>
        </w:tc>
      </w:tr>
      <w:tr w14:paraId="1167F9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9" w:hRule="atLeast"/>
        </w:trPr>
        <w:tc>
          <w:tcPr>
            <w:tcW w:w="565" w:type="dxa"/>
            <w:vAlign w:val="top"/>
          </w:tcPr>
          <w:p w14:paraId="34595120">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1B328AA5">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046AD65D">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2B6ACB84">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5CC0370C">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1220658D">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4C886BA3">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0086159E">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885" w:type="dxa"/>
            <w:gridSpan w:val="2"/>
            <w:vAlign w:val="top"/>
          </w:tcPr>
          <w:p w14:paraId="75B8AD3C">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0BF3204A">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4AD5BB47">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47420645">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476833C0">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3876BB13">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2DE25B85">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59A5091F">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663" w:type="dxa"/>
            <w:vAlign w:val="top"/>
          </w:tcPr>
          <w:p w14:paraId="2ACA2466">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044CD520">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6B5A3C1C">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14C86D22">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094563D7">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6F24F297">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0AC6FDD8">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2E173D28">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供应商资格</w:t>
            </w:r>
          </w:p>
        </w:tc>
        <w:tc>
          <w:tcPr>
            <w:tcW w:w="6588" w:type="dxa"/>
          </w:tcPr>
          <w:p w14:paraId="4469F518">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3.1 满足《中华人民共和国政府采购法》第二十二条规定。</w:t>
            </w:r>
          </w:p>
          <w:p w14:paraId="7E48E90C">
            <w:pPr>
              <w:pageBreakBefore w:val="0"/>
              <w:widowControl w:val="0"/>
              <w:overflowPunct/>
              <w:topLinePunct w:val="0"/>
              <w:bidi w:val="0"/>
              <w:spacing w:line="40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3.2 落实政府采购政策需满足的资格要求：本项目非专门面向中小微企业采购。</w:t>
            </w:r>
          </w:p>
          <w:p w14:paraId="15F25F54">
            <w:pPr>
              <w:pageBreakBefore w:val="0"/>
              <w:widowControl w:val="0"/>
              <w:overflowPunct/>
              <w:topLinePunct w:val="0"/>
              <w:bidi w:val="0"/>
              <w:spacing w:line="40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3.3 本项目的特定资格要求：</w:t>
            </w:r>
            <w:r>
              <w:rPr>
                <w:rFonts w:hint="eastAsia" w:ascii="宋体" w:hAnsi="宋体" w:eastAsia="宋体" w:cs="宋体"/>
                <w:color w:val="auto"/>
                <w:szCs w:val="21"/>
              </w:rPr>
              <w:t>无</w:t>
            </w:r>
            <w:r>
              <w:rPr>
                <w:rFonts w:hint="eastAsia" w:ascii="宋体" w:hAnsi="宋体" w:eastAsia="宋体" w:cs="宋体"/>
                <w:color w:val="auto"/>
                <w:sz w:val="21"/>
                <w:szCs w:val="21"/>
                <w:highlight w:val="none"/>
                <w:lang w:eastAsia="zh-CN"/>
              </w:rPr>
              <w:t>。</w:t>
            </w:r>
          </w:p>
          <w:p w14:paraId="0E771BEA">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3.4 资格条件特别说明：</w:t>
            </w:r>
          </w:p>
          <w:p w14:paraId="7E23671A">
            <w:pPr>
              <w:pStyle w:val="27"/>
              <w:pageBreakBefore w:val="0"/>
              <w:widowControl w:val="0"/>
              <w:wordWrap w:val="0"/>
              <w:overflowPunct/>
              <w:topLinePunct w:val="0"/>
              <w:bidi w:val="0"/>
              <w:spacing w:line="400" w:lineRule="exact"/>
              <w:ind w:firstLine="420" w:firstLineChars="200"/>
              <w:rPr>
                <w:rFonts w:hint="default" w:ascii="宋体" w:hAnsi="宋体" w:eastAsia="宋体" w:cs="宋体"/>
                <w:color w:val="auto"/>
                <w:sz w:val="21"/>
                <w:szCs w:val="21"/>
                <w:highlight w:val="none"/>
                <w:lang w:eastAsia="zh-CN"/>
              </w:rPr>
            </w:pPr>
            <w:r>
              <w:rPr>
                <w:rFonts w:hint="default" w:ascii="宋体" w:hAnsi="宋体" w:eastAsia="宋体" w:cs="宋体"/>
                <w:color w:val="auto"/>
                <w:sz w:val="21"/>
                <w:szCs w:val="21"/>
                <w:highlight w:val="none"/>
                <w:lang w:eastAsia="zh-CN"/>
              </w:rPr>
              <w:t>（1）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14:paraId="0FB50BDA">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（2）对在“信用中国”网站(</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"https://www.creditchina.gov.cn"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lang w:eastAsia="zh-CN"/>
              </w:rPr>
              <w:t>www.creditchina.gov.cn</w:t>
            </w:r>
            <w:r>
              <w:rPr>
                <w:rFonts w:hint="eastAsia" w:ascii="宋体" w:hAnsi="宋体" w:eastAsia="宋体" w:cs="宋体"/>
                <w:color w:val="auto"/>
                <w:sz w:val="21"/>
                <w:szCs w:val="21"/>
                <w:highlight w:val="none"/>
                <w:lang w:eastAsia="zh-CN"/>
              </w:rPr>
              <w:fldChar w:fldCharType="end"/>
            </w:r>
            <w:r>
              <w:rPr>
                <w:rFonts w:hint="eastAsia" w:ascii="宋体" w:hAnsi="宋体" w:eastAsia="宋体" w:cs="宋体"/>
                <w:color w:val="auto"/>
                <w:sz w:val="21"/>
                <w:szCs w:val="21"/>
                <w:highlight w:val="none"/>
                <w:lang w:eastAsia="zh-CN"/>
              </w:rPr>
              <w:t>)、中国政府采购网(</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"https://www.ccgp.gov.cn"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lang w:eastAsia="zh-CN"/>
              </w:rPr>
              <w:t>www.ccgp.gov.cn</w:t>
            </w:r>
            <w:r>
              <w:rPr>
                <w:rFonts w:hint="eastAsia" w:ascii="宋体" w:hAnsi="宋体" w:eastAsia="宋体" w:cs="宋体"/>
                <w:color w:val="auto"/>
                <w:sz w:val="21"/>
                <w:szCs w:val="21"/>
                <w:highlight w:val="none"/>
                <w:lang w:eastAsia="zh-CN"/>
              </w:rPr>
              <w:fldChar w:fldCharType="end"/>
            </w:r>
            <w:r>
              <w:rPr>
                <w:rFonts w:hint="eastAsia" w:ascii="宋体" w:hAnsi="宋体" w:eastAsia="宋体" w:cs="宋体"/>
                <w:color w:val="auto"/>
                <w:sz w:val="21"/>
                <w:szCs w:val="21"/>
                <w:highlight w:val="none"/>
                <w:lang w:eastAsia="zh-CN"/>
              </w:rPr>
              <w:t>)被列入失信被执行人、重大税收违法案件当事人名单、政府采购严重违法失信行为记录名单及其他不符合《中华人民共和国政府采购法》第二十二条规定条件的供应商，不得参与政府采购活动。</w:t>
            </w:r>
          </w:p>
        </w:tc>
      </w:tr>
      <w:tr w14:paraId="0DB04B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565" w:type="dxa"/>
            <w:vAlign w:val="top"/>
          </w:tcPr>
          <w:p w14:paraId="7387E7C9">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2FCCAA08">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1459E6F0">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3BAA9198">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7EA285E6">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5B61DFCF">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08F060B6">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16B126C9">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0E9538AA">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2C0B0A10">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08D7ED93">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885" w:type="dxa"/>
            <w:gridSpan w:val="2"/>
            <w:vAlign w:val="top"/>
          </w:tcPr>
          <w:p w14:paraId="2D13BFC2">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2B36752D">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36766188">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08C397B9">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0B7307F0">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7F720261">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3975463F">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32983039">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71CDE609">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03A8A34A">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0CD4EEE5">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663" w:type="dxa"/>
            <w:vAlign w:val="top"/>
          </w:tcPr>
          <w:p w14:paraId="059FFCFC">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2D8EB91E">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4F620993">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4273040D">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5D504E03">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62781F6D">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6604ADEE">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612AE89C">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5263F598">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1706CF89">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参与电子竞标的准备工作</w:t>
            </w:r>
          </w:p>
        </w:tc>
        <w:tc>
          <w:tcPr>
            <w:tcW w:w="6588" w:type="dxa"/>
          </w:tcPr>
          <w:p w14:paraId="012F1333">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4.1 本项目实行全流程电子化采购，供应商通过广西政府采购云平台</w:t>
            </w:r>
            <w:r>
              <w:rPr>
                <w:rFonts w:hint="eastAsia" w:cs="宋体"/>
                <w:color w:val="auto"/>
                <w:sz w:val="21"/>
                <w:szCs w:val="21"/>
                <w:highlight w:val="none"/>
                <w:lang w:val="en-US" w:eastAsia="zh-CN"/>
              </w:rPr>
              <w:t>参</w:t>
            </w:r>
            <w:r>
              <w:rPr>
                <w:rFonts w:hint="eastAsia" w:ascii="宋体" w:hAnsi="宋体" w:eastAsia="宋体" w:cs="宋体"/>
                <w:color w:val="auto"/>
                <w:sz w:val="21"/>
                <w:szCs w:val="21"/>
                <w:highlight w:val="none"/>
                <w:lang w:eastAsia="zh-CN"/>
              </w:rPr>
              <w:t>与电子竞标，并应做好以下相关准备工作：①在广西政府采购云平台注册成为正式供应商（操作方法详见广西壮族自治区政府采购网—办事服务—办事指南）；②完成CA证书申领和绑定（费用由供应商自行承担，办理流程详见广西壮族自治区政府采购网—办事服务—下载专区，完成CA证书办理预计一周左右，建议供应商尽快办理）；③下载“广西壮族自治区全流程电子招投标项目管理系统--供应商客户端”（操作方法详见广西壮族自治区政府采购网—办事服务—下载专区，以下称“广西政府采购云平台电子投标客户端”）并安装成功，供应商应当在响应文件提交截止时间前在广西政府采购云平台完成的身份认证，确保能够对相关数据电文进行加密和使用电子签章；④自备计算机和网络设备并确保能接入互联网（费用由供应商自行承担，设备确保可进行视频通话和读取广西政府采购云平台CA证书）。因供应商未做好相关准备工作等自身原因导致无法参加本项目电子竞标或竞标失败的，造成的一切后果，由供应商自行承担。</w:t>
            </w:r>
          </w:p>
          <w:p w14:paraId="14D91D16">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4.2 电子竞标具体操作流程参考《政府采购项目电子交易管理操作指南供应商》（详见桂林市政府采购网—采购资讯—重要通知）；如遇平台技术问题详询95763或者0771-3381253。</w:t>
            </w:r>
          </w:p>
          <w:p w14:paraId="2DAAF559">
            <w:pPr>
              <w:pStyle w:val="27"/>
              <w:pageBreakBefore w:val="0"/>
              <w:widowControl w:val="0"/>
              <w:wordWrap w:val="0"/>
              <w:overflowPunct/>
              <w:topLinePunct w:val="0"/>
              <w:bidi w:val="0"/>
              <w:spacing w:line="400"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4.3 不论谈判结果如何，供应商均应自行承担所有与谈判有关的全部费用。</w:t>
            </w:r>
          </w:p>
        </w:tc>
      </w:tr>
      <w:tr w14:paraId="6748E5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7" w:hRule="atLeast"/>
        </w:trPr>
        <w:tc>
          <w:tcPr>
            <w:tcW w:w="565" w:type="dxa"/>
            <w:vAlign w:val="top"/>
          </w:tcPr>
          <w:p w14:paraId="18450365">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18EAB2F3">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2809CD10">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42BC7C90">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26F31ADC">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34E3F2BB">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885" w:type="dxa"/>
            <w:gridSpan w:val="2"/>
            <w:vAlign w:val="top"/>
          </w:tcPr>
          <w:p w14:paraId="6ADCDAD1">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7965CC59">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1611B462">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008F161C">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7A9CB948">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2556BB86">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1663" w:type="dxa"/>
            <w:vAlign w:val="top"/>
          </w:tcPr>
          <w:p w14:paraId="593337B1">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6E7FF2AE">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2488676F">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7BC755AD">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78C5AB98">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7774D1D4">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谈判报价及采购预算金额</w:t>
            </w:r>
          </w:p>
        </w:tc>
        <w:tc>
          <w:tcPr>
            <w:tcW w:w="6588" w:type="dxa"/>
          </w:tcPr>
          <w:p w14:paraId="5770BCA6">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13.1 供应商必须就“采购需求”中的所有内容作完整唯一报价，响应文件只允许有一个报价，有选择的或有条件的报价将不予接受。</w:t>
            </w:r>
          </w:p>
          <w:p w14:paraId="2C731EEC">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13.2 采购预算金额（人民币）：</w:t>
            </w:r>
            <w:r>
              <w:rPr>
                <w:rFonts w:hint="eastAsia" w:ascii="宋体" w:hAnsi="宋体" w:eastAsia="宋体" w:cs="宋体"/>
                <w:b/>
                <w:bCs/>
                <w:color w:val="auto"/>
                <w:sz w:val="21"/>
                <w:szCs w:val="21"/>
                <w:highlight w:val="none"/>
                <w:lang w:eastAsia="zh-CN"/>
              </w:rPr>
              <w:t>壹佰叁拾万元整（¥1300000.00元）</w:t>
            </w:r>
            <w:r>
              <w:rPr>
                <w:rFonts w:hint="eastAsia" w:ascii="宋体" w:hAnsi="宋体" w:eastAsia="宋体" w:cs="宋体"/>
                <w:color w:val="auto"/>
                <w:sz w:val="21"/>
                <w:szCs w:val="21"/>
                <w:highlight w:val="none"/>
                <w:lang w:eastAsia="zh-CN"/>
              </w:rPr>
              <w:t>。报价超采购预算金额的，响应文件作无效处理。</w:t>
            </w:r>
          </w:p>
          <w:p w14:paraId="1E9A93AF">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13.3 供应商谈判报价应包括包括但不限于：项目的价格包括站房及仪器设备更换、站房及仪器设备运输（包括旧站房及仪器设备的运输）、四通一平、安装调试费（仪器安装所需要水电气改造及实验室改造费用）、运维费用、备品备件、工具、网络费、水电费、防雷检测和整改、消防设备、站房和采水系统维护费、水站基础保障费用、仪器设备维修、配件置换和保养费、技术指导费、培训费、材料费、试剂和标准物质费、废液处置费、仪器设备按规定需要第三方检测公司检测及检定的费用、工作人员差旅费和劳务费、水站安全保障费（包括资产被偷盗、人为损毁、人为火灾等费用）、必要的保险费用和各项税费、不确定因素的风险等产生的费用及其他所有成本费等。此价格为安装调试期及售后三年服务期的价格。</w:t>
            </w:r>
          </w:p>
          <w:p w14:paraId="4BC2D75B">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对于竞争性谈判文件中明确列明必须报价的货物或服务，供应商应报价；对于竞争性谈判文件中未列明，而</w:t>
            </w:r>
            <w:r>
              <w:rPr>
                <w:rFonts w:hint="eastAsia" w:cs="宋体"/>
                <w:color w:val="auto"/>
                <w:sz w:val="21"/>
                <w:szCs w:val="21"/>
                <w:highlight w:val="none"/>
                <w:lang w:eastAsia="zh-CN"/>
              </w:rPr>
              <w:t>供应商</w:t>
            </w:r>
            <w:r>
              <w:rPr>
                <w:rFonts w:hint="eastAsia" w:ascii="宋体" w:hAnsi="宋体" w:eastAsia="宋体" w:cs="宋体"/>
                <w:color w:val="auto"/>
                <w:sz w:val="21"/>
                <w:szCs w:val="21"/>
                <w:highlight w:val="none"/>
                <w:lang w:eastAsia="zh-CN"/>
              </w:rPr>
              <w:t>认为必需的费用也需列入总报价；在合同实施时，采购方将不予支付成交供应商没有列入的项目费用，并认为此项目的费用已包括在合同总价中。</w:t>
            </w:r>
          </w:p>
          <w:p w14:paraId="21747DDE">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13.4 未书面退出谈判的供应商必须在规定时间内登录广西政府采购云平台在线提交最后报价，其最后报价不得超出采购预算；谈判过程中谈判文件未作实质性变动的，</w:t>
            </w:r>
            <w:r>
              <w:rPr>
                <w:rFonts w:hint="eastAsia" w:ascii="宋体" w:hAnsi="宋体" w:eastAsia="宋体" w:cs="宋体"/>
                <w:b/>
                <w:bCs/>
                <w:color w:val="auto"/>
                <w:sz w:val="21"/>
                <w:szCs w:val="21"/>
                <w:highlight w:val="none"/>
                <w:lang w:eastAsia="zh-CN"/>
              </w:rPr>
              <w:t>最后报价不得超过首次报价。</w:t>
            </w:r>
          </w:p>
        </w:tc>
      </w:tr>
      <w:tr w14:paraId="573969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565" w:type="dxa"/>
            <w:vAlign w:val="top"/>
          </w:tcPr>
          <w:p w14:paraId="3ECE9F7F">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885" w:type="dxa"/>
            <w:gridSpan w:val="2"/>
            <w:vAlign w:val="top"/>
          </w:tcPr>
          <w:p w14:paraId="0CA180A6">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14.1</w:t>
            </w:r>
          </w:p>
        </w:tc>
        <w:tc>
          <w:tcPr>
            <w:tcW w:w="1663" w:type="dxa"/>
            <w:vAlign w:val="top"/>
          </w:tcPr>
          <w:p w14:paraId="3C811975">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响应文件有效期</w:t>
            </w:r>
          </w:p>
        </w:tc>
        <w:tc>
          <w:tcPr>
            <w:tcW w:w="6588" w:type="dxa"/>
            <w:vAlign w:val="center"/>
          </w:tcPr>
          <w:p w14:paraId="2CC4CFAC">
            <w:pPr>
              <w:pStyle w:val="27"/>
              <w:pageBreakBefore w:val="0"/>
              <w:widowControl w:val="0"/>
              <w:wordWrap w:val="0"/>
              <w:overflowPunct/>
              <w:topLinePunct w:val="0"/>
              <w:bidi w:val="0"/>
              <w:spacing w:line="400"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自响应文件提交截止时间之日起90天，有效期不足的响应文件将被拒绝。</w:t>
            </w:r>
          </w:p>
        </w:tc>
      </w:tr>
      <w:tr w14:paraId="38F16F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565" w:type="dxa"/>
            <w:vAlign w:val="top"/>
          </w:tcPr>
          <w:p w14:paraId="2508231A">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4058F691">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3A9E90CB">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4A426E4E">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497DC8B8">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885" w:type="dxa"/>
            <w:gridSpan w:val="2"/>
            <w:vAlign w:val="top"/>
          </w:tcPr>
          <w:p w14:paraId="0D16CFE7">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027739FE">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4095B481">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659434F8">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67B1F9FD">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1663" w:type="dxa"/>
            <w:vAlign w:val="top"/>
          </w:tcPr>
          <w:p w14:paraId="7BA36AA5">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50660A1D">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3805294A">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4BC850DC">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7CBCF4B2">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电子响应文件的制作、加密</w:t>
            </w:r>
          </w:p>
        </w:tc>
        <w:tc>
          <w:tcPr>
            <w:tcW w:w="6588" w:type="dxa"/>
          </w:tcPr>
          <w:p w14:paraId="156FE6B9">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15.1 供应商制作电子响应文件前，应登陆广西政府采购云平台进行“申请获取采购文件”操作，否则，有可能导致无法在线编制响应文件并参与竞标，其不利后果由供应商自行承担。</w:t>
            </w:r>
          </w:p>
          <w:p w14:paraId="700F6271">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15.2 供应商下载或获取竞争性谈判文件后，登录“广西政府采购云平台电子投标客户端”，按照本谈判文件规定的响应文件格式、顺序以及广西政府采购云平台的要求，通过“广西政府采购云平台电子投标客户端”编制电子响应文件。</w:t>
            </w:r>
          </w:p>
          <w:p w14:paraId="65EA5A86">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15.3 供应商应按“广西政府采购云平台电子投标客户端”载明的“标书关联”功能进行电子响应文件的关联定位，以便谈判小组在评审时点击相应评审项可直接定位到该评审内容；如供应商的电子响应文件未能关联定位相应内容，或者关联定位的内容与该评审项不符，导致谈判小组无法查询并做出对供应商不利的评审，相关后果由供应商自行承担。</w:t>
            </w:r>
          </w:p>
          <w:p w14:paraId="5BC87910">
            <w:pPr>
              <w:pStyle w:val="27"/>
              <w:pageBreakBefore w:val="0"/>
              <w:widowControl w:val="0"/>
              <w:wordWrap w:val="0"/>
              <w:overflowPunct/>
              <w:topLinePunct w:val="0"/>
              <w:bidi w:val="0"/>
              <w:spacing w:line="400"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15.4 电子响应文件不得涂改，若有修改错漏处，须由法定代表人（负责人、自然人）或授权委托代理人通过“广西政府采购云平台电子投标客户端”采用广西政府采购云平台个人CA证书签章，没有办理广西政府采购云平台个人CA证书签章的，在响应文件中响应位置手写签字后扫描或者拍照做成PDF的格式上传。因响应文件字迹潦草、表达不清、内容不完整、编排混乱导致响应文件被误读、漏读，或者在按竞争性谈判文件规定的部位查找不到相关内容的，其不利后果由供应商自行承担。</w:t>
            </w:r>
          </w:p>
          <w:p w14:paraId="16C8E1A6">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15.5 供应商编制、生成电子响应文件后应当加密响应文件。供应商未按规定编制并加密的响应文件，广西政府采购云平台将予以拒收。</w:t>
            </w:r>
          </w:p>
        </w:tc>
      </w:tr>
      <w:tr w14:paraId="7BB2F4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65" w:type="dxa"/>
            <w:vAlign w:val="top"/>
          </w:tcPr>
          <w:p w14:paraId="0CE97F44">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3C8DF85F">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0CC610A3">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1DBD530E">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24FD1C12">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27B6C791">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885" w:type="dxa"/>
            <w:gridSpan w:val="2"/>
            <w:vAlign w:val="top"/>
          </w:tcPr>
          <w:p w14:paraId="6AF2C813">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6194EF40">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6F29CC5A">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67D2F189">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17E07C59">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725ED686">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15.6</w:t>
            </w:r>
          </w:p>
        </w:tc>
        <w:tc>
          <w:tcPr>
            <w:tcW w:w="1663" w:type="dxa"/>
            <w:vAlign w:val="top"/>
          </w:tcPr>
          <w:p w14:paraId="196B16B6">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170FA4E5">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2DC9B6C8">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4026BE06">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329B4466">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5D4DEA8B">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供应商公章及签字</w:t>
            </w:r>
          </w:p>
        </w:tc>
        <w:tc>
          <w:tcPr>
            <w:tcW w:w="6588" w:type="dxa"/>
          </w:tcPr>
          <w:p w14:paraId="13F6A5D8">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15.6.1 本竞争性谈判文件中描述供应商的“公章”是指供应商通过指定电子化政府采购平台办理数字证书（CA认证证书）获得的以法定主体行为名称制作的电子印章。</w:t>
            </w:r>
          </w:p>
          <w:p w14:paraId="19F1A548">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15.6.2 本竞争性谈判文件中要求供应商对其电子响应文件的相关内容加盖公章的，均指采用CA证书签章。</w:t>
            </w:r>
          </w:p>
          <w:p w14:paraId="5588BB04">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15.6.3 本谈判文件中描述供应商的“签字”是指供应商通过指定电子化政府采购平台办理数字证书（CA认证证书）获得的以供应商法定</w:t>
            </w:r>
            <w:r>
              <w:rPr>
                <w:rFonts w:hint="eastAsia" w:cs="宋体"/>
                <w:color w:val="auto"/>
                <w:sz w:val="21"/>
                <w:szCs w:val="21"/>
                <w:highlight w:val="none"/>
                <w:lang w:val="en-US" w:eastAsia="zh-CN"/>
              </w:rPr>
              <w:t>代</w:t>
            </w:r>
            <w:r>
              <w:rPr>
                <w:rFonts w:hint="eastAsia" w:ascii="宋体" w:hAnsi="宋体" w:eastAsia="宋体" w:cs="宋体"/>
                <w:color w:val="auto"/>
                <w:sz w:val="21"/>
                <w:szCs w:val="21"/>
                <w:highlight w:val="none"/>
                <w:lang w:eastAsia="zh-CN"/>
              </w:rPr>
              <w:t>表人（负责人、自然人）或者委托代理人姓名制作的个人电子印章或手写签字。没有办理个人CA证书的，可以为手写签字的形式。</w:t>
            </w:r>
          </w:p>
        </w:tc>
      </w:tr>
      <w:tr w14:paraId="50F4CB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0" w:hRule="atLeast"/>
        </w:trPr>
        <w:tc>
          <w:tcPr>
            <w:tcW w:w="565" w:type="dxa"/>
            <w:vAlign w:val="top"/>
          </w:tcPr>
          <w:p w14:paraId="64ABD97D">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6F39A117">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11CD8524">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35796352">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0D249BB6">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0E9C8A11">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68FA3C16">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885" w:type="dxa"/>
            <w:gridSpan w:val="2"/>
            <w:vAlign w:val="top"/>
          </w:tcPr>
          <w:p w14:paraId="1DD1AF62">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3D721E5E">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7ADDB897">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65A986A1">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4879C153">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39182A65">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3AF3C861">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w:t>
            </w:r>
          </w:p>
        </w:tc>
        <w:tc>
          <w:tcPr>
            <w:tcW w:w="1663" w:type="dxa"/>
            <w:vAlign w:val="top"/>
          </w:tcPr>
          <w:p w14:paraId="376341B0">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3E320383">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7FC220DD">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6A737E2A">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21BF3E15">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3F32E0D1">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7D66454E">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首次响应文件的提交、撤回、修改</w:t>
            </w:r>
          </w:p>
        </w:tc>
        <w:tc>
          <w:tcPr>
            <w:tcW w:w="6588" w:type="dxa"/>
          </w:tcPr>
          <w:p w14:paraId="6C6C4436">
            <w:pPr>
              <w:pStyle w:val="27"/>
              <w:keepNext w:val="0"/>
              <w:keepLines w:val="0"/>
              <w:pageBreakBefore w:val="0"/>
              <w:widowControl w:val="0"/>
              <w:kinsoku w:val="0"/>
              <w:wordWrap w:val="0"/>
              <w:overflowPunct/>
              <w:topLinePunct w:val="0"/>
              <w:autoSpaceDE w:val="0"/>
              <w:autoSpaceDN w:val="0"/>
              <w:bidi w:val="0"/>
              <w:adjustRightInd w:val="0"/>
              <w:snapToGrid w:val="0"/>
              <w:spacing w:line="380" w:lineRule="exact"/>
              <w:ind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16.1 响应文件的提交截止时间：2026年</w:t>
            </w:r>
            <w:r>
              <w:rPr>
                <w:rFonts w:hint="eastAsia" w:cs="宋体"/>
                <w:color w:val="auto"/>
                <w:sz w:val="21"/>
                <w:szCs w:val="21"/>
                <w:highlight w:val="none"/>
                <w:lang w:val="en-US" w:eastAsia="zh-CN"/>
              </w:rPr>
              <w:t>10</w:t>
            </w:r>
            <w:r>
              <w:rPr>
                <w:rFonts w:hint="eastAsia" w:ascii="宋体" w:hAnsi="宋体" w:eastAsia="宋体" w:cs="宋体"/>
                <w:color w:val="auto"/>
                <w:sz w:val="21"/>
                <w:szCs w:val="21"/>
                <w:highlight w:val="none"/>
                <w:lang w:eastAsia="zh-CN"/>
              </w:rPr>
              <w:t>月</w:t>
            </w:r>
            <w:r>
              <w:rPr>
                <w:rFonts w:hint="eastAsia" w:cs="宋体"/>
                <w:color w:val="auto"/>
                <w:sz w:val="21"/>
                <w:szCs w:val="21"/>
                <w:highlight w:val="none"/>
                <w:lang w:val="en-US" w:eastAsia="zh-CN"/>
              </w:rPr>
              <w:t>15</w:t>
            </w:r>
            <w:bookmarkStart w:id="47" w:name="_GoBack"/>
            <w:bookmarkEnd w:id="47"/>
            <w:r>
              <w:rPr>
                <w:rFonts w:hint="eastAsia" w:ascii="宋体" w:hAnsi="宋体" w:eastAsia="宋体" w:cs="宋体"/>
                <w:color w:val="auto"/>
                <w:sz w:val="21"/>
                <w:szCs w:val="21"/>
                <w:highlight w:val="none"/>
                <w:lang w:eastAsia="zh-CN"/>
              </w:rPr>
              <w:t>日上午</w:t>
            </w:r>
            <w:r>
              <w:rPr>
                <w:rFonts w:hint="eastAsia" w:ascii="宋体" w:hAnsi="宋体" w:eastAsia="宋体" w:cs="宋体"/>
                <w:color w:val="auto"/>
                <w:sz w:val="21"/>
                <w:szCs w:val="21"/>
                <w:highlight w:val="none"/>
                <w:lang w:val="en-US" w:eastAsia="zh-CN"/>
              </w:rPr>
              <w:t>09</w:t>
            </w:r>
            <w:r>
              <w:rPr>
                <w:rFonts w:hint="eastAsia" w:ascii="宋体" w:hAnsi="宋体" w:eastAsia="宋体" w:cs="宋体"/>
                <w:color w:val="auto"/>
                <w:sz w:val="21"/>
                <w:szCs w:val="21"/>
                <w:highlight w:val="none"/>
                <w:lang w:eastAsia="zh-CN"/>
              </w:rPr>
              <w:t>时30分（北京时间）</w:t>
            </w:r>
          </w:p>
          <w:p w14:paraId="1F9390DA">
            <w:pPr>
              <w:pStyle w:val="27"/>
              <w:keepNext w:val="0"/>
              <w:keepLines w:val="0"/>
              <w:pageBreakBefore w:val="0"/>
              <w:widowControl w:val="0"/>
              <w:kinsoku w:val="0"/>
              <w:wordWrap w:val="0"/>
              <w:overflowPunct/>
              <w:topLinePunct w:val="0"/>
              <w:autoSpaceDE w:val="0"/>
              <w:autoSpaceDN w:val="0"/>
              <w:bidi w:val="0"/>
              <w:adjustRightInd w:val="0"/>
              <w:snapToGrid w:val="0"/>
              <w:spacing w:line="380" w:lineRule="exact"/>
              <w:ind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16.2 地点：通过广西政府采购云平台在线提交。</w:t>
            </w:r>
          </w:p>
          <w:p w14:paraId="674A1A72">
            <w:pPr>
              <w:pStyle w:val="27"/>
              <w:keepNext w:val="0"/>
              <w:keepLines w:val="0"/>
              <w:pageBreakBefore w:val="0"/>
              <w:widowControl w:val="0"/>
              <w:kinsoku w:val="0"/>
              <w:wordWrap w:val="0"/>
              <w:overflowPunct/>
              <w:topLinePunct w:val="0"/>
              <w:autoSpaceDE w:val="0"/>
              <w:autoSpaceDN w:val="0"/>
              <w:bidi w:val="0"/>
              <w:adjustRightInd w:val="0"/>
              <w:snapToGrid w:val="0"/>
              <w:spacing w:line="380" w:lineRule="exact"/>
              <w:ind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16.3 供应商应当在响应文件提交截止时间前，将生成的电子响应文件上传提交至广西政府采购云平台。响应文件提交截止时间前可以补充、修改或撤回电子响应文件，补充、修改电子响应文件的，应当先行撤回原文件，补充、修改后重新传输提交。在响应文件提交截止时间后的响应文件有效期内，供应商不得撤回其响应文件。响应文件提交截止时间前未成功将电子响应文件上传广西政府采购云平台的，视为未提交响应文件。</w:t>
            </w:r>
          </w:p>
          <w:p w14:paraId="4FE50F80">
            <w:pPr>
              <w:pStyle w:val="27"/>
              <w:keepNext w:val="0"/>
              <w:keepLines w:val="0"/>
              <w:pageBreakBefore w:val="0"/>
              <w:widowControl w:val="0"/>
              <w:kinsoku w:val="0"/>
              <w:wordWrap w:val="0"/>
              <w:overflowPunct/>
              <w:topLinePunct w:val="0"/>
              <w:autoSpaceDE w:val="0"/>
              <w:autoSpaceDN w:val="0"/>
              <w:bidi w:val="0"/>
              <w:adjustRightInd w:val="0"/>
              <w:snapToGrid w:val="0"/>
              <w:spacing w:line="380" w:lineRule="exact"/>
              <w:ind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16.4 除竞争性谈判文件另有规定外，供应商所提交的响应文件不予退还。</w:t>
            </w:r>
          </w:p>
        </w:tc>
      </w:tr>
      <w:tr w14:paraId="50D79C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565" w:type="dxa"/>
            <w:vAlign w:val="top"/>
          </w:tcPr>
          <w:p w14:paraId="516B44FB">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39BA6A9A">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7A83FD8C">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0F258747">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885" w:type="dxa"/>
            <w:gridSpan w:val="2"/>
            <w:vAlign w:val="top"/>
          </w:tcPr>
          <w:p w14:paraId="2C8B357D">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07E65E85">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7223D09B">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0FA29E18">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w:t>
            </w:r>
          </w:p>
        </w:tc>
        <w:tc>
          <w:tcPr>
            <w:tcW w:w="1663" w:type="dxa"/>
            <w:vAlign w:val="top"/>
          </w:tcPr>
          <w:p w14:paraId="6E9089A2">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4212D729">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1C0C45C6">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p>
          <w:p w14:paraId="54966378">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响应文件的解密</w:t>
            </w:r>
          </w:p>
        </w:tc>
        <w:tc>
          <w:tcPr>
            <w:tcW w:w="6588" w:type="dxa"/>
          </w:tcPr>
          <w:p w14:paraId="1B2BB58F">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响应文件提交截止时间后，采购代理机构开启解密响应文件操作，广西政府采购云平台向各供应商发出电子加密响应文件解密通知，由供应商在系统发出解密通知后30分钟内自行使用加密时的CA通过“项目采购-开标评标”功能对响应文件进行解密。若供应商在上述规定的时间内无法解密或解密失败的，可以在响应文件解密截止时间后30分钟内向采购代理机构现场提交电子备份响应文件【现场提交电子响应文件地址：桂林市公共资源交易中心政采开标仓</w:t>
            </w:r>
            <w:r>
              <w:rPr>
                <w:rFonts w:hint="eastAsia" w:ascii="宋体" w:hAnsi="宋体" w:eastAsia="宋体" w:cs="宋体"/>
                <w:color w:val="auto"/>
                <w:szCs w:val="21"/>
              </w:rPr>
              <w:t>（广西桂林市临桂区西城中路69号创业大厦西辅楼4楼）</w:t>
            </w:r>
            <w:r>
              <w:rPr>
                <w:rFonts w:hint="eastAsia" w:ascii="宋体" w:hAnsi="宋体" w:eastAsia="宋体" w:cs="宋体"/>
                <w:color w:val="auto"/>
                <w:sz w:val="21"/>
                <w:szCs w:val="21"/>
                <w:highlight w:val="none"/>
                <w:lang w:eastAsia="zh-CN"/>
              </w:rPr>
              <w:t>】，或以电子邮件的形式提交电子备份响应文件（以通知时所告知的电子邮箱地址为准）；供应商未在上述规定的时间、地点（电子邮箱）提交的电子备份响应文件，采购代理机构不予接收或承认。采购代理机构收到电子备份响应文件后按“政府采购云平台”操作规范上传至“政府采购云平台”，电子备份响应文件上传成功后，供应商原上传的“电子加密响应文件”自动失效。若供应商在规定时间内无法解密或解密失败且未在规定的时间内提供电子备份响应文件的（包含提供的电子备份响应文件无效或无法解密的情况），视为供应商放弃谈判。</w:t>
            </w:r>
          </w:p>
        </w:tc>
      </w:tr>
      <w:tr w14:paraId="5D5097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9" w:hRule="atLeast"/>
        </w:trPr>
        <w:tc>
          <w:tcPr>
            <w:tcW w:w="565" w:type="dxa"/>
            <w:vAlign w:val="top"/>
          </w:tcPr>
          <w:p w14:paraId="1509678C">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1B9C8B53">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885" w:type="dxa"/>
            <w:gridSpan w:val="2"/>
            <w:vAlign w:val="top"/>
          </w:tcPr>
          <w:p w14:paraId="32D78E15">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5129D60D">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18.1</w:t>
            </w:r>
          </w:p>
        </w:tc>
        <w:tc>
          <w:tcPr>
            <w:tcW w:w="1663" w:type="dxa"/>
            <w:vAlign w:val="top"/>
          </w:tcPr>
          <w:p w14:paraId="3225621E">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1D7ED9FC">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谈判小组组成</w:t>
            </w:r>
          </w:p>
        </w:tc>
        <w:tc>
          <w:tcPr>
            <w:tcW w:w="6588" w:type="dxa"/>
          </w:tcPr>
          <w:p w14:paraId="241A8413">
            <w:pPr>
              <w:pStyle w:val="27"/>
              <w:pageBreakBefore w:val="0"/>
              <w:widowControl w:val="0"/>
              <w:wordWrap w:val="0"/>
              <w:overflowPunct/>
              <w:topLinePunct w:val="0"/>
              <w:bidi w:val="0"/>
              <w:spacing w:line="400"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谈判及评审组织工作由采购代理机构负责，具体谈判、评审工作由依法组建的谈判小组负责，本项目的谈判小组由有关方面的评审专家组成，谈判小组的构成：3人。</w:t>
            </w:r>
          </w:p>
        </w:tc>
      </w:tr>
      <w:tr w14:paraId="2AD02B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7" w:hRule="atLeast"/>
        </w:trPr>
        <w:tc>
          <w:tcPr>
            <w:tcW w:w="565" w:type="dxa"/>
            <w:vAlign w:val="top"/>
          </w:tcPr>
          <w:p w14:paraId="2584EEEC">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5E13CA97">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17851401">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005254E3">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67B8AE3A">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0C0817B2">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346D22B3">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885" w:type="dxa"/>
            <w:gridSpan w:val="2"/>
            <w:vAlign w:val="top"/>
          </w:tcPr>
          <w:p w14:paraId="3FD999B5">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6CF1109B">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4ED75283">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28EAA13A">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574F5F9E">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5C9B6ABC">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002F8152">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18.2</w:t>
            </w:r>
          </w:p>
        </w:tc>
        <w:tc>
          <w:tcPr>
            <w:tcW w:w="1663" w:type="dxa"/>
            <w:vAlign w:val="top"/>
          </w:tcPr>
          <w:p w14:paraId="6A066DC5">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5099C431">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02CFC765">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5BA03724">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09245516">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4EF327E8">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68C6954E">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谈判时间、地点、人员</w:t>
            </w:r>
          </w:p>
        </w:tc>
        <w:tc>
          <w:tcPr>
            <w:tcW w:w="6588" w:type="dxa"/>
          </w:tcPr>
          <w:p w14:paraId="0E9D5BC3">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18.2.1 谈判时间：首次响应文件提交截止时间后。</w:t>
            </w:r>
          </w:p>
          <w:p w14:paraId="48465795">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18.2.2 谈判地点：供应商代表在响应文件提交当天实时登录广西政府采购云平台，按谈判小组要求在线等候参与谈判及提交最后报价。因供应商未保持实时在线，导致谈判小组无法及时与其取得联系，从而造成供应商未按规定参与谈判或报价的，其不利后果由供应商自行承担。</w:t>
            </w:r>
          </w:p>
          <w:p w14:paraId="3C99392A">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18.2.3 谈判参加人员：供应商法定代表人(负责人、自然人)或相应的委托代理人参加谈判。请供应商实时登录广西政府采购云平台等候在线谈判。</w:t>
            </w:r>
          </w:p>
          <w:p w14:paraId="5384A435">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18.2.4 首次响应文件提交截止时间后，登录广西政府采购云平台在线解密开启。</w:t>
            </w:r>
          </w:p>
        </w:tc>
      </w:tr>
      <w:tr w14:paraId="0B3425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565" w:type="dxa"/>
            <w:vAlign w:val="top"/>
          </w:tcPr>
          <w:p w14:paraId="58CB2E36">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885" w:type="dxa"/>
            <w:gridSpan w:val="2"/>
            <w:vAlign w:val="top"/>
          </w:tcPr>
          <w:p w14:paraId="436FE6BA">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19.2</w:t>
            </w:r>
          </w:p>
        </w:tc>
        <w:tc>
          <w:tcPr>
            <w:tcW w:w="1663" w:type="dxa"/>
            <w:vAlign w:val="top"/>
          </w:tcPr>
          <w:p w14:paraId="7C90274F">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评审办法</w:t>
            </w:r>
          </w:p>
        </w:tc>
        <w:tc>
          <w:tcPr>
            <w:tcW w:w="6588" w:type="dxa"/>
          </w:tcPr>
          <w:p w14:paraId="23F1FB73">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具体详见第四章“评审办法”。</w:t>
            </w:r>
          </w:p>
        </w:tc>
      </w:tr>
      <w:tr w14:paraId="0FAC85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565" w:type="dxa"/>
            <w:vAlign w:val="top"/>
          </w:tcPr>
          <w:p w14:paraId="43A75B6B">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4C56A093">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212497B5">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48978E4F">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1CB02015">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885" w:type="dxa"/>
            <w:gridSpan w:val="2"/>
            <w:vAlign w:val="top"/>
          </w:tcPr>
          <w:p w14:paraId="178852DE">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4E257303">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6ECE9972">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4E79F985">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38F42FDA">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w:t>
            </w:r>
          </w:p>
        </w:tc>
        <w:tc>
          <w:tcPr>
            <w:tcW w:w="1663" w:type="dxa"/>
            <w:vAlign w:val="top"/>
          </w:tcPr>
          <w:p w14:paraId="5467335E">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711ED489">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406A6A2E">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1ABD70A4">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337B5CC8">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信用查询</w:t>
            </w:r>
          </w:p>
        </w:tc>
        <w:tc>
          <w:tcPr>
            <w:tcW w:w="6588" w:type="dxa"/>
          </w:tcPr>
          <w:p w14:paraId="127CDC5B">
            <w:pPr>
              <w:pStyle w:val="27"/>
              <w:pageBreakBefore w:val="0"/>
              <w:widowControl w:val="0"/>
              <w:wordWrap w:val="0"/>
              <w:overflowPunct/>
              <w:topLinePunct w:val="0"/>
              <w:bidi w:val="0"/>
              <w:spacing w:line="400"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根据《关于做好政府采购有关信用主体标识码登记及在政府采购活动中查询使用信用记录有关问题的通知》（桂财采〔2016〕37</w:t>
            </w:r>
            <w:r>
              <w:rPr>
                <w:rFonts w:hint="eastAsia" w:cs="宋体"/>
                <w:color w:val="auto"/>
                <w:sz w:val="21"/>
                <w:szCs w:val="21"/>
                <w:highlight w:val="none"/>
                <w:lang w:val="en-US" w:eastAsia="zh-CN"/>
              </w:rPr>
              <w:t>号</w:t>
            </w:r>
            <w:r>
              <w:rPr>
                <w:rFonts w:hint="eastAsia" w:ascii="宋体" w:hAnsi="宋体" w:eastAsia="宋体" w:cs="宋体"/>
                <w:color w:val="auto"/>
                <w:sz w:val="21"/>
                <w:szCs w:val="21"/>
                <w:highlight w:val="none"/>
                <w:lang w:eastAsia="zh-CN"/>
              </w:rPr>
              <w:t>），由采购代理机构对第一成交候选人进行信用查询：</w:t>
            </w:r>
          </w:p>
          <w:p w14:paraId="2A8C42AC">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（1）查询渠道：“信用中国”网站(</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"https://www.creditchina.gov.cn"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www.creditchina.gov.cn</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)、中国政府采购网(</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"https://www.ccgp.gov.cn"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www.ccgp.gov.cn</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)等；</w:t>
            </w:r>
          </w:p>
          <w:p w14:paraId="361FA3D1">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（2）查询截止时间：成交通知书发出前；</w:t>
            </w:r>
          </w:p>
          <w:p w14:paraId="19DF8CDA">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（3）信用信息查询记录和证据留存方式：在查询网站中直接打印查询记录，打印材料作为采购活动资料保存；</w:t>
            </w:r>
          </w:p>
          <w:p w14:paraId="505055DA">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 信用信息使用规则：对在“信用中国”网站(</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"https://www.creditchina.gov.cn"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lang w:eastAsia="zh-CN"/>
              </w:rPr>
              <w:t>www.creditchina.gov.cn</w:t>
            </w:r>
            <w:r>
              <w:rPr>
                <w:rFonts w:hint="eastAsia" w:ascii="宋体" w:hAnsi="宋体" w:eastAsia="宋体" w:cs="宋体"/>
                <w:color w:val="auto"/>
                <w:sz w:val="21"/>
                <w:szCs w:val="21"/>
                <w:highlight w:val="none"/>
                <w:lang w:eastAsia="zh-CN"/>
              </w:rPr>
              <w:fldChar w:fldCharType="end"/>
            </w:r>
            <w:r>
              <w:rPr>
                <w:rFonts w:hint="eastAsia" w:ascii="宋体" w:hAnsi="宋体" w:eastAsia="宋体" w:cs="宋体"/>
                <w:color w:val="auto"/>
                <w:sz w:val="21"/>
                <w:szCs w:val="21"/>
                <w:highlight w:val="none"/>
                <w:lang w:eastAsia="zh-CN"/>
              </w:rPr>
              <w:t>)、中国政府采购网(</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"https://www.ccgp.gov.cn"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lang w:eastAsia="zh-CN"/>
              </w:rPr>
              <w:t>www.ccgp.gov.cn</w:t>
            </w:r>
            <w:r>
              <w:rPr>
                <w:rFonts w:hint="eastAsia" w:ascii="宋体" w:hAnsi="宋体" w:eastAsia="宋体" w:cs="宋体"/>
                <w:color w:val="auto"/>
                <w:sz w:val="21"/>
                <w:szCs w:val="21"/>
                <w:highlight w:val="none"/>
                <w:lang w:eastAsia="zh-CN"/>
              </w:rPr>
              <w:fldChar w:fldCharType="end"/>
            </w:r>
            <w:r>
              <w:rPr>
                <w:rFonts w:hint="eastAsia" w:ascii="宋体" w:hAnsi="宋体" w:eastAsia="宋体" w:cs="宋体"/>
                <w:color w:val="auto"/>
                <w:sz w:val="21"/>
                <w:szCs w:val="21"/>
                <w:highlight w:val="none"/>
                <w:lang w:eastAsia="zh-CN"/>
              </w:rPr>
              <w:t>)等渠道列入失信被执行人、重大税收违法案件当事人名单、政府采购严重违法失信行为记录名单及其他不符合《中华人民共和国政府采购法》第二十二条规定条件的供应商，取消其成交候选人资格。</w:t>
            </w:r>
          </w:p>
        </w:tc>
      </w:tr>
      <w:tr w14:paraId="137D62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8" w:hRule="atLeast"/>
        </w:trPr>
        <w:tc>
          <w:tcPr>
            <w:tcW w:w="577" w:type="dxa"/>
            <w:gridSpan w:val="2"/>
            <w:vAlign w:val="top"/>
          </w:tcPr>
          <w:p w14:paraId="5B78B636">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7FE6A90F">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7DB5B0B4">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052BE597">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16B64D8A">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c>
          <w:tcPr>
            <w:tcW w:w="873" w:type="dxa"/>
            <w:vAlign w:val="top"/>
          </w:tcPr>
          <w:p w14:paraId="7F0C9F79">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4A067927">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765EF3B0">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2094638F">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18E13E55">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w:t>
            </w:r>
          </w:p>
        </w:tc>
        <w:tc>
          <w:tcPr>
            <w:tcW w:w="1663" w:type="dxa"/>
            <w:vAlign w:val="top"/>
          </w:tcPr>
          <w:p w14:paraId="64B00063">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2DFF7881">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70476A57">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6C5C75DC">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6A110DF7">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成交公告及成交通知书</w:t>
            </w:r>
          </w:p>
        </w:tc>
        <w:tc>
          <w:tcPr>
            <w:tcW w:w="6588" w:type="dxa"/>
          </w:tcPr>
          <w:p w14:paraId="6AC38F99">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27.1 采购代理机构于评审结束后两个工作日内将评审报告送交采购人，采购人应当自收到评审报告五个工作日内在评审报告推荐的成交候选供应商中按顺序确定成交供应商，采购代理机构在成交供应商确定之日起两个工作日内发出成交通知书，并在指定媒体上公告成交信息。</w:t>
            </w:r>
          </w:p>
          <w:p w14:paraId="30238CF6">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27.3 在发布成交公告的同时，采购代理机构向成交供应商发出成交通知书。成交供应商应自接到通知之日起七个工作日内，办理成交通知书领取手续。</w:t>
            </w:r>
          </w:p>
        </w:tc>
      </w:tr>
      <w:tr w14:paraId="20696E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577" w:type="dxa"/>
            <w:gridSpan w:val="2"/>
            <w:vAlign w:val="top"/>
          </w:tcPr>
          <w:p w14:paraId="616ACC76">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873" w:type="dxa"/>
            <w:vAlign w:val="top"/>
          </w:tcPr>
          <w:p w14:paraId="2CF38CB3">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w:t>
            </w:r>
          </w:p>
        </w:tc>
        <w:tc>
          <w:tcPr>
            <w:tcW w:w="1663" w:type="dxa"/>
            <w:vAlign w:val="top"/>
          </w:tcPr>
          <w:p w14:paraId="57D4E111">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履约保证金</w:t>
            </w:r>
          </w:p>
        </w:tc>
        <w:tc>
          <w:tcPr>
            <w:tcW w:w="6588" w:type="dxa"/>
            <w:vAlign w:val="center"/>
          </w:tcPr>
          <w:p w14:paraId="71F85A8F">
            <w:pPr>
              <w:pageBreakBefore w:val="0"/>
              <w:widowControl w:val="0"/>
              <w:kinsoku/>
              <w:overflowPunct/>
              <w:topLinePunct w:val="0"/>
              <w:autoSpaceDE/>
              <w:autoSpaceDN/>
              <w:bidi w:val="0"/>
              <w:adjustRightInd/>
              <w:snapToGrid/>
              <w:spacing w:line="400" w:lineRule="exact"/>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本项目免收履约保证金。</w:t>
            </w:r>
          </w:p>
        </w:tc>
      </w:tr>
      <w:tr w14:paraId="783BAA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577" w:type="dxa"/>
            <w:gridSpan w:val="2"/>
            <w:vAlign w:val="top"/>
          </w:tcPr>
          <w:p w14:paraId="7B761E68">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w:t>
            </w:r>
          </w:p>
        </w:tc>
        <w:tc>
          <w:tcPr>
            <w:tcW w:w="873" w:type="dxa"/>
            <w:vAlign w:val="top"/>
          </w:tcPr>
          <w:p w14:paraId="4F627AA2">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29.1</w:t>
            </w:r>
          </w:p>
        </w:tc>
        <w:tc>
          <w:tcPr>
            <w:tcW w:w="1663" w:type="dxa"/>
            <w:vAlign w:val="top"/>
          </w:tcPr>
          <w:p w14:paraId="2AEAE37B">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签订合同时间</w:t>
            </w:r>
          </w:p>
        </w:tc>
        <w:tc>
          <w:tcPr>
            <w:tcW w:w="6588" w:type="dxa"/>
          </w:tcPr>
          <w:p w14:paraId="1ADDEE84">
            <w:pPr>
              <w:pStyle w:val="27"/>
              <w:pageBreakBefore w:val="0"/>
              <w:widowControl w:val="0"/>
              <w:wordWrap w:val="0"/>
              <w:overflowPunct/>
              <w:topLinePunct w:val="0"/>
              <w:bidi w:val="0"/>
              <w:spacing w:line="400" w:lineRule="exac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成交通知书发出之日起</w:t>
            </w:r>
            <w:r>
              <w:rPr>
                <w:rFonts w:hint="eastAsia" w:cs="宋体"/>
                <w:color w:val="auto"/>
                <w:sz w:val="21"/>
                <w:szCs w:val="21"/>
                <w:highlight w:val="none"/>
                <w:lang w:eastAsia="zh-CN"/>
              </w:rPr>
              <w:t>八</w:t>
            </w:r>
            <w:r>
              <w:rPr>
                <w:rFonts w:hint="eastAsia" w:ascii="宋体" w:hAnsi="宋体" w:eastAsia="宋体" w:cs="宋体"/>
                <w:color w:val="auto"/>
                <w:sz w:val="21"/>
                <w:szCs w:val="21"/>
                <w:highlight w:val="none"/>
                <w:lang w:eastAsia="zh-CN"/>
              </w:rPr>
              <w:t>个工作日内。成交供应商领取成交通知书后，应按规定与采购人签订合同。</w:t>
            </w:r>
          </w:p>
        </w:tc>
      </w:tr>
      <w:tr w14:paraId="4842A8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577" w:type="dxa"/>
            <w:gridSpan w:val="2"/>
            <w:vAlign w:val="top"/>
          </w:tcPr>
          <w:p w14:paraId="56C35230">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6D7EB2F7">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3CEF3BEE">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w:t>
            </w:r>
          </w:p>
        </w:tc>
        <w:tc>
          <w:tcPr>
            <w:tcW w:w="873" w:type="dxa"/>
            <w:vAlign w:val="top"/>
          </w:tcPr>
          <w:p w14:paraId="22DB0530">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43C7D33D">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2E3D5990">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29.3</w:t>
            </w:r>
          </w:p>
        </w:tc>
        <w:tc>
          <w:tcPr>
            <w:tcW w:w="1663" w:type="dxa"/>
            <w:vAlign w:val="top"/>
          </w:tcPr>
          <w:p w14:paraId="1A428062">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0A0A9FFB">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5075A439">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合同备案存档</w:t>
            </w:r>
          </w:p>
        </w:tc>
        <w:tc>
          <w:tcPr>
            <w:tcW w:w="6588" w:type="dxa"/>
          </w:tcPr>
          <w:p w14:paraId="1E8A908B">
            <w:pPr>
              <w:pStyle w:val="27"/>
              <w:pageBreakBefore w:val="0"/>
              <w:widowControl w:val="0"/>
              <w:wordWrap w:val="0"/>
              <w:overflowPunct/>
              <w:topLinePunct w:val="0"/>
              <w:bidi w:val="0"/>
              <w:spacing w:line="400"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政府采购合同双方自签订之日起一个工作日内将合同原件一份交采购代理机构，采购代理机构将政府采购合同在省级以上人民政府财政部门指定媒体上公告。采购人于合同签订之日起七个工作日内将一份合同原件送本级财政部门备案，一份由采购代理机构存档。</w:t>
            </w:r>
          </w:p>
        </w:tc>
      </w:tr>
      <w:tr w14:paraId="660FBD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4" w:hRule="atLeast"/>
        </w:trPr>
        <w:tc>
          <w:tcPr>
            <w:tcW w:w="577" w:type="dxa"/>
            <w:gridSpan w:val="2"/>
            <w:vAlign w:val="top"/>
          </w:tcPr>
          <w:p w14:paraId="44C64B00">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3FB2FCD3">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18ADE8A6">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w:t>
            </w:r>
          </w:p>
        </w:tc>
        <w:tc>
          <w:tcPr>
            <w:tcW w:w="873" w:type="dxa"/>
            <w:vAlign w:val="top"/>
          </w:tcPr>
          <w:p w14:paraId="18AA165E">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19DE600B">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5FC49EE4">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30.1</w:t>
            </w:r>
          </w:p>
        </w:tc>
        <w:tc>
          <w:tcPr>
            <w:tcW w:w="1663" w:type="dxa"/>
            <w:vAlign w:val="top"/>
          </w:tcPr>
          <w:p w14:paraId="7FD5A4C4">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292DD1A7">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01733DB1">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采购代理服务费</w:t>
            </w:r>
          </w:p>
        </w:tc>
        <w:tc>
          <w:tcPr>
            <w:tcW w:w="6588" w:type="dxa"/>
          </w:tcPr>
          <w:p w14:paraId="311B2455">
            <w:pPr>
              <w:pStyle w:val="27"/>
              <w:pageBreakBefore w:val="0"/>
              <w:widowControl w:val="0"/>
              <w:wordWrap w:val="0"/>
              <w:overflowPunct/>
              <w:topLinePunct w:val="0"/>
              <w:bidi w:val="0"/>
              <w:spacing w:line="400" w:lineRule="exact"/>
              <w:ind w:firstLine="436"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snapToGrid w:val="0"/>
                <w:color w:val="auto"/>
                <w:spacing w:val="4"/>
                <w:kern w:val="0"/>
                <w:sz w:val="21"/>
                <w:szCs w:val="21"/>
                <w:highlight w:val="none"/>
                <w:lang w:val="en-US" w:eastAsia="en-US" w:bidi="ar-SA"/>
              </w:rPr>
              <w:t>成交供应商领取成交通知书前，向大华建设项目管理有限公司一次性付清采购代理服务费。本项目采购代理服务收费标准参照计价格〔2002〕1980号《招标代理服务收费管理暂行办法》</w:t>
            </w:r>
            <w:r>
              <w:rPr>
                <w:rFonts w:hint="eastAsia" w:ascii="宋体" w:hAnsi="宋体" w:eastAsia="宋体" w:cs="宋体"/>
                <w:snapToGrid w:val="0"/>
                <w:color w:val="auto"/>
                <w:spacing w:val="4"/>
                <w:kern w:val="0"/>
                <w:sz w:val="21"/>
                <w:szCs w:val="21"/>
                <w:highlight w:val="none"/>
                <w:lang w:val="en-US" w:eastAsia="zh-CN" w:bidi="ar-SA"/>
              </w:rPr>
              <w:t>货物</w:t>
            </w:r>
            <w:r>
              <w:rPr>
                <w:rFonts w:hint="eastAsia" w:ascii="宋体" w:hAnsi="宋体" w:eastAsia="宋体" w:cs="宋体"/>
                <w:snapToGrid w:val="0"/>
                <w:color w:val="auto"/>
                <w:spacing w:val="4"/>
                <w:kern w:val="0"/>
                <w:sz w:val="21"/>
                <w:szCs w:val="21"/>
                <w:highlight w:val="none"/>
                <w:lang w:val="en-US" w:eastAsia="en-US" w:bidi="ar-SA"/>
              </w:rPr>
              <w:t>类收费标准向成交供应商收取。</w:t>
            </w:r>
          </w:p>
        </w:tc>
      </w:tr>
      <w:tr w14:paraId="694EE2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577" w:type="dxa"/>
            <w:gridSpan w:val="2"/>
            <w:vAlign w:val="top"/>
          </w:tcPr>
          <w:p w14:paraId="0BA4CFF4">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lang w:eastAsia="zh-CN"/>
              </w:rPr>
            </w:pPr>
          </w:p>
          <w:p w14:paraId="07827771">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w:t>
            </w:r>
          </w:p>
        </w:tc>
        <w:tc>
          <w:tcPr>
            <w:tcW w:w="873" w:type="dxa"/>
            <w:vAlign w:val="top"/>
          </w:tcPr>
          <w:p w14:paraId="39512AF3">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72B39EAF">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w:t>
            </w:r>
          </w:p>
        </w:tc>
        <w:tc>
          <w:tcPr>
            <w:tcW w:w="1663" w:type="dxa"/>
            <w:vAlign w:val="top"/>
          </w:tcPr>
          <w:p w14:paraId="039C3265">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highlight w:val="none"/>
              </w:rPr>
            </w:pPr>
          </w:p>
          <w:p w14:paraId="6C00F8FB">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解释权</w:t>
            </w:r>
          </w:p>
        </w:tc>
        <w:tc>
          <w:tcPr>
            <w:tcW w:w="6588" w:type="dxa"/>
          </w:tcPr>
          <w:p w14:paraId="50ED204F">
            <w:pPr>
              <w:pStyle w:val="27"/>
              <w:pageBreakBefore w:val="0"/>
              <w:widowControl w:val="0"/>
              <w:wordWrap w:val="0"/>
              <w:overflowPunct/>
              <w:topLinePunct w:val="0"/>
              <w:bidi w:val="0"/>
              <w:spacing w:line="400"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本竞争性谈判文件是根据《中华人民共和国政府采购法》、《中华人民共和国政府采购法实施条例》、《政府采购非招标采购方式管理办法》和政府采购管理有关规定编制，本竞争性谈判文件的解释权属于采购代理机构。</w:t>
            </w:r>
          </w:p>
        </w:tc>
      </w:tr>
      <w:tr w14:paraId="717DFF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577" w:type="dxa"/>
            <w:gridSpan w:val="2"/>
            <w:vAlign w:val="top"/>
          </w:tcPr>
          <w:p w14:paraId="5C4D0BC2">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873" w:type="dxa"/>
            <w:vAlign w:val="top"/>
          </w:tcPr>
          <w:p w14:paraId="38B60DBC">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w:t>
            </w:r>
          </w:p>
        </w:tc>
        <w:tc>
          <w:tcPr>
            <w:tcW w:w="1663" w:type="dxa"/>
            <w:vAlign w:val="top"/>
          </w:tcPr>
          <w:p w14:paraId="20B954FC">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监督管理机构</w:t>
            </w:r>
          </w:p>
        </w:tc>
        <w:tc>
          <w:tcPr>
            <w:tcW w:w="6588" w:type="dxa"/>
          </w:tcPr>
          <w:p w14:paraId="665D0B32">
            <w:pPr>
              <w:pStyle w:val="27"/>
              <w:pageBreakBefore w:val="0"/>
              <w:widowControl w:val="0"/>
              <w:wordWrap w:val="0"/>
              <w:overflowPunct/>
              <w:topLinePunct w:val="0"/>
              <w:bidi w:val="0"/>
              <w:spacing w:line="400" w:lineRule="exact"/>
              <w:ind w:firstLine="218" w:firstLineChars="100"/>
              <w:jc w:val="left"/>
              <w:rPr>
                <w:rFonts w:hint="eastAsia" w:ascii="宋体" w:hAnsi="宋体" w:eastAsia="宋体" w:cs="宋体"/>
                <w:color w:val="auto"/>
                <w:sz w:val="21"/>
                <w:szCs w:val="21"/>
                <w:highlight w:val="none"/>
                <w:lang w:eastAsia="zh-CN"/>
              </w:rPr>
            </w:pPr>
            <w:r>
              <w:rPr>
                <w:rFonts w:hint="eastAsia" w:ascii="宋体" w:hAnsi="宋体" w:eastAsia="宋体" w:cs="宋体"/>
                <w:snapToGrid w:val="0"/>
                <w:color w:val="auto"/>
                <w:spacing w:val="4"/>
                <w:kern w:val="0"/>
                <w:sz w:val="21"/>
                <w:szCs w:val="21"/>
                <w:highlight w:val="none"/>
                <w:lang w:val="en-US" w:eastAsia="en-US" w:bidi="ar-SA"/>
              </w:rPr>
              <w:t>广西壮族自治区财政厅政府采购监督管理处</w:t>
            </w:r>
            <w:r>
              <w:rPr>
                <w:rFonts w:hint="eastAsia" w:ascii="宋体" w:hAnsi="宋体" w:eastAsia="宋体" w:cs="宋体"/>
                <w:snapToGrid w:val="0"/>
                <w:color w:val="auto"/>
                <w:spacing w:val="4"/>
                <w:kern w:val="0"/>
                <w:sz w:val="21"/>
                <w:szCs w:val="21"/>
                <w:highlight w:val="none"/>
                <w:lang w:val="en-US" w:eastAsia="zh-CN" w:bidi="ar-SA"/>
              </w:rPr>
              <w:t xml:space="preserve"> </w:t>
            </w:r>
            <w:r>
              <w:rPr>
                <w:rFonts w:hint="eastAsia" w:ascii="宋体" w:hAnsi="宋体" w:eastAsia="宋体" w:cs="宋体"/>
                <w:snapToGrid w:val="0"/>
                <w:color w:val="auto"/>
                <w:spacing w:val="4"/>
                <w:kern w:val="0"/>
                <w:sz w:val="21"/>
                <w:szCs w:val="21"/>
                <w:highlight w:val="none"/>
                <w:lang w:val="en-US" w:eastAsia="en-US" w:bidi="ar-SA"/>
              </w:rPr>
              <w:t>电话：0771-5331544</w:t>
            </w:r>
          </w:p>
        </w:tc>
      </w:tr>
    </w:tbl>
    <w:p w14:paraId="0A4D088A">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42B09561">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sectPr>
          <w:footerReference r:id="rId5" w:type="default"/>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p w14:paraId="46A3941D">
      <w:pPr>
        <w:pageBreakBefore w:val="0"/>
        <w:widowControl w:val="0"/>
        <w:overflowPunct/>
        <w:topLinePunct w:val="0"/>
        <w:bidi w:val="0"/>
        <w:spacing w:line="400" w:lineRule="exact"/>
        <w:jc w:val="center"/>
        <w:rPr>
          <w:rFonts w:hint="eastAsia" w:ascii="宋体" w:hAnsi="宋体" w:eastAsia="宋体" w:cs="宋体"/>
          <w:color w:val="auto"/>
          <w:sz w:val="28"/>
          <w:szCs w:val="28"/>
          <w:highlight w:val="none"/>
          <w:lang w:eastAsia="zh-CN"/>
        </w:rPr>
      </w:pPr>
      <w:r>
        <w:rPr>
          <w:rFonts w:hint="eastAsia" w:ascii="宋体" w:hAnsi="宋体" w:eastAsia="宋体" w:cs="宋体"/>
          <w:b/>
          <w:bCs/>
          <w:color w:val="auto"/>
          <w:sz w:val="28"/>
          <w:szCs w:val="28"/>
          <w:highlight w:val="none"/>
          <w:lang w:eastAsia="zh-CN"/>
        </w:rPr>
        <w:t>一、总则</w:t>
      </w:r>
    </w:p>
    <w:p w14:paraId="5478620E">
      <w:pPr>
        <w:pageBreakBefore w:val="0"/>
        <w:widowControl w:val="0"/>
        <w:overflowPunct/>
        <w:topLinePunct w:val="0"/>
        <w:bidi w:val="0"/>
        <w:spacing w:line="400" w:lineRule="exact"/>
        <w:ind w:firstLine="422" w:firstLineChars="200"/>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1.适应范围</w:t>
      </w:r>
    </w:p>
    <w:p w14:paraId="6693E670">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1.1 项目名称及项目编号：</w:t>
      </w:r>
    </w:p>
    <w:p w14:paraId="03782D56">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项目名称：2026年桂林市区控水质自动站智慧化改造项目</w:t>
      </w:r>
    </w:p>
    <w:p w14:paraId="31DE419F">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 xml:space="preserve">项目编号：GXZC2026-J1-003281-DHGS </w:t>
      </w:r>
    </w:p>
    <w:p w14:paraId="5A9FE364">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1.2 本竞争性谈判文件（以下简称谈判文件）适用于本谈判项目的谈判、评审、合同履约、验收、付款等行为（法律、法规另有规定的，从其规定）。</w:t>
      </w:r>
    </w:p>
    <w:p w14:paraId="1C51F404">
      <w:pPr>
        <w:pageBreakBefore w:val="0"/>
        <w:widowControl w:val="0"/>
        <w:overflowPunct/>
        <w:topLinePunct w:val="0"/>
        <w:bidi w:val="0"/>
        <w:spacing w:line="400" w:lineRule="exact"/>
        <w:ind w:firstLine="422" w:firstLineChars="200"/>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2.定义</w:t>
      </w:r>
    </w:p>
    <w:p w14:paraId="384B2030">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2.1“供应商”是指符合本次采购项目的供应商资格并提交响应文件、参加谈判的供应商。如果该供应商在本次谈判中成交，即成为“成交供应商”。</w:t>
      </w:r>
    </w:p>
    <w:p w14:paraId="5A0F06B9">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2.2“货物”系指按谈判文件规定，供应商须向采购人提供的一切设备、保险、税金、备品备件、工具、手册及其它有关技术资料和材料。</w:t>
      </w:r>
    </w:p>
    <w:p w14:paraId="6A83B1C6">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2.3“服务”系指按谈判文件规定，供应商须承担的安装、调试、技术协助、校准、培训、技术指导以及其他类似的义务。</w:t>
      </w:r>
    </w:p>
    <w:p w14:paraId="7145A2BE">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2.4“项目”系指供应商按谈判文件规定向采购人提供的货物和服务。</w:t>
      </w:r>
    </w:p>
    <w:p w14:paraId="331082AE">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2.5“书面形式”包括信函、传真、电报等。</w:t>
      </w:r>
    </w:p>
    <w:p w14:paraId="567E7357">
      <w:pPr>
        <w:pageBreakBefore w:val="0"/>
        <w:widowControl w:val="0"/>
        <w:overflowPunct/>
        <w:topLinePunct w:val="0"/>
        <w:bidi w:val="0"/>
        <w:spacing w:line="400" w:lineRule="exact"/>
        <w:ind w:firstLine="422" w:firstLineChars="200"/>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2.</w:t>
      </w:r>
      <w:r>
        <w:rPr>
          <w:rFonts w:hint="eastAsia" w:ascii="宋体" w:hAnsi="宋体" w:eastAsia="宋体" w:cs="宋体"/>
          <w:b/>
          <w:bCs/>
          <w:color w:val="auto"/>
          <w:highlight w:val="none"/>
          <w:lang w:val="en-US" w:eastAsia="zh-CN"/>
        </w:rPr>
        <w:t>6</w:t>
      </w:r>
      <w:r>
        <w:rPr>
          <w:rFonts w:hint="eastAsia" w:ascii="宋体" w:hAnsi="宋体" w:eastAsia="宋体" w:cs="宋体"/>
          <w:b/>
          <w:bCs/>
          <w:color w:val="auto"/>
          <w:highlight w:val="none"/>
          <w:lang w:eastAsia="zh-CN"/>
        </w:rPr>
        <w:t>“响应文件</w:t>
      </w:r>
      <w:r>
        <w:rPr>
          <w:rFonts w:hint="eastAsia" w:ascii="宋体" w:hAnsi="宋体" w:eastAsia="宋体" w:cs="宋体"/>
          <w:color w:val="auto"/>
          <w:highlight w:val="none"/>
          <w:lang w:eastAsia="zh-CN"/>
        </w:rPr>
        <w:t xml:space="preserve"> </w:t>
      </w:r>
      <w:r>
        <w:rPr>
          <w:rFonts w:hint="eastAsia" w:ascii="宋体" w:hAnsi="宋体" w:eastAsia="宋体" w:cs="宋体"/>
          <w:b/>
          <w:bCs/>
          <w:color w:val="auto"/>
          <w:highlight w:val="none"/>
          <w:lang w:eastAsia="zh-CN"/>
        </w:rPr>
        <w:t>”：本项目实行全流程电子化采购，供应商通过广西政府采购云平台参与电子竞标。响应文件特指供应商按本谈判文件规定提交的电子响应文件（包括因特殊情况无法解密或解密失败提交的电子备份响应文件）。</w:t>
      </w:r>
    </w:p>
    <w:p w14:paraId="343B4DE2">
      <w:pPr>
        <w:pageBreakBefore w:val="0"/>
        <w:widowControl w:val="0"/>
        <w:overflowPunct/>
        <w:topLinePunct w:val="0"/>
        <w:bidi w:val="0"/>
        <w:spacing w:line="400" w:lineRule="exact"/>
        <w:ind w:firstLine="422" w:firstLineChars="200"/>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2.</w:t>
      </w:r>
      <w:r>
        <w:rPr>
          <w:rFonts w:hint="eastAsia" w:ascii="宋体" w:hAnsi="宋体" w:eastAsia="宋体" w:cs="宋体"/>
          <w:b/>
          <w:bCs/>
          <w:color w:val="auto"/>
          <w:highlight w:val="none"/>
          <w:lang w:val="en-US" w:eastAsia="zh-CN"/>
        </w:rPr>
        <w:t>7</w:t>
      </w:r>
      <w:r>
        <w:rPr>
          <w:rFonts w:hint="eastAsia" w:ascii="宋体" w:hAnsi="宋体" w:eastAsia="宋体" w:cs="宋体"/>
          <w:color w:val="auto"/>
          <w:highlight w:val="none"/>
          <w:lang w:eastAsia="zh-CN"/>
        </w:rPr>
        <w:t xml:space="preserve"> </w:t>
      </w:r>
      <w:r>
        <w:rPr>
          <w:rFonts w:hint="eastAsia" w:ascii="宋体" w:hAnsi="宋体" w:eastAsia="宋体" w:cs="宋体"/>
          <w:b/>
          <w:bCs/>
          <w:color w:val="auto"/>
          <w:highlight w:val="none"/>
          <w:lang w:eastAsia="zh-CN"/>
        </w:rPr>
        <w:t>实质性要求：</w:t>
      </w:r>
      <w:r>
        <w:rPr>
          <w:rFonts w:hint="eastAsia" w:ascii="宋体" w:hAnsi="宋体" w:eastAsia="宋体" w:cs="宋体"/>
          <w:b/>
          <w:color w:val="auto"/>
          <w:kern w:val="0"/>
          <w:sz w:val="21"/>
          <w:szCs w:val="21"/>
          <w:highlight w:val="none"/>
        </w:rPr>
        <w:t>“实质性要求”是指采购文件中已经指明不满足则响应无效的条款，或者不能负偏离的条款，或者采购需求中带“</w:t>
      </w:r>
      <w:r>
        <w:rPr>
          <w:rFonts w:hint="eastAsia" w:ascii="宋体" w:hAnsi="宋体" w:eastAsia="宋体" w:cs="宋体"/>
          <w:b/>
          <w:color w:val="auto"/>
          <w:kern w:val="0"/>
          <w:sz w:val="24"/>
          <w:szCs w:val="24"/>
          <w:highlight w:val="none"/>
        </w:rPr>
        <w:t>▲</w:t>
      </w:r>
      <w:r>
        <w:rPr>
          <w:rFonts w:hint="eastAsia" w:ascii="宋体" w:hAnsi="宋体" w:eastAsia="宋体" w:cs="宋体"/>
          <w:b/>
          <w:color w:val="auto"/>
          <w:kern w:val="0"/>
          <w:sz w:val="21"/>
          <w:szCs w:val="21"/>
          <w:highlight w:val="none"/>
        </w:rPr>
        <w:t>”的条款。</w:t>
      </w:r>
    </w:p>
    <w:p w14:paraId="2D696E35">
      <w:pPr>
        <w:pageBreakBefore w:val="0"/>
        <w:widowControl w:val="0"/>
        <w:overflowPunct/>
        <w:topLinePunct w:val="0"/>
        <w:bidi w:val="0"/>
        <w:spacing w:line="400" w:lineRule="exact"/>
        <w:ind w:firstLine="422" w:firstLineChars="200"/>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3.供应商资格</w:t>
      </w:r>
    </w:p>
    <w:p w14:paraId="42D03FE9">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3.1 满足《中华人民共和国政府采购法》第二十二条规定。</w:t>
      </w:r>
    </w:p>
    <w:p w14:paraId="3D414A85">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3.2 落实政府采购政策需满足的资格要求：本项目非专门面向中小微企业采购。</w:t>
      </w:r>
    </w:p>
    <w:p w14:paraId="479D09CC">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3.3 本项目的特定资格要求：无。</w:t>
      </w:r>
    </w:p>
    <w:p w14:paraId="4C545BE4">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3.4 资格条件特别说明：</w:t>
      </w:r>
    </w:p>
    <w:p w14:paraId="73860F5D">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14:paraId="3F61CFB1">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（2）对在“信用中国”网站(</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"https://www.creditchina.gov.cn"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www.creditchina.gov.cn</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t>)、中国政府采购网(</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"https://www.ccgp.gov.cn"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www.ccgp.gov.cn</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t>)被列入失信被执行人、重大税收违法案件当事人名单、政府采购严重违法失信行为记录名单及其他不符合《中华人民共和国政府采购法》第二十二条规定条件的供应商，不得参与政府采购活动。</w:t>
      </w:r>
    </w:p>
    <w:p w14:paraId="6C9226D6">
      <w:pPr>
        <w:pageBreakBefore w:val="0"/>
        <w:widowControl w:val="0"/>
        <w:overflowPunct/>
        <w:topLinePunct w:val="0"/>
        <w:bidi w:val="0"/>
        <w:spacing w:line="400" w:lineRule="exact"/>
        <w:ind w:firstLine="422" w:firstLineChars="200"/>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4.参与电子竞标的准备工作</w:t>
      </w:r>
    </w:p>
    <w:p w14:paraId="21412C6B">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4.1 本项目实行全流程电子化采购，供应商通过广西政府采购云平台参与电子竞标，并应做好以下相关准备工作：①在广西政府采购云平台注册成为正式供应商（操作方法详见广西壮族自治区政府采购网—办事服务—办事指南）；②完成CA证书申领和绑定（费用由供应商自行承担，办理流程详见广西壮族自治区政府采购网—办事服务—下载专区，完成CA证书办理预计一周左右，建议供应商尽快办理）；③下载“广西壮族自治区全流程电子招投标项目管理系统--供应商客户端”（操作方法详见广西壮族自治区政府采购网—办事服务—下载专区，以下称“广西政府采购云平台电子投标客户端”）并安装成功，供应商应当在响应文件提交截止时间前在广西政府采购云平台完成的身份认证，确保能够对相关数据电文进行加密和使用电子签章；④自备计算机和网络设备并确保能接入互联网（费用由供应商自行承担，设备确保可进行视频通话和读取广西政府采购云平台CA证书）。因供应商未做好相关准备工作等自身原因导致无法参加本项目电子竞标或竞标失败的，造成的一切后果，由供应商自行承担。</w:t>
      </w:r>
    </w:p>
    <w:p w14:paraId="0E619A49">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4.2 电子竞标具体操作流程参考《政府采购项目电子交易管理操作指南-供应商》（详见桂林市政府采购网—采购资讯—重要通知）；如遇平台技术问题详询95763或者0771-3381253。</w:t>
      </w:r>
    </w:p>
    <w:p w14:paraId="3F6BFD9C">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4.3 不论谈判结果如何，供应商均应自行承担所有与谈判有关的全部费用。</w:t>
      </w:r>
    </w:p>
    <w:p w14:paraId="0705626B">
      <w:pPr>
        <w:pageBreakBefore w:val="0"/>
        <w:widowControl w:val="0"/>
        <w:overflowPunct/>
        <w:topLinePunct w:val="0"/>
        <w:bidi w:val="0"/>
        <w:spacing w:line="400" w:lineRule="exact"/>
        <w:ind w:firstLine="422" w:firstLineChars="200"/>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5.联合体要求：</w:t>
      </w:r>
    </w:p>
    <w:p w14:paraId="593471D8">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本项目不接受联合体参与谈判。</w:t>
      </w:r>
    </w:p>
    <w:p w14:paraId="01C3187D">
      <w:pPr>
        <w:pageBreakBefore w:val="0"/>
        <w:widowControl w:val="0"/>
        <w:overflowPunct/>
        <w:topLinePunct w:val="0"/>
        <w:bidi w:val="0"/>
        <w:spacing w:line="400" w:lineRule="exact"/>
        <w:ind w:firstLine="422" w:firstLineChars="200"/>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6.质疑和投诉</w:t>
      </w:r>
    </w:p>
    <w:p w14:paraId="5623278E">
      <w:pPr>
        <w:pageBreakBefore w:val="0"/>
        <w:widowControl w:val="0"/>
        <w:overflowPunct/>
        <w:topLinePunct w:val="0"/>
        <w:bidi w:val="0"/>
        <w:spacing w:line="400" w:lineRule="exact"/>
        <w:ind w:firstLine="420" w:firstLineChars="20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6.1 供应商认为谈判文件使自己的合法权益受到损害的，应当于本项目公告期限届满之日起七个工作日内，以书面形式向采购代理机构提出质疑；供应商认为采购过程或成交结果使自己的合法权益受到损害的，应当在各采购程序环节结束之日或成交公告期限届满之日起七个工作日内，以书面形式向采购代理机构提出质疑</w:t>
      </w:r>
      <w:r>
        <w:rPr>
          <w:rFonts w:hint="eastAsia" w:ascii="宋体" w:hAnsi="宋体" w:eastAsia="宋体" w:cs="宋体"/>
          <w:b/>
          <w:bCs/>
          <w:color w:val="auto"/>
          <w:highlight w:val="none"/>
          <w:lang w:eastAsia="zh-CN"/>
        </w:rPr>
        <w:t>（“质疑函”格式见附表1）</w:t>
      </w:r>
      <w:r>
        <w:rPr>
          <w:rFonts w:hint="eastAsia" w:ascii="宋体" w:hAnsi="宋体" w:eastAsia="宋体" w:cs="宋体"/>
          <w:color w:val="auto"/>
          <w:highlight w:val="none"/>
          <w:lang w:eastAsia="zh-CN"/>
        </w:rPr>
        <w:t>。否则，采购代理机构有权拒收。</w:t>
      </w:r>
    </w:p>
    <w:p w14:paraId="2059574D">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采购代理机构应认真做好质疑处理工作，对于质疑供应商在法定质疑期内提出的质疑函，应当在收到质疑函后7个工作日内作出答复，并以书面形式通知质疑供应商和其他有关供应商。</w:t>
      </w:r>
    </w:p>
    <w:p w14:paraId="60B6BA47">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供应商在法定质疑期内应一次性提出与项目相关的质疑，供应商在提出与项目相关的质疑前应当做好全面且详细的工作，代理机构不再受理供应商针对同一采购程序环节的再次质疑。</w:t>
      </w:r>
    </w:p>
    <w:p w14:paraId="474494D3">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6.2 供应商对采购代理机构的质疑答复不满意或者采购代理机构未在规定的时间内作出答复的，可以在答复期满后十五个工作日内向广西壮族自治区财政厅政府采购监督管理处投诉</w:t>
      </w:r>
      <w:r>
        <w:rPr>
          <w:rFonts w:hint="eastAsia" w:ascii="宋体" w:hAnsi="宋体" w:eastAsia="宋体" w:cs="宋体"/>
          <w:b/>
          <w:bCs/>
          <w:color w:val="auto"/>
          <w:highlight w:val="none"/>
          <w:lang w:eastAsia="zh-CN"/>
        </w:rPr>
        <w:t>（“投诉书”格式见附表2）</w:t>
      </w:r>
      <w:r>
        <w:rPr>
          <w:rFonts w:hint="eastAsia" w:ascii="宋体" w:hAnsi="宋体" w:eastAsia="宋体" w:cs="宋体"/>
          <w:color w:val="auto"/>
          <w:highlight w:val="none"/>
          <w:lang w:eastAsia="zh-CN"/>
        </w:rPr>
        <w:t>。</w:t>
      </w:r>
    </w:p>
    <w:p w14:paraId="7F5E0C6F">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6.3 质疑、投诉应当采用书面形式，质疑书、投诉书实行实名制，均应明确阐述谈判文件、谈判过程或成交结果中使自己合法权益受到损害的实质性内容，并提供必要的证明材料。</w:t>
      </w:r>
    </w:p>
    <w:p w14:paraId="604B1CDF">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供应商提出质疑应当提交质疑函和必要的证明材料，针对同一采购程序环节的质疑必须在法定质疑期内一次性提出。质疑函应当包括下列内容：</w:t>
      </w:r>
    </w:p>
    <w:p w14:paraId="0B4085EF">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（1）供应商的姓名或者名称、地址、邮编、联系人及联系电话；</w:t>
      </w:r>
    </w:p>
    <w:p w14:paraId="1ECA5347">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（2）质疑项目的名称、编号；</w:t>
      </w:r>
    </w:p>
    <w:p w14:paraId="04FA1C02">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（3）具体、明确的质疑事项和与质疑事项相关的请求；</w:t>
      </w:r>
    </w:p>
    <w:p w14:paraId="091DA895">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（4）事实依据；</w:t>
      </w:r>
    </w:p>
    <w:p w14:paraId="3944DF4F">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（5）必要的法律依据；</w:t>
      </w:r>
    </w:p>
    <w:p w14:paraId="228B1B49">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（6）提出质疑的日期。</w:t>
      </w:r>
    </w:p>
    <w:p w14:paraId="6B698DCF">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供应商为自然人的，应当由本人签字；供应商为法人或者其他组织的，应当由法定代表人、主要负责人，或者其授权代表签字或者盖章，并加盖公章。</w:t>
      </w:r>
    </w:p>
    <w:p w14:paraId="14207383">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接收质疑函方式：以书面形式</w:t>
      </w:r>
    </w:p>
    <w:p w14:paraId="70B6D5C4">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质疑联系部门及联系方式：大华建设项目管理有限公司，联系电话：0773-2888667。通讯地址：桂林市秀峰区睦邻小苑5栋3单元。</w:t>
      </w:r>
    </w:p>
    <w:p w14:paraId="7EE5755D">
      <w:pPr>
        <w:pageBreakBefore w:val="0"/>
        <w:widowControl w:val="0"/>
        <w:overflowPunct/>
        <w:topLinePunct w:val="0"/>
        <w:bidi w:val="0"/>
        <w:spacing w:line="400" w:lineRule="exact"/>
        <w:ind w:firstLine="422" w:firstLineChars="200"/>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7.转包与分包</w:t>
      </w:r>
    </w:p>
    <w:p w14:paraId="14DB797B">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7.1 本项目不允许转包。</w:t>
      </w:r>
    </w:p>
    <w:p w14:paraId="0DA92ECE">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7.2 本项目不可以分包。</w:t>
      </w:r>
    </w:p>
    <w:p w14:paraId="2D11B722">
      <w:pPr>
        <w:pageBreakBefore w:val="0"/>
        <w:widowControl w:val="0"/>
        <w:overflowPunct/>
        <w:topLinePunct w:val="0"/>
        <w:bidi w:val="0"/>
        <w:spacing w:line="400" w:lineRule="exact"/>
        <w:ind w:firstLine="422" w:firstLineChars="200"/>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8.</w:t>
      </w:r>
      <w:r>
        <w:rPr>
          <w:rFonts w:hint="eastAsia" w:ascii="宋体" w:hAnsi="宋体" w:eastAsia="宋体" w:cs="宋体"/>
          <w:color w:val="auto"/>
          <w:highlight w:val="none"/>
          <w:lang w:eastAsia="zh-CN"/>
        </w:rPr>
        <w:t xml:space="preserve"> </w:t>
      </w:r>
      <w:r>
        <w:rPr>
          <w:rFonts w:hint="eastAsia" w:ascii="宋体" w:hAnsi="宋体" w:eastAsia="宋体" w:cs="宋体"/>
          <w:b/>
          <w:bCs/>
          <w:color w:val="auto"/>
          <w:highlight w:val="none"/>
          <w:lang w:eastAsia="zh-CN"/>
        </w:rPr>
        <w:t>特别说明</w:t>
      </w:r>
    </w:p>
    <w:p w14:paraId="63CAA656">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8.1 提供相同品牌产品的不同供应商参加同一合同项下谈判的，以其中通过资格审查、符合性审查且最后报价最低的参加评审，最后报价相同的，由采购人自主选择确定一个参加评审的供应商；非单一产品采购项目中，多家供应商提供的核心产品品牌相同的，视为提供相同品牌产品。</w:t>
      </w:r>
    </w:p>
    <w:p w14:paraId="0F0C6139">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8.2 关联供应商不得参加同一合同项下政府采购活动，否则响应文件将被视为无效：</w:t>
      </w:r>
    </w:p>
    <w:p w14:paraId="35A70598">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（1）单位负责人为同一人或者存在直接控股、管理关系的不同供应商，不得参加同一合同项下的政府采购活动。</w:t>
      </w:r>
    </w:p>
    <w:p w14:paraId="1E29201D">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（2）为本采购项目提供整体设计、规范编制或者项目管理、监理、检测等服务的供应商，不得再参加本次采购活动。</w:t>
      </w:r>
    </w:p>
    <w:p w14:paraId="45C2193E">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（3）生产厂商授权给供应商后自己不得参加同一合同项下的政府采购活动；生产厂商对同一品牌同一型号的货物，仅能委托一个代理商参加谈判。</w:t>
      </w:r>
    </w:p>
    <w:p w14:paraId="7BB56CB0">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8.3 供应商必须仔细阅读招标文件的所有内容，按照谈判文件的要求提交响应文件，并对所提供的全部资料的真实性承担法律责任。</w:t>
      </w:r>
    </w:p>
    <w:p w14:paraId="7AE47B85">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9.4 供应商在采购活动中提供任何虚假材料，其响应无效，并报监管部门查处；成交后发现的，成交供应商须依照《中华人民共和国消费者权益保护法》规定赔偿采购人，且民事赔偿并不免除违法供应商的行政与刑事责任。</w:t>
      </w:r>
    </w:p>
    <w:p w14:paraId="08349BA9">
      <w:pPr>
        <w:rPr>
          <w:rFonts w:hint="eastAsia" w:ascii="宋体" w:hAnsi="宋体" w:eastAsia="宋体" w:cs="宋体"/>
          <w:color w:val="auto"/>
          <w:highlight w:val="none"/>
          <w:lang w:eastAsia="zh-CN"/>
        </w:rPr>
      </w:pPr>
    </w:p>
    <w:p w14:paraId="65616787">
      <w:pPr>
        <w:rPr>
          <w:rFonts w:hint="eastAsia" w:ascii="宋体" w:hAnsi="宋体" w:eastAsia="宋体" w:cs="宋体"/>
          <w:color w:val="auto"/>
          <w:highlight w:val="none"/>
          <w:lang w:eastAsia="zh-CN"/>
        </w:rPr>
      </w:pPr>
    </w:p>
    <w:p w14:paraId="3B959D04">
      <w:pPr>
        <w:pageBreakBefore w:val="0"/>
        <w:widowControl w:val="0"/>
        <w:overflowPunct/>
        <w:topLinePunct w:val="0"/>
        <w:bidi w:val="0"/>
        <w:spacing w:line="400" w:lineRule="exact"/>
        <w:jc w:val="center"/>
        <w:rPr>
          <w:rFonts w:hint="eastAsia" w:ascii="宋体" w:hAnsi="宋体" w:eastAsia="宋体" w:cs="宋体"/>
          <w:color w:val="auto"/>
          <w:sz w:val="28"/>
          <w:szCs w:val="28"/>
          <w:highlight w:val="none"/>
          <w:lang w:eastAsia="zh-CN"/>
        </w:rPr>
      </w:pPr>
      <w:r>
        <w:rPr>
          <w:rFonts w:hint="eastAsia" w:ascii="宋体" w:hAnsi="宋体" w:eastAsia="宋体" w:cs="宋体"/>
          <w:b/>
          <w:bCs/>
          <w:color w:val="auto"/>
          <w:sz w:val="28"/>
          <w:szCs w:val="28"/>
          <w:highlight w:val="none"/>
          <w:lang w:eastAsia="zh-CN"/>
        </w:rPr>
        <w:t>二、谈判文件</w:t>
      </w:r>
    </w:p>
    <w:p w14:paraId="683DEFE1">
      <w:pPr>
        <w:pageBreakBefore w:val="0"/>
        <w:widowControl w:val="0"/>
        <w:overflowPunct/>
        <w:topLinePunct w:val="0"/>
        <w:bidi w:val="0"/>
        <w:spacing w:line="400" w:lineRule="exact"/>
        <w:ind w:firstLine="422" w:firstLineChars="200"/>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9.谈判文件的构成</w:t>
      </w:r>
    </w:p>
    <w:p w14:paraId="257D7962">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（1）竞争性谈判公告；</w:t>
      </w:r>
    </w:p>
    <w:p w14:paraId="73597E31">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（2）供应商须知；</w:t>
      </w:r>
    </w:p>
    <w:p w14:paraId="6AD7A30C">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（3）采购需求；</w:t>
      </w:r>
    </w:p>
    <w:p w14:paraId="7EA47000">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（4）评审办法；</w:t>
      </w:r>
    </w:p>
    <w:p w14:paraId="70F1234C">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（5）政府采购合同（合同主要条款及格式）；</w:t>
      </w:r>
    </w:p>
    <w:p w14:paraId="181C8FBC">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（6）响应文件（格式）。</w:t>
      </w:r>
    </w:p>
    <w:p w14:paraId="3A42F38E">
      <w:pPr>
        <w:pageBreakBefore w:val="0"/>
        <w:widowControl w:val="0"/>
        <w:overflowPunct/>
        <w:topLinePunct w:val="0"/>
        <w:bidi w:val="0"/>
        <w:spacing w:line="400" w:lineRule="exact"/>
        <w:ind w:firstLine="422" w:firstLineChars="200"/>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10.谈判文件的澄清与修改</w:t>
      </w:r>
    </w:p>
    <w:p w14:paraId="03733115">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10.1 提交首次响应文件截止之日前，采购代理机构可以对已发出的谈判文件进行必要澄清或者修改，澄清或者修改的内容可能影响响应文件编制的，采购代理机构应当在提交首次响应文件提交截止时间三个工作日前在本项目竞争性谈判公告发布的同一媒体上发布更正公告，不足三个工作日的，应当顺延首次响应文件提交截止时间。</w:t>
      </w:r>
    </w:p>
    <w:p w14:paraId="748FB569">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10.2 供应商应实时关注本项目信息公告发布媒体相关网站了解澄清、修改等与项目有关的内容，如因供应商未及时登录本项目信息公告发布媒体相关网站了解澄清、修改等与项目有关的内容，从而导致响应文件无效的，由供应商自行承担责任。</w:t>
      </w:r>
    </w:p>
    <w:p w14:paraId="399F38F9">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10.3 澄清或者修改的内容为谈判文件的组成部分。当澄清或者修改通知就同一内容的表述不一致时，以最后发出的书面文件为准。</w:t>
      </w:r>
    </w:p>
    <w:p w14:paraId="3845F5D0">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10.4 谈判文件的澄清或者修改都应该通过本项目采购代理机构以法定形式发布，采购人非通过本机构，不得擅自澄清、答复、修改或补充谈判文件。</w:t>
      </w:r>
    </w:p>
    <w:p w14:paraId="064414F3">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10.5 采购代理机构可以视采购具体情况，延长响应文件提交截止时间和谈判时间，并在本项目竞争性谈判公告发布的同一媒体上发布变更公告。</w:t>
      </w:r>
    </w:p>
    <w:p w14:paraId="6AFD8AB1">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597C8EEF">
      <w:pPr>
        <w:pageBreakBefore w:val="0"/>
        <w:widowControl w:val="0"/>
        <w:overflowPunct/>
        <w:topLinePunct w:val="0"/>
        <w:bidi w:val="0"/>
        <w:spacing w:line="400" w:lineRule="exact"/>
        <w:jc w:val="center"/>
        <w:rPr>
          <w:rFonts w:hint="eastAsia" w:ascii="宋体" w:hAnsi="宋体" w:eastAsia="宋体" w:cs="宋体"/>
          <w:color w:val="auto"/>
          <w:sz w:val="28"/>
          <w:szCs w:val="28"/>
          <w:highlight w:val="none"/>
          <w:lang w:eastAsia="zh-CN"/>
        </w:rPr>
      </w:pPr>
      <w:r>
        <w:rPr>
          <w:rFonts w:hint="eastAsia" w:ascii="宋体" w:hAnsi="宋体" w:eastAsia="宋体" w:cs="宋体"/>
          <w:b/>
          <w:bCs/>
          <w:color w:val="auto"/>
          <w:sz w:val="28"/>
          <w:szCs w:val="28"/>
          <w:highlight w:val="none"/>
          <w:lang w:eastAsia="zh-CN"/>
        </w:rPr>
        <w:t>三、响应文件的编制</w:t>
      </w:r>
    </w:p>
    <w:p w14:paraId="6DA7AAF2">
      <w:pPr>
        <w:pageBreakBefore w:val="0"/>
        <w:widowControl w:val="0"/>
        <w:overflowPunct/>
        <w:topLinePunct w:val="0"/>
        <w:bidi w:val="0"/>
        <w:spacing w:line="400" w:lineRule="exact"/>
        <w:ind w:firstLine="422" w:firstLineChars="200"/>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11.响应文件（以下简称响应文件）的组成及要求</w:t>
      </w:r>
    </w:p>
    <w:p w14:paraId="2923A47D">
      <w:pPr>
        <w:pageBreakBefore w:val="0"/>
        <w:widowControl w:val="0"/>
        <w:overflowPunct/>
        <w:topLinePunct w:val="0"/>
        <w:bidi w:val="0"/>
        <w:spacing w:line="400" w:lineRule="exact"/>
        <w:ind w:firstLine="422" w:firstLineChars="200"/>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11.1</w:t>
      </w:r>
      <w:r>
        <w:rPr>
          <w:rFonts w:hint="eastAsia" w:ascii="宋体" w:hAnsi="宋体" w:eastAsia="宋体" w:cs="宋体"/>
          <w:color w:val="auto"/>
          <w:highlight w:val="none"/>
          <w:lang w:eastAsia="zh-CN"/>
        </w:rPr>
        <w:t xml:space="preserve"> </w:t>
      </w:r>
      <w:r>
        <w:rPr>
          <w:rFonts w:hint="eastAsia" w:ascii="宋体" w:hAnsi="宋体" w:eastAsia="宋体" w:cs="宋体"/>
          <w:b/>
          <w:bCs/>
          <w:color w:val="auto"/>
          <w:highlight w:val="none"/>
          <w:lang w:eastAsia="zh-CN"/>
        </w:rPr>
        <w:t>响应文件组成【格式见第六章“响应文件（格式）”】</w:t>
      </w:r>
    </w:p>
    <w:p w14:paraId="5D5A78C6">
      <w:pPr>
        <w:pageBreakBefore w:val="0"/>
        <w:widowControl w:val="0"/>
        <w:overflowPunct/>
        <w:topLinePunct w:val="0"/>
        <w:bidi w:val="0"/>
        <w:spacing w:line="400" w:lineRule="exact"/>
        <w:ind w:firstLine="422" w:firstLineChars="200"/>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11.1.1</w:t>
      </w:r>
      <w:r>
        <w:rPr>
          <w:rFonts w:hint="eastAsia" w:ascii="宋体" w:hAnsi="宋体" w:eastAsia="宋体" w:cs="宋体"/>
          <w:color w:val="auto"/>
          <w:highlight w:val="none"/>
          <w:lang w:eastAsia="zh-CN"/>
        </w:rPr>
        <w:t xml:space="preserve"> </w:t>
      </w:r>
      <w:r>
        <w:rPr>
          <w:rFonts w:hint="eastAsia" w:ascii="宋体" w:hAnsi="宋体" w:eastAsia="宋体" w:cs="宋体"/>
          <w:b/>
          <w:bCs/>
          <w:color w:val="auto"/>
          <w:highlight w:val="none"/>
          <w:lang w:eastAsia="zh-CN"/>
        </w:rPr>
        <w:t>资格性响应证明材料：</w:t>
      </w:r>
    </w:p>
    <w:p w14:paraId="190B14C2">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（1）供应商相应的法定代表人(负责人、自然人)身份证正反两面复印件</w:t>
      </w:r>
      <w:r>
        <w:rPr>
          <w:rFonts w:hint="eastAsia" w:ascii="宋体" w:hAnsi="宋体" w:eastAsia="宋体" w:cs="宋体"/>
          <w:b/>
          <w:bCs/>
          <w:color w:val="auto"/>
          <w:highlight w:val="none"/>
          <w:lang w:eastAsia="zh-CN"/>
        </w:rPr>
        <w:t>（必须提供）</w:t>
      </w:r>
      <w:r>
        <w:rPr>
          <w:rFonts w:hint="eastAsia" w:ascii="宋体" w:hAnsi="宋体" w:eastAsia="宋体" w:cs="宋体"/>
          <w:color w:val="auto"/>
          <w:highlight w:val="none"/>
          <w:lang w:eastAsia="zh-CN"/>
        </w:rPr>
        <w:t>；</w:t>
      </w:r>
    </w:p>
    <w:p w14:paraId="4E8EB5ED">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w:t>
      </w:r>
      <w:r>
        <w:rPr>
          <w:rFonts w:hint="eastAsia" w:ascii="宋体" w:hAnsi="宋体" w:eastAsia="宋体" w:cs="宋体"/>
          <w:color w:val="auto"/>
          <w:szCs w:val="21"/>
        </w:rPr>
        <w:t>供应商的授权委托书原件、委托代理人</w:t>
      </w:r>
      <w:r>
        <w:rPr>
          <w:rFonts w:hint="eastAsia" w:ascii="宋体" w:hAnsi="宋体" w:eastAsia="宋体" w:cs="宋体"/>
          <w:color w:val="auto"/>
        </w:rPr>
        <w:t>身份证正反面</w:t>
      </w:r>
      <w:r>
        <w:rPr>
          <w:rFonts w:hint="eastAsia" w:ascii="宋体" w:hAnsi="宋体" w:eastAsia="宋体" w:cs="宋体"/>
          <w:color w:val="auto"/>
          <w:szCs w:val="21"/>
        </w:rPr>
        <w:t>复印件以及由社保经办机构出具的供应商为委托代理人202</w:t>
      </w:r>
      <w:r>
        <w:rPr>
          <w:rFonts w:hint="eastAsia" w:ascii="宋体" w:hAnsi="宋体" w:eastAsia="宋体" w:cs="宋体"/>
          <w:color w:val="auto"/>
          <w:szCs w:val="21"/>
          <w:lang w:val="en-US" w:eastAsia="zh-CN"/>
        </w:rPr>
        <w:t>6</w:t>
      </w:r>
      <w:r>
        <w:rPr>
          <w:rFonts w:hint="eastAsia" w:ascii="宋体" w:hAnsi="宋体" w:eastAsia="宋体" w:cs="宋体"/>
          <w:color w:val="auto"/>
          <w:szCs w:val="21"/>
        </w:rPr>
        <w:t>年</w:t>
      </w:r>
      <w:r>
        <w:rPr>
          <w:rFonts w:hint="eastAsia" w:ascii="宋体" w:hAnsi="宋体" w:eastAsia="宋体" w:cs="宋体"/>
          <w:color w:val="auto"/>
          <w:szCs w:val="21"/>
          <w:lang w:val="en-US" w:eastAsia="zh-CN"/>
        </w:rPr>
        <w:t>6月</w:t>
      </w:r>
      <w:r>
        <w:rPr>
          <w:rFonts w:hint="eastAsia" w:ascii="宋体" w:hAnsi="宋体" w:eastAsia="宋体" w:cs="宋体"/>
          <w:color w:val="auto"/>
          <w:szCs w:val="21"/>
        </w:rPr>
        <w:t>以来任意一个月交纳的社保证明复印件</w:t>
      </w:r>
      <w:r>
        <w:rPr>
          <w:rFonts w:hint="eastAsia" w:ascii="宋体" w:hAnsi="宋体" w:eastAsia="宋体" w:cs="宋体"/>
          <w:b/>
          <w:color w:val="auto"/>
          <w:szCs w:val="21"/>
        </w:rPr>
        <w:t>【属自然人的应提供由社保经办机构出具的自然人本人及委托代理人所交纳的社保证明复印件】（委托代理时必须提供）</w:t>
      </w:r>
      <w:r>
        <w:rPr>
          <w:rFonts w:hint="eastAsia" w:ascii="宋体" w:hAnsi="宋体" w:eastAsia="宋体" w:cs="宋体"/>
          <w:color w:val="auto"/>
          <w:highlight w:val="none"/>
          <w:lang w:eastAsia="zh-CN"/>
        </w:rPr>
        <w:t>；</w:t>
      </w:r>
    </w:p>
    <w:p w14:paraId="104C5835">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（3）供应商的法人或者其他组织营业执照等证明文件复印件</w:t>
      </w:r>
      <w:r>
        <w:rPr>
          <w:rFonts w:hint="eastAsia" w:ascii="宋体" w:hAnsi="宋体" w:eastAsia="宋体" w:cs="宋体"/>
          <w:b/>
          <w:bCs/>
          <w:color w:val="auto"/>
          <w:highlight w:val="none"/>
          <w:lang w:eastAsia="zh-CN"/>
        </w:rPr>
        <w:t>（必须提供，自然人除外）；</w:t>
      </w:r>
    </w:p>
    <w:p w14:paraId="3ABA77B9">
      <w:pPr>
        <w:pageBreakBefore w:val="0"/>
        <w:widowControl w:val="0"/>
        <w:overflowPunct/>
        <w:topLinePunct w:val="0"/>
        <w:bidi w:val="0"/>
        <w:spacing w:line="400" w:lineRule="exact"/>
        <w:ind w:firstLine="422" w:firstLineChars="200"/>
        <w:jc w:val="both"/>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注：①法人包括企业法人、机关法人、事业单位法人和社会团体法人；其他组织主要包括合伙企业、非企业专业服务机构、个体工商户、农村承包经营户。②如供应商为企业（包括合伙企业），应提供市场监督管理部门（或行政审批部门）注册的有效“企业法人营业执照”或“营业执照；供应商为事业单位，应提供有效的“事业单位法人证书”；供应商为非企业专业服务机构的，应提供执业许可证等证明文件；供应商为个体工商户，应提供有效的“个体工商户营业执照”。③如供应商为企业法人的分支机构的，除应提供营业执照复印件外，还应提供其所属的总公司授权其参加政府采购活动的授权文件或授权其独立开展经营业务活动的证明材料复印件。</w:t>
      </w:r>
    </w:p>
    <w:p w14:paraId="3A6AE4F7">
      <w:pPr>
        <w:pageBreakBefore w:val="0"/>
        <w:widowControl w:val="0"/>
        <w:overflowPunct/>
        <w:topLinePunct w:val="0"/>
        <w:bidi w:val="0"/>
        <w:spacing w:line="400" w:lineRule="exact"/>
        <w:ind w:firstLine="420" w:firstLineChars="200"/>
        <w:jc w:val="both"/>
        <w:rPr>
          <w:rFonts w:hint="eastAsia" w:ascii="宋体" w:hAnsi="宋体" w:eastAsia="宋体" w:cs="宋体"/>
          <w:b/>
          <w:bCs/>
          <w:color w:val="auto"/>
          <w:highlight w:val="none"/>
          <w:lang w:eastAsia="zh-CN"/>
        </w:rPr>
      </w:pPr>
      <w:r>
        <w:rPr>
          <w:rFonts w:hint="eastAsia" w:ascii="宋体" w:hAnsi="宋体" w:eastAsia="宋体" w:cs="宋体"/>
          <w:b w:val="0"/>
          <w:bCs w:val="0"/>
          <w:color w:val="auto"/>
          <w:highlight w:val="none"/>
          <w:lang w:eastAsia="zh-CN"/>
        </w:rPr>
        <w:t>（4）供应商202</w:t>
      </w:r>
      <w:r>
        <w:rPr>
          <w:rFonts w:hint="eastAsia" w:ascii="宋体" w:hAnsi="宋体" w:eastAsia="宋体" w:cs="宋体"/>
          <w:b w:val="0"/>
          <w:bCs w:val="0"/>
          <w:color w:val="auto"/>
          <w:highlight w:val="none"/>
          <w:lang w:val="en-US" w:eastAsia="zh-CN"/>
        </w:rPr>
        <w:t>5</w:t>
      </w:r>
      <w:r>
        <w:rPr>
          <w:rFonts w:hint="eastAsia" w:ascii="宋体" w:hAnsi="宋体" w:eastAsia="宋体" w:cs="宋体"/>
          <w:b w:val="0"/>
          <w:bCs w:val="0"/>
          <w:color w:val="auto"/>
          <w:highlight w:val="none"/>
          <w:lang w:eastAsia="zh-CN"/>
        </w:rPr>
        <w:t>年的财务状况报告复印件（可以是财务报表或2025年以来银行出具的资信证明等）复印件</w:t>
      </w:r>
      <w:r>
        <w:rPr>
          <w:rFonts w:hint="eastAsia" w:ascii="宋体" w:hAnsi="宋体" w:eastAsia="宋体" w:cs="宋体"/>
          <w:b/>
          <w:bCs/>
          <w:color w:val="auto"/>
          <w:highlight w:val="none"/>
          <w:lang w:eastAsia="zh-CN"/>
        </w:rPr>
        <w:t>（必须提供）；</w:t>
      </w:r>
    </w:p>
    <w:p w14:paraId="2999E771">
      <w:pPr>
        <w:pageBreakBefore w:val="0"/>
        <w:widowControl w:val="0"/>
        <w:overflowPunct/>
        <w:topLinePunct w:val="0"/>
        <w:bidi w:val="0"/>
        <w:spacing w:line="400" w:lineRule="exact"/>
        <w:ind w:firstLine="420" w:firstLineChars="200"/>
        <w:rPr>
          <w:rFonts w:hint="eastAsia" w:ascii="宋体" w:hAnsi="宋体" w:eastAsia="宋体" w:cs="宋体"/>
          <w:b/>
          <w:bCs/>
          <w:color w:val="auto"/>
          <w:highlight w:val="none"/>
          <w:lang w:eastAsia="zh-CN"/>
        </w:rPr>
      </w:pPr>
      <w:r>
        <w:rPr>
          <w:rFonts w:hint="eastAsia" w:ascii="宋体" w:hAnsi="宋体" w:eastAsia="宋体" w:cs="宋体"/>
          <w:b w:val="0"/>
          <w:bCs w:val="0"/>
          <w:color w:val="auto"/>
          <w:highlight w:val="none"/>
          <w:lang w:eastAsia="zh-CN"/>
        </w:rPr>
        <w:t>（5）供应商202</w:t>
      </w:r>
      <w:r>
        <w:rPr>
          <w:rFonts w:hint="eastAsia" w:ascii="宋体" w:hAnsi="宋体" w:eastAsia="宋体" w:cs="宋体"/>
          <w:b w:val="0"/>
          <w:bCs w:val="0"/>
          <w:color w:val="auto"/>
          <w:highlight w:val="none"/>
          <w:lang w:val="en-US" w:eastAsia="zh-CN"/>
        </w:rPr>
        <w:t>6</w:t>
      </w:r>
      <w:r>
        <w:rPr>
          <w:rFonts w:hint="eastAsia" w:ascii="宋体" w:hAnsi="宋体" w:eastAsia="宋体" w:cs="宋体"/>
          <w:b w:val="0"/>
          <w:bCs w:val="0"/>
          <w:color w:val="auto"/>
          <w:highlight w:val="none"/>
          <w:lang w:eastAsia="zh-CN"/>
        </w:rPr>
        <w:t>年以来任意一个月依法缴纳税收的相关材料复印件</w:t>
      </w:r>
      <w:r>
        <w:rPr>
          <w:rFonts w:hint="eastAsia" w:ascii="宋体" w:hAnsi="宋体" w:eastAsia="宋体" w:cs="宋体"/>
          <w:b/>
          <w:bCs/>
          <w:color w:val="auto"/>
          <w:highlight w:val="none"/>
          <w:lang w:eastAsia="zh-CN"/>
        </w:rPr>
        <w:t>（必须提供）；</w:t>
      </w:r>
    </w:p>
    <w:p w14:paraId="49231E55">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（6）供应商参加政府采购活动前3年内在经营活动中没有重大违法记录及有关信用信息的书面声明</w:t>
      </w:r>
      <w:r>
        <w:rPr>
          <w:rFonts w:hint="eastAsia" w:ascii="宋体" w:hAnsi="宋体" w:eastAsia="宋体" w:cs="宋体"/>
          <w:b/>
          <w:bCs/>
          <w:color w:val="auto"/>
          <w:highlight w:val="none"/>
          <w:lang w:eastAsia="zh-CN"/>
        </w:rPr>
        <w:t>（必须提供）；</w:t>
      </w:r>
    </w:p>
    <w:p w14:paraId="389472DC">
      <w:pPr>
        <w:pageBreakBefore w:val="0"/>
        <w:widowControl w:val="0"/>
        <w:overflowPunct/>
        <w:topLinePunct w:val="0"/>
        <w:bidi w:val="0"/>
        <w:spacing w:line="400" w:lineRule="exact"/>
        <w:ind w:firstLine="420" w:firstLineChars="200"/>
        <w:rPr>
          <w:rFonts w:hint="eastAsia" w:ascii="宋体" w:hAnsi="宋体" w:eastAsia="宋体" w:cs="宋体"/>
          <w:b/>
          <w:bCs/>
          <w:color w:val="auto"/>
          <w:kern w:val="2"/>
          <w:sz w:val="21"/>
          <w:szCs w:val="21"/>
          <w:lang w:val="en-US" w:eastAsia="zh-CN" w:bidi="ar-SA"/>
        </w:rPr>
      </w:pPr>
      <w:r>
        <w:rPr>
          <w:rFonts w:hint="eastAsia" w:ascii="宋体" w:hAnsi="宋体" w:eastAsia="宋体" w:cs="宋体"/>
          <w:color w:val="auto"/>
          <w:highlight w:val="none"/>
          <w:lang w:eastAsia="zh-CN"/>
        </w:rPr>
        <w:t>（7）供应商参加本项目无围标串标行为的承诺函</w:t>
      </w:r>
      <w:r>
        <w:rPr>
          <w:rFonts w:hint="eastAsia" w:ascii="宋体" w:hAnsi="宋体" w:eastAsia="宋体" w:cs="宋体"/>
          <w:b/>
          <w:bCs/>
          <w:color w:val="auto"/>
          <w:highlight w:val="none"/>
          <w:lang w:eastAsia="zh-CN"/>
        </w:rPr>
        <w:t>（必须提供）</w:t>
      </w:r>
      <w:r>
        <w:rPr>
          <w:rFonts w:hint="eastAsia" w:ascii="宋体" w:hAnsi="宋体" w:eastAsia="宋体" w:cs="宋体"/>
          <w:b/>
          <w:bCs/>
          <w:color w:val="auto"/>
          <w:kern w:val="2"/>
          <w:sz w:val="21"/>
          <w:szCs w:val="21"/>
          <w:lang w:val="en-US" w:eastAsia="zh-CN" w:bidi="ar-SA"/>
        </w:rPr>
        <w:t>。</w:t>
      </w:r>
    </w:p>
    <w:p w14:paraId="1EC630DA">
      <w:pPr>
        <w:pageBreakBefore w:val="0"/>
        <w:widowControl w:val="0"/>
        <w:overflowPunct/>
        <w:topLinePunct w:val="0"/>
        <w:bidi w:val="0"/>
        <w:spacing w:line="400" w:lineRule="exact"/>
        <w:ind w:firstLine="422" w:firstLineChars="200"/>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11.1.2</w:t>
      </w:r>
      <w:r>
        <w:rPr>
          <w:rFonts w:hint="eastAsia" w:ascii="宋体" w:hAnsi="宋体" w:eastAsia="宋体" w:cs="宋体"/>
          <w:color w:val="auto"/>
          <w:highlight w:val="none"/>
          <w:lang w:eastAsia="zh-CN"/>
        </w:rPr>
        <w:t xml:space="preserve"> </w:t>
      </w:r>
      <w:r>
        <w:rPr>
          <w:rFonts w:hint="eastAsia" w:ascii="宋体" w:hAnsi="宋体" w:eastAsia="宋体" w:cs="宋体"/>
          <w:b/>
          <w:bCs/>
          <w:color w:val="auto"/>
          <w:highlight w:val="none"/>
          <w:lang w:eastAsia="zh-CN"/>
        </w:rPr>
        <w:t>符合性响应证明材料：</w:t>
      </w:r>
    </w:p>
    <w:p w14:paraId="06EB1D18">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（1）响应函</w:t>
      </w:r>
      <w:r>
        <w:rPr>
          <w:rFonts w:hint="eastAsia" w:ascii="宋体" w:hAnsi="宋体" w:eastAsia="宋体" w:cs="宋体"/>
          <w:b/>
          <w:bCs/>
          <w:color w:val="auto"/>
          <w:highlight w:val="none"/>
          <w:lang w:eastAsia="zh-CN"/>
        </w:rPr>
        <w:t>（必须提供）；</w:t>
      </w:r>
    </w:p>
    <w:p w14:paraId="695C885F">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w:t>
      </w:r>
      <w:r>
        <w:rPr>
          <w:rFonts w:hint="eastAsia" w:ascii="宋体" w:hAnsi="宋体" w:eastAsia="宋体" w:cs="宋体"/>
          <w:b w:val="0"/>
          <w:bCs w:val="0"/>
          <w:color w:val="auto"/>
          <w:szCs w:val="21"/>
          <w:highlight w:val="none"/>
        </w:rPr>
        <w:t>谈判报价</w:t>
      </w:r>
      <w:r>
        <w:rPr>
          <w:rFonts w:hint="eastAsia" w:ascii="宋体" w:hAnsi="宋体" w:eastAsia="宋体" w:cs="宋体"/>
          <w:b/>
          <w:bCs/>
          <w:color w:val="auto"/>
          <w:highlight w:val="none"/>
          <w:lang w:eastAsia="zh-CN"/>
        </w:rPr>
        <w:t>（必须提供）</w:t>
      </w:r>
      <w:r>
        <w:rPr>
          <w:rFonts w:hint="eastAsia" w:ascii="宋体" w:hAnsi="宋体" w:eastAsia="宋体" w:cs="宋体"/>
          <w:color w:val="auto"/>
          <w:highlight w:val="none"/>
          <w:lang w:eastAsia="zh-CN"/>
        </w:rPr>
        <w:t>；</w:t>
      </w:r>
    </w:p>
    <w:p w14:paraId="7A62C45B">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（3）技术规格偏离表</w:t>
      </w:r>
      <w:r>
        <w:rPr>
          <w:rFonts w:hint="eastAsia" w:ascii="宋体" w:hAnsi="宋体" w:eastAsia="宋体" w:cs="宋体"/>
          <w:b/>
          <w:bCs/>
          <w:color w:val="auto"/>
          <w:highlight w:val="none"/>
          <w:lang w:eastAsia="zh-CN"/>
        </w:rPr>
        <w:t>（必须提供）</w:t>
      </w:r>
      <w:r>
        <w:rPr>
          <w:rFonts w:hint="eastAsia" w:ascii="宋体" w:hAnsi="宋体" w:eastAsia="宋体" w:cs="宋体"/>
          <w:color w:val="auto"/>
          <w:highlight w:val="none"/>
          <w:lang w:eastAsia="zh-CN"/>
        </w:rPr>
        <w:t>；</w:t>
      </w:r>
    </w:p>
    <w:p w14:paraId="45FD93B5">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（4）商务响应表</w:t>
      </w:r>
      <w:r>
        <w:rPr>
          <w:rFonts w:hint="eastAsia" w:ascii="宋体" w:hAnsi="宋体" w:eastAsia="宋体" w:cs="宋体"/>
          <w:b/>
          <w:bCs/>
          <w:color w:val="auto"/>
          <w:highlight w:val="none"/>
          <w:lang w:eastAsia="zh-CN"/>
        </w:rPr>
        <w:t>（必须提供）</w:t>
      </w:r>
      <w:r>
        <w:rPr>
          <w:rFonts w:hint="eastAsia" w:ascii="宋体" w:hAnsi="宋体" w:eastAsia="宋体" w:cs="宋体"/>
          <w:color w:val="auto"/>
          <w:highlight w:val="none"/>
          <w:lang w:eastAsia="zh-CN"/>
        </w:rPr>
        <w:t>；</w:t>
      </w:r>
    </w:p>
    <w:p w14:paraId="43489D47">
      <w:pPr>
        <w:pageBreakBefore w:val="0"/>
        <w:widowControl w:val="0"/>
        <w:overflowPunct/>
        <w:topLinePunct w:val="0"/>
        <w:bidi w:val="0"/>
        <w:spacing w:line="400" w:lineRule="exact"/>
        <w:ind w:firstLine="420" w:firstLineChars="200"/>
        <w:rPr>
          <w:rFonts w:hint="eastAsia" w:ascii="宋体" w:hAnsi="宋体" w:eastAsia="宋体" w:cs="宋体"/>
          <w:b/>
          <w:bCs/>
          <w:color w:val="auto"/>
          <w:highlight w:val="none"/>
          <w:lang w:eastAsia="zh-CN"/>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lang w:eastAsia="zh-CN"/>
        </w:rPr>
        <w:t>）</w:t>
      </w:r>
      <w:r>
        <w:rPr>
          <w:rFonts w:hint="eastAsia" w:ascii="宋体" w:hAnsi="宋体" w:eastAsia="宋体" w:cs="宋体"/>
          <w:b w:val="0"/>
          <w:bCs w:val="0"/>
          <w:color w:val="auto"/>
          <w:highlight w:val="none"/>
          <w:lang w:eastAsia="zh-CN"/>
        </w:rPr>
        <w:t>项目实施方案</w:t>
      </w:r>
      <w:r>
        <w:rPr>
          <w:rFonts w:hint="eastAsia" w:ascii="宋体" w:hAnsi="宋体" w:eastAsia="宋体" w:cs="宋体"/>
          <w:b/>
          <w:bCs/>
          <w:color w:val="auto"/>
          <w:highlight w:val="none"/>
          <w:lang w:eastAsia="zh-CN"/>
        </w:rPr>
        <w:t>（必须提供）</w:t>
      </w:r>
      <w:r>
        <w:rPr>
          <w:rFonts w:hint="eastAsia" w:ascii="宋体" w:hAnsi="宋体" w:eastAsia="宋体" w:cs="宋体"/>
          <w:b w:val="0"/>
          <w:bCs w:val="0"/>
          <w:color w:val="auto"/>
          <w:highlight w:val="none"/>
          <w:lang w:eastAsia="zh-CN"/>
        </w:rPr>
        <w:t>；</w:t>
      </w:r>
    </w:p>
    <w:p w14:paraId="67526EE3">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lang w:eastAsia="zh-CN"/>
        </w:rPr>
        <w:t>）售后服务承诺书</w:t>
      </w:r>
      <w:r>
        <w:rPr>
          <w:rFonts w:hint="eastAsia" w:ascii="宋体" w:hAnsi="宋体" w:eastAsia="宋体" w:cs="宋体"/>
          <w:b/>
          <w:bCs/>
          <w:color w:val="auto"/>
          <w:highlight w:val="none"/>
          <w:lang w:eastAsia="zh-CN"/>
        </w:rPr>
        <w:t>（必须提供）</w:t>
      </w:r>
      <w:r>
        <w:rPr>
          <w:rFonts w:hint="eastAsia" w:ascii="宋体" w:hAnsi="宋体" w:eastAsia="宋体" w:cs="宋体"/>
          <w:color w:val="auto"/>
          <w:highlight w:val="none"/>
          <w:lang w:eastAsia="zh-CN"/>
        </w:rPr>
        <w:t>；</w:t>
      </w:r>
    </w:p>
    <w:p w14:paraId="0DC23A92">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lang w:eastAsia="zh-CN"/>
        </w:rPr>
        <w:t>）</w:t>
      </w:r>
      <w:r>
        <w:rPr>
          <w:rFonts w:hint="eastAsia" w:ascii="宋体" w:hAnsi="宋体" w:eastAsia="宋体" w:cs="宋体"/>
          <w:b w:val="0"/>
          <w:bCs w:val="0"/>
          <w:color w:val="auto"/>
          <w:highlight w:val="none"/>
          <w:lang w:val="en-US" w:eastAsia="zh-CN"/>
        </w:rPr>
        <w:t>项目实施人员一览表</w:t>
      </w:r>
      <w:r>
        <w:rPr>
          <w:rFonts w:hint="eastAsia" w:ascii="宋体" w:hAnsi="宋体" w:eastAsia="宋体" w:cs="宋体"/>
          <w:b/>
          <w:bCs/>
          <w:color w:val="auto"/>
          <w:highlight w:val="none"/>
          <w:lang w:eastAsia="zh-CN"/>
        </w:rPr>
        <w:t>（必须提供）</w:t>
      </w:r>
    </w:p>
    <w:p w14:paraId="40D03570">
      <w:pPr>
        <w:pStyle w:val="3"/>
        <w:pageBreakBefore w:val="0"/>
        <w:overflowPunct/>
        <w:topLinePunct w:val="0"/>
        <w:bidi w:val="0"/>
        <w:spacing w:line="400" w:lineRule="exact"/>
        <w:ind w:firstLine="420" w:firstLineChars="200"/>
        <w:rPr>
          <w:rFonts w:hint="eastAsia" w:ascii="宋体" w:hAnsi="宋体" w:eastAsia="宋体" w:cs="宋体"/>
          <w:color w:val="auto"/>
          <w:lang w:eastAsia="zh-CN"/>
        </w:rPr>
      </w:pPr>
      <w:r>
        <w:rPr>
          <w:rFonts w:hint="eastAsia" w:ascii="宋体" w:hAnsi="宋体" w:eastAsia="宋体" w:cs="宋体"/>
          <w:b w:val="0"/>
          <w:snapToGrid w:val="0"/>
          <w:color w:val="auto"/>
          <w:kern w:val="0"/>
          <w:sz w:val="21"/>
          <w:szCs w:val="21"/>
          <w:highlight w:val="none"/>
          <w:lang w:val="en-US" w:eastAsia="zh-CN" w:bidi="ar-SA"/>
        </w:rPr>
        <w:t>（</w:t>
      </w:r>
      <w:r>
        <w:rPr>
          <w:rFonts w:hint="eastAsia" w:ascii="宋体" w:hAnsi="宋体" w:cs="宋体"/>
          <w:b w:val="0"/>
          <w:snapToGrid w:val="0"/>
          <w:color w:val="auto"/>
          <w:kern w:val="0"/>
          <w:sz w:val="21"/>
          <w:szCs w:val="21"/>
          <w:highlight w:val="none"/>
          <w:lang w:val="en-US" w:eastAsia="zh-CN" w:bidi="ar-SA"/>
        </w:rPr>
        <w:t>8</w:t>
      </w:r>
      <w:r>
        <w:rPr>
          <w:rFonts w:hint="eastAsia" w:ascii="宋体" w:hAnsi="宋体" w:eastAsia="宋体" w:cs="宋体"/>
          <w:b w:val="0"/>
          <w:snapToGrid w:val="0"/>
          <w:color w:val="auto"/>
          <w:kern w:val="0"/>
          <w:sz w:val="21"/>
          <w:szCs w:val="21"/>
          <w:highlight w:val="none"/>
          <w:lang w:val="en-US" w:eastAsia="zh-CN" w:bidi="ar-SA"/>
        </w:rPr>
        <w:t>）“采购需求”需提供的有效证明文件</w:t>
      </w:r>
      <w:r>
        <w:rPr>
          <w:rFonts w:hint="eastAsia" w:ascii="宋体" w:hAnsi="宋体" w:eastAsia="宋体" w:cs="宋体"/>
          <w:b/>
          <w:bCs/>
          <w:snapToGrid w:val="0"/>
          <w:color w:val="auto"/>
          <w:kern w:val="0"/>
          <w:sz w:val="21"/>
          <w:szCs w:val="21"/>
          <w:highlight w:val="none"/>
          <w:lang w:val="en-US" w:eastAsia="zh-CN" w:bidi="ar-SA"/>
        </w:rPr>
        <w:t>（按采购需求要求提供）。</w:t>
      </w:r>
    </w:p>
    <w:p w14:paraId="331C1D9E">
      <w:pPr>
        <w:pageBreakBefore w:val="0"/>
        <w:widowControl w:val="0"/>
        <w:overflowPunct/>
        <w:topLinePunct w:val="0"/>
        <w:bidi w:val="0"/>
        <w:spacing w:line="400" w:lineRule="exact"/>
        <w:ind w:firstLine="422" w:firstLineChars="200"/>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11.1.3</w:t>
      </w:r>
      <w:r>
        <w:rPr>
          <w:rFonts w:hint="eastAsia" w:ascii="宋体" w:hAnsi="宋体" w:eastAsia="宋体" w:cs="宋体"/>
          <w:color w:val="auto"/>
          <w:highlight w:val="none"/>
          <w:lang w:eastAsia="zh-CN"/>
        </w:rPr>
        <w:t xml:space="preserve"> </w:t>
      </w:r>
      <w:r>
        <w:rPr>
          <w:rFonts w:hint="eastAsia" w:ascii="宋体" w:hAnsi="宋体" w:eastAsia="宋体" w:cs="宋体"/>
          <w:b/>
          <w:bCs/>
          <w:color w:val="auto"/>
          <w:highlight w:val="none"/>
          <w:lang w:eastAsia="zh-CN"/>
        </w:rPr>
        <w:t>其它有效证明材料：</w:t>
      </w:r>
    </w:p>
    <w:p w14:paraId="176B6618">
      <w:pPr>
        <w:pageBreakBefore w:val="0"/>
        <w:tabs>
          <w:tab w:val="left" w:pos="1305"/>
        </w:tabs>
        <w:overflowPunct/>
        <w:topLinePunct w:val="0"/>
        <w:bidi w:val="0"/>
        <w:spacing w:line="400" w:lineRule="exact"/>
        <w:ind w:firstLine="420" w:firstLineChars="200"/>
        <w:rPr>
          <w:rFonts w:ascii="宋体" w:hAnsi="宋体" w:eastAsia="宋体" w:cs="宋体"/>
          <w:b/>
          <w:bCs/>
          <w:color w:val="auto"/>
          <w:sz w:val="21"/>
          <w:szCs w:val="21"/>
          <w:highlight w:val="none"/>
          <w:lang w:eastAsia="zh-CN"/>
        </w:rPr>
      </w:pPr>
      <w:r>
        <w:rPr>
          <w:rFonts w:hint="eastAsia" w:ascii="宋体" w:hAnsi="宋体" w:eastAsia="宋体" w:cs="宋体"/>
          <w:color w:val="auto"/>
          <w:kern w:val="0"/>
          <w:szCs w:val="21"/>
          <w:lang w:val="en-US" w:eastAsia="zh-CN"/>
        </w:rPr>
        <w:t>（1）</w:t>
      </w:r>
      <w:r>
        <w:rPr>
          <w:rFonts w:ascii="宋体" w:hAnsi="宋体" w:eastAsia="宋体" w:cs="宋体"/>
          <w:color w:val="auto"/>
          <w:sz w:val="21"/>
          <w:szCs w:val="21"/>
          <w:highlight w:val="none"/>
          <w:lang w:eastAsia="zh-CN"/>
        </w:rPr>
        <w:t>中小企业声明函【如供应商提供的货物由小型、微型企业（中小微型企业划分标准按照《国家统计局关于印发《统计上大中小微型企业划分办法〔2017〕》的通知》（国统字〔2017〕213号）执行）制造的，供应商应如实声明并对出具声明函的真实性负责。成交结果将同时公告该企业《中小企业声明函》，接受社会监督。】</w:t>
      </w:r>
      <w:r>
        <w:rPr>
          <w:rFonts w:ascii="宋体" w:hAnsi="宋体" w:eastAsia="宋体" w:cs="宋体"/>
          <w:b/>
          <w:bCs/>
          <w:color w:val="auto"/>
          <w:sz w:val="21"/>
          <w:szCs w:val="21"/>
          <w:highlight w:val="none"/>
          <w:lang w:eastAsia="zh-CN"/>
        </w:rPr>
        <w:t>（如有，请提供）</w:t>
      </w:r>
      <w:r>
        <w:rPr>
          <w:rFonts w:hint="eastAsia" w:ascii="宋体" w:hAnsi="宋体" w:eastAsia="宋体" w:cs="宋体"/>
          <w:b/>
          <w:bCs/>
          <w:color w:val="auto"/>
          <w:sz w:val="21"/>
          <w:szCs w:val="21"/>
          <w:highlight w:val="none"/>
          <w:lang w:eastAsia="zh-CN"/>
        </w:rPr>
        <w:t>；</w:t>
      </w:r>
    </w:p>
    <w:p w14:paraId="6A778F3F">
      <w:pPr>
        <w:pageBreakBefore w:val="0"/>
        <w:tabs>
          <w:tab w:val="left" w:pos="1305"/>
        </w:tabs>
        <w:overflowPunct/>
        <w:topLinePunct w:val="0"/>
        <w:bidi w:val="0"/>
        <w:spacing w:line="400" w:lineRule="exact"/>
        <w:ind w:firstLine="420" w:firstLineChars="200"/>
        <w:rPr>
          <w:rFonts w:hint="eastAsia" w:ascii="宋体" w:hAnsi="宋体" w:eastAsia="宋体" w:cs="宋体"/>
          <w:b/>
          <w:bCs/>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color w:val="auto"/>
          <w:sz w:val="21"/>
          <w:szCs w:val="21"/>
          <w:highlight w:val="none"/>
          <w:lang w:eastAsia="zh-CN"/>
        </w:rPr>
        <w:t>监狱企业的证明文件【供应商如为监狱企业的，应当提供由省级以上监狱管理局、戒毒管理局（含新疆生产建设兵团）出具的属于监狱企业的证明文件,否则不予享受优惠政策】</w:t>
      </w:r>
      <w:r>
        <w:rPr>
          <w:rFonts w:ascii="宋体" w:hAnsi="宋体" w:eastAsia="宋体" w:cs="宋体"/>
          <w:b/>
          <w:bCs/>
          <w:color w:val="auto"/>
          <w:sz w:val="21"/>
          <w:szCs w:val="21"/>
          <w:highlight w:val="none"/>
          <w:lang w:eastAsia="zh-CN"/>
        </w:rPr>
        <w:t>（如有，请提供）</w:t>
      </w:r>
      <w:r>
        <w:rPr>
          <w:rFonts w:hint="eastAsia" w:ascii="宋体" w:hAnsi="宋体" w:eastAsia="宋体" w:cs="宋体"/>
          <w:b/>
          <w:bCs/>
          <w:color w:val="auto"/>
          <w:sz w:val="21"/>
          <w:szCs w:val="21"/>
          <w:highlight w:val="none"/>
          <w:lang w:eastAsia="zh-CN"/>
        </w:rPr>
        <w:t>；</w:t>
      </w:r>
    </w:p>
    <w:p w14:paraId="125DFF51">
      <w:pPr>
        <w:pageBreakBefore w:val="0"/>
        <w:tabs>
          <w:tab w:val="left" w:pos="1305"/>
        </w:tabs>
        <w:overflowPunct/>
        <w:topLinePunct w:val="0"/>
        <w:bidi w:val="0"/>
        <w:spacing w:line="400" w:lineRule="exact"/>
        <w:ind w:firstLine="420" w:firstLineChars="200"/>
        <w:rPr>
          <w:rFonts w:hint="eastAsia" w:ascii="宋体" w:hAnsi="宋体" w:eastAsia="宋体" w:cs="宋体"/>
          <w:b/>
          <w:bCs/>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(3)</w:t>
      </w:r>
      <w:r>
        <w:rPr>
          <w:rFonts w:hint="eastAsia" w:ascii="宋体" w:hAnsi="宋体" w:eastAsia="宋体" w:cs="宋体"/>
          <w:color w:val="auto"/>
          <w:sz w:val="21"/>
          <w:szCs w:val="21"/>
          <w:highlight w:val="none"/>
          <w:lang w:eastAsia="zh-CN"/>
        </w:rPr>
        <w:t>《残疾人福利性单位声明函》【符合条件的残疾人福利性单位在参加政府采购活动时，应当提供《残疾人福利性单位声明函》，并对声明的真实性负责】</w:t>
      </w:r>
      <w:r>
        <w:rPr>
          <w:rFonts w:hint="eastAsia" w:ascii="宋体" w:hAnsi="宋体" w:eastAsia="宋体" w:cs="宋体"/>
          <w:b/>
          <w:bCs/>
          <w:color w:val="auto"/>
          <w:sz w:val="21"/>
          <w:szCs w:val="21"/>
          <w:highlight w:val="none"/>
          <w:lang w:eastAsia="zh-CN"/>
        </w:rPr>
        <w:t>（如有，请提供）；</w:t>
      </w:r>
    </w:p>
    <w:p w14:paraId="369A225C">
      <w:pPr>
        <w:pageBreakBefore w:val="0"/>
        <w:tabs>
          <w:tab w:val="left" w:pos="1305"/>
        </w:tabs>
        <w:overflowPunct/>
        <w:topLinePunct w:val="0"/>
        <w:bidi w:val="0"/>
        <w:spacing w:line="400" w:lineRule="exact"/>
        <w:ind w:firstLine="420" w:firstLineChars="200"/>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lang w:eastAsia="zh-CN"/>
        </w:rPr>
        <w:t>）关于符合本国产品标准的声明函</w:t>
      </w:r>
      <w:r>
        <w:rPr>
          <w:rFonts w:hint="eastAsia" w:ascii="宋体" w:hAnsi="宋体" w:eastAsia="宋体" w:cs="宋体"/>
          <w:b/>
          <w:bCs/>
          <w:color w:val="auto"/>
          <w:sz w:val="21"/>
          <w:szCs w:val="21"/>
          <w:highlight w:val="none"/>
          <w:lang w:eastAsia="zh-CN"/>
        </w:rPr>
        <w:t>（如有，请提供）；</w:t>
      </w:r>
    </w:p>
    <w:p w14:paraId="62239C23">
      <w:pPr>
        <w:pageBreakBefore w:val="0"/>
        <w:tabs>
          <w:tab w:val="left" w:pos="1305"/>
        </w:tabs>
        <w:overflowPunct/>
        <w:topLinePunct w:val="0"/>
        <w:bidi w:val="0"/>
        <w:spacing w:line="400" w:lineRule="exact"/>
        <w:ind w:firstLine="420" w:firstLineChars="200"/>
        <w:rPr>
          <w:rFonts w:hint="eastAsia" w:ascii="宋体" w:hAnsi="宋体" w:eastAsia="宋体" w:cs="宋体"/>
          <w:b/>
          <w:bCs/>
          <w:color w:val="auto"/>
          <w:kern w:val="0"/>
          <w:szCs w:val="21"/>
          <w:lang w:val="en-US" w:eastAsia="zh-CN"/>
        </w:rPr>
      </w:pPr>
      <w:r>
        <w:rPr>
          <w:rFonts w:hint="eastAsia" w:ascii="宋体" w:hAnsi="宋体" w:eastAsia="宋体" w:cs="宋体"/>
          <w:color w:val="auto"/>
          <w:kern w:val="0"/>
          <w:szCs w:val="21"/>
          <w:lang w:val="en-US" w:eastAsia="zh-CN"/>
        </w:rPr>
        <w:t>（5）节能方面的证书扫描件</w:t>
      </w:r>
      <w:r>
        <w:rPr>
          <w:rFonts w:hint="eastAsia" w:ascii="宋体" w:hAnsi="宋体" w:eastAsia="宋体" w:cs="宋体"/>
          <w:b/>
          <w:bCs/>
          <w:color w:val="auto"/>
          <w:kern w:val="0"/>
          <w:szCs w:val="21"/>
          <w:lang w:val="en-US" w:eastAsia="zh-CN"/>
        </w:rPr>
        <w:t>（如有，请提供）；</w:t>
      </w:r>
    </w:p>
    <w:p w14:paraId="6BE76CE4">
      <w:pPr>
        <w:pageBreakBefore w:val="0"/>
        <w:tabs>
          <w:tab w:val="left" w:pos="1305"/>
        </w:tabs>
        <w:overflowPunct/>
        <w:topLinePunct w:val="0"/>
        <w:bidi w:val="0"/>
        <w:spacing w:line="400" w:lineRule="exact"/>
        <w:ind w:firstLine="420" w:firstLineChars="200"/>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（6）环境标志方面的证书扫描件</w:t>
      </w:r>
      <w:r>
        <w:rPr>
          <w:rFonts w:hint="eastAsia" w:ascii="宋体" w:hAnsi="宋体" w:eastAsia="宋体" w:cs="宋体"/>
          <w:b/>
          <w:bCs/>
          <w:color w:val="auto"/>
          <w:kern w:val="0"/>
          <w:szCs w:val="21"/>
          <w:lang w:val="en-US" w:eastAsia="zh-CN"/>
        </w:rPr>
        <w:t>（如有，请提供）；</w:t>
      </w:r>
    </w:p>
    <w:p w14:paraId="616FA8C5">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kern w:val="0"/>
          <w:szCs w:val="21"/>
          <w:lang w:val="en-US" w:eastAsia="zh-CN"/>
        </w:rPr>
        <w:t>（7）供应商可结合本项目的评审办法视自身情况自行提交相关证明材料</w:t>
      </w:r>
      <w:r>
        <w:rPr>
          <w:rFonts w:hint="eastAsia" w:ascii="宋体" w:hAnsi="宋体" w:eastAsia="宋体" w:cs="宋体"/>
          <w:b/>
          <w:bCs/>
          <w:color w:val="auto"/>
          <w:kern w:val="0"/>
          <w:szCs w:val="21"/>
          <w:lang w:val="en-US" w:eastAsia="zh-CN"/>
        </w:rPr>
        <w:t>（如有，请提供）</w:t>
      </w:r>
      <w:r>
        <w:rPr>
          <w:rFonts w:hint="eastAsia" w:ascii="宋体" w:hAnsi="宋体" w:eastAsia="宋体" w:cs="宋体"/>
          <w:color w:val="auto"/>
          <w:highlight w:val="none"/>
          <w:lang w:eastAsia="zh-CN"/>
        </w:rPr>
        <w:t>。</w:t>
      </w:r>
    </w:p>
    <w:p w14:paraId="3D86E153">
      <w:pPr>
        <w:pageBreakBefore w:val="0"/>
        <w:widowControl w:val="0"/>
        <w:overflowPunct/>
        <w:topLinePunct w:val="0"/>
        <w:bidi w:val="0"/>
        <w:spacing w:line="400" w:lineRule="exact"/>
        <w:ind w:firstLine="422" w:firstLineChars="200"/>
        <w:jc w:val="both"/>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供应商提供的以上相关证明材料必须真实有效，属于“必须提供”的文件应加盖供应商CA证书签章，否则响应无效；其中“必须提供”的文件“响应文件（格式）”中有要求法定代表人(负责人、自然人)或相应的授权委托代理人在规定位置签字的，可使用法定代表人(负责人、自然人)或相应的授权委托代理人个人CA证书签章，没有办理广西政府采购云平台个人CA证书签章的可在响应文件中涉及到签字的位置手写签字后扫描或者拍照做成PDF的格式上传，无个人CA证书签章及手写签字的，响应文件按无效处理。</w:t>
      </w:r>
    </w:p>
    <w:p w14:paraId="44C2215B">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11.2 供应商应按竞争性谈判文件第六章“响应文件（格式）”编制响应文件。</w:t>
      </w:r>
    </w:p>
    <w:p w14:paraId="2ECBB449">
      <w:pPr>
        <w:pageBreakBefore w:val="0"/>
        <w:widowControl w:val="0"/>
        <w:overflowPunct/>
        <w:topLinePunct w:val="0"/>
        <w:bidi w:val="0"/>
        <w:spacing w:line="400" w:lineRule="exact"/>
        <w:ind w:firstLine="422" w:firstLineChars="200"/>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12.响应文件的语言及计量</w:t>
      </w:r>
    </w:p>
    <w:p w14:paraId="025B5DEE">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12.1 响应文件以及供应商与采购代理机构就有关响应事宜的所有来往函电，均必须以中文汉语书写。供应商提交的支持文件和印刷的文献可以使用别的语言，但其相应内容必须附有中文翻译文本，在解释响应文件时以中文翻译文本为主。</w:t>
      </w:r>
    </w:p>
    <w:p w14:paraId="11C2B963">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12.2 响应计量单位，谈判文件已有明确规定的，使用谈判文件规定的计量单位；谈判文件没有规定的，必须采用中华人民共和国法定计量单位（货币单位：人民币元），否则视同未响应。</w:t>
      </w:r>
    </w:p>
    <w:p w14:paraId="1DC3E5D0">
      <w:pPr>
        <w:pageBreakBefore w:val="0"/>
        <w:widowControl w:val="0"/>
        <w:overflowPunct/>
        <w:topLinePunct w:val="0"/>
        <w:bidi w:val="0"/>
        <w:spacing w:line="400" w:lineRule="exact"/>
        <w:ind w:firstLine="422" w:firstLineChars="200"/>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13.谈判报价及采购预算金额</w:t>
      </w:r>
    </w:p>
    <w:p w14:paraId="0536ADD0">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13.1 供应商必须就“采购需求”中的所有内容作完整唯一报价，响应文件只允许有一个报价，有选择的或有条件的报价将不予接受。</w:t>
      </w:r>
    </w:p>
    <w:p w14:paraId="55D8A3F2">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13.2 采购预算金额（人民币）：</w:t>
      </w:r>
      <w:r>
        <w:rPr>
          <w:rFonts w:hint="eastAsia" w:ascii="宋体" w:hAnsi="宋体" w:eastAsia="宋体" w:cs="宋体"/>
          <w:b/>
          <w:bCs/>
          <w:color w:val="auto"/>
          <w:lang w:eastAsia="zh-CN"/>
        </w:rPr>
        <w:t>壹佰叁拾万元整</w:t>
      </w:r>
      <w:r>
        <w:rPr>
          <w:rFonts w:hint="eastAsia" w:ascii="宋体" w:hAnsi="宋体" w:eastAsia="宋体" w:cs="宋体"/>
          <w:b/>
          <w:color w:val="auto"/>
        </w:rPr>
        <w:t>（¥</w:t>
      </w:r>
      <w:r>
        <w:rPr>
          <w:rFonts w:hint="eastAsia" w:ascii="宋体" w:hAnsi="宋体" w:eastAsia="宋体" w:cs="宋体"/>
          <w:b/>
          <w:color w:val="auto"/>
          <w:lang w:eastAsia="zh-CN"/>
        </w:rPr>
        <w:t>1300000.00元</w:t>
      </w:r>
      <w:r>
        <w:rPr>
          <w:rFonts w:hint="eastAsia" w:ascii="宋体" w:hAnsi="宋体" w:eastAsia="宋体" w:cs="宋体"/>
          <w:b/>
          <w:color w:val="auto"/>
        </w:rPr>
        <w:t>）</w:t>
      </w:r>
      <w:r>
        <w:rPr>
          <w:rFonts w:hint="eastAsia" w:ascii="宋体" w:hAnsi="宋体" w:eastAsia="宋体" w:cs="宋体"/>
          <w:color w:val="auto"/>
          <w:highlight w:val="none"/>
          <w:lang w:eastAsia="zh-CN"/>
        </w:rPr>
        <w:t>。报价超采购预算金额的，响应文件作无效处理。</w:t>
      </w:r>
    </w:p>
    <w:p w14:paraId="05723DFE">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13.3 供应商谈判报价应包括包括但不限于：项目的价格包括站房及仪器设备更换、站房及仪器设备运输（包括旧站房及仪器设备的运输）、四通一平、安装调试费（仪器安装所需要水电气改造及实验室改造费用）、运维费用、备品备件、工具、网络费、水电费、防雷检测和整改、消防设备、站房和采水系统维护费、水站基础保障费用、仪器设备维修、配件置换和保养费、技术指导费、培训费、材料费、试剂和标准物质费、废液处置费、仪器设备按规定需要第三方检测公司检测及检定的费用、工作人员差旅费和劳务费、水站安全保障费（包括资产被偷盗、人为损毁、人为火灾等费用）、必要的保险费用和各项税费、不确定因素的风险等产生的费用及其他所有成本费等。此价格为安装调试期及售后三年服务期的价格。</w:t>
      </w:r>
    </w:p>
    <w:p w14:paraId="310E8FED">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对于竞争性谈判文件中明确列明必须报价的货物或服务，供应商应报价；对于竞争性谈判文件中未列明，而供应商认为必需的费用也需列入总报价；在合同实施时，采购方将不予支付成交供应商没有列入的项目费用，并认为此项目的费用已包括在合同总价中。</w:t>
      </w:r>
    </w:p>
    <w:p w14:paraId="43039EC7">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13.4 未书面退出谈判的供应商必须在规定时间内登录广西政府采购云平台在线提交最后报价，其最后报价不得超出采购预算；谈判过程中谈判文件未作实质性变动的，</w:t>
      </w:r>
      <w:r>
        <w:rPr>
          <w:rFonts w:hint="eastAsia" w:ascii="宋体" w:hAnsi="宋体" w:eastAsia="宋体" w:cs="宋体"/>
          <w:b/>
          <w:bCs/>
          <w:color w:val="auto"/>
          <w:highlight w:val="none"/>
          <w:lang w:eastAsia="zh-CN"/>
        </w:rPr>
        <w:t>最后报价不得超过首次报价。</w:t>
      </w:r>
    </w:p>
    <w:p w14:paraId="231FD7DB">
      <w:pPr>
        <w:pageBreakBefore w:val="0"/>
        <w:widowControl w:val="0"/>
        <w:overflowPunct/>
        <w:topLinePunct w:val="0"/>
        <w:bidi w:val="0"/>
        <w:spacing w:line="400" w:lineRule="exact"/>
        <w:ind w:firstLine="422" w:firstLineChars="200"/>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14.响应文件有效期</w:t>
      </w:r>
    </w:p>
    <w:p w14:paraId="5A89EB80">
      <w:pPr>
        <w:pageBreakBefore w:val="0"/>
        <w:widowControl w:val="0"/>
        <w:overflowPunct/>
        <w:topLinePunct w:val="0"/>
        <w:bidi w:val="0"/>
        <w:spacing w:line="400" w:lineRule="exact"/>
        <w:ind w:firstLine="420" w:firstLineChars="20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14.1 响应文件有效期：自响应文件提交截止时间之日起90天，有效期不足的响应文件将被拒绝。</w:t>
      </w:r>
    </w:p>
    <w:p w14:paraId="7A1C313C">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14.2 出现特殊情况下，需要延长响应文件有效期的，采购代理机构以书面形式通知供应商延长响应文件有效期。供应商同意延长的，不能修改响应文件。供应商拒绝延长的，其响应无效。</w:t>
      </w:r>
    </w:p>
    <w:p w14:paraId="240B2F76">
      <w:pPr>
        <w:pageBreakBefore w:val="0"/>
        <w:widowControl w:val="0"/>
        <w:overflowPunct/>
        <w:topLinePunct w:val="0"/>
        <w:bidi w:val="0"/>
        <w:spacing w:line="400" w:lineRule="exact"/>
        <w:ind w:firstLine="422" w:firstLineChars="200"/>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15.电子响应文件的制作、加密要求</w:t>
      </w:r>
    </w:p>
    <w:p w14:paraId="60D1EE82">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15.1 供应商制作电子响应文件前，应登陆广西政府采购云平台进行“申请获取采购文件”操作，否则，有可能导致无法在线编制响应文件并参与竞标，其不利后果由供应商自行承担。</w:t>
      </w:r>
    </w:p>
    <w:p w14:paraId="69EF4107">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15.2 供应商下载或获取竞争性谈判文件后，登录“广西政府采购云平台电子投标客户端”，按照本谈判文件规定的响应文件格式、顺序以及广西政府采购云平台的要求，通过“广西政府采购云平台电子投标客户端”编制电子响应文件。</w:t>
      </w:r>
    </w:p>
    <w:p w14:paraId="728EA93F">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15.3 供应商应按“广西政府采购云平台电子投标客户端”载明的“标书关联”功能进行电子响应文件的关联定位，以便谈判小组在评审时点击相应评审项可直接定位到该评审内容；如供应商的电子响应文件未能关联定位相应内容，或者关联定位的内容与该评审项不符，导致谈判小组无法查询并做出对供应商不利的评审，相关后果由供应商自行承担。</w:t>
      </w:r>
    </w:p>
    <w:p w14:paraId="254D9A55">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15.4 电子响应文件不得涂改，若有修改错漏处，须由法定代表人（负责人、自然人）或授权委托代理人通过“广西政府采购云平台电子投标客户端”采用广西政府采购云平台个人CA证书签章，没有办理广西政府采购云平台个人CA证书签章的，在响应文件中响应位置手写签字后扫描或者拍照做成PDF的格式上传。因响应文件字迹潦草、表达不清、内容不完整、编排混乱导致响应文件被误读、漏读，或者在按竞争性谈判文件规定的部位查找不到相关内容的，其不利后果由供应商自行承担。</w:t>
      </w:r>
    </w:p>
    <w:p w14:paraId="5956222D">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15.5 供应商编制、生成电子响应文件后应当加密响应文件。供应商未按规定编制并加密的响应文件，广西政府采购云平台将予以拒收。</w:t>
      </w:r>
    </w:p>
    <w:p w14:paraId="7F2631D1">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 xml:space="preserve">15.6 </w:t>
      </w:r>
      <w:r>
        <w:rPr>
          <w:rFonts w:hint="eastAsia" w:ascii="宋体" w:hAnsi="宋体" w:eastAsia="宋体" w:cs="宋体"/>
          <w:b/>
          <w:bCs/>
          <w:color w:val="auto"/>
          <w:highlight w:val="none"/>
          <w:lang w:eastAsia="zh-CN"/>
        </w:rPr>
        <w:t>供应商公章及签字</w:t>
      </w:r>
    </w:p>
    <w:p w14:paraId="68E792EA">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15.6.1 本竞争性谈判文件中描述供应商的“公章”是指供应商通过指定电子化政府采购平台办理数字证书（CA认证证书）获得的以法定主体行为名称制作的电子印章。</w:t>
      </w:r>
    </w:p>
    <w:p w14:paraId="500A3AE9">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15.6.2 本竞争性谈判文件中要求供应商对其电子响应文件的相关内容加盖公章的，均指采用CA证书签章。</w:t>
      </w:r>
    </w:p>
    <w:p w14:paraId="659D8058">
      <w:pPr>
        <w:pageBreakBefore w:val="0"/>
        <w:widowControl w:val="0"/>
        <w:overflowPunct/>
        <w:topLinePunct w:val="0"/>
        <w:bidi w:val="0"/>
        <w:spacing w:line="400" w:lineRule="exact"/>
        <w:ind w:firstLine="420" w:firstLineChars="20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15.6.3 本谈判文件中描述供应商的“签字”是指供应商通过指定电子化政府采购平台办理数字证书（CA认证证书）获得的以供应商法定代表人（负责人、自然人）或者委托代理人姓名制作的个人电子印章或手写签字。没有办理个人CA证书的，可以为手写签字的形式。</w:t>
      </w:r>
    </w:p>
    <w:p w14:paraId="0DF962C9">
      <w:pPr>
        <w:pageBreakBefore w:val="0"/>
        <w:widowControl w:val="0"/>
        <w:overflowPunct/>
        <w:topLinePunct w:val="0"/>
        <w:bidi w:val="0"/>
        <w:spacing w:line="400" w:lineRule="exact"/>
        <w:ind w:firstLine="422" w:firstLineChars="200"/>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16.首次响应文件的提交、撤回、修改</w:t>
      </w:r>
    </w:p>
    <w:p w14:paraId="6AC6106F">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16.1 响应文件的提交截止时间： 2026年</w:t>
      </w:r>
      <w:r>
        <w:rPr>
          <w:rFonts w:hint="eastAsia" w:ascii="宋体" w:hAnsi="宋体" w:eastAsia="宋体" w:cs="宋体"/>
          <w:color w:val="auto"/>
          <w:highlight w:val="none"/>
          <w:lang w:val="en-US" w:eastAsia="zh-CN"/>
        </w:rPr>
        <w:t>10</w:t>
      </w:r>
      <w:r>
        <w:rPr>
          <w:rFonts w:hint="eastAsia" w:ascii="宋体" w:hAnsi="宋体" w:eastAsia="宋体" w:cs="宋体"/>
          <w:color w:val="auto"/>
          <w:highlight w:val="none"/>
          <w:lang w:eastAsia="zh-CN"/>
        </w:rPr>
        <w:t>月</w:t>
      </w:r>
      <w:r>
        <w:rPr>
          <w:rFonts w:hint="eastAsia" w:ascii="宋体" w:hAnsi="宋体" w:eastAsia="宋体" w:cs="宋体"/>
          <w:color w:val="auto"/>
          <w:highlight w:val="none"/>
          <w:lang w:val="en-US" w:eastAsia="zh-CN"/>
        </w:rPr>
        <w:t>15</w:t>
      </w:r>
      <w:r>
        <w:rPr>
          <w:rFonts w:hint="eastAsia" w:ascii="宋体" w:hAnsi="宋体" w:eastAsia="宋体" w:cs="宋体"/>
          <w:color w:val="auto"/>
          <w:highlight w:val="none"/>
          <w:lang w:eastAsia="zh-CN"/>
        </w:rPr>
        <w:t>日上午</w:t>
      </w:r>
      <w:r>
        <w:rPr>
          <w:rFonts w:hint="eastAsia" w:ascii="宋体" w:hAnsi="宋体" w:eastAsia="宋体" w:cs="宋体"/>
          <w:color w:val="auto"/>
          <w:highlight w:val="none"/>
          <w:lang w:val="en-US" w:eastAsia="zh-CN"/>
        </w:rPr>
        <w:t>09</w:t>
      </w:r>
      <w:r>
        <w:rPr>
          <w:rFonts w:hint="eastAsia" w:ascii="宋体" w:hAnsi="宋体" w:eastAsia="宋体" w:cs="宋体"/>
          <w:color w:val="auto"/>
          <w:highlight w:val="none"/>
          <w:lang w:eastAsia="zh-CN"/>
        </w:rPr>
        <w:t>时30分（北京时间）</w:t>
      </w:r>
    </w:p>
    <w:p w14:paraId="1F41F66B">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16.2 地点：通过广西政府采购云平台在线提交。</w:t>
      </w:r>
    </w:p>
    <w:p w14:paraId="01F81C23">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16.3 供应商应当在响应文件提交截止时间前，将生成的电子响应文件上传提交至广西政府采购云平台。响应文件提交截止时间前可以补充、修改或撤回电子响应文件，补充、修改电子响应文件的，应当先行撤回原文件，补充、修改后重新传输提交。在响应文件提交截止时间后的响应文件有效期内，供应商不得撤回其响应文件。响应文件提交截止时间前未成功将电子响应文件上传广西政府采购云平台的，视为未提交响应文件。</w:t>
      </w:r>
    </w:p>
    <w:p w14:paraId="6E14433B">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16.4 除竞争性谈判文件另有规定外，供应商所提交的响应文件不予退还。</w:t>
      </w:r>
    </w:p>
    <w:p w14:paraId="15B32E02">
      <w:pPr>
        <w:pageBreakBefore w:val="0"/>
        <w:widowControl w:val="0"/>
        <w:overflowPunct/>
        <w:topLinePunct w:val="0"/>
        <w:bidi w:val="0"/>
        <w:spacing w:line="400" w:lineRule="exact"/>
        <w:ind w:firstLine="422" w:firstLineChars="200"/>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17.响应文件的解密</w:t>
      </w:r>
    </w:p>
    <w:p w14:paraId="01A52890">
      <w:pPr>
        <w:pageBreakBefore w:val="0"/>
        <w:widowControl w:val="0"/>
        <w:overflowPunct/>
        <w:topLinePunct w:val="0"/>
        <w:bidi w:val="0"/>
        <w:spacing w:line="400" w:lineRule="exact"/>
        <w:ind w:firstLine="420" w:firstLineChars="20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响应文件提交截止时间后，采购代理机构开启解密响应文件操作，广西政府采购云平台向各供应商发出电子加密响应文件解密通知，由供应商在系统发出解密通知后30分钟内自行使用加密时的CA通过“项目采购-开标评标”功能对响应文件进行解密。若供应商在上述规定的时间内无法解密或解密失败的，可以在响应文件解密截止时间后30分钟内向采购代理机构现场提交电子备份响应文件【现场提交电子响应文件地址：</w:t>
      </w:r>
      <w:r>
        <w:rPr>
          <w:rFonts w:hint="eastAsia" w:ascii="宋体" w:hAnsi="宋体" w:eastAsia="宋体" w:cs="宋体"/>
          <w:color w:val="auto"/>
          <w:sz w:val="21"/>
          <w:szCs w:val="21"/>
          <w:highlight w:val="none"/>
          <w:lang w:eastAsia="zh-CN"/>
        </w:rPr>
        <w:t>桂林市公共资源交易中心政采开标仓</w:t>
      </w:r>
      <w:r>
        <w:rPr>
          <w:rFonts w:hint="eastAsia" w:ascii="宋体" w:hAnsi="宋体" w:eastAsia="宋体" w:cs="宋体"/>
          <w:color w:val="auto"/>
          <w:szCs w:val="21"/>
          <w:highlight w:val="none"/>
        </w:rPr>
        <w:t>（广西</w:t>
      </w:r>
      <w:r>
        <w:rPr>
          <w:rFonts w:hint="eastAsia" w:ascii="宋体" w:hAnsi="宋体" w:eastAsia="宋体" w:cs="宋体"/>
          <w:color w:val="auto"/>
          <w:szCs w:val="21"/>
        </w:rPr>
        <w:t>桂林市临桂区西城中路69号创业大厦西辅楼4楼）</w:t>
      </w:r>
      <w:r>
        <w:rPr>
          <w:rFonts w:hint="eastAsia" w:ascii="宋体" w:hAnsi="宋体" w:eastAsia="宋体" w:cs="宋体"/>
          <w:color w:val="auto"/>
          <w:highlight w:val="none"/>
          <w:lang w:eastAsia="zh-CN"/>
        </w:rPr>
        <w:t>】，或以电子邮件的形式提交电子备份响应文件（以通知时所告知的电子邮箱地址为准）；供应商未在上述规定的时间、地点（电子邮箱）提交的电子备份响应文件，采购代理机构不予接收或承认。采购代理机构收到电子备份响应文件后按“政府采购云平台”操作规范上传至“政府采购云平台”，电子备份响应文件上传成功后，供应商原上传的“电子加密响应文件”自动失效。若供应商在规定时间内无法解密或解密失败且未在规定的时间内提供电子备份响应文件的（包含提供的电子备份响应文件无效或无法解密的情况），视为供应商放弃谈判。</w:t>
      </w:r>
    </w:p>
    <w:p w14:paraId="42F1E0C6">
      <w:pPr>
        <w:pageBreakBefore w:val="0"/>
        <w:widowControl w:val="0"/>
        <w:overflowPunct/>
        <w:topLinePunct w:val="0"/>
        <w:bidi w:val="0"/>
        <w:spacing w:line="400" w:lineRule="exact"/>
        <w:jc w:val="center"/>
        <w:rPr>
          <w:rFonts w:hint="eastAsia" w:ascii="宋体" w:hAnsi="宋体" w:eastAsia="宋体" w:cs="宋体"/>
          <w:b/>
          <w:bCs/>
          <w:color w:val="auto"/>
          <w:sz w:val="28"/>
          <w:szCs w:val="28"/>
          <w:highlight w:val="none"/>
          <w:lang w:eastAsia="zh-CN"/>
        </w:rPr>
      </w:pPr>
    </w:p>
    <w:p w14:paraId="38A9B9F5">
      <w:pPr>
        <w:pageBreakBefore w:val="0"/>
        <w:widowControl w:val="0"/>
        <w:overflowPunct/>
        <w:topLinePunct w:val="0"/>
        <w:bidi w:val="0"/>
        <w:spacing w:line="400" w:lineRule="exact"/>
        <w:jc w:val="center"/>
        <w:rPr>
          <w:rFonts w:hint="eastAsia" w:ascii="宋体" w:hAnsi="宋体" w:eastAsia="宋体" w:cs="宋体"/>
          <w:color w:val="auto"/>
          <w:sz w:val="28"/>
          <w:szCs w:val="28"/>
          <w:highlight w:val="none"/>
          <w:lang w:eastAsia="zh-CN"/>
        </w:rPr>
      </w:pPr>
      <w:r>
        <w:rPr>
          <w:rFonts w:hint="eastAsia" w:ascii="宋体" w:hAnsi="宋体" w:eastAsia="宋体" w:cs="宋体"/>
          <w:b/>
          <w:bCs/>
          <w:color w:val="auto"/>
          <w:sz w:val="28"/>
          <w:szCs w:val="28"/>
          <w:highlight w:val="none"/>
          <w:lang w:eastAsia="zh-CN"/>
        </w:rPr>
        <w:t>四、竞争性谈判（简称谈判）与评审</w:t>
      </w:r>
    </w:p>
    <w:p w14:paraId="5189BCC6">
      <w:pPr>
        <w:pageBreakBefore w:val="0"/>
        <w:widowControl w:val="0"/>
        <w:overflowPunct/>
        <w:topLinePunct w:val="0"/>
        <w:bidi w:val="0"/>
        <w:spacing w:line="400" w:lineRule="exact"/>
        <w:ind w:firstLine="422" w:firstLineChars="200"/>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18.谈判小组组成及谈判时间、地点、人员</w:t>
      </w:r>
    </w:p>
    <w:p w14:paraId="726F1526">
      <w:pPr>
        <w:pageBreakBefore w:val="0"/>
        <w:widowControl w:val="0"/>
        <w:overflowPunct/>
        <w:topLinePunct w:val="0"/>
        <w:bidi w:val="0"/>
        <w:spacing w:line="400" w:lineRule="exact"/>
        <w:ind w:firstLine="422" w:firstLineChars="200"/>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18.1</w:t>
      </w:r>
      <w:r>
        <w:rPr>
          <w:rFonts w:hint="eastAsia" w:ascii="宋体" w:hAnsi="宋体" w:eastAsia="宋体" w:cs="宋体"/>
          <w:color w:val="auto"/>
          <w:highlight w:val="none"/>
          <w:lang w:eastAsia="zh-CN"/>
        </w:rPr>
        <w:t xml:space="preserve"> </w:t>
      </w:r>
      <w:r>
        <w:rPr>
          <w:rFonts w:hint="eastAsia" w:ascii="宋体" w:hAnsi="宋体" w:eastAsia="宋体" w:cs="宋体"/>
          <w:b/>
          <w:bCs/>
          <w:color w:val="auto"/>
          <w:highlight w:val="none"/>
          <w:lang w:eastAsia="zh-CN"/>
        </w:rPr>
        <w:t>谈判小组组成：</w:t>
      </w:r>
    </w:p>
    <w:p w14:paraId="40547C13">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谈判及评审组织工作由采购代理机构负责，具体谈判、评审工作由依法组建的谈判小组负责，本项目的谈判小组由有关方面的评审专家组成，谈判小组的构成：3人。</w:t>
      </w:r>
    </w:p>
    <w:p w14:paraId="794EF16A">
      <w:pPr>
        <w:pageBreakBefore w:val="0"/>
        <w:widowControl w:val="0"/>
        <w:overflowPunct/>
        <w:topLinePunct w:val="0"/>
        <w:bidi w:val="0"/>
        <w:spacing w:line="400" w:lineRule="exact"/>
        <w:ind w:firstLine="422" w:firstLineChars="200"/>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18.2</w:t>
      </w:r>
      <w:r>
        <w:rPr>
          <w:rFonts w:hint="eastAsia" w:ascii="宋体" w:hAnsi="宋体" w:eastAsia="宋体" w:cs="宋体"/>
          <w:color w:val="auto"/>
          <w:highlight w:val="none"/>
          <w:lang w:eastAsia="zh-CN"/>
        </w:rPr>
        <w:t xml:space="preserve"> </w:t>
      </w:r>
      <w:r>
        <w:rPr>
          <w:rFonts w:hint="eastAsia" w:ascii="宋体" w:hAnsi="宋体" w:eastAsia="宋体" w:cs="宋体"/>
          <w:b/>
          <w:bCs/>
          <w:color w:val="auto"/>
          <w:highlight w:val="none"/>
          <w:lang w:eastAsia="zh-CN"/>
        </w:rPr>
        <w:t>谈判时间、地点、人员：</w:t>
      </w:r>
    </w:p>
    <w:p w14:paraId="1534B996">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18.2.1 谈判时间：首次响应文件提交截止时间后。</w:t>
      </w:r>
    </w:p>
    <w:p w14:paraId="32BF3B8C">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18.2.2 谈判地点：供应商代表在响应文件提交当天实时登录广西政府采购云平台，按谈判小组要求在线等候参与谈判及提交最后报价。因供应商未保持实时在线，导致谈判小组无法及时与其取得联系，从而造成供应商未按规定参与谈判或报价的，其不利后果由供应商自行承担。</w:t>
      </w:r>
    </w:p>
    <w:p w14:paraId="674D9246">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18.2.3 谈判参加人员：供应商法定代表人(负责人、自然人)或相应的委托代理人参加谈判。请供应商实时登录广西政府采购云平台等候在线谈判。</w:t>
      </w:r>
    </w:p>
    <w:p w14:paraId="2C1D0980">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18.2.4 首次响应文件提交截止时间后，登录广西政府采购云平台在线解密开启。</w:t>
      </w:r>
    </w:p>
    <w:p w14:paraId="77701F96">
      <w:pPr>
        <w:pageBreakBefore w:val="0"/>
        <w:widowControl w:val="0"/>
        <w:overflowPunct/>
        <w:topLinePunct w:val="0"/>
        <w:bidi w:val="0"/>
        <w:spacing w:line="400" w:lineRule="exact"/>
        <w:ind w:firstLine="422" w:firstLineChars="200"/>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19.评审原则和评审办法</w:t>
      </w:r>
    </w:p>
    <w:p w14:paraId="7EB381E5">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19.1 谈判小组必须坚持公平、公正、科学和择优的原则。</w:t>
      </w:r>
    </w:p>
    <w:p w14:paraId="5157BF0B">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19.2 具体详见第四章评审办法。</w:t>
      </w:r>
    </w:p>
    <w:p w14:paraId="598176BB">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19.3 谈判小组应按谈判文件进行评审，不得擅自更改评审办法。</w:t>
      </w:r>
    </w:p>
    <w:p w14:paraId="5E0DA9B1">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19.4 在评审过程中，谈判小组任何人不得对某个供应商发表任何倾向性意见，不得向其他谈判小组成员明示或者暗示自己的评审意见。</w:t>
      </w:r>
    </w:p>
    <w:p w14:paraId="1B58C6DA">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19.5 谈判小组成员对需要共同认定的事项存在争议的，按照少数服从多数的原则作出结论。持不同意见的谈判小组成员应当在评审报告上签署不同意见并说明理由，否则视为同意。</w:t>
      </w:r>
    </w:p>
    <w:p w14:paraId="658D6A67">
      <w:pPr>
        <w:pageBreakBefore w:val="0"/>
        <w:widowControl w:val="0"/>
        <w:overflowPunct/>
        <w:topLinePunct w:val="0"/>
        <w:bidi w:val="0"/>
        <w:spacing w:line="400" w:lineRule="exact"/>
        <w:ind w:firstLine="422" w:firstLineChars="200"/>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20.评审程序及谈判要求</w:t>
      </w:r>
    </w:p>
    <w:p w14:paraId="5A232210">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20.1 谈判小组成员的通讯工具或相关电子设备在</w:t>
      </w:r>
      <w:r>
        <w:rPr>
          <w:rFonts w:hint="eastAsia" w:ascii="宋体" w:hAnsi="宋体" w:eastAsia="宋体" w:cs="宋体"/>
          <w:color w:val="auto"/>
          <w:kern w:val="0"/>
          <w:szCs w:val="21"/>
        </w:rPr>
        <w:t>桂林市公共资源交易中心</w:t>
      </w:r>
      <w:r>
        <w:rPr>
          <w:rFonts w:hint="eastAsia" w:ascii="宋体" w:hAnsi="宋体" w:eastAsia="宋体" w:cs="宋体"/>
          <w:color w:val="auto"/>
          <w:highlight w:val="none"/>
          <w:lang w:eastAsia="zh-CN"/>
        </w:rPr>
        <w:t>统一保管后到达评标室，采购代理机构核实谈判小组成员身份，告知回避要求，宣布评审工作纪律和程序，推选谈判小组组长。</w:t>
      </w:r>
    </w:p>
    <w:p w14:paraId="2F3D2C04">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20.2 谈判小组应当审查供应商的响应文件并作出评价；要求供应商解释或者澄清其响应文件；编写评审报告；告知采购人、采购代理机构在评审过程中发现的供应商的违法违规行为。</w:t>
      </w:r>
    </w:p>
    <w:p w14:paraId="10193C76">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20.3 谈判小组依据法律法规和竞争性谈判文件的规定，首先对响应文件进行资格性审查，以确定供应商是否具备本项目供应商资格；再对通过资格性审查的供应商响应文件的有效性、完整性和对谈判文件的响应程度进行符合性审查，以确定是否对谈判文件的实质性要求做出响应。</w:t>
      </w:r>
    </w:p>
    <w:p w14:paraId="3EF2EE62">
      <w:pPr>
        <w:pageBreakBefore w:val="0"/>
        <w:widowControl w:val="0"/>
        <w:overflowPunct/>
        <w:topLinePunct w:val="0"/>
        <w:bidi w:val="0"/>
        <w:spacing w:line="400" w:lineRule="exact"/>
        <w:ind w:firstLine="422" w:firstLineChars="200"/>
        <w:jc w:val="both"/>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20.4</w:t>
      </w:r>
      <w:r>
        <w:rPr>
          <w:rFonts w:hint="eastAsia" w:ascii="宋体" w:hAnsi="宋体" w:eastAsia="宋体" w:cs="宋体"/>
          <w:color w:val="auto"/>
          <w:highlight w:val="none"/>
          <w:lang w:eastAsia="zh-CN"/>
        </w:rPr>
        <w:t xml:space="preserve"> </w:t>
      </w:r>
      <w:r>
        <w:rPr>
          <w:rFonts w:hint="eastAsia" w:ascii="宋体" w:hAnsi="宋体" w:eastAsia="宋体" w:cs="宋体"/>
          <w:b/>
          <w:bCs/>
          <w:color w:val="auto"/>
          <w:highlight w:val="none"/>
          <w:lang w:eastAsia="zh-CN"/>
        </w:rPr>
        <w:t>谈判小组在对供应商进行资格性审查时，将对供应商企业股东及出资等信息进行查询。根据《中华人民共和国政府采购法实施条例》第十八条第一款规定，审查中如发现供应商存在单位负责人为同一人或者存在直接控股、管理关系的不同供应商参加同一合同项下的政府采购活动的，按响应文件无效处理。</w:t>
      </w:r>
    </w:p>
    <w:p w14:paraId="426BA8F8">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20.4.1 查询渠道：《国家企业信用信息公示系统》（网址：</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"http://www.gsxt.gov.cn/index.html"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www.gsxt.gov.cn/index.html</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t>）</w:t>
      </w:r>
    </w:p>
    <w:p w14:paraId="17A31991">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20.4.2 审查流程：</w:t>
      </w:r>
    </w:p>
    <w:p w14:paraId="0C9536DE">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（1）进入《国家企业信用信息公示系统》（网址：</w:t>
      </w:r>
      <w:r>
        <w:rPr>
          <w:rFonts w:hint="eastAsia" w:ascii="宋体" w:hAnsi="宋体" w:eastAsia="宋体" w:cs="宋体"/>
          <w:color w:val="auto"/>
          <w:highlight w:val="none"/>
        </w:rPr>
        <w:fldChar w:fldCharType="begin"/>
      </w:r>
      <w:r>
        <w:rPr>
          <w:rFonts w:hint="eastAsia" w:ascii="宋体" w:hAnsi="宋体" w:eastAsia="宋体" w:cs="宋体"/>
          <w:color w:val="auto"/>
          <w:highlight w:val="none"/>
          <w:lang w:eastAsia="zh-CN"/>
        </w:rPr>
        <w:instrText xml:space="preserve"> HYPERLINK "https://www.gsxt.gov.cn/index.html"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lang w:eastAsia="zh-CN"/>
        </w:rPr>
        <w:t>www.gsxt.gov.cn/index.html</w:t>
      </w:r>
      <w:r>
        <w:rPr>
          <w:rFonts w:hint="eastAsia" w:ascii="宋体" w:hAnsi="宋体" w:eastAsia="宋体" w:cs="宋体"/>
          <w:color w:val="auto"/>
          <w:highlight w:val="none"/>
          <w:lang w:eastAsia="zh-CN"/>
        </w:rPr>
        <w:fldChar w:fldCharType="end"/>
      </w:r>
      <w:r>
        <w:rPr>
          <w:rFonts w:hint="eastAsia" w:ascii="宋体" w:hAnsi="宋体" w:eastAsia="宋体" w:cs="宋体"/>
          <w:color w:val="auto"/>
          <w:highlight w:val="none"/>
          <w:lang w:eastAsia="zh-CN"/>
        </w:rPr>
        <w:t>），输入企业名称，进入企业信息主页面；</w:t>
      </w:r>
    </w:p>
    <w:p w14:paraId="40B8E664">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（2）查看主页“股东及出资信息”栏，或年报中的“股东及出资信息”栏信息；</w:t>
      </w:r>
    </w:p>
    <w:p w14:paraId="2A0AE291">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（3）将各供应商的股东及出资信息进行比对，得出审查结论；</w:t>
      </w:r>
    </w:p>
    <w:p w14:paraId="7F6D6C59">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（4）将相关资料作为评审资料打印存档。</w:t>
      </w:r>
    </w:p>
    <w:p w14:paraId="7673B16F">
      <w:pPr>
        <w:pageBreakBefore w:val="0"/>
        <w:widowControl w:val="0"/>
        <w:overflowPunct/>
        <w:topLinePunct w:val="0"/>
        <w:bidi w:val="0"/>
        <w:spacing w:line="400" w:lineRule="exact"/>
        <w:ind w:firstLine="422" w:firstLineChars="200"/>
        <w:jc w:val="both"/>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注：以上审查过程中，如出现查询企业网页主页面无法显示股东及出资信息的或仅以主页面信息内容无法认定供应商之间存在单位负责人为同一人或者存在直接控股、管理关系的，当时审查程序可继续进行，待评审结束后将对以上供应商作进一步核实确认，如确认供应商之间存在有上述关联供应商情形的，关联供应商均按响应文件无效处理。</w:t>
      </w:r>
    </w:p>
    <w:p w14:paraId="771EB48F">
      <w:pPr>
        <w:pageBreakBefore w:val="0"/>
        <w:widowControl w:val="0"/>
        <w:overflowPunct/>
        <w:topLinePunct w:val="0"/>
        <w:bidi w:val="0"/>
        <w:spacing w:line="400" w:lineRule="exact"/>
        <w:ind w:firstLine="420" w:firstLineChars="20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20.5 谈判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供应商的澄清、说明或者更正应当通过广西政府采购云平台采用在线书面形式，并加盖公章（CA证书签章），或者由法定代表人（负责人）或其授权委托代理人个人CA证书签章（没有办理广西政府采购云平台个人CA证书签章的可在响应文件中涉及到签字的位置手写签字后扫描或者拍照做成PDF的格式上传），供应商为自然人的，应当由本人个人CA证书签章（没有办理广西政府采购云平台个人CA证书签章的可在响应文件中涉及到签字的位置手写签字后扫描或者拍照做成PDF的格式上传）并附身份证明。</w:t>
      </w:r>
    </w:p>
    <w:p w14:paraId="0B34D526">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根据谈判文件规定的程序、评定成交的标准等事项与实质性响应竞争性谈判文件要求的供应商进行谈判。未实质性响应谈判文件的响应文件按无效处理，谈判小组应当告知有关供应商。</w:t>
      </w:r>
    </w:p>
    <w:p w14:paraId="4AFAFBBB">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谈判小组所有成员应当按已确定的谈判顺序集中与单一供应商分别进行谈判，并给予所有实质性响应竞争性谈判文件要求的供应商平等的谈判机会。</w:t>
      </w:r>
    </w:p>
    <w:p w14:paraId="5F2E7D1E">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谈判中，谈判小组不得透露与谈判有关的其他供应商的技术资料、价格和其他信息。</w:t>
      </w:r>
    </w:p>
    <w:p w14:paraId="64AD478D">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采购代理机构（谈判小组）对谈判过程和重要谈判内容进行记录，谈判双方在记录上签字确认（或CA证书签章）。</w:t>
      </w:r>
    </w:p>
    <w:p w14:paraId="01210B44">
      <w:pPr>
        <w:pageBreakBefore w:val="0"/>
        <w:widowControl w:val="0"/>
        <w:overflowPunct/>
        <w:topLinePunct w:val="0"/>
        <w:bidi w:val="0"/>
        <w:spacing w:line="400" w:lineRule="exact"/>
        <w:ind w:firstLine="420" w:firstLineChars="20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20.6 在谈判过程中，谈判小组可以根据谈判文件和谈判情况实质性变动采购需求中的技术、服务要求以及合同草案条款，但不得变动谈判文件中的其他内容。实质性变动的内容，须经采购人代表确认。</w:t>
      </w:r>
    </w:p>
    <w:p w14:paraId="33AD3A1A">
      <w:pPr>
        <w:pageBreakBefore w:val="0"/>
        <w:widowControl w:val="0"/>
        <w:overflowPunct/>
        <w:topLinePunct w:val="0"/>
        <w:bidi w:val="0"/>
        <w:spacing w:line="400" w:lineRule="exact"/>
        <w:ind w:firstLine="420" w:firstLineChars="20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对谈判文件作出的实质性变动是谈判文件的有效组成部分，谈判小组应当及时通过广西政府采购云平台以书面形式同时通知所有参加谈判的供应商。</w:t>
      </w:r>
    </w:p>
    <w:p w14:paraId="407FFE82">
      <w:pPr>
        <w:pageBreakBefore w:val="0"/>
        <w:widowControl w:val="0"/>
        <w:overflowPunct/>
        <w:topLinePunct w:val="0"/>
        <w:bidi w:val="0"/>
        <w:spacing w:line="400" w:lineRule="exact"/>
        <w:ind w:firstLine="420" w:firstLineChars="20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供应商必须按照谈判文件的变动情况和谈判小组的要求重新提交响应文件，并由其法定代表人(负责人、自然人)或相应的授权委托代表个人CA证书签章（没有办理广西政府采购云平台个人CA证书签章的可在响应文件中涉及到签字的位置手写签字后扫描或者拍照做成PDF的格式上传）或者加盖供应商公章（CA证书签章）。逾时不交的，视同放弃谈判。</w:t>
      </w:r>
    </w:p>
    <w:p w14:paraId="22A9F5D0">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20.7 最后报价</w:t>
      </w:r>
    </w:p>
    <w:p w14:paraId="12D1B81B">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20.7.1 谈判文件能够详细列明采购标的的技术、服务要求的，谈判结束后，谈判小组应当要求所有继续参加谈判的供应商在规定时间内通过广西政府采购云平台在线提交最后报价，提交最后报价的供应商不得少于3家；谈判文件不能详细列明采购标的的技术、服务要求的，需由供应商提供最终设计方案或解决方案的，谈判结束后，谈判小组应当按照少数服从多数的原则投票推荐3家以上（含3家）供应商的设计方案或者解决方案，并要求其在规定时间内通过广西政府采购云平台在线提交最后报价。</w:t>
      </w:r>
    </w:p>
    <w:p w14:paraId="25CEF890">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20.7.2 在采购过程中符合竞争要求的供应商或者报价未超过采购预算的供应商不足 3 家的，采购人或者采购代理机构应当终止竞争性谈判采购活动。</w:t>
      </w:r>
    </w:p>
    <w:p w14:paraId="466ACF80">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20.7.3 最后报价是供应商响应文件的有效组成部分。</w:t>
      </w:r>
    </w:p>
    <w:p w14:paraId="40E55EE7">
      <w:pPr>
        <w:keepNext w:val="0"/>
        <w:keepLines w:val="0"/>
        <w:pageBreakBefore w:val="0"/>
        <w:widowControl w:val="0"/>
        <w:wordWrap/>
        <w:overflowPunct/>
        <w:topLinePunct w:val="0"/>
        <w:bidi w:val="0"/>
        <w:spacing w:line="400" w:lineRule="exact"/>
        <w:ind w:firstLine="420" w:firstLineChars="200"/>
        <w:rPr>
          <w:rFonts w:hint="eastAsia" w:ascii="宋体" w:hAnsi="宋体" w:eastAsia="宋体" w:cs="宋体"/>
          <w:b/>
          <w:bCs/>
          <w:color w:val="auto"/>
          <w:sz w:val="21"/>
          <w:szCs w:val="21"/>
          <w:highlight w:val="none"/>
          <w:lang w:eastAsia="zh-CN"/>
        </w:rPr>
      </w:pPr>
      <w:r>
        <w:rPr>
          <w:rFonts w:hint="eastAsia" w:ascii="宋体" w:hAnsi="宋体" w:eastAsia="宋体" w:cs="宋体"/>
          <w:color w:val="auto"/>
          <w:highlight w:val="none"/>
          <w:lang w:eastAsia="zh-CN"/>
        </w:rPr>
        <w:t>20.8 已提交响应文件的供应商，在提交最后报价之前，可以根据谈判情况书面退出谈判。</w:t>
      </w:r>
      <w:r>
        <w:rPr>
          <w:rFonts w:hint="eastAsia" w:ascii="宋体" w:hAnsi="宋体" w:eastAsia="宋体" w:cs="宋体"/>
          <w:b/>
          <w:bCs/>
          <w:color w:val="auto"/>
          <w:sz w:val="21"/>
          <w:szCs w:val="21"/>
          <w:highlight w:val="none"/>
          <w:lang w:eastAsia="zh-CN"/>
        </w:rPr>
        <w:t>未书面退出谈判的供应商必须在规定时间内通过广西政府采购云平台在线提交最后报价；谈判过程中谈判文件未作实质性变动的，最后报价不得大于首次报价。未退出谈判的供应商应在规定时间内在广西政府采购云平台系统上提交最后报价，超出评委设定的最后报价时限或其最后报价超出采购预算导致已通过评审的响应文件无效的，按供应商在提交响应文件截止时间后撤回响应文件处理。</w:t>
      </w:r>
    </w:p>
    <w:p w14:paraId="37C318F9">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left="0" w:right="0" w:firstLine="422" w:firstLineChars="200"/>
        <w:jc w:val="both"/>
        <w:textAlignment w:val="auto"/>
        <w:rPr>
          <w:rFonts w:hint="eastAsia" w:ascii="宋体" w:hAnsi="宋体" w:eastAsia="宋体" w:cs="宋体"/>
          <w:b/>
          <w:bCs w:val="0"/>
          <w:i w:val="0"/>
          <w:iCs w:val="0"/>
          <w:caps w:val="0"/>
          <w:snapToGrid/>
          <w:color w:val="auto"/>
          <w:spacing w:val="0"/>
          <w:sz w:val="21"/>
          <w:szCs w:val="21"/>
          <w:highlight w:val="none"/>
        </w:rPr>
      </w:pPr>
      <w:r>
        <w:rPr>
          <w:rFonts w:hint="eastAsia" w:ascii="宋体" w:hAnsi="宋体" w:eastAsia="宋体" w:cs="宋体"/>
          <w:b/>
          <w:bCs/>
          <w:snapToGrid/>
          <w:color w:val="auto"/>
          <w:sz w:val="21"/>
          <w:szCs w:val="21"/>
          <w:highlight w:val="none"/>
          <w:lang w:val="en-US" w:eastAsia="zh-CN"/>
        </w:rPr>
        <w:t>20.9</w:t>
      </w:r>
      <w:r>
        <w:rPr>
          <w:rFonts w:hint="eastAsia" w:ascii="宋体" w:hAnsi="宋体" w:eastAsia="宋体" w:cs="宋体"/>
          <w:b/>
          <w:snapToGrid/>
          <w:color w:val="auto"/>
          <w:sz w:val="21"/>
          <w:szCs w:val="21"/>
          <w:highlight w:val="none"/>
          <w:shd w:val="clear" w:color="auto" w:fill="FFFFFF"/>
        </w:rPr>
        <w:t>根据</w:t>
      </w:r>
      <w:r>
        <w:rPr>
          <w:rFonts w:hint="eastAsia" w:ascii="宋体" w:hAnsi="宋体" w:eastAsia="宋体" w:cs="宋体"/>
          <w:b/>
          <w:bCs/>
          <w:snapToGrid/>
          <w:color w:val="auto"/>
          <w:sz w:val="21"/>
          <w:szCs w:val="21"/>
          <w:highlight w:val="none"/>
          <w:shd w:val="clear" w:color="auto" w:fill="FFFFFF"/>
        </w:rPr>
        <w:t>《</w:t>
      </w:r>
      <w:r>
        <w:rPr>
          <w:rFonts w:hint="eastAsia" w:ascii="宋体" w:hAnsi="宋体" w:eastAsia="宋体" w:cs="宋体"/>
          <w:b/>
          <w:snapToGrid/>
          <w:color w:val="auto"/>
          <w:sz w:val="21"/>
          <w:szCs w:val="21"/>
          <w:highlight w:val="none"/>
          <w:shd w:val="clear" w:color="auto" w:fill="FFFFFF"/>
        </w:rPr>
        <w:t>关于推动解决政府采购异常低价问题的通知</w:t>
      </w:r>
      <w:r>
        <w:rPr>
          <w:rFonts w:hint="eastAsia" w:ascii="宋体" w:hAnsi="宋体" w:eastAsia="宋体" w:cs="宋体"/>
          <w:b/>
          <w:bCs/>
          <w:snapToGrid/>
          <w:color w:val="auto"/>
          <w:sz w:val="21"/>
          <w:szCs w:val="21"/>
          <w:highlight w:val="none"/>
          <w:shd w:val="clear" w:color="auto" w:fill="FFFFFF"/>
        </w:rPr>
        <w:t>》</w:t>
      </w:r>
      <w:r>
        <w:rPr>
          <w:rFonts w:hint="eastAsia" w:ascii="宋体" w:hAnsi="宋体" w:eastAsia="宋体" w:cs="宋体"/>
          <w:b/>
          <w:bCs/>
          <w:snapToGrid/>
          <w:color w:val="auto"/>
          <w:sz w:val="21"/>
          <w:szCs w:val="21"/>
          <w:highlight w:val="none"/>
          <w:shd w:val="clear" w:color="auto" w:fill="FFFFFF"/>
          <w:lang w:eastAsia="zh-CN"/>
        </w:rPr>
        <w:t>（</w:t>
      </w:r>
      <w:r>
        <w:rPr>
          <w:rFonts w:hint="eastAsia" w:ascii="宋体" w:hAnsi="宋体" w:eastAsia="宋体" w:cs="宋体"/>
          <w:b/>
          <w:bCs/>
          <w:snapToGrid/>
          <w:color w:val="auto"/>
          <w:sz w:val="21"/>
          <w:szCs w:val="21"/>
          <w:highlight w:val="none"/>
          <w:shd w:val="clear" w:color="auto" w:fill="FFFFFF"/>
        </w:rPr>
        <w:t>财库〔2026〕2号</w:t>
      </w:r>
      <w:r>
        <w:rPr>
          <w:rFonts w:hint="eastAsia" w:ascii="宋体" w:hAnsi="宋体" w:eastAsia="宋体" w:cs="宋体"/>
          <w:b/>
          <w:bCs/>
          <w:snapToGrid/>
          <w:color w:val="auto"/>
          <w:sz w:val="21"/>
          <w:szCs w:val="21"/>
          <w:highlight w:val="none"/>
          <w:shd w:val="clear" w:color="auto" w:fill="FFFFFF"/>
          <w:lang w:eastAsia="zh-CN"/>
        </w:rPr>
        <w:t>）规定</w:t>
      </w:r>
      <w:r>
        <w:rPr>
          <w:rFonts w:hint="eastAsia" w:ascii="宋体" w:hAnsi="宋体" w:eastAsia="宋体" w:cs="宋体"/>
          <w:b/>
          <w:bCs w:val="0"/>
          <w:snapToGrid/>
          <w:color w:val="auto"/>
          <w:kern w:val="0"/>
          <w:sz w:val="21"/>
          <w:szCs w:val="21"/>
          <w:highlight w:val="none"/>
        </w:rPr>
        <w:t>，</w:t>
      </w:r>
      <w:r>
        <w:rPr>
          <w:rFonts w:hint="eastAsia" w:ascii="宋体" w:hAnsi="宋体" w:eastAsia="宋体" w:cs="宋体"/>
          <w:b/>
          <w:bCs w:val="0"/>
          <w:i w:val="0"/>
          <w:iCs w:val="0"/>
          <w:caps w:val="0"/>
          <w:snapToGrid/>
          <w:color w:val="auto"/>
          <w:spacing w:val="0"/>
          <w:sz w:val="21"/>
          <w:szCs w:val="21"/>
          <w:highlight w:val="none"/>
          <w:shd w:val="clear" w:color="auto" w:fill="FFFFFF"/>
        </w:rPr>
        <w:t>政府采购评审中出现下列情形之一的，评审委员会应当启动异常低价投标（响应）审查程序： </w:t>
      </w:r>
    </w:p>
    <w:p w14:paraId="0522FA15">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left="0" w:right="0" w:firstLine="0"/>
        <w:jc w:val="both"/>
        <w:textAlignment w:val="auto"/>
        <w:rPr>
          <w:rFonts w:hint="eastAsia" w:ascii="宋体" w:hAnsi="宋体" w:eastAsia="宋体" w:cs="宋体"/>
          <w:i w:val="0"/>
          <w:iCs w:val="0"/>
          <w:caps w:val="0"/>
          <w:snapToGrid/>
          <w:color w:val="auto"/>
          <w:spacing w:val="0"/>
          <w:sz w:val="21"/>
          <w:szCs w:val="21"/>
          <w:highlight w:val="none"/>
        </w:rPr>
      </w:pPr>
      <w:r>
        <w:rPr>
          <w:rFonts w:hint="eastAsia" w:ascii="宋体" w:hAnsi="宋体" w:eastAsia="宋体" w:cs="宋体"/>
          <w:i w:val="0"/>
          <w:iCs w:val="0"/>
          <w:caps w:val="0"/>
          <w:snapToGrid/>
          <w:color w:val="auto"/>
          <w:spacing w:val="0"/>
          <w:sz w:val="21"/>
          <w:szCs w:val="21"/>
          <w:highlight w:val="none"/>
          <w:shd w:val="clear" w:color="auto" w:fill="FFFFFF"/>
        </w:rPr>
        <w:t>　</w:t>
      </w:r>
      <w:r>
        <w:rPr>
          <w:rFonts w:hint="eastAsia" w:ascii="宋体" w:hAnsi="宋体" w:eastAsia="宋体" w:cs="宋体"/>
          <w:i w:val="0"/>
          <w:iCs w:val="0"/>
          <w:caps w:val="0"/>
          <w:snapToGrid/>
          <w:color w:val="auto"/>
          <w:spacing w:val="0"/>
          <w:sz w:val="21"/>
          <w:szCs w:val="21"/>
          <w:highlight w:val="none"/>
          <w:shd w:val="clear" w:color="auto" w:fill="FFFFFF"/>
          <w:lang w:val="en-US" w:eastAsia="zh-CN"/>
        </w:rPr>
        <w:t xml:space="preserve"> </w:t>
      </w:r>
      <w:r>
        <w:rPr>
          <w:rFonts w:hint="eastAsia" w:ascii="宋体" w:hAnsi="宋体" w:eastAsia="宋体" w:cs="宋体"/>
          <w:i w:val="0"/>
          <w:iCs w:val="0"/>
          <w:caps w:val="0"/>
          <w:snapToGrid/>
          <w:color w:val="auto"/>
          <w:spacing w:val="0"/>
          <w:sz w:val="21"/>
          <w:szCs w:val="21"/>
          <w:highlight w:val="none"/>
          <w:shd w:val="clear" w:color="auto" w:fill="FFFFFF"/>
          <w:lang w:eastAsia="zh-CN"/>
        </w:rPr>
        <w:t>（</w:t>
      </w:r>
      <w:r>
        <w:rPr>
          <w:rFonts w:hint="eastAsia" w:ascii="宋体" w:hAnsi="宋体" w:eastAsia="宋体" w:cs="宋体"/>
          <w:i w:val="0"/>
          <w:iCs w:val="0"/>
          <w:caps w:val="0"/>
          <w:snapToGrid/>
          <w:color w:val="auto"/>
          <w:spacing w:val="0"/>
          <w:sz w:val="21"/>
          <w:szCs w:val="21"/>
          <w:highlight w:val="none"/>
          <w:shd w:val="clear" w:color="auto" w:fill="FFFFFF"/>
          <w:lang w:val="en-US" w:eastAsia="zh-CN"/>
        </w:rPr>
        <w:t>1</w:t>
      </w:r>
      <w:r>
        <w:rPr>
          <w:rFonts w:hint="eastAsia" w:ascii="宋体" w:hAnsi="宋体" w:eastAsia="宋体" w:cs="宋体"/>
          <w:i w:val="0"/>
          <w:iCs w:val="0"/>
          <w:caps w:val="0"/>
          <w:snapToGrid/>
          <w:color w:val="auto"/>
          <w:spacing w:val="0"/>
          <w:sz w:val="21"/>
          <w:szCs w:val="21"/>
          <w:highlight w:val="none"/>
          <w:shd w:val="clear" w:color="auto" w:fill="FFFFFF"/>
          <w:lang w:eastAsia="zh-CN"/>
        </w:rPr>
        <w:t>）</w:t>
      </w:r>
      <w:r>
        <w:rPr>
          <w:rFonts w:hint="eastAsia" w:ascii="宋体" w:hAnsi="宋体" w:eastAsia="宋体" w:cs="宋体"/>
          <w:i w:val="0"/>
          <w:iCs w:val="0"/>
          <w:caps w:val="0"/>
          <w:snapToGrid/>
          <w:color w:val="auto"/>
          <w:spacing w:val="0"/>
          <w:sz w:val="21"/>
          <w:szCs w:val="21"/>
          <w:highlight w:val="none"/>
          <w:shd w:val="clear" w:color="auto" w:fill="FFFFFF"/>
        </w:rPr>
        <w:t>投标（响应）报价低于全部通过符合性审查供应商投标（响应）报价平均值50%的，即投标（响应）报价&lt;全部通过符合性审查供应商投标（响应）报价平均值</w:t>
      </w:r>
      <w:r>
        <w:rPr>
          <w:rFonts w:hint="eastAsia" w:ascii="宋体" w:hAnsi="宋体" w:eastAsia="宋体" w:cs="宋体"/>
          <w:i w:val="0"/>
          <w:iCs w:val="0"/>
          <w:caps w:val="0"/>
          <w:snapToGrid/>
          <w:color w:val="auto"/>
          <w:spacing w:val="0"/>
          <w:sz w:val="21"/>
          <w:szCs w:val="21"/>
          <w:highlight w:val="none"/>
          <w:shd w:val="clear" w:color="auto" w:fill="FFFFFF"/>
          <w:lang w:eastAsia="zh-CN"/>
        </w:rPr>
        <w:t>×</w:t>
      </w:r>
      <w:r>
        <w:rPr>
          <w:rFonts w:hint="eastAsia" w:ascii="宋体" w:hAnsi="宋体" w:eastAsia="宋体" w:cs="宋体"/>
          <w:i w:val="0"/>
          <w:iCs w:val="0"/>
          <w:caps w:val="0"/>
          <w:snapToGrid/>
          <w:color w:val="auto"/>
          <w:spacing w:val="0"/>
          <w:sz w:val="21"/>
          <w:szCs w:val="21"/>
          <w:highlight w:val="none"/>
          <w:shd w:val="clear" w:color="auto" w:fill="FFFFFF"/>
        </w:rPr>
        <w:t>50%； </w:t>
      </w:r>
    </w:p>
    <w:p w14:paraId="346933FF">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left="0" w:right="0" w:firstLine="0"/>
        <w:jc w:val="both"/>
        <w:textAlignment w:val="auto"/>
        <w:rPr>
          <w:rFonts w:hint="eastAsia" w:ascii="宋体" w:hAnsi="宋体" w:eastAsia="宋体" w:cs="宋体"/>
          <w:i w:val="0"/>
          <w:iCs w:val="0"/>
          <w:caps w:val="0"/>
          <w:snapToGrid/>
          <w:color w:val="auto"/>
          <w:spacing w:val="0"/>
          <w:sz w:val="21"/>
          <w:szCs w:val="21"/>
          <w:highlight w:val="none"/>
        </w:rPr>
      </w:pPr>
      <w:r>
        <w:rPr>
          <w:rFonts w:hint="eastAsia" w:ascii="宋体" w:hAnsi="宋体" w:eastAsia="宋体" w:cs="宋体"/>
          <w:i w:val="0"/>
          <w:iCs w:val="0"/>
          <w:caps w:val="0"/>
          <w:snapToGrid/>
          <w:color w:val="auto"/>
          <w:spacing w:val="0"/>
          <w:sz w:val="21"/>
          <w:szCs w:val="21"/>
          <w:highlight w:val="none"/>
          <w:shd w:val="clear" w:color="auto" w:fill="FFFFFF"/>
        </w:rPr>
        <w:t>　</w:t>
      </w:r>
      <w:r>
        <w:rPr>
          <w:rFonts w:hint="eastAsia" w:ascii="宋体" w:hAnsi="宋体" w:eastAsia="宋体" w:cs="宋体"/>
          <w:i w:val="0"/>
          <w:iCs w:val="0"/>
          <w:caps w:val="0"/>
          <w:snapToGrid/>
          <w:color w:val="auto"/>
          <w:spacing w:val="0"/>
          <w:sz w:val="21"/>
          <w:szCs w:val="21"/>
          <w:highlight w:val="none"/>
          <w:shd w:val="clear" w:color="auto" w:fill="FFFFFF"/>
          <w:lang w:val="en-US" w:eastAsia="zh-CN"/>
        </w:rPr>
        <w:t xml:space="preserve"> </w:t>
      </w:r>
      <w:r>
        <w:rPr>
          <w:rFonts w:hint="eastAsia" w:ascii="宋体" w:hAnsi="宋体" w:eastAsia="宋体" w:cs="宋体"/>
          <w:i w:val="0"/>
          <w:iCs w:val="0"/>
          <w:caps w:val="0"/>
          <w:snapToGrid/>
          <w:color w:val="auto"/>
          <w:spacing w:val="0"/>
          <w:sz w:val="21"/>
          <w:szCs w:val="21"/>
          <w:highlight w:val="none"/>
          <w:shd w:val="clear" w:color="auto" w:fill="FFFFFF"/>
          <w:lang w:eastAsia="zh-CN"/>
        </w:rPr>
        <w:t>（</w:t>
      </w:r>
      <w:r>
        <w:rPr>
          <w:rFonts w:hint="eastAsia" w:ascii="宋体" w:hAnsi="宋体" w:eastAsia="宋体" w:cs="宋体"/>
          <w:i w:val="0"/>
          <w:iCs w:val="0"/>
          <w:caps w:val="0"/>
          <w:snapToGrid/>
          <w:color w:val="auto"/>
          <w:spacing w:val="0"/>
          <w:sz w:val="21"/>
          <w:szCs w:val="21"/>
          <w:highlight w:val="none"/>
          <w:shd w:val="clear" w:color="auto" w:fill="FFFFFF"/>
          <w:lang w:val="en-US" w:eastAsia="zh-CN"/>
        </w:rPr>
        <w:t>2</w:t>
      </w:r>
      <w:r>
        <w:rPr>
          <w:rFonts w:hint="eastAsia" w:ascii="宋体" w:hAnsi="宋体" w:eastAsia="宋体" w:cs="宋体"/>
          <w:i w:val="0"/>
          <w:iCs w:val="0"/>
          <w:caps w:val="0"/>
          <w:snapToGrid/>
          <w:color w:val="auto"/>
          <w:spacing w:val="0"/>
          <w:sz w:val="21"/>
          <w:szCs w:val="21"/>
          <w:highlight w:val="none"/>
          <w:shd w:val="clear" w:color="auto" w:fill="FFFFFF"/>
          <w:lang w:eastAsia="zh-CN"/>
        </w:rPr>
        <w:t>）</w:t>
      </w:r>
      <w:r>
        <w:rPr>
          <w:rFonts w:hint="eastAsia" w:ascii="宋体" w:hAnsi="宋体" w:eastAsia="宋体" w:cs="宋体"/>
          <w:i w:val="0"/>
          <w:iCs w:val="0"/>
          <w:caps w:val="0"/>
          <w:snapToGrid/>
          <w:color w:val="auto"/>
          <w:spacing w:val="0"/>
          <w:sz w:val="21"/>
          <w:szCs w:val="21"/>
          <w:highlight w:val="none"/>
          <w:shd w:val="clear" w:color="auto" w:fill="FFFFFF"/>
        </w:rPr>
        <w:t>投标（响应）报价低于通过符合性审查的次低报价供应商投标（响应）报价50%的，即投标（响应）报价&lt;通过符合性审查的次低报价供应商投标（响应）报价</w:t>
      </w:r>
      <w:r>
        <w:rPr>
          <w:rFonts w:hint="eastAsia" w:ascii="宋体" w:hAnsi="宋体" w:eastAsia="宋体" w:cs="宋体"/>
          <w:i w:val="0"/>
          <w:iCs w:val="0"/>
          <w:caps w:val="0"/>
          <w:snapToGrid/>
          <w:color w:val="auto"/>
          <w:spacing w:val="0"/>
          <w:sz w:val="21"/>
          <w:szCs w:val="21"/>
          <w:highlight w:val="none"/>
          <w:shd w:val="clear" w:color="auto" w:fill="FFFFFF"/>
          <w:lang w:eastAsia="zh-CN"/>
        </w:rPr>
        <w:t>×</w:t>
      </w:r>
      <w:r>
        <w:rPr>
          <w:rFonts w:hint="eastAsia" w:ascii="宋体" w:hAnsi="宋体" w:eastAsia="宋体" w:cs="宋体"/>
          <w:i w:val="0"/>
          <w:iCs w:val="0"/>
          <w:caps w:val="0"/>
          <w:snapToGrid/>
          <w:color w:val="auto"/>
          <w:spacing w:val="0"/>
          <w:sz w:val="21"/>
          <w:szCs w:val="21"/>
          <w:highlight w:val="none"/>
          <w:shd w:val="clear" w:color="auto" w:fill="FFFFFF"/>
        </w:rPr>
        <w:t>50%； </w:t>
      </w:r>
    </w:p>
    <w:p w14:paraId="4926E179">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left="0" w:right="0" w:firstLine="0"/>
        <w:jc w:val="both"/>
        <w:textAlignment w:val="auto"/>
        <w:rPr>
          <w:rFonts w:hint="eastAsia" w:ascii="宋体" w:hAnsi="宋体" w:eastAsia="宋体" w:cs="宋体"/>
          <w:i w:val="0"/>
          <w:iCs w:val="0"/>
          <w:caps w:val="0"/>
          <w:snapToGrid/>
          <w:color w:val="auto"/>
          <w:spacing w:val="0"/>
          <w:sz w:val="21"/>
          <w:szCs w:val="21"/>
          <w:highlight w:val="none"/>
          <w:shd w:val="clear" w:color="auto" w:fill="FFFFFF"/>
        </w:rPr>
      </w:pPr>
      <w:r>
        <w:rPr>
          <w:rFonts w:hint="eastAsia" w:ascii="宋体" w:hAnsi="宋体" w:eastAsia="宋体" w:cs="宋体"/>
          <w:i w:val="0"/>
          <w:iCs w:val="0"/>
          <w:caps w:val="0"/>
          <w:snapToGrid/>
          <w:color w:val="auto"/>
          <w:spacing w:val="0"/>
          <w:sz w:val="21"/>
          <w:szCs w:val="21"/>
          <w:highlight w:val="none"/>
          <w:shd w:val="clear" w:color="auto" w:fill="FFFFFF"/>
        </w:rPr>
        <w:t>　</w:t>
      </w:r>
      <w:r>
        <w:rPr>
          <w:rFonts w:hint="eastAsia" w:ascii="宋体" w:hAnsi="宋体" w:eastAsia="宋体" w:cs="宋体"/>
          <w:i w:val="0"/>
          <w:iCs w:val="0"/>
          <w:caps w:val="0"/>
          <w:snapToGrid/>
          <w:color w:val="auto"/>
          <w:spacing w:val="0"/>
          <w:sz w:val="21"/>
          <w:szCs w:val="21"/>
          <w:highlight w:val="none"/>
          <w:shd w:val="clear" w:color="auto" w:fill="FFFFFF"/>
          <w:lang w:val="en-US" w:eastAsia="zh-CN"/>
        </w:rPr>
        <w:t xml:space="preserve"> </w:t>
      </w:r>
      <w:r>
        <w:rPr>
          <w:rFonts w:hint="eastAsia" w:ascii="宋体" w:hAnsi="宋体" w:eastAsia="宋体" w:cs="宋体"/>
          <w:i w:val="0"/>
          <w:iCs w:val="0"/>
          <w:caps w:val="0"/>
          <w:snapToGrid/>
          <w:color w:val="auto"/>
          <w:spacing w:val="0"/>
          <w:sz w:val="21"/>
          <w:szCs w:val="21"/>
          <w:highlight w:val="none"/>
          <w:shd w:val="clear" w:color="auto" w:fill="FFFFFF"/>
          <w:lang w:eastAsia="zh-CN"/>
        </w:rPr>
        <w:t>（</w:t>
      </w:r>
      <w:r>
        <w:rPr>
          <w:rFonts w:hint="eastAsia" w:ascii="宋体" w:hAnsi="宋体" w:eastAsia="宋体" w:cs="宋体"/>
          <w:i w:val="0"/>
          <w:iCs w:val="0"/>
          <w:caps w:val="0"/>
          <w:snapToGrid/>
          <w:color w:val="auto"/>
          <w:spacing w:val="0"/>
          <w:sz w:val="21"/>
          <w:szCs w:val="21"/>
          <w:highlight w:val="none"/>
          <w:shd w:val="clear" w:color="auto" w:fill="FFFFFF"/>
          <w:lang w:val="en-US" w:eastAsia="zh-CN"/>
        </w:rPr>
        <w:t>3</w:t>
      </w:r>
      <w:r>
        <w:rPr>
          <w:rFonts w:hint="eastAsia" w:ascii="宋体" w:hAnsi="宋体" w:eastAsia="宋体" w:cs="宋体"/>
          <w:i w:val="0"/>
          <w:iCs w:val="0"/>
          <w:caps w:val="0"/>
          <w:snapToGrid/>
          <w:color w:val="auto"/>
          <w:spacing w:val="0"/>
          <w:sz w:val="21"/>
          <w:szCs w:val="21"/>
          <w:highlight w:val="none"/>
          <w:shd w:val="clear" w:color="auto" w:fill="FFFFFF"/>
          <w:lang w:eastAsia="zh-CN"/>
        </w:rPr>
        <w:t>）</w:t>
      </w:r>
      <w:r>
        <w:rPr>
          <w:rFonts w:hint="eastAsia" w:ascii="宋体" w:hAnsi="宋体" w:eastAsia="宋体" w:cs="宋体"/>
          <w:i w:val="0"/>
          <w:iCs w:val="0"/>
          <w:caps w:val="0"/>
          <w:snapToGrid/>
          <w:color w:val="auto"/>
          <w:spacing w:val="0"/>
          <w:sz w:val="21"/>
          <w:szCs w:val="21"/>
          <w:highlight w:val="none"/>
          <w:shd w:val="clear" w:color="auto" w:fill="FFFFFF"/>
        </w:rPr>
        <w:t>投标（响应）报价低于采购项目最高限价45%的，即投标（响应）报价&lt;采购项目最高限价</w:t>
      </w:r>
      <w:r>
        <w:rPr>
          <w:rFonts w:hint="eastAsia" w:ascii="宋体" w:hAnsi="宋体" w:eastAsia="宋体" w:cs="宋体"/>
          <w:i w:val="0"/>
          <w:iCs w:val="0"/>
          <w:caps w:val="0"/>
          <w:snapToGrid/>
          <w:color w:val="auto"/>
          <w:spacing w:val="0"/>
          <w:sz w:val="21"/>
          <w:szCs w:val="21"/>
          <w:highlight w:val="none"/>
          <w:shd w:val="clear" w:color="auto" w:fill="FFFFFF"/>
          <w:lang w:eastAsia="zh-CN"/>
        </w:rPr>
        <w:t>×</w:t>
      </w:r>
      <w:r>
        <w:rPr>
          <w:rFonts w:hint="eastAsia" w:ascii="宋体" w:hAnsi="宋体" w:eastAsia="宋体" w:cs="宋体"/>
          <w:i w:val="0"/>
          <w:iCs w:val="0"/>
          <w:caps w:val="0"/>
          <w:snapToGrid/>
          <w:color w:val="auto"/>
          <w:spacing w:val="0"/>
          <w:sz w:val="21"/>
          <w:szCs w:val="21"/>
          <w:highlight w:val="none"/>
          <w:shd w:val="clear" w:color="auto" w:fill="FFFFFF"/>
        </w:rPr>
        <w:t>45%；</w:t>
      </w:r>
    </w:p>
    <w:p w14:paraId="3EBC58C3">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left="0" w:right="0" w:firstLine="210" w:firstLineChars="100"/>
        <w:jc w:val="both"/>
        <w:textAlignment w:val="auto"/>
        <w:rPr>
          <w:rFonts w:hint="eastAsia" w:ascii="宋体" w:hAnsi="宋体" w:eastAsia="宋体" w:cs="宋体"/>
          <w:i w:val="0"/>
          <w:iCs w:val="0"/>
          <w:caps w:val="0"/>
          <w:snapToGrid/>
          <w:color w:val="auto"/>
          <w:spacing w:val="0"/>
          <w:sz w:val="21"/>
          <w:szCs w:val="21"/>
          <w:highlight w:val="none"/>
        </w:rPr>
      </w:pPr>
      <w:r>
        <w:rPr>
          <w:rFonts w:hint="eastAsia" w:ascii="宋体" w:hAnsi="宋体" w:eastAsia="宋体" w:cs="宋体"/>
          <w:i w:val="0"/>
          <w:iCs w:val="0"/>
          <w:caps w:val="0"/>
          <w:snapToGrid/>
          <w:color w:val="auto"/>
          <w:spacing w:val="0"/>
          <w:sz w:val="21"/>
          <w:szCs w:val="21"/>
          <w:highlight w:val="none"/>
          <w:shd w:val="clear" w:color="auto" w:fill="FFFFFF"/>
          <w:lang w:eastAsia="zh-CN"/>
        </w:rPr>
        <w:t>（</w:t>
      </w:r>
      <w:r>
        <w:rPr>
          <w:rFonts w:hint="eastAsia" w:ascii="宋体" w:hAnsi="宋体" w:eastAsia="宋体" w:cs="宋体"/>
          <w:i w:val="0"/>
          <w:iCs w:val="0"/>
          <w:caps w:val="0"/>
          <w:snapToGrid/>
          <w:color w:val="auto"/>
          <w:spacing w:val="0"/>
          <w:sz w:val="21"/>
          <w:szCs w:val="21"/>
          <w:highlight w:val="none"/>
          <w:shd w:val="clear" w:color="auto" w:fill="FFFFFF"/>
          <w:lang w:val="en-US" w:eastAsia="zh-CN"/>
        </w:rPr>
        <w:t>4</w:t>
      </w:r>
      <w:r>
        <w:rPr>
          <w:rFonts w:hint="eastAsia" w:ascii="宋体" w:hAnsi="宋体" w:eastAsia="宋体" w:cs="宋体"/>
          <w:i w:val="0"/>
          <w:iCs w:val="0"/>
          <w:caps w:val="0"/>
          <w:snapToGrid/>
          <w:color w:val="auto"/>
          <w:spacing w:val="0"/>
          <w:sz w:val="21"/>
          <w:szCs w:val="21"/>
          <w:highlight w:val="none"/>
          <w:shd w:val="clear" w:color="auto" w:fill="FFFFFF"/>
          <w:lang w:eastAsia="zh-CN"/>
        </w:rPr>
        <w:t>）</w:t>
      </w:r>
      <w:r>
        <w:rPr>
          <w:rFonts w:hint="eastAsia" w:ascii="宋体" w:hAnsi="宋体" w:eastAsia="宋体" w:cs="宋体"/>
          <w:i w:val="0"/>
          <w:iCs w:val="0"/>
          <w:caps w:val="0"/>
          <w:snapToGrid/>
          <w:color w:val="auto"/>
          <w:spacing w:val="0"/>
          <w:sz w:val="21"/>
          <w:szCs w:val="21"/>
          <w:highlight w:val="none"/>
          <w:shd w:val="clear" w:color="auto" w:fill="FFFFFF"/>
        </w:rPr>
        <w:t>评审委员会基于专业判断，认为供应商报价过低，有可能影响产品质量或者不能诚信履约的其他情形。 </w:t>
      </w:r>
    </w:p>
    <w:p w14:paraId="096F5C07">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color w:val="auto"/>
          <w:kern w:val="2"/>
          <w:szCs w:val="21"/>
          <w:highlight w:val="none"/>
          <w:lang w:eastAsia="zh-CN"/>
        </w:rPr>
      </w:pPr>
      <w:bookmarkStart w:id="7" w:name="_Toc13532"/>
      <w:r>
        <w:rPr>
          <w:rFonts w:hint="eastAsia" w:ascii="宋体" w:hAnsi="宋体" w:eastAsia="宋体" w:cs="宋体"/>
          <w:snapToGrid/>
          <w:color w:val="auto"/>
          <w:kern w:val="2"/>
          <w:szCs w:val="24"/>
          <w:highlight w:val="none"/>
          <w:lang w:eastAsia="zh-CN"/>
        </w:rPr>
        <w:t>评审委员会启动异常低价投标（响应）审查后，属于前述第1项至第4项情形的，应当要求相关供应商在评审委员会要求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投标（响应）供应商不能提供书面说明、证明材料，或者提供的书面说明、证明材料不能证明其报价合理性的，评审委员会应当将其作为无效投标（响应）处理。 异常低价投标（响应）审查的启动原因、审查意见和审查结果应当在评审报告中记录。</w:t>
      </w:r>
      <w:bookmarkEnd w:id="7"/>
    </w:p>
    <w:p w14:paraId="7EC7B639">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20.9 评审报告</w:t>
      </w:r>
    </w:p>
    <w:p w14:paraId="2E626F13">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谈判小组应当从质量和服务均能满足谈判文件全部实质性响应要求的供应商中，按照评审报价（最后报价及享受政府采购政策的优惠扣除）由低到高的顺序提出3名以上（含3名）成交候选人，并编写评审报告。</w:t>
      </w:r>
    </w:p>
    <w:p w14:paraId="2C43F803">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20.10 在评审过程中出现法律法规和谈判文件均没有明确规定的情形时，由谈判小组现场协商解决，协商不一致的，由全体谈判小组投票表决，以得票率二分之一以上专家的意见为准。</w:t>
      </w:r>
    </w:p>
    <w:p w14:paraId="1C80C286">
      <w:pPr>
        <w:widowControl w:val="0"/>
        <w:kinsoku/>
        <w:autoSpaceDE/>
        <w:autoSpaceDN/>
        <w:adjustRightInd/>
        <w:snapToGrid/>
        <w:spacing w:line="360" w:lineRule="auto"/>
        <w:ind w:firstLine="420" w:firstLineChars="200"/>
        <w:jc w:val="both"/>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20.11采购代理机构发现谈判小组有明显的违规倾向或歧视现象，或不按评审办法进行，或其他不正常行为的，应当及时制止。如制止无效，应及时向本级政府采购监督管理机构报告。</w:t>
      </w:r>
    </w:p>
    <w:p w14:paraId="119201F8">
      <w:pPr>
        <w:widowControl w:val="0"/>
        <w:kinsoku/>
        <w:autoSpaceDE/>
        <w:autoSpaceDN/>
        <w:adjustRightInd/>
        <w:snapToGrid/>
        <w:spacing w:line="360" w:lineRule="auto"/>
        <w:ind w:firstLine="420" w:firstLineChars="200"/>
        <w:jc w:val="both"/>
        <w:textAlignment w:val="auto"/>
        <w:rPr>
          <w:rFonts w:hint="eastAsia" w:ascii="宋体" w:hAnsi="宋体" w:eastAsia="宋体" w:cs="宋体"/>
          <w:b/>
          <w:bCs/>
          <w:snapToGrid/>
          <w:color w:val="auto"/>
          <w:kern w:val="2"/>
          <w:szCs w:val="21"/>
          <w:highlight w:val="none"/>
          <w:lang w:eastAsia="zh-CN"/>
        </w:rPr>
      </w:pPr>
      <w:r>
        <w:rPr>
          <w:rFonts w:hint="eastAsia" w:ascii="宋体" w:hAnsi="宋体" w:eastAsia="宋体" w:cs="宋体"/>
          <w:snapToGrid/>
          <w:color w:val="auto"/>
          <w:kern w:val="2"/>
          <w:szCs w:val="21"/>
          <w:highlight w:val="none"/>
          <w:lang w:eastAsia="zh-CN"/>
        </w:rPr>
        <w:t>2</w:t>
      </w:r>
      <w:r>
        <w:rPr>
          <w:rFonts w:hint="eastAsia" w:ascii="宋体" w:hAnsi="宋体" w:eastAsia="宋体" w:cs="宋体"/>
          <w:snapToGrid/>
          <w:color w:val="auto"/>
          <w:kern w:val="2"/>
          <w:szCs w:val="21"/>
          <w:highlight w:val="none"/>
          <w:lang w:val="en-US" w:eastAsia="zh-CN"/>
        </w:rPr>
        <w:t>0</w:t>
      </w:r>
      <w:r>
        <w:rPr>
          <w:rFonts w:hint="eastAsia" w:ascii="宋体" w:hAnsi="宋体" w:eastAsia="宋体" w:cs="宋体"/>
          <w:snapToGrid/>
          <w:color w:val="auto"/>
          <w:kern w:val="2"/>
          <w:szCs w:val="21"/>
          <w:highlight w:val="none"/>
          <w:lang w:eastAsia="zh-CN"/>
        </w:rPr>
        <w:t>.1</w:t>
      </w:r>
      <w:r>
        <w:rPr>
          <w:rFonts w:hint="eastAsia" w:ascii="宋体" w:hAnsi="宋体" w:eastAsia="宋体" w:cs="宋体"/>
          <w:snapToGrid/>
          <w:color w:val="auto"/>
          <w:kern w:val="2"/>
          <w:szCs w:val="21"/>
          <w:highlight w:val="none"/>
          <w:lang w:val="en-US" w:eastAsia="zh-CN"/>
        </w:rPr>
        <w:t>2</w:t>
      </w:r>
      <w:r>
        <w:rPr>
          <w:rFonts w:hint="eastAsia" w:ascii="宋体" w:hAnsi="宋体" w:eastAsia="宋体" w:cs="宋体"/>
          <w:snapToGrid/>
          <w:color w:val="auto"/>
          <w:kern w:val="2"/>
          <w:szCs w:val="21"/>
          <w:highlight w:val="none"/>
          <w:lang w:eastAsia="zh-CN"/>
        </w:rPr>
        <w:t>本采购项目的评审依据为竞争性谈判文件和竞争性谈判响应文件，采用的评标方法为</w:t>
      </w:r>
      <w:r>
        <w:rPr>
          <w:rFonts w:hint="eastAsia" w:ascii="宋体" w:hAnsi="宋体" w:eastAsia="宋体" w:cs="宋体"/>
          <w:b/>
          <w:bCs/>
          <w:snapToGrid/>
          <w:color w:val="auto"/>
          <w:kern w:val="2"/>
          <w:szCs w:val="21"/>
          <w:highlight w:val="none"/>
          <w:lang w:eastAsia="zh-CN"/>
        </w:rPr>
        <w:t>最低评标价法。</w:t>
      </w:r>
    </w:p>
    <w:p w14:paraId="0594E789">
      <w:pPr>
        <w:widowControl w:val="0"/>
        <w:kinsoku/>
        <w:autoSpaceDE/>
        <w:autoSpaceDN/>
        <w:adjustRightInd/>
        <w:snapToGrid/>
        <w:spacing w:line="360" w:lineRule="auto"/>
        <w:ind w:firstLine="422" w:firstLineChars="200"/>
        <w:jc w:val="both"/>
        <w:textAlignment w:val="auto"/>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21.推荐及确定成交候选供应商原则</w:t>
      </w:r>
    </w:p>
    <w:p w14:paraId="07327839">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采购单位应当确定谈判小组推荐排名第一的成交候选人为成交供应商。若评审报价相同的，由谈判小组按照采购文件中的技术指标、售后服务承诺书、项目实施方案优劣确定一个供应商获得成交推荐资格，如上诉均相同，则由谈判小组现场抽签决定排序。</w:t>
      </w:r>
    </w:p>
    <w:p w14:paraId="39B5E830">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排名第一的成交候选人放弃成交、因不可抗力提出不能履行合同，或者谈判文件规定应当提交履约保证金而在规定的期限内未能提交的，或因失信行为被取消成交候选人资格的，采购单位可以确定排名第二的成交候选人为成交供应商。</w:t>
      </w:r>
      <w:r>
        <w:rPr>
          <w:rFonts w:hint="eastAsia" w:ascii="宋体" w:hAnsi="宋体" w:eastAsia="宋体" w:cs="宋体"/>
          <w:color w:val="auto"/>
        </w:rPr>
        <w:t>以此类推。</w:t>
      </w:r>
    </w:p>
    <w:p w14:paraId="782D6413">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（3）</w:t>
      </w:r>
      <w:r>
        <w:rPr>
          <w:rFonts w:hint="eastAsia" w:ascii="宋体" w:hAnsi="宋体" w:eastAsia="宋体" w:cs="宋体"/>
          <w:color w:val="auto"/>
        </w:rPr>
        <w:t>谈判小组认为，某竞标人的有效竞标报价或者某些分项报价明显不合理或者低于成本，有可能影响商品质量和不能诚信履约的，应要求其在规定的期限内提供书面文件予以解释说明，并提交相关证明材料；否则，谈判小组可以取消该竞标人的成交候选资格，按顺序由排在后面的成交候选人递补，以此类推。</w:t>
      </w:r>
    </w:p>
    <w:p w14:paraId="46B7E2DF">
      <w:pPr>
        <w:pageBreakBefore w:val="0"/>
        <w:widowControl w:val="0"/>
        <w:overflowPunct/>
        <w:topLinePunct w:val="0"/>
        <w:bidi w:val="0"/>
        <w:spacing w:line="400" w:lineRule="exact"/>
        <w:ind w:firstLine="422" w:firstLineChars="200"/>
        <w:outlineLvl w:val="1"/>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lang w:eastAsia="zh-CN"/>
        </w:rPr>
        <w:t>22.属于下列情况之一者，响应文件无效：</w:t>
      </w:r>
    </w:p>
    <w:p w14:paraId="1F7FF6F0">
      <w:pPr>
        <w:pageBreakBefore w:val="0"/>
        <w:widowControl w:val="0"/>
        <w:overflowPunct/>
        <w:topLinePunct w:val="0"/>
        <w:bidi w:val="0"/>
        <w:spacing w:line="400" w:lineRule="exact"/>
        <w:ind w:firstLine="420" w:firstLineChars="200"/>
        <w:outlineLvl w:val="1"/>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（1）未按谈判文件规定完整提交响应文件或未按规定要求签字、签章的，或未提供授权委托书（委托代理的）；</w:t>
      </w:r>
    </w:p>
    <w:p w14:paraId="38B36F29">
      <w:pPr>
        <w:pageBreakBefore w:val="0"/>
        <w:widowControl w:val="0"/>
        <w:overflowPunct/>
        <w:topLinePunct w:val="0"/>
        <w:bidi w:val="0"/>
        <w:spacing w:line="400" w:lineRule="exact"/>
        <w:ind w:firstLine="420" w:firstLineChars="200"/>
        <w:outlineLvl w:val="1"/>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（2）超越了行政审批的经营范围的；</w:t>
      </w:r>
    </w:p>
    <w:p w14:paraId="3E768988">
      <w:pPr>
        <w:pageBreakBefore w:val="0"/>
        <w:widowControl w:val="0"/>
        <w:overflowPunct/>
        <w:topLinePunct w:val="0"/>
        <w:bidi w:val="0"/>
        <w:spacing w:line="400" w:lineRule="exact"/>
        <w:ind w:firstLine="420" w:firstLineChars="200"/>
        <w:outlineLvl w:val="1"/>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（3）不具备谈判文件规定的资格要求的；</w:t>
      </w:r>
    </w:p>
    <w:p w14:paraId="58759361">
      <w:pPr>
        <w:pageBreakBefore w:val="0"/>
        <w:widowControl w:val="0"/>
        <w:overflowPunct/>
        <w:topLinePunct w:val="0"/>
        <w:bidi w:val="0"/>
        <w:spacing w:line="400" w:lineRule="exact"/>
        <w:ind w:firstLine="420" w:firstLineChars="200"/>
        <w:outlineLvl w:val="1"/>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（4）响应文件未按谈判文件的内容和要求编制，或提供虚假材料的；</w:t>
      </w:r>
    </w:p>
    <w:p w14:paraId="1D1B3C4F">
      <w:pPr>
        <w:pageBreakBefore w:val="0"/>
        <w:widowControl w:val="0"/>
        <w:overflowPunct/>
        <w:topLinePunct w:val="0"/>
        <w:bidi w:val="0"/>
        <w:spacing w:line="400" w:lineRule="exact"/>
        <w:ind w:firstLine="420" w:firstLineChars="200"/>
        <w:outlineLvl w:val="1"/>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（5）响应文件有效期、免费保修期、售后服务承诺不能满足谈判文件要求的；</w:t>
      </w:r>
    </w:p>
    <w:p w14:paraId="3F64B751">
      <w:pPr>
        <w:pageBreakBefore w:val="0"/>
        <w:widowControl w:val="0"/>
        <w:overflowPunct/>
        <w:topLinePunct w:val="0"/>
        <w:bidi w:val="0"/>
        <w:spacing w:line="400" w:lineRule="exact"/>
        <w:ind w:firstLine="420" w:firstLineChars="200"/>
        <w:outlineLvl w:val="1"/>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（6）供应商未就“采购需求”中的所有服务内容作完整唯一报价的；</w:t>
      </w:r>
    </w:p>
    <w:p w14:paraId="3C0A8E91">
      <w:pPr>
        <w:pageBreakBefore w:val="0"/>
        <w:widowControl w:val="0"/>
        <w:overflowPunct/>
        <w:topLinePunct w:val="0"/>
        <w:bidi w:val="0"/>
        <w:spacing w:line="400" w:lineRule="exact"/>
        <w:ind w:firstLine="420" w:firstLineChars="200"/>
        <w:outlineLvl w:val="1"/>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（7）未在谈判小组规定的时间内重新提交响应文件的；</w:t>
      </w:r>
    </w:p>
    <w:p w14:paraId="58877201">
      <w:pPr>
        <w:pageBreakBefore w:val="0"/>
        <w:widowControl w:val="0"/>
        <w:overflowPunct/>
        <w:topLinePunct w:val="0"/>
        <w:bidi w:val="0"/>
        <w:spacing w:line="400" w:lineRule="exact"/>
        <w:ind w:firstLine="420" w:firstLineChars="200"/>
        <w:outlineLvl w:val="1"/>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（8）未满足谈判文件实质性要求的；或者响应文件有采购人不能接受的附加条件的；</w:t>
      </w:r>
    </w:p>
    <w:p w14:paraId="6A24D021">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（9）不符合法律、法规和谈判文件规定的其他实质性要求和条件的。</w:t>
      </w:r>
    </w:p>
    <w:p w14:paraId="753B4D64">
      <w:pPr>
        <w:pageBreakBefore w:val="0"/>
        <w:widowControl w:val="0"/>
        <w:overflowPunct/>
        <w:topLinePunct w:val="0"/>
        <w:bidi w:val="0"/>
        <w:spacing w:line="400" w:lineRule="exact"/>
        <w:ind w:firstLine="422" w:firstLineChars="200"/>
        <w:outlineLvl w:val="1"/>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供应商有下列情形之一的，视为串通参与谈判，响应文件将被视为无效：</w:t>
      </w:r>
    </w:p>
    <w:p w14:paraId="296CCEF7">
      <w:pPr>
        <w:pageBreakBefore w:val="0"/>
        <w:widowControl w:val="0"/>
        <w:overflowPunct/>
        <w:topLinePunct w:val="0"/>
        <w:bidi w:val="0"/>
        <w:spacing w:line="400" w:lineRule="exact"/>
        <w:ind w:firstLine="420" w:firstLineChars="200"/>
        <w:outlineLvl w:val="1"/>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（1）不同供应商的响应文件由同一单位或者个人编制的；</w:t>
      </w:r>
    </w:p>
    <w:p w14:paraId="296C9382">
      <w:pPr>
        <w:pageBreakBefore w:val="0"/>
        <w:widowControl w:val="0"/>
        <w:overflowPunct/>
        <w:topLinePunct w:val="0"/>
        <w:bidi w:val="0"/>
        <w:spacing w:line="400" w:lineRule="exact"/>
        <w:ind w:firstLine="420" w:firstLineChars="200"/>
        <w:outlineLvl w:val="1"/>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（2）不同供应商委托同一单位或者个人办理谈判事宜的；</w:t>
      </w:r>
    </w:p>
    <w:p w14:paraId="25F6C129">
      <w:pPr>
        <w:pageBreakBefore w:val="0"/>
        <w:widowControl w:val="0"/>
        <w:overflowPunct/>
        <w:topLinePunct w:val="0"/>
        <w:bidi w:val="0"/>
        <w:spacing w:line="400" w:lineRule="exact"/>
        <w:ind w:firstLine="420" w:firstLineChars="200"/>
        <w:outlineLvl w:val="1"/>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（3）不同的供应商的响应文件载明的项目管理员为同一个人的；</w:t>
      </w:r>
    </w:p>
    <w:p w14:paraId="594C1E91">
      <w:pPr>
        <w:pageBreakBefore w:val="0"/>
        <w:widowControl w:val="0"/>
        <w:overflowPunct/>
        <w:topLinePunct w:val="0"/>
        <w:bidi w:val="0"/>
        <w:spacing w:line="400" w:lineRule="exact"/>
        <w:ind w:firstLine="420" w:firstLineChars="200"/>
        <w:outlineLvl w:val="1"/>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（4）不同供应商的响应文件异常一致或最后报价呈规律性差异的；</w:t>
      </w:r>
    </w:p>
    <w:p w14:paraId="3B9AD384">
      <w:pPr>
        <w:pageBreakBefore w:val="0"/>
        <w:widowControl w:val="0"/>
        <w:overflowPunct/>
        <w:topLinePunct w:val="0"/>
        <w:bidi w:val="0"/>
        <w:spacing w:line="400" w:lineRule="exact"/>
        <w:ind w:firstLine="420" w:firstLineChars="200"/>
        <w:outlineLvl w:val="1"/>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（5）不同供应商的响应文件相互混装的；</w:t>
      </w:r>
    </w:p>
    <w:p w14:paraId="2CB5AC25">
      <w:pPr>
        <w:pageBreakBefore w:val="0"/>
        <w:widowControl w:val="0"/>
        <w:overflowPunct/>
        <w:topLinePunct w:val="0"/>
        <w:bidi w:val="0"/>
        <w:spacing w:line="400" w:lineRule="exact"/>
        <w:ind w:firstLine="420" w:firstLineChars="200"/>
        <w:outlineLvl w:val="1"/>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（6）谈判文件未作实质性变动，供应商最后报价高于首次报价的</w:t>
      </w:r>
      <w:r>
        <w:rPr>
          <w:rFonts w:hint="eastAsia" w:ascii="宋体" w:hAnsi="宋体" w:eastAsia="宋体" w:cs="宋体"/>
          <w:b/>
          <w:bCs/>
          <w:color w:val="auto"/>
          <w:highlight w:val="none"/>
          <w:lang w:eastAsia="zh-CN"/>
        </w:rPr>
        <w:t>。</w:t>
      </w:r>
    </w:p>
    <w:p w14:paraId="2DDCB859">
      <w:pPr>
        <w:pageBreakBefore w:val="0"/>
        <w:widowControl w:val="0"/>
        <w:overflowPunct/>
        <w:topLinePunct w:val="0"/>
        <w:bidi w:val="0"/>
        <w:spacing w:line="400" w:lineRule="exact"/>
        <w:ind w:firstLine="422" w:firstLineChars="200"/>
        <w:jc w:val="both"/>
        <w:outlineLvl w:val="1"/>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23.出现下列情形之一的，采购人或者采购代理机构应当终止竞争性谈判采购活动，发布项目终止公告并说明原因，重新开展采购活动：</w:t>
      </w:r>
    </w:p>
    <w:p w14:paraId="111E5505">
      <w:pPr>
        <w:pageBreakBefore w:val="0"/>
        <w:widowControl w:val="0"/>
        <w:overflowPunct/>
        <w:topLinePunct w:val="0"/>
        <w:bidi w:val="0"/>
        <w:spacing w:line="400" w:lineRule="exact"/>
        <w:ind w:firstLine="420" w:firstLineChars="200"/>
        <w:outlineLvl w:val="1"/>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（1）因情况变化，不再符合规定的竞争性谈判采购方式适用情形的；</w:t>
      </w:r>
    </w:p>
    <w:p w14:paraId="44E0AD47">
      <w:pPr>
        <w:pageBreakBefore w:val="0"/>
        <w:widowControl w:val="0"/>
        <w:overflowPunct/>
        <w:topLinePunct w:val="0"/>
        <w:bidi w:val="0"/>
        <w:spacing w:line="400" w:lineRule="exact"/>
        <w:ind w:firstLine="420" w:firstLineChars="200"/>
        <w:outlineLvl w:val="1"/>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（2）出现影响采购公正的违法、违规行为的；</w:t>
      </w:r>
    </w:p>
    <w:p w14:paraId="5A58799C">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（3）在采购过程中符合要求的供应商或者报价未超过采购预算的供应商不足3家的。</w:t>
      </w:r>
    </w:p>
    <w:p w14:paraId="089F3B8A">
      <w:pPr>
        <w:pageBreakBefore w:val="0"/>
        <w:widowControl w:val="0"/>
        <w:overflowPunct/>
        <w:topLinePunct w:val="0"/>
        <w:bidi w:val="0"/>
        <w:spacing w:line="400" w:lineRule="exact"/>
        <w:ind w:firstLine="422" w:firstLineChars="200"/>
        <w:jc w:val="both"/>
        <w:outlineLvl w:val="1"/>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24.在采购活动中因重大变故，采购任务取消的，采购人或者采购代理机构应当终止采购活动，通知所有参加采购活动的供应商，并将项目实施情况和采购任务取消原因报送本级财政部门。</w:t>
      </w:r>
    </w:p>
    <w:p w14:paraId="01DBC5F7">
      <w:pPr>
        <w:pageBreakBefore w:val="0"/>
        <w:widowControl w:val="0"/>
        <w:overflowPunct/>
        <w:topLinePunct w:val="0"/>
        <w:bidi w:val="0"/>
        <w:spacing w:line="400" w:lineRule="exact"/>
        <w:ind w:firstLine="422" w:firstLineChars="200"/>
        <w:outlineLvl w:val="1"/>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25.谈判过程的监控</w:t>
      </w:r>
    </w:p>
    <w:p w14:paraId="2825C173">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本项目谈判过程实行全程录音、录像监控，供应商在谈判过程中所进行的试图影响谈判结果的不公正活动，可能导致其响应被拒绝。</w:t>
      </w:r>
    </w:p>
    <w:p w14:paraId="7DB9B304">
      <w:pPr>
        <w:pageBreakBefore w:val="0"/>
        <w:widowControl w:val="0"/>
        <w:overflowPunct/>
        <w:topLinePunct w:val="0"/>
        <w:bidi w:val="0"/>
        <w:spacing w:line="400" w:lineRule="exact"/>
        <w:ind w:firstLine="422" w:firstLineChars="200"/>
        <w:outlineLvl w:val="1"/>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26.</w:t>
      </w:r>
      <w:r>
        <w:rPr>
          <w:rFonts w:hint="eastAsia" w:ascii="宋体" w:hAnsi="宋体" w:eastAsia="宋体" w:cs="宋体"/>
          <w:color w:val="auto"/>
          <w:highlight w:val="none"/>
          <w:lang w:eastAsia="zh-CN"/>
        </w:rPr>
        <w:t xml:space="preserve"> </w:t>
      </w:r>
      <w:r>
        <w:rPr>
          <w:rFonts w:hint="eastAsia" w:ascii="宋体" w:hAnsi="宋体" w:eastAsia="宋体" w:cs="宋体"/>
          <w:b/>
          <w:bCs/>
          <w:color w:val="auto"/>
          <w:highlight w:val="none"/>
          <w:lang w:eastAsia="zh-CN"/>
        </w:rPr>
        <w:t>信用查询</w:t>
      </w:r>
    </w:p>
    <w:p w14:paraId="4E312A08">
      <w:pPr>
        <w:pageBreakBefore w:val="0"/>
        <w:widowControl w:val="0"/>
        <w:overflowPunct/>
        <w:topLinePunct w:val="0"/>
        <w:bidi w:val="0"/>
        <w:spacing w:line="400" w:lineRule="exact"/>
        <w:ind w:firstLine="420" w:firstLineChars="200"/>
        <w:jc w:val="both"/>
        <w:outlineLvl w:val="1"/>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根据《关于做好政府采购有关信用主体标识码登记及在政府采购活动中查询使用信用记录有关问题的通知》（桂财采〔2016〕37），由采购代理机构对第一成交候选人进行信用查询：</w:t>
      </w:r>
    </w:p>
    <w:p w14:paraId="63E77C45">
      <w:pPr>
        <w:pageBreakBefore w:val="0"/>
        <w:widowControl w:val="0"/>
        <w:kinsoku/>
        <w:wordWrap w:val="0"/>
        <w:overflowPunct/>
        <w:topLinePunct w:val="0"/>
        <w:bidi w:val="0"/>
        <w:spacing w:line="400" w:lineRule="exact"/>
        <w:ind w:firstLine="420" w:firstLineChars="200"/>
        <w:outlineLvl w:val="1"/>
        <w:rPr>
          <w:rFonts w:hint="eastAsia" w:ascii="宋体" w:hAnsi="宋体" w:eastAsia="宋体" w:cs="宋体"/>
          <w:color w:val="auto"/>
          <w:highlight w:val="none"/>
        </w:rPr>
      </w:pPr>
      <w:r>
        <w:rPr>
          <w:rFonts w:hint="eastAsia" w:ascii="宋体" w:hAnsi="宋体" w:eastAsia="宋体" w:cs="宋体"/>
          <w:color w:val="auto"/>
          <w:highlight w:val="none"/>
        </w:rPr>
        <w:t>⑴查询渠道：“信用中国”网站(</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"https://www.creditchina.gov.cn"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www.creditchina.gov.cn</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t>)、中国政府采购网(</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"https://www.ccgp.gov.cn"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www.ccgp.gov.cn</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t>)等；</w:t>
      </w:r>
    </w:p>
    <w:p w14:paraId="7DCC277E">
      <w:pPr>
        <w:pageBreakBefore w:val="0"/>
        <w:widowControl w:val="0"/>
        <w:overflowPunct/>
        <w:topLinePunct w:val="0"/>
        <w:bidi w:val="0"/>
        <w:spacing w:line="400" w:lineRule="exact"/>
        <w:ind w:firstLine="420" w:firstLineChars="200"/>
        <w:outlineLvl w:val="1"/>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⑵查询截止时间：成交通知书发出前；</w:t>
      </w:r>
    </w:p>
    <w:p w14:paraId="0117BCD3">
      <w:pPr>
        <w:pageBreakBefore w:val="0"/>
        <w:widowControl w:val="0"/>
        <w:overflowPunct/>
        <w:topLinePunct w:val="0"/>
        <w:bidi w:val="0"/>
        <w:spacing w:line="400" w:lineRule="exact"/>
        <w:ind w:firstLine="420" w:firstLineChars="200"/>
        <w:jc w:val="both"/>
        <w:outlineLvl w:val="1"/>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⑶信用信息查询记录和证据留存方式：在查询网站中直接打印查询记录，打印材料作为采购活动资料保存；</w:t>
      </w:r>
    </w:p>
    <w:p w14:paraId="7CA949A6">
      <w:pPr>
        <w:pageBreakBefore w:val="0"/>
        <w:widowControl w:val="0"/>
        <w:overflowPunct/>
        <w:topLinePunct w:val="0"/>
        <w:bidi w:val="0"/>
        <w:spacing w:line="400" w:lineRule="exact"/>
        <w:ind w:firstLine="420" w:firstLineChars="200"/>
        <w:jc w:val="both"/>
        <w:outlineLvl w:val="1"/>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⑷信用信息使用规则：对在“信用中国”网站(</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"https://www.creditchina.gov.cn"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lang w:eastAsia="zh-CN"/>
        </w:rPr>
        <w:t>www.creditchina.gov.cn</w:t>
      </w:r>
      <w:r>
        <w:rPr>
          <w:rFonts w:hint="eastAsia" w:ascii="宋体" w:hAnsi="宋体" w:eastAsia="宋体" w:cs="宋体"/>
          <w:color w:val="auto"/>
          <w:highlight w:val="none"/>
          <w:lang w:eastAsia="zh-CN"/>
        </w:rPr>
        <w:fldChar w:fldCharType="end"/>
      </w:r>
      <w:r>
        <w:rPr>
          <w:rFonts w:hint="eastAsia" w:ascii="宋体" w:hAnsi="宋体" w:eastAsia="宋体" w:cs="宋体"/>
          <w:color w:val="auto"/>
          <w:highlight w:val="none"/>
          <w:lang w:eastAsia="zh-CN"/>
        </w:rPr>
        <w:t>)、中国政府采购网(</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"https://www.ccgp.gov.cn"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lang w:eastAsia="zh-CN"/>
        </w:rPr>
        <w:t>www.ccgp.gov.cn</w:t>
      </w:r>
      <w:r>
        <w:rPr>
          <w:rFonts w:hint="eastAsia" w:ascii="宋体" w:hAnsi="宋体" w:eastAsia="宋体" w:cs="宋体"/>
          <w:color w:val="auto"/>
          <w:highlight w:val="none"/>
          <w:lang w:eastAsia="zh-CN"/>
        </w:rPr>
        <w:fldChar w:fldCharType="end"/>
      </w:r>
      <w:r>
        <w:rPr>
          <w:rFonts w:hint="eastAsia" w:ascii="宋体" w:hAnsi="宋体" w:eastAsia="宋体" w:cs="宋体"/>
          <w:color w:val="auto"/>
          <w:highlight w:val="none"/>
          <w:lang w:eastAsia="zh-CN"/>
        </w:rPr>
        <w:t>)等渠道列入失信被执行人、重大税收违法案件当事人名单、政府采购严重违法失信行为记录名单及其他不符合《中华人民共和国政府采购法》第二十二条规定条件的供应商，取消其成交候选人资格。</w:t>
      </w:r>
    </w:p>
    <w:p w14:paraId="460C329A">
      <w:pPr>
        <w:pageBreakBefore w:val="0"/>
        <w:widowControl w:val="0"/>
        <w:overflowPunct/>
        <w:topLinePunct w:val="0"/>
        <w:bidi w:val="0"/>
        <w:spacing w:line="400" w:lineRule="exact"/>
        <w:ind w:firstLine="422" w:firstLineChars="200"/>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27.成交公告及成交通知书</w:t>
      </w:r>
    </w:p>
    <w:p w14:paraId="35ABFBE8">
      <w:pPr>
        <w:pageBreakBefore w:val="0"/>
        <w:widowControl w:val="0"/>
        <w:overflowPunct/>
        <w:topLinePunct w:val="0"/>
        <w:bidi w:val="0"/>
        <w:spacing w:line="400" w:lineRule="exact"/>
        <w:ind w:firstLine="420" w:firstLineChars="200"/>
        <w:jc w:val="both"/>
        <w:outlineLvl w:val="1"/>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27.1 采购代理机构于评审结束后两个工作日内将评审报告送交采购人，采购人应当自收到评审报告五个工作日内在评审报告推荐的成交候选供应商中按顺序确定成交供应商，采购代理机构在成交供应商确定之日起两个工作日内发出成交通知书，并在指定媒体上公告成交信息。</w:t>
      </w:r>
    </w:p>
    <w:p w14:paraId="26F3AE55">
      <w:pPr>
        <w:pageBreakBefore w:val="0"/>
        <w:widowControl w:val="0"/>
        <w:overflowPunct/>
        <w:topLinePunct w:val="0"/>
        <w:bidi w:val="0"/>
        <w:spacing w:line="400" w:lineRule="exact"/>
        <w:ind w:firstLine="420" w:firstLineChars="200"/>
        <w:jc w:val="both"/>
        <w:outlineLvl w:val="1"/>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27.2 中小企业在政府采购活动过程中，请根据自己的真实情况出具《中小企业声明函》。采购人或采购代理机构在公告成交结果时，同时公告其《中小企业声明函》，接受社会监督。</w:t>
      </w:r>
    </w:p>
    <w:p w14:paraId="667FE17C">
      <w:pPr>
        <w:pageBreakBefore w:val="0"/>
        <w:widowControl w:val="0"/>
        <w:overflowPunct/>
        <w:topLinePunct w:val="0"/>
        <w:bidi w:val="0"/>
        <w:spacing w:line="400" w:lineRule="exact"/>
        <w:ind w:firstLine="420" w:firstLineChars="200"/>
        <w:jc w:val="both"/>
        <w:outlineLvl w:val="1"/>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27.3 在发布成交公告的同时，采购代理机构向成交供应商发出成交通知书。成交供应商应自接到通知之日起七个工作日内，办理成交通知书领取手续。</w:t>
      </w:r>
    </w:p>
    <w:p w14:paraId="294FBFD3">
      <w:pPr>
        <w:pageBreakBefore w:val="0"/>
        <w:widowControl w:val="0"/>
        <w:overflowPunct/>
        <w:topLinePunct w:val="0"/>
        <w:bidi w:val="0"/>
        <w:spacing w:line="400" w:lineRule="exact"/>
        <w:ind w:firstLine="420" w:firstLineChars="200"/>
        <w:outlineLvl w:val="1"/>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27.4 采购代理机构无义务向未成交的供应商解释未成交原因和退还响应文件。</w:t>
      </w:r>
    </w:p>
    <w:p w14:paraId="7CA3BD02">
      <w:pPr>
        <w:pageBreakBefore w:val="0"/>
        <w:widowControl w:val="0"/>
        <w:overflowPunct/>
        <w:topLinePunct w:val="0"/>
        <w:bidi w:val="0"/>
        <w:spacing w:line="400" w:lineRule="exact"/>
        <w:jc w:val="center"/>
        <w:rPr>
          <w:rFonts w:hint="eastAsia" w:ascii="宋体" w:hAnsi="宋体" w:eastAsia="宋体" w:cs="宋体"/>
          <w:b/>
          <w:bCs/>
          <w:color w:val="auto"/>
          <w:sz w:val="28"/>
          <w:szCs w:val="28"/>
          <w:highlight w:val="none"/>
          <w:lang w:eastAsia="zh-CN"/>
        </w:rPr>
      </w:pPr>
    </w:p>
    <w:p w14:paraId="44FC7050">
      <w:pPr>
        <w:pageBreakBefore w:val="0"/>
        <w:widowControl w:val="0"/>
        <w:overflowPunct/>
        <w:topLinePunct w:val="0"/>
        <w:bidi w:val="0"/>
        <w:spacing w:line="400" w:lineRule="exact"/>
        <w:jc w:val="center"/>
        <w:rPr>
          <w:rFonts w:hint="eastAsia" w:ascii="宋体" w:hAnsi="宋体" w:eastAsia="宋体" w:cs="宋体"/>
          <w:b/>
          <w:bCs/>
          <w:color w:val="auto"/>
          <w:sz w:val="28"/>
          <w:szCs w:val="28"/>
          <w:highlight w:val="none"/>
          <w:lang w:eastAsia="zh-CN"/>
        </w:rPr>
      </w:pPr>
    </w:p>
    <w:p w14:paraId="7275AC1C">
      <w:pPr>
        <w:pageBreakBefore w:val="0"/>
        <w:widowControl w:val="0"/>
        <w:overflowPunct/>
        <w:topLinePunct w:val="0"/>
        <w:bidi w:val="0"/>
        <w:spacing w:line="400" w:lineRule="exact"/>
        <w:jc w:val="center"/>
        <w:rPr>
          <w:rFonts w:hint="eastAsia" w:ascii="宋体" w:hAnsi="宋体" w:eastAsia="宋体" w:cs="宋体"/>
          <w:color w:val="auto"/>
          <w:sz w:val="28"/>
          <w:szCs w:val="28"/>
          <w:highlight w:val="none"/>
          <w:lang w:eastAsia="zh-CN"/>
        </w:rPr>
      </w:pPr>
      <w:r>
        <w:rPr>
          <w:rFonts w:hint="eastAsia" w:ascii="宋体" w:hAnsi="宋体" w:eastAsia="宋体" w:cs="宋体"/>
          <w:b/>
          <w:bCs/>
          <w:color w:val="auto"/>
          <w:sz w:val="28"/>
          <w:szCs w:val="28"/>
          <w:highlight w:val="none"/>
          <w:lang w:eastAsia="zh-CN"/>
        </w:rPr>
        <w:t>五、签订合同</w:t>
      </w:r>
    </w:p>
    <w:p w14:paraId="4E51DE13">
      <w:pPr>
        <w:pageBreakBefore w:val="0"/>
        <w:widowControl w:val="0"/>
        <w:overflowPunct/>
        <w:topLinePunct w:val="0"/>
        <w:bidi w:val="0"/>
        <w:spacing w:line="400" w:lineRule="exact"/>
        <w:ind w:firstLine="422" w:firstLineChars="200"/>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28.履约保证金</w:t>
      </w:r>
    </w:p>
    <w:p w14:paraId="5BBDF0D2">
      <w:pPr>
        <w:pageBreakBefore w:val="0"/>
        <w:overflowPunct/>
        <w:topLinePunct w:val="0"/>
        <w:bidi w:val="0"/>
        <w:spacing w:line="400" w:lineRule="exact"/>
        <w:ind w:firstLine="411" w:firstLineChars="196"/>
        <w:rPr>
          <w:rFonts w:hint="eastAsia" w:ascii="宋体" w:hAnsi="宋体" w:eastAsia="宋体" w:cs="宋体"/>
          <w:bCs/>
          <w:color w:val="auto"/>
          <w:highlight w:val="none"/>
          <w:lang w:val="en-US" w:eastAsia="zh-CN"/>
        </w:rPr>
      </w:pPr>
      <w:r>
        <w:rPr>
          <w:rFonts w:hint="eastAsia" w:ascii="宋体" w:hAnsi="宋体" w:eastAsia="宋体" w:cs="宋体"/>
          <w:color w:val="auto"/>
        </w:rPr>
        <w:t>28.1 履约保证金：</w:t>
      </w:r>
      <w:r>
        <w:rPr>
          <w:rFonts w:hint="eastAsia" w:ascii="宋体" w:hAnsi="宋体" w:eastAsia="宋体" w:cs="宋体"/>
          <w:color w:val="auto"/>
          <w:szCs w:val="21"/>
        </w:rPr>
        <w:t>本项目免收履约保证金</w:t>
      </w:r>
      <w:r>
        <w:rPr>
          <w:rFonts w:hint="eastAsia" w:ascii="宋体" w:hAnsi="宋体" w:eastAsia="宋体" w:cs="宋体"/>
          <w:color w:val="auto"/>
          <w:szCs w:val="21"/>
          <w:lang w:eastAsia="zh-CN"/>
        </w:rPr>
        <w:t>。</w:t>
      </w:r>
    </w:p>
    <w:p w14:paraId="492B49A6">
      <w:pPr>
        <w:pageBreakBefore w:val="0"/>
        <w:widowControl w:val="0"/>
        <w:overflowPunct/>
        <w:topLinePunct w:val="0"/>
        <w:bidi w:val="0"/>
        <w:spacing w:line="400" w:lineRule="exact"/>
        <w:ind w:firstLine="422" w:firstLineChars="200"/>
        <w:outlineLvl w:val="1"/>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29.签订合同</w:t>
      </w:r>
    </w:p>
    <w:p w14:paraId="2E5C59EB">
      <w:pPr>
        <w:pageBreakBefore w:val="0"/>
        <w:widowControl w:val="0"/>
        <w:overflowPunct/>
        <w:topLinePunct w:val="0"/>
        <w:bidi w:val="0"/>
        <w:spacing w:line="400" w:lineRule="exact"/>
        <w:ind w:firstLine="420" w:firstLineChars="200"/>
        <w:jc w:val="both"/>
        <w:outlineLvl w:val="1"/>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29.1 签订合同时间：成交通知书发出之日起八个工作日内。成交供应商领取成交通知书后，应按规定与采购人签订合同。</w:t>
      </w:r>
    </w:p>
    <w:p w14:paraId="6841376E">
      <w:pPr>
        <w:pageBreakBefore w:val="0"/>
        <w:widowControl w:val="0"/>
        <w:overflowPunct/>
        <w:topLinePunct w:val="0"/>
        <w:bidi w:val="0"/>
        <w:spacing w:line="400" w:lineRule="exact"/>
        <w:ind w:firstLine="420" w:firstLineChars="200"/>
        <w:jc w:val="both"/>
        <w:outlineLvl w:val="1"/>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29.2 如成交供应商有下列情形之一，情节严重的，由财政部门将其列入不良行为记录名单，在一至三年内禁止参加政府采购活动，并予以通报。采购代理机构可从谈判小组推荐的成交候选供应商中按顺序重新确定成交供应商或重新组织采购。拒绝签订政府采购合同的成交供应商不得参加对该项目重新开展的采购活动。</w:t>
      </w:r>
    </w:p>
    <w:p w14:paraId="511646C1">
      <w:pPr>
        <w:pageBreakBefore w:val="0"/>
        <w:widowControl w:val="0"/>
        <w:overflowPunct/>
        <w:topLinePunct w:val="0"/>
        <w:bidi w:val="0"/>
        <w:spacing w:line="400" w:lineRule="exact"/>
        <w:ind w:firstLine="420" w:firstLineChars="200"/>
        <w:outlineLvl w:val="1"/>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（1）成交后不与采购人签订合同的（不可抗力除外）；</w:t>
      </w:r>
    </w:p>
    <w:p w14:paraId="36AFED72">
      <w:pPr>
        <w:pageBreakBefore w:val="0"/>
        <w:widowControl w:val="0"/>
        <w:overflowPunct/>
        <w:topLinePunct w:val="0"/>
        <w:bidi w:val="0"/>
        <w:spacing w:line="400" w:lineRule="exact"/>
        <w:ind w:firstLine="420" w:firstLineChars="200"/>
        <w:outlineLvl w:val="1"/>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（2）将成交项目转让给他人，或者在响应文件中未说明，且未经采购人同意，将成交项目分包给他人的；</w:t>
      </w:r>
    </w:p>
    <w:p w14:paraId="010A80F0">
      <w:pPr>
        <w:pageBreakBefore w:val="0"/>
        <w:widowControl w:val="0"/>
        <w:overflowPunct/>
        <w:topLinePunct w:val="0"/>
        <w:bidi w:val="0"/>
        <w:spacing w:line="400" w:lineRule="exact"/>
        <w:ind w:firstLine="420" w:firstLineChars="200"/>
        <w:outlineLvl w:val="1"/>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（3）拒绝履行合同义务的。</w:t>
      </w:r>
    </w:p>
    <w:p w14:paraId="2ED090A1">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29.3 合同备案存档：政府采购合同双方自签订之日起一个工作日内将合同原件一份交采购代理机构，采购代理机构将政府采购合同在省级以上人民政府财政部门指定媒体上公告。采购人于合同签订之日起七个工作日内将一份合同原件送本级财政部门备案，一份由</w:t>
      </w:r>
      <w:r>
        <w:rPr>
          <w:rFonts w:hint="eastAsia" w:ascii="宋体" w:hAnsi="宋体" w:eastAsia="宋体" w:cs="宋体"/>
          <w:color w:val="auto"/>
          <w:kern w:val="0"/>
          <w:szCs w:val="21"/>
        </w:rPr>
        <w:t>采购代理机构</w:t>
      </w:r>
      <w:r>
        <w:rPr>
          <w:rFonts w:hint="eastAsia" w:ascii="宋体" w:hAnsi="宋体" w:eastAsia="宋体" w:cs="宋体"/>
          <w:color w:val="auto"/>
          <w:highlight w:val="none"/>
          <w:lang w:eastAsia="zh-CN"/>
        </w:rPr>
        <w:t>存档。</w:t>
      </w:r>
    </w:p>
    <w:p w14:paraId="61158074">
      <w:pPr>
        <w:pageBreakBefore w:val="0"/>
        <w:widowControl w:val="0"/>
        <w:overflowPunct/>
        <w:topLinePunct w:val="0"/>
        <w:bidi w:val="0"/>
        <w:spacing w:line="400" w:lineRule="exact"/>
        <w:jc w:val="center"/>
        <w:rPr>
          <w:rFonts w:hint="eastAsia" w:ascii="宋体" w:hAnsi="宋体" w:eastAsia="宋体" w:cs="宋体"/>
          <w:b/>
          <w:bCs/>
          <w:color w:val="auto"/>
          <w:sz w:val="28"/>
          <w:szCs w:val="28"/>
          <w:highlight w:val="none"/>
          <w:lang w:eastAsia="zh-CN"/>
        </w:rPr>
      </w:pPr>
    </w:p>
    <w:p w14:paraId="0E5E785C">
      <w:pPr>
        <w:pageBreakBefore w:val="0"/>
        <w:widowControl w:val="0"/>
        <w:overflowPunct/>
        <w:topLinePunct w:val="0"/>
        <w:bidi w:val="0"/>
        <w:spacing w:line="400" w:lineRule="exact"/>
        <w:jc w:val="center"/>
        <w:rPr>
          <w:rFonts w:hint="eastAsia" w:ascii="宋体" w:hAnsi="宋体" w:eastAsia="宋体" w:cs="宋体"/>
          <w:color w:val="auto"/>
          <w:sz w:val="28"/>
          <w:szCs w:val="28"/>
          <w:highlight w:val="none"/>
          <w:lang w:eastAsia="zh-CN"/>
        </w:rPr>
      </w:pPr>
      <w:r>
        <w:rPr>
          <w:rFonts w:hint="eastAsia" w:ascii="宋体" w:hAnsi="宋体" w:eastAsia="宋体" w:cs="宋体"/>
          <w:b/>
          <w:bCs/>
          <w:color w:val="auto"/>
          <w:sz w:val="28"/>
          <w:szCs w:val="28"/>
          <w:highlight w:val="none"/>
          <w:lang w:eastAsia="zh-CN"/>
        </w:rPr>
        <w:t>六、其他事项</w:t>
      </w:r>
    </w:p>
    <w:p w14:paraId="58835890">
      <w:pPr>
        <w:pageBreakBefore w:val="0"/>
        <w:widowControl w:val="0"/>
        <w:overflowPunct/>
        <w:topLinePunct w:val="0"/>
        <w:bidi w:val="0"/>
        <w:spacing w:line="400" w:lineRule="exact"/>
        <w:ind w:firstLine="422" w:firstLineChars="200"/>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30.采购代理服务费</w:t>
      </w:r>
    </w:p>
    <w:p w14:paraId="0B7B6629">
      <w:pPr>
        <w:pageBreakBefore w:val="0"/>
        <w:overflowPunct/>
        <w:topLinePunct w:val="0"/>
        <w:bidi w:val="0"/>
        <w:snapToGrid w:val="0"/>
        <w:spacing w:line="400" w:lineRule="exact"/>
        <w:ind w:firstLine="411" w:firstLineChars="196"/>
        <w:outlineLvl w:val="4"/>
        <w:rPr>
          <w:rFonts w:hint="eastAsia" w:ascii="宋体" w:hAnsi="宋体" w:eastAsia="宋体" w:cs="宋体"/>
          <w:color w:val="auto"/>
          <w:kern w:val="0"/>
          <w:szCs w:val="21"/>
        </w:rPr>
      </w:pPr>
      <w:r>
        <w:rPr>
          <w:rFonts w:hint="eastAsia" w:ascii="宋体" w:hAnsi="宋体" w:eastAsia="宋体" w:cs="宋体"/>
          <w:color w:val="auto"/>
          <w:kern w:val="0"/>
          <w:szCs w:val="21"/>
        </w:rPr>
        <w:t>30.1</w:t>
      </w:r>
      <w:r>
        <w:rPr>
          <w:rFonts w:hint="eastAsia" w:ascii="宋体" w:hAnsi="宋体" w:eastAsia="宋体" w:cs="宋体"/>
          <w:snapToGrid w:val="0"/>
          <w:color w:val="auto"/>
          <w:spacing w:val="4"/>
          <w:kern w:val="0"/>
          <w:sz w:val="21"/>
          <w:szCs w:val="21"/>
          <w:highlight w:val="none"/>
          <w:lang w:val="en-US" w:eastAsia="en-US" w:bidi="ar-SA"/>
        </w:rPr>
        <w:t>成交供应商领取成交通知书前，向大华建设项目管理有限公司一次性付清采购代理服务费。本项目采购代理服务收费标准参照计价格[2002]1980号《招标代理服务收费管理暂行办法》</w:t>
      </w:r>
      <w:r>
        <w:rPr>
          <w:rFonts w:hint="eastAsia" w:ascii="宋体" w:hAnsi="宋体" w:eastAsia="宋体" w:cs="宋体"/>
          <w:snapToGrid w:val="0"/>
          <w:color w:val="auto"/>
          <w:spacing w:val="4"/>
          <w:kern w:val="0"/>
          <w:sz w:val="21"/>
          <w:szCs w:val="21"/>
          <w:highlight w:val="none"/>
          <w:lang w:val="en-US" w:eastAsia="zh-CN" w:bidi="ar-SA"/>
        </w:rPr>
        <w:t>货物</w:t>
      </w:r>
      <w:r>
        <w:rPr>
          <w:rFonts w:hint="eastAsia" w:ascii="宋体" w:hAnsi="宋体" w:eastAsia="宋体" w:cs="宋体"/>
          <w:snapToGrid w:val="0"/>
          <w:color w:val="auto"/>
          <w:spacing w:val="4"/>
          <w:kern w:val="0"/>
          <w:sz w:val="21"/>
          <w:szCs w:val="21"/>
          <w:highlight w:val="none"/>
          <w:lang w:val="en-US" w:eastAsia="en-US" w:bidi="ar-SA"/>
        </w:rPr>
        <w:t>类收费标准向成交供应商收取。</w:t>
      </w:r>
    </w:p>
    <w:p w14:paraId="37F0A82A">
      <w:pPr>
        <w:pageBreakBefore w:val="0"/>
        <w:overflowPunct/>
        <w:topLinePunct w:val="0"/>
        <w:bidi w:val="0"/>
        <w:spacing w:line="400" w:lineRule="exact"/>
        <w:ind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30.2代理服务收费标准：</w:t>
      </w:r>
    </w:p>
    <w:tbl>
      <w:tblPr>
        <w:tblStyle w:val="20"/>
        <w:tblW w:w="9006"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0"/>
        <w:gridCol w:w="1841"/>
        <w:gridCol w:w="1992"/>
        <w:gridCol w:w="2293"/>
      </w:tblGrid>
      <w:tr w14:paraId="75511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2880" w:type="dxa"/>
            <w:vAlign w:val="top"/>
          </w:tcPr>
          <w:p w14:paraId="32F1232B">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mc:AlternateContent>
                <mc:Choice Requires="wps">
                  <w:drawing>
                    <wp:anchor distT="0" distB="0" distL="114300" distR="114300" simplePos="0" relativeHeight="251659264" behindDoc="0" locked="0" layoutInCell="1" allowOverlap="1">
                      <wp:simplePos x="0" y="0"/>
                      <wp:positionH relativeFrom="column">
                        <wp:posOffset>296545</wp:posOffset>
                      </wp:positionH>
                      <wp:positionV relativeFrom="paragraph">
                        <wp:posOffset>10795</wp:posOffset>
                      </wp:positionV>
                      <wp:extent cx="1463675" cy="653415"/>
                      <wp:effectExtent l="1905" t="4445" r="12700" b="12700"/>
                      <wp:wrapNone/>
                      <wp:docPr id="6" name="直接连接符 6"/>
                      <wp:cNvGraphicFramePr/>
                      <a:graphic xmlns:a="http://schemas.openxmlformats.org/drawingml/2006/main">
                        <a:graphicData uri="http://schemas.microsoft.com/office/word/2010/wordprocessingShape">
                          <wps:wsp>
                            <wps:cNvCnPr/>
                            <wps:spPr>
                              <a:xfrm>
                                <a:off x="0" y="0"/>
                                <a:ext cx="1463675" cy="65341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23.35pt;margin-top:0.85pt;height:51.45pt;width:115.25pt;z-index:251659264;mso-width-relative:page;mso-height-relative:page;" filled="f" stroked="t" coordsize="21600,21600" o:gfxdata="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UgFTNNYAAAAIAQAADwAAAAAAAAABACAAAAAiAAAAZHJzL2Rvd25yZXYu&#10;eG1sUEsBAhQAFAAAAAgAh07iQMNkmTL9AQAA9wMAAA4AAAAAAAAAAQAgAAAAJQEAAGRycy9lMm9E&#10;b2MueG1sUEsFBgAAAAAGAAYAWQEAAJQFAAAAAA==&#10;">
                      <v:fill on="f" focussize="0,0"/>
                      <v:stroke color="#000000" joinstyle="round"/>
                      <v:imagedata o:title=""/>
                      <o:lock v:ext="edit" aspectratio="f"/>
                    </v:line>
                  </w:pict>
                </mc:Fallback>
              </mc:AlternateContent>
            </w:r>
            <w:r>
              <w:rPr>
                <w:rFonts w:hint="eastAsia" w:ascii="宋体" w:hAnsi="宋体" w:eastAsia="宋体" w:cs="宋体"/>
                <w:color w:val="auto"/>
                <w:szCs w:val="21"/>
                <w:highlight w:val="none"/>
              </w:rPr>
              <w:t>费率           服务类型</w:t>
            </w:r>
          </w:p>
          <w:p w14:paraId="64AA6708">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mc:AlternateContent>
                <mc:Choice Requires="wps">
                  <w:drawing>
                    <wp:anchor distT="0" distB="0" distL="114300" distR="114300" simplePos="0" relativeHeight="251660288" behindDoc="0" locked="0" layoutInCell="1" allowOverlap="1">
                      <wp:simplePos x="0" y="0"/>
                      <wp:positionH relativeFrom="column">
                        <wp:posOffset>-68580</wp:posOffset>
                      </wp:positionH>
                      <wp:positionV relativeFrom="paragraph">
                        <wp:posOffset>39370</wp:posOffset>
                      </wp:positionV>
                      <wp:extent cx="1828800" cy="396240"/>
                      <wp:effectExtent l="1270" t="4445" r="13970" b="10795"/>
                      <wp:wrapNone/>
                      <wp:docPr id="7" name="直接连接符 7"/>
                      <wp:cNvGraphicFramePr/>
                      <a:graphic xmlns:a="http://schemas.openxmlformats.org/drawingml/2006/main">
                        <a:graphicData uri="http://schemas.microsoft.com/office/word/2010/wordprocessingShape">
                          <wps:wsp>
                            <wps:cNvCnPr/>
                            <wps:spPr>
                              <a:xfrm>
                                <a:off x="0" y="0"/>
                                <a:ext cx="1828800" cy="39624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5.4pt;margin-top:3.1pt;height:31.2pt;width:144pt;z-index:251660288;mso-width-relative:page;mso-height-relative:page;" filled="f" stroked="t" coordsize="21600,21600" o:gfxdata="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EAOr0TWAAAACAEAAA8AAAAAAAAAAQAgAAAAIgAAAGRycy9kb3du&#10;cmV2LnhtbFBLAQIUABQAAAAIAIdO4kCCQ+hIAQIAAPcDAAAOAAAAAAAAAAEAIAAAACUBAABkcnMv&#10;ZTJvRG9jLnhtbFBLBQYAAAAABgAGAFkBAACYBQAAAAA=&#10;">
                      <v:fill on="f" focussize="0,0"/>
                      <v:stroke color="#000000" joinstyle="round"/>
                      <v:imagedata o:title=""/>
                      <o:lock v:ext="edit" aspectratio="f"/>
                    </v:line>
                  </w:pict>
                </mc:Fallback>
              </mc:AlternateContent>
            </w:r>
          </w:p>
          <w:p w14:paraId="766E27E2">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中标金额（万元）</w:t>
            </w:r>
          </w:p>
        </w:tc>
        <w:tc>
          <w:tcPr>
            <w:tcW w:w="1841" w:type="dxa"/>
            <w:vAlign w:val="center"/>
          </w:tcPr>
          <w:p w14:paraId="50949EEE">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jc w:val="center"/>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货物招标</w:t>
            </w:r>
          </w:p>
        </w:tc>
        <w:tc>
          <w:tcPr>
            <w:tcW w:w="1992" w:type="dxa"/>
            <w:vAlign w:val="center"/>
          </w:tcPr>
          <w:p w14:paraId="036E325D">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jc w:val="center"/>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服务招标</w:t>
            </w:r>
          </w:p>
        </w:tc>
        <w:tc>
          <w:tcPr>
            <w:tcW w:w="2293" w:type="dxa"/>
            <w:vAlign w:val="center"/>
          </w:tcPr>
          <w:p w14:paraId="4FB17163">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jc w:val="center"/>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工程招标</w:t>
            </w:r>
          </w:p>
        </w:tc>
      </w:tr>
      <w:tr w14:paraId="5AFF8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2880" w:type="dxa"/>
            <w:vAlign w:val="top"/>
          </w:tcPr>
          <w:p w14:paraId="6F0871B5">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100以下</w:t>
            </w:r>
          </w:p>
        </w:tc>
        <w:tc>
          <w:tcPr>
            <w:tcW w:w="1841" w:type="dxa"/>
            <w:vAlign w:val="top"/>
          </w:tcPr>
          <w:p w14:paraId="1E51B636">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jc w:val="center"/>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1.5%</w:t>
            </w:r>
          </w:p>
        </w:tc>
        <w:tc>
          <w:tcPr>
            <w:tcW w:w="1992" w:type="dxa"/>
            <w:vAlign w:val="top"/>
          </w:tcPr>
          <w:p w14:paraId="7A87C932">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jc w:val="center"/>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1.5%</w:t>
            </w:r>
          </w:p>
        </w:tc>
        <w:tc>
          <w:tcPr>
            <w:tcW w:w="2293" w:type="dxa"/>
            <w:vAlign w:val="top"/>
          </w:tcPr>
          <w:p w14:paraId="1AFC33A7">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jc w:val="center"/>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1.0%</w:t>
            </w:r>
          </w:p>
        </w:tc>
      </w:tr>
      <w:tr w14:paraId="72B37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 w:hRule="atLeast"/>
        </w:trPr>
        <w:tc>
          <w:tcPr>
            <w:tcW w:w="2880" w:type="dxa"/>
            <w:vAlign w:val="top"/>
          </w:tcPr>
          <w:p w14:paraId="46C0C404">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100-500</w:t>
            </w:r>
          </w:p>
        </w:tc>
        <w:tc>
          <w:tcPr>
            <w:tcW w:w="1841" w:type="dxa"/>
            <w:vAlign w:val="top"/>
          </w:tcPr>
          <w:p w14:paraId="11BA85C4">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jc w:val="center"/>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p>
        </w:tc>
        <w:tc>
          <w:tcPr>
            <w:tcW w:w="1992" w:type="dxa"/>
            <w:vAlign w:val="top"/>
          </w:tcPr>
          <w:p w14:paraId="4805F6EC">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jc w:val="center"/>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0.8%</w:t>
            </w:r>
          </w:p>
        </w:tc>
        <w:tc>
          <w:tcPr>
            <w:tcW w:w="2293" w:type="dxa"/>
            <w:vAlign w:val="top"/>
          </w:tcPr>
          <w:p w14:paraId="01162C8C">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jc w:val="center"/>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0.7%</w:t>
            </w:r>
          </w:p>
        </w:tc>
      </w:tr>
      <w:tr w14:paraId="344AF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2880" w:type="dxa"/>
            <w:vAlign w:val="top"/>
          </w:tcPr>
          <w:p w14:paraId="54C46DFE">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500-1000</w:t>
            </w:r>
          </w:p>
        </w:tc>
        <w:tc>
          <w:tcPr>
            <w:tcW w:w="1841" w:type="dxa"/>
            <w:vAlign w:val="top"/>
          </w:tcPr>
          <w:p w14:paraId="320B6C0F">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jc w:val="center"/>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0.8%</w:t>
            </w:r>
          </w:p>
        </w:tc>
        <w:tc>
          <w:tcPr>
            <w:tcW w:w="1992" w:type="dxa"/>
            <w:vAlign w:val="top"/>
          </w:tcPr>
          <w:p w14:paraId="5DAE4728">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jc w:val="center"/>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0.45%</w:t>
            </w:r>
          </w:p>
        </w:tc>
        <w:tc>
          <w:tcPr>
            <w:tcW w:w="2293" w:type="dxa"/>
            <w:vAlign w:val="top"/>
          </w:tcPr>
          <w:p w14:paraId="405613D5">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jc w:val="center"/>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0.55%</w:t>
            </w:r>
          </w:p>
        </w:tc>
      </w:tr>
      <w:tr w14:paraId="67144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2880" w:type="dxa"/>
            <w:vAlign w:val="top"/>
          </w:tcPr>
          <w:p w14:paraId="28197ABB">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1000-5000</w:t>
            </w:r>
          </w:p>
        </w:tc>
        <w:tc>
          <w:tcPr>
            <w:tcW w:w="1841" w:type="dxa"/>
            <w:vAlign w:val="top"/>
          </w:tcPr>
          <w:p w14:paraId="6566E983">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jc w:val="center"/>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0.5%</w:t>
            </w:r>
          </w:p>
        </w:tc>
        <w:tc>
          <w:tcPr>
            <w:tcW w:w="1992" w:type="dxa"/>
            <w:vAlign w:val="top"/>
          </w:tcPr>
          <w:p w14:paraId="38636DB5">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jc w:val="center"/>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0.25%</w:t>
            </w:r>
          </w:p>
        </w:tc>
        <w:tc>
          <w:tcPr>
            <w:tcW w:w="2293" w:type="dxa"/>
            <w:vAlign w:val="top"/>
          </w:tcPr>
          <w:p w14:paraId="0129A0D8">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jc w:val="center"/>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0.35%</w:t>
            </w:r>
          </w:p>
        </w:tc>
      </w:tr>
      <w:tr w14:paraId="3DC23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2880" w:type="dxa"/>
            <w:vAlign w:val="top"/>
          </w:tcPr>
          <w:p w14:paraId="3EFC2C27">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5000-10000</w:t>
            </w:r>
          </w:p>
        </w:tc>
        <w:tc>
          <w:tcPr>
            <w:tcW w:w="1841" w:type="dxa"/>
            <w:vAlign w:val="top"/>
          </w:tcPr>
          <w:p w14:paraId="16D877DE">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jc w:val="center"/>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0.25%</w:t>
            </w:r>
          </w:p>
        </w:tc>
        <w:tc>
          <w:tcPr>
            <w:tcW w:w="1992" w:type="dxa"/>
            <w:vAlign w:val="top"/>
          </w:tcPr>
          <w:p w14:paraId="11BE54D1">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jc w:val="center"/>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0.1%</w:t>
            </w:r>
          </w:p>
        </w:tc>
        <w:tc>
          <w:tcPr>
            <w:tcW w:w="2293" w:type="dxa"/>
            <w:vAlign w:val="top"/>
          </w:tcPr>
          <w:p w14:paraId="4C804F77">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jc w:val="center"/>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0.2%</w:t>
            </w:r>
          </w:p>
        </w:tc>
      </w:tr>
    </w:tbl>
    <w:p w14:paraId="308C0879">
      <w:pPr>
        <w:pageBreakBefore w:val="0"/>
        <w:widowControl w:val="0"/>
        <w:overflowPunct/>
        <w:topLinePunct w:val="0"/>
        <w:bidi w:val="0"/>
        <w:spacing w:line="400" w:lineRule="exact"/>
        <w:ind w:firstLine="420" w:firstLineChars="200"/>
        <w:rPr>
          <w:rFonts w:hint="eastAsia" w:ascii="宋体" w:hAnsi="宋体" w:eastAsia="宋体" w:cs="宋体"/>
          <w:color w:val="auto"/>
          <w:kern w:val="0"/>
        </w:rPr>
      </w:pPr>
      <w:r>
        <w:rPr>
          <w:rFonts w:hint="eastAsia" w:ascii="宋体" w:hAnsi="宋体" w:eastAsia="宋体" w:cs="宋体"/>
          <w:color w:val="auto"/>
          <w:kern w:val="0"/>
        </w:rPr>
        <w:t>注：代理服务收费按差额定率累进法计算。</w:t>
      </w:r>
    </w:p>
    <w:p w14:paraId="57DBD830">
      <w:pPr>
        <w:pageBreakBefore w:val="0"/>
        <w:widowControl w:val="0"/>
        <w:overflowPunct/>
        <w:topLinePunct w:val="0"/>
        <w:bidi w:val="0"/>
        <w:spacing w:line="400" w:lineRule="exact"/>
        <w:ind w:firstLine="422" w:firstLineChars="200"/>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31.采购代理机构银行账户（用于缴纳采购代理服务费）：</w:t>
      </w:r>
    </w:p>
    <w:p w14:paraId="2E431A09">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开户名称：大华建设项目管理有限公司桂林分公司</w:t>
      </w:r>
    </w:p>
    <w:p w14:paraId="549F2481">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开户银行：中国建设银行股份有限公司桂林高新技术产业开发区支行</w:t>
      </w:r>
    </w:p>
    <w:p w14:paraId="4EABBDA3">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银行账号：45050163004300000046</w:t>
      </w:r>
    </w:p>
    <w:p w14:paraId="2A941DCF">
      <w:pPr>
        <w:pageBreakBefore w:val="0"/>
        <w:widowControl w:val="0"/>
        <w:overflowPunct/>
        <w:topLinePunct w:val="0"/>
        <w:bidi w:val="0"/>
        <w:spacing w:line="400" w:lineRule="exact"/>
        <w:ind w:firstLine="422" w:firstLineChars="200"/>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32.解释权：</w:t>
      </w:r>
      <w:r>
        <w:rPr>
          <w:rFonts w:hint="eastAsia" w:ascii="宋体" w:hAnsi="宋体" w:eastAsia="宋体" w:cs="宋体"/>
          <w:color w:val="auto"/>
          <w:highlight w:val="none"/>
          <w:lang w:eastAsia="zh-CN"/>
        </w:rPr>
        <w:t>本竞争性谈判文件是根据《中华人民共和国政府采购法》、《中华人民共和国政府采购法实施条例》、《政府采购非招标采购方式管理办法》和政府采购管理有关规定编制，本竞争性谈判文件的解释权属于采购代理机构。</w:t>
      </w:r>
    </w:p>
    <w:p w14:paraId="3597B7C2">
      <w:pPr>
        <w:pageBreakBefore w:val="0"/>
        <w:widowControl w:val="0"/>
        <w:overflowPunct/>
        <w:topLinePunct w:val="0"/>
        <w:bidi w:val="0"/>
        <w:spacing w:line="400" w:lineRule="exact"/>
        <w:ind w:firstLine="422" w:firstLineChars="200"/>
        <w:rPr>
          <w:rFonts w:hint="eastAsia" w:ascii="宋体" w:hAnsi="宋体" w:eastAsia="宋体" w:cs="宋体"/>
          <w:snapToGrid w:val="0"/>
          <w:color w:val="auto"/>
          <w:spacing w:val="4"/>
          <w:kern w:val="0"/>
          <w:sz w:val="21"/>
          <w:szCs w:val="21"/>
          <w:highlight w:val="none"/>
          <w:lang w:val="en-US" w:eastAsia="en-US" w:bidi="ar-SA"/>
        </w:rPr>
      </w:pPr>
      <w:r>
        <w:rPr>
          <w:rFonts w:hint="eastAsia" w:ascii="宋体" w:hAnsi="宋体" w:eastAsia="宋体" w:cs="宋体"/>
          <w:b/>
          <w:bCs/>
          <w:color w:val="auto"/>
          <w:highlight w:val="none"/>
          <w:lang w:eastAsia="zh-CN"/>
        </w:rPr>
        <w:t>33.监督管理机构：</w:t>
      </w:r>
      <w:r>
        <w:rPr>
          <w:rFonts w:hint="eastAsia" w:ascii="宋体" w:hAnsi="宋体" w:eastAsia="宋体" w:cs="宋体"/>
          <w:snapToGrid w:val="0"/>
          <w:color w:val="auto"/>
          <w:spacing w:val="4"/>
          <w:kern w:val="0"/>
          <w:sz w:val="21"/>
          <w:szCs w:val="21"/>
          <w:highlight w:val="none"/>
          <w:lang w:val="en-US" w:eastAsia="en-US" w:bidi="ar-SA"/>
        </w:rPr>
        <w:t>广西壮族自治区财政厅政府采购监督管理处电话：0771-5331544</w:t>
      </w:r>
    </w:p>
    <w:p w14:paraId="54FB5283">
      <w:pPr>
        <w:widowControl w:val="0"/>
        <w:spacing w:line="400" w:lineRule="exact"/>
        <w:ind w:firstLine="422" w:firstLineChars="200"/>
        <w:contextualSpacing/>
        <w:jc w:val="both"/>
        <w:rPr>
          <w:rFonts w:hint="eastAsia" w:ascii="宋体" w:hAnsi="宋体" w:eastAsia="宋体" w:cs="宋体"/>
          <w:color w:val="auto"/>
          <w:kern w:val="2"/>
          <w:sz w:val="21"/>
          <w:szCs w:val="21"/>
          <w:lang w:val="en-US" w:eastAsia="zh-CN" w:bidi="ar-SA"/>
        </w:rPr>
      </w:pPr>
      <w:bookmarkStart w:id="8" w:name="_Hlk65857140"/>
      <w:r>
        <w:rPr>
          <w:rFonts w:hint="eastAsia" w:ascii="宋体" w:hAnsi="宋体" w:eastAsia="宋体" w:cs="宋体"/>
          <w:b/>
          <w:bCs/>
          <w:snapToGrid w:val="0"/>
          <w:color w:val="auto"/>
          <w:sz w:val="21"/>
          <w:szCs w:val="21"/>
          <w:highlight w:val="none"/>
          <w:lang w:val="en-US" w:eastAsia="zh-CN" w:bidi="ar-SA"/>
        </w:rPr>
        <w:t>34.中小企业定义：</w:t>
      </w:r>
      <w:r>
        <w:rPr>
          <w:rFonts w:hint="eastAsia" w:ascii="宋体" w:hAnsi="宋体" w:eastAsia="宋体" w:cs="宋体"/>
          <w:color w:val="auto"/>
          <w:kern w:val="2"/>
          <w:sz w:val="21"/>
          <w:szCs w:val="21"/>
          <w:lang w:val="en-US" w:eastAsia="zh-CN" w:bidi="ar-SA"/>
        </w:rPr>
        <w:t>本谈判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谈判文件规定的中小企业扶持政策：</w:t>
      </w:r>
    </w:p>
    <w:p w14:paraId="75F80762">
      <w:pPr>
        <w:widowControl w:val="0"/>
        <w:spacing w:line="400" w:lineRule="exact"/>
        <w:ind w:firstLine="420" w:firstLineChars="200"/>
        <w:contextualSpacing/>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（1）在货物采购项目中，货物由中小企业制造，即货物由中小企业生产且使用该中小企业商号或者注册商标，不对其中涉及的工程承建商和服务的承接商作出要求；</w:t>
      </w:r>
    </w:p>
    <w:p w14:paraId="2C465692">
      <w:pPr>
        <w:widowControl w:val="0"/>
        <w:spacing w:line="400" w:lineRule="exact"/>
        <w:ind w:firstLine="420" w:firstLineChars="200"/>
        <w:contextualSpacing/>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（2）在工程采购项目中，工程由中小企业承建，即工程施工单位为中小企业，不对其中涉及的货物的制造商和服务的承接商作出要求；</w:t>
      </w:r>
    </w:p>
    <w:p w14:paraId="0920074F">
      <w:pPr>
        <w:widowControl w:val="0"/>
        <w:spacing w:line="400" w:lineRule="exact"/>
        <w:ind w:firstLine="420" w:firstLineChars="200"/>
        <w:contextualSpacing/>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（3）在服务采购项目中，服务由中小企业承接，即提供服务的人员为中小企业依照《中华人民共和国劳动合同法》订立劳动合同的从业人员，不对其中涉及的货物的制造商和工程承建商作出要求。</w:t>
      </w:r>
    </w:p>
    <w:p w14:paraId="5587ADB4">
      <w:pPr>
        <w:widowControl w:val="0"/>
        <w:spacing w:line="400" w:lineRule="exact"/>
        <w:ind w:firstLine="420" w:firstLineChars="200"/>
        <w:contextualSpacing/>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在货物采购项目中，供应商提供的货物既有中小企业制造货物，也有大型企业制造货物的，不享受本谈判文件规定的中小企业扶持政策。</w:t>
      </w:r>
    </w:p>
    <w:p w14:paraId="550F69F5">
      <w:pPr>
        <w:widowControl w:val="0"/>
        <w:kinsoku/>
        <w:autoSpaceDE/>
        <w:autoSpaceDN/>
        <w:adjustRightInd/>
        <w:snapToGrid/>
        <w:spacing w:line="400" w:lineRule="exact"/>
        <w:ind w:firstLine="420" w:firstLineChars="200"/>
        <w:contextualSpacing/>
        <w:jc w:val="both"/>
        <w:textAlignment w:val="auto"/>
        <w:rPr>
          <w:rFonts w:hint="eastAsia" w:ascii="宋体" w:hAnsi="宋体" w:eastAsia="宋体" w:cs="宋体"/>
          <w:snapToGrid/>
          <w:color w:val="auto"/>
          <w:kern w:val="2"/>
          <w:szCs w:val="21"/>
          <w:lang w:eastAsia="zh-CN"/>
        </w:rPr>
      </w:pPr>
      <w:r>
        <w:rPr>
          <w:rFonts w:hint="eastAsia" w:ascii="宋体" w:hAnsi="宋体" w:eastAsia="宋体" w:cs="宋体"/>
          <w:snapToGrid/>
          <w:color w:val="auto"/>
          <w:kern w:val="2"/>
          <w:szCs w:val="21"/>
          <w:lang w:eastAsia="zh-CN"/>
        </w:rPr>
        <w:t>依据本谈判文件规定享受扶持政策获得政府采购合同的，小微企业不得将合同分包给大中型企业，中型企业不得将合同分包给大型企业。</w:t>
      </w:r>
      <w:bookmarkEnd w:id="8"/>
    </w:p>
    <w:p w14:paraId="0AEA4D22">
      <w:pPr>
        <w:widowControl w:val="0"/>
        <w:spacing w:after="0" w:line="400" w:lineRule="exact"/>
        <w:ind w:left="0" w:leftChars="0" w:firstLine="420" w:firstLineChars="200"/>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本项目标的所属行业在第三章采购需求中规定。供应商根据中小企业划分标准（《关于印发中小企业划型标准规定的通知》（工信部联企业〔2011〕300号）（详见附件）判断是否为中小企业。</w:t>
      </w:r>
    </w:p>
    <w:p w14:paraId="48CAD9D2">
      <w:pPr>
        <w:widowControl w:val="0"/>
        <w:kinsoku/>
        <w:autoSpaceDE/>
        <w:autoSpaceDN/>
        <w:adjustRightInd/>
        <w:snapToGrid/>
        <w:spacing w:line="400" w:lineRule="exact"/>
        <w:ind w:firstLine="422" w:firstLineChars="200"/>
        <w:jc w:val="both"/>
        <w:textAlignment w:val="auto"/>
        <w:rPr>
          <w:rFonts w:hint="eastAsia" w:ascii="宋体" w:hAnsi="宋体" w:eastAsia="宋体" w:cs="宋体"/>
          <w:b/>
          <w:snapToGrid/>
          <w:color w:val="auto"/>
          <w:kern w:val="2"/>
          <w:szCs w:val="21"/>
          <w:lang w:eastAsia="zh-CN"/>
        </w:rPr>
      </w:pPr>
      <w:r>
        <w:rPr>
          <w:rFonts w:hint="eastAsia" w:ascii="宋体" w:hAnsi="宋体" w:eastAsia="宋体" w:cs="宋体"/>
          <w:b/>
          <w:bCs/>
          <w:snapToGrid w:val="0"/>
          <w:color w:val="auto"/>
          <w:sz w:val="21"/>
          <w:szCs w:val="21"/>
          <w:highlight w:val="none"/>
          <w:lang w:val="en-US" w:eastAsia="zh-CN" w:bidi="ar-SA"/>
        </w:rPr>
        <w:t>35.视同中小企业情形：</w:t>
      </w:r>
    </w:p>
    <w:p w14:paraId="08FFF0E8">
      <w:pPr>
        <w:widowControl w:val="0"/>
        <w:kinsoku/>
        <w:autoSpaceDE/>
        <w:autoSpaceDN/>
        <w:adjustRightInd/>
        <w:snapToGrid/>
        <w:spacing w:line="400" w:lineRule="exact"/>
        <w:ind w:firstLine="420" w:firstLineChars="200"/>
        <w:jc w:val="both"/>
        <w:textAlignment w:val="auto"/>
        <w:rPr>
          <w:rFonts w:hint="eastAsia" w:ascii="宋体" w:hAnsi="宋体" w:eastAsia="宋体" w:cs="宋体"/>
          <w:snapToGrid/>
          <w:color w:val="auto"/>
          <w:kern w:val="2"/>
          <w:szCs w:val="21"/>
          <w:lang w:eastAsia="zh-CN"/>
        </w:rPr>
      </w:pPr>
      <w:r>
        <w:rPr>
          <w:rFonts w:hint="eastAsia" w:ascii="宋体" w:hAnsi="宋体" w:eastAsia="宋体" w:cs="宋体"/>
          <w:snapToGrid/>
          <w:color w:val="auto"/>
          <w:kern w:val="2"/>
          <w:szCs w:val="21"/>
          <w:lang w:eastAsia="zh-CN"/>
        </w:rPr>
        <w:t>（1）符合中小企业划分标准的个体工商户，视同中小企业。</w:t>
      </w:r>
    </w:p>
    <w:p w14:paraId="3FAB0790">
      <w:pPr>
        <w:widowControl w:val="0"/>
        <w:kinsoku/>
        <w:autoSpaceDE/>
        <w:autoSpaceDN/>
        <w:adjustRightInd/>
        <w:snapToGrid/>
        <w:spacing w:line="400" w:lineRule="exact"/>
        <w:ind w:firstLine="420" w:firstLineChars="200"/>
        <w:jc w:val="both"/>
        <w:textAlignment w:val="auto"/>
        <w:rPr>
          <w:rFonts w:hint="eastAsia" w:ascii="宋体" w:hAnsi="宋体" w:eastAsia="宋体" w:cs="宋体"/>
          <w:snapToGrid/>
          <w:color w:val="auto"/>
          <w:kern w:val="2"/>
          <w:szCs w:val="21"/>
          <w:lang w:eastAsia="zh-CN"/>
        </w:rPr>
      </w:pPr>
      <w:r>
        <w:rPr>
          <w:rFonts w:hint="eastAsia" w:ascii="宋体" w:hAnsi="宋体" w:eastAsia="宋体" w:cs="宋体"/>
          <w:snapToGrid/>
          <w:color w:val="auto"/>
          <w:kern w:val="2"/>
          <w:szCs w:val="21"/>
          <w:lang w:eastAsia="zh-CN"/>
        </w:rPr>
        <w:t>（2）以联合体形式参加政府采购活动，联合体各方均为中小企业的，联合体视同中小企业。其中，联合体各方均为小微企业的，联合体视同小微企业。</w:t>
      </w:r>
    </w:p>
    <w:p w14:paraId="5173C795">
      <w:pPr>
        <w:widowControl w:val="0"/>
        <w:kinsoku/>
        <w:autoSpaceDE/>
        <w:autoSpaceDN/>
        <w:adjustRightInd/>
        <w:snapToGrid/>
        <w:spacing w:line="400" w:lineRule="exact"/>
        <w:ind w:firstLine="420" w:firstLineChars="200"/>
        <w:jc w:val="both"/>
        <w:textAlignment w:val="auto"/>
        <w:rPr>
          <w:rFonts w:hint="eastAsia" w:ascii="宋体" w:hAnsi="宋体" w:eastAsia="宋体" w:cs="宋体"/>
          <w:snapToGrid/>
          <w:color w:val="auto"/>
          <w:kern w:val="2"/>
          <w:szCs w:val="21"/>
          <w:lang w:eastAsia="zh-CN"/>
        </w:rPr>
      </w:pPr>
      <w:r>
        <w:rPr>
          <w:rFonts w:hint="eastAsia" w:ascii="宋体" w:hAnsi="宋体" w:eastAsia="宋体" w:cs="宋体"/>
          <w:snapToGrid/>
          <w:color w:val="auto"/>
          <w:kern w:val="2"/>
          <w:szCs w:val="21"/>
          <w:lang w:eastAsia="zh-CN"/>
        </w:rPr>
        <w:t>（3）符合《财政部、司法部关于政府采购支持监狱企业发展有关问题的通知》（财库〔2014〕68号）规定的监狱企业，或符合《关于促进残疾人就业政府采购政策的通知》（财库〔2017〕141号）规定的残疾人福利性单位，视同小型、微型企业。</w:t>
      </w:r>
    </w:p>
    <w:p w14:paraId="66AA43B5">
      <w:pPr>
        <w:widowControl w:val="0"/>
        <w:spacing w:line="400" w:lineRule="exact"/>
        <w:ind w:firstLine="482"/>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符合条件的货物制造商、工程施工单位、服务承接单位为监狱企业或残疾人福利性单位的，应按采购文件规定在响应文件中提供相关证明文件。</w:t>
      </w:r>
    </w:p>
    <w:p w14:paraId="3A40B122">
      <w:pPr>
        <w:widowControl w:val="0"/>
        <w:kinsoku/>
        <w:autoSpaceDE/>
        <w:autoSpaceDN/>
        <w:adjustRightInd/>
        <w:snapToGrid/>
        <w:spacing w:line="400" w:lineRule="exact"/>
        <w:ind w:firstLine="422" w:firstLineChars="200"/>
        <w:jc w:val="both"/>
        <w:textAlignment w:val="auto"/>
        <w:rPr>
          <w:rFonts w:hint="eastAsia" w:ascii="宋体" w:hAnsi="宋体" w:eastAsia="宋体" w:cs="宋体"/>
          <w:b/>
          <w:bCs/>
          <w:snapToGrid w:val="0"/>
          <w:color w:val="auto"/>
          <w:sz w:val="21"/>
          <w:szCs w:val="21"/>
          <w:highlight w:val="none"/>
          <w:lang w:val="en-US" w:eastAsia="zh-CN" w:bidi="ar-SA"/>
        </w:rPr>
      </w:pPr>
      <w:r>
        <w:rPr>
          <w:rFonts w:hint="eastAsia" w:ascii="宋体" w:hAnsi="宋体" w:eastAsia="宋体" w:cs="宋体"/>
          <w:b/>
          <w:bCs/>
          <w:snapToGrid w:val="0"/>
          <w:color w:val="auto"/>
          <w:sz w:val="21"/>
          <w:szCs w:val="21"/>
          <w:highlight w:val="none"/>
          <w:lang w:val="en-US" w:eastAsia="zh-CN" w:bidi="ar-SA"/>
        </w:rPr>
        <w:t>36.对本国产品的支持政策</w:t>
      </w:r>
    </w:p>
    <w:p w14:paraId="17DDA2A4">
      <w:pPr>
        <w:widowControl w:val="0"/>
        <w:kinsoku/>
        <w:autoSpaceDE/>
        <w:autoSpaceDN/>
        <w:adjustRightInd/>
        <w:snapToGrid/>
        <w:spacing w:line="400" w:lineRule="exact"/>
        <w:ind w:firstLine="420" w:firstLineChars="200"/>
        <w:jc w:val="both"/>
        <w:textAlignment w:val="auto"/>
        <w:rPr>
          <w:rFonts w:hint="eastAsia" w:ascii="宋体" w:hAnsi="宋体" w:eastAsia="宋体" w:cs="宋体"/>
          <w:snapToGrid/>
          <w:color w:val="auto"/>
          <w:kern w:val="2"/>
          <w:szCs w:val="21"/>
          <w:lang w:eastAsia="zh-CN"/>
        </w:rPr>
      </w:pPr>
      <w:r>
        <w:rPr>
          <w:rFonts w:hint="eastAsia" w:ascii="宋体" w:hAnsi="宋体" w:eastAsia="宋体" w:cs="宋体"/>
          <w:snapToGrid/>
          <w:color w:val="auto"/>
          <w:kern w:val="2"/>
          <w:szCs w:val="21"/>
          <w:lang w:eastAsia="zh-CN"/>
        </w:rPr>
        <w:t>3</w:t>
      </w:r>
      <w:r>
        <w:rPr>
          <w:rFonts w:hint="eastAsia" w:ascii="宋体" w:hAnsi="宋体" w:eastAsia="宋体" w:cs="宋体"/>
          <w:snapToGrid/>
          <w:color w:val="auto"/>
          <w:kern w:val="2"/>
          <w:szCs w:val="21"/>
          <w:lang w:val="en-US" w:eastAsia="zh-CN"/>
        </w:rPr>
        <w:t>6</w:t>
      </w:r>
      <w:r>
        <w:rPr>
          <w:rFonts w:hint="eastAsia" w:ascii="宋体" w:hAnsi="宋体" w:eastAsia="宋体" w:cs="宋体"/>
          <w:snapToGrid/>
          <w:color w:val="auto"/>
          <w:kern w:val="2"/>
          <w:szCs w:val="21"/>
          <w:lang w:eastAsia="zh-CN"/>
        </w:rPr>
        <w:t>.1本国产品标准</w:t>
      </w:r>
    </w:p>
    <w:p w14:paraId="5AEDCFDD">
      <w:pPr>
        <w:widowControl w:val="0"/>
        <w:kinsoku/>
        <w:autoSpaceDE/>
        <w:autoSpaceDN/>
        <w:adjustRightInd/>
        <w:snapToGrid/>
        <w:spacing w:line="400" w:lineRule="exact"/>
        <w:ind w:firstLine="420" w:firstLineChars="200"/>
        <w:jc w:val="both"/>
        <w:textAlignment w:val="auto"/>
        <w:rPr>
          <w:rFonts w:hint="eastAsia" w:ascii="宋体" w:hAnsi="宋体" w:eastAsia="宋体" w:cs="宋体"/>
          <w:snapToGrid/>
          <w:color w:val="auto"/>
          <w:kern w:val="2"/>
          <w:szCs w:val="21"/>
          <w:lang w:eastAsia="zh-CN"/>
        </w:rPr>
      </w:pPr>
      <w:r>
        <w:rPr>
          <w:rFonts w:hint="eastAsia" w:ascii="宋体" w:hAnsi="宋体" w:eastAsia="宋体" w:cs="宋体"/>
          <w:snapToGrid/>
          <w:color w:val="auto"/>
          <w:kern w:val="2"/>
          <w:szCs w:val="21"/>
          <w:lang w:eastAsia="zh-CN"/>
        </w:rPr>
        <w:t>“本国产品标准的产品”是指：符合《国务院办公厅关于在政府采购中实施本国产品标准及相关政策的通知》（国办发〔2025〕34号）规定的本国产品标准的产品。</w:t>
      </w:r>
    </w:p>
    <w:p w14:paraId="44C5F874">
      <w:pPr>
        <w:widowControl w:val="0"/>
        <w:kinsoku/>
        <w:autoSpaceDE/>
        <w:autoSpaceDN/>
        <w:adjustRightInd/>
        <w:snapToGrid/>
        <w:spacing w:line="400" w:lineRule="exact"/>
        <w:ind w:firstLine="420" w:firstLineChars="200"/>
        <w:jc w:val="both"/>
        <w:textAlignment w:val="auto"/>
        <w:rPr>
          <w:rFonts w:hint="eastAsia" w:ascii="宋体" w:hAnsi="宋体" w:eastAsia="宋体" w:cs="宋体"/>
          <w:snapToGrid/>
          <w:color w:val="auto"/>
          <w:kern w:val="2"/>
          <w:szCs w:val="21"/>
          <w:lang w:eastAsia="zh-CN"/>
        </w:rPr>
      </w:pPr>
      <w:r>
        <w:rPr>
          <w:rFonts w:hint="eastAsia" w:ascii="宋体" w:hAnsi="宋体" w:eastAsia="宋体" w:cs="宋体"/>
          <w:snapToGrid/>
          <w:color w:val="auto"/>
          <w:kern w:val="2"/>
          <w:szCs w:val="21"/>
          <w:lang w:eastAsia="zh-CN"/>
        </w:rPr>
        <w:t>3</w:t>
      </w:r>
      <w:r>
        <w:rPr>
          <w:rFonts w:hint="eastAsia" w:ascii="宋体" w:hAnsi="宋体" w:eastAsia="宋体" w:cs="宋体"/>
          <w:snapToGrid/>
          <w:color w:val="auto"/>
          <w:kern w:val="2"/>
          <w:szCs w:val="21"/>
          <w:lang w:val="en-US" w:eastAsia="zh-CN"/>
        </w:rPr>
        <w:t>6</w:t>
      </w:r>
      <w:r>
        <w:rPr>
          <w:rFonts w:hint="eastAsia" w:ascii="宋体" w:hAnsi="宋体" w:eastAsia="宋体" w:cs="宋体"/>
          <w:snapToGrid/>
          <w:color w:val="auto"/>
          <w:kern w:val="2"/>
          <w:szCs w:val="21"/>
          <w:lang w:eastAsia="zh-CN"/>
        </w:rPr>
        <w:t>.2本国产品标准的适用范围</w:t>
      </w:r>
    </w:p>
    <w:p w14:paraId="62A2E3C9">
      <w:pPr>
        <w:widowControl w:val="0"/>
        <w:kinsoku/>
        <w:autoSpaceDE/>
        <w:autoSpaceDN/>
        <w:adjustRightInd/>
        <w:snapToGrid/>
        <w:spacing w:line="400" w:lineRule="exact"/>
        <w:ind w:firstLine="420" w:firstLineChars="200"/>
        <w:jc w:val="both"/>
        <w:textAlignment w:val="auto"/>
        <w:rPr>
          <w:rFonts w:hint="eastAsia" w:ascii="宋体" w:hAnsi="宋体" w:eastAsia="宋体" w:cs="宋体"/>
          <w:snapToGrid/>
          <w:color w:val="auto"/>
          <w:kern w:val="2"/>
          <w:szCs w:val="21"/>
          <w:lang w:eastAsia="zh-CN"/>
        </w:rPr>
      </w:pPr>
      <w:r>
        <w:rPr>
          <w:rFonts w:hint="eastAsia" w:ascii="宋体" w:hAnsi="宋体" w:eastAsia="宋体" w:cs="宋体"/>
          <w:snapToGrid/>
          <w:color w:val="auto"/>
          <w:kern w:val="2"/>
          <w:szCs w:val="21"/>
          <w:lang w:eastAsia="zh-CN"/>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r>
        <w:rPr>
          <w:rFonts w:hint="eastAsia" w:ascii="宋体" w:hAnsi="宋体" w:eastAsia="宋体" w:cs="宋体"/>
          <w:bCs/>
          <w:snapToGrid/>
          <w:color w:val="auto"/>
          <w:kern w:val="2"/>
          <w:szCs w:val="21"/>
          <w:lang w:eastAsia="zh-CN"/>
        </w:rPr>
        <w:t>本项目是否适用对本国产品的支持政策详见第三章采购需求。</w:t>
      </w:r>
    </w:p>
    <w:p w14:paraId="7A0CB5C1">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sectPr>
          <w:footerReference r:id="rId6" w:type="default"/>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p w14:paraId="5614C833">
      <w:pPr>
        <w:pageBreakBefore w:val="0"/>
        <w:widowControl w:val="0"/>
        <w:overflowPunct/>
        <w:topLinePunct w:val="0"/>
        <w:bidi w:val="0"/>
        <w:spacing w:line="400" w:lineRule="exact"/>
        <w:ind w:firstLine="482" w:firstLineChars="200"/>
        <w:rPr>
          <w:rFonts w:hint="eastAsia"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附表1：</w:t>
      </w:r>
    </w:p>
    <w:p w14:paraId="4E3EF8EC">
      <w:pPr>
        <w:pageBreakBefore w:val="0"/>
        <w:widowControl w:val="0"/>
        <w:overflowPunct/>
        <w:topLinePunct w:val="0"/>
        <w:bidi w:val="0"/>
        <w:spacing w:line="240" w:lineRule="auto"/>
        <w:jc w:val="center"/>
        <w:rPr>
          <w:rFonts w:hint="eastAsia" w:ascii="宋体" w:hAnsi="宋体" w:eastAsia="宋体" w:cs="宋体"/>
          <w:color w:val="auto"/>
          <w:sz w:val="43"/>
          <w:szCs w:val="43"/>
          <w:highlight w:val="none"/>
          <w:lang w:eastAsia="zh-CN"/>
        </w:rPr>
      </w:pPr>
      <w:r>
        <w:rPr>
          <w:rFonts w:hint="eastAsia" w:ascii="宋体" w:hAnsi="宋体" w:eastAsia="宋体" w:cs="宋体"/>
          <w:color w:val="auto"/>
          <w:sz w:val="43"/>
          <w:szCs w:val="43"/>
          <w:highlight w:val="none"/>
          <w:lang w:eastAsia="zh-CN"/>
        </w:rPr>
        <w:t>质疑函（格式）</w:t>
      </w:r>
    </w:p>
    <w:p w14:paraId="4A9248C5">
      <w:pPr>
        <w:pageBreakBefore w:val="0"/>
        <w:widowControl w:val="0"/>
        <w:overflowPunct/>
        <w:topLinePunct w:val="0"/>
        <w:bidi w:val="0"/>
        <w:spacing w:line="400" w:lineRule="exact"/>
        <w:ind w:firstLine="402" w:firstLineChars="200"/>
        <w:rPr>
          <w:rFonts w:hint="eastAsia" w:ascii="宋体" w:hAnsi="宋体" w:eastAsia="宋体" w:cs="宋体"/>
          <w:color w:val="auto"/>
          <w:sz w:val="20"/>
          <w:szCs w:val="20"/>
          <w:highlight w:val="none"/>
          <w:lang w:eastAsia="zh-CN"/>
        </w:rPr>
      </w:pPr>
      <w:r>
        <w:rPr>
          <w:rFonts w:hint="eastAsia" w:ascii="宋体" w:hAnsi="宋体" w:eastAsia="宋体" w:cs="宋体"/>
          <w:b/>
          <w:bCs/>
          <w:color w:val="auto"/>
          <w:sz w:val="20"/>
          <w:szCs w:val="20"/>
          <w:highlight w:val="none"/>
          <w:lang w:eastAsia="zh-CN"/>
        </w:rPr>
        <w:t>一、质疑供应商基本信息：</w:t>
      </w:r>
    </w:p>
    <w:p w14:paraId="4790FA0C">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质疑供应商：</w:t>
      </w:r>
    </w:p>
    <w:p w14:paraId="1C3C88ED">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地址：</w:t>
      </w:r>
      <w:r>
        <w:rPr>
          <w:rFonts w:hint="eastAsia" w:ascii="宋体" w:hAnsi="宋体" w:eastAsia="宋体" w:cs="宋体"/>
          <w:color w:val="auto"/>
          <w:sz w:val="20"/>
          <w:szCs w:val="20"/>
          <w:highlight w:val="none"/>
          <w:u w:val="single"/>
          <w:lang w:eastAsia="zh-CN"/>
        </w:rPr>
        <w:t xml:space="preserve">                                           </w:t>
      </w:r>
      <w:r>
        <w:rPr>
          <w:rFonts w:hint="eastAsia" w:ascii="宋体" w:hAnsi="宋体" w:eastAsia="宋体" w:cs="宋体"/>
          <w:color w:val="auto"/>
          <w:sz w:val="20"/>
          <w:szCs w:val="20"/>
          <w:highlight w:val="none"/>
          <w:lang w:eastAsia="zh-CN"/>
        </w:rPr>
        <w:t xml:space="preserve"> 邮编：</w:t>
      </w:r>
    </w:p>
    <w:p w14:paraId="31AEE3C8">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联系人：</w:t>
      </w:r>
      <w:r>
        <w:rPr>
          <w:rFonts w:hint="eastAsia" w:ascii="宋体" w:hAnsi="宋体" w:eastAsia="宋体" w:cs="宋体"/>
          <w:color w:val="auto"/>
          <w:sz w:val="20"/>
          <w:szCs w:val="20"/>
          <w:highlight w:val="none"/>
          <w:u w:val="single"/>
          <w:lang w:eastAsia="zh-CN"/>
        </w:rPr>
        <w:t xml:space="preserve">                      </w:t>
      </w:r>
      <w:r>
        <w:rPr>
          <w:rFonts w:hint="eastAsia" w:ascii="宋体" w:hAnsi="宋体" w:eastAsia="宋体" w:cs="宋体"/>
          <w:color w:val="auto"/>
          <w:sz w:val="20"/>
          <w:szCs w:val="20"/>
          <w:highlight w:val="none"/>
          <w:lang w:eastAsia="zh-CN"/>
        </w:rPr>
        <w:t xml:space="preserve"> 联系电话：</w:t>
      </w:r>
      <w:r>
        <w:rPr>
          <w:rFonts w:hint="eastAsia" w:ascii="宋体" w:hAnsi="宋体" w:eastAsia="宋体" w:cs="宋体"/>
          <w:color w:val="auto"/>
          <w:sz w:val="20"/>
          <w:szCs w:val="20"/>
          <w:highlight w:val="none"/>
          <w:u w:val="single"/>
          <w:lang w:eastAsia="zh-CN"/>
        </w:rPr>
        <w:t xml:space="preserve">                     </w:t>
      </w:r>
    </w:p>
    <w:p w14:paraId="1A879107">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授权代表：</w:t>
      </w:r>
      <w:r>
        <w:rPr>
          <w:rFonts w:hint="eastAsia" w:ascii="宋体" w:hAnsi="宋体" w:eastAsia="宋体" w:cs="宋体"/>
          <w:color w:val="auto"/>
          <w:sz w:val="20"/>
          <w:szCs w:val="20"/>
          <w:highlight w:val="none"/>
          <w:u w:val="single"/>
          <w:lang w:eastAsia="zh-CN"/>
        </w:rPr>
        <w:t xml:space="preserve">                     </w:t>
      </w:r>
    </w:p>
    <w:p w14:paraId="543475B9">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联系电话：</w:t>
      </w:r>
      <w:r>
        <w:rPr>
          <w:rFonts w:hint="eastAsia" w:ascii="宋体" w:hAnsi="宋体" w:eastAsia="宋体" w:cs="宋体"/>
          <w:color w:val="auto"/>
          <w:sz w:val="20"/>
          <w:szCs w:val="20"/>
          <w:highlight w:val="none"/>
          <w:u w:val="single"/>
          <w:lang w:eastAsia="zh-CN"/>
        </w:rPr>
        <w:t xml:space="preserve">                     </w:t>
      </w:r>
    </w:p>
    <w:p w14:paraId="1B10FFE7">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地址：</w:t>
      </w:r>
      <w:r>
        <w:rPr>
          <w:rFonts w:hint="eastAsia" w:ascii="宋体" w:hAnsi="宋体" w:eastAsia="宋体" w:cs="宋体"/>
          <w:color w:val="auto"/>
          <w:sz w:val="20"/>
          <w:szCs w:val="20"/>
          <w:highlight w:val="none"/>
          <w:u w:val="single"/>
          <w:lang w:eastAsia="zh-CN"/>
        </w:rPr>
        <w:t xml:space="preserve">                 </w:t>
      </w:r>
      <w:r>
        <w:rPr>
          <w:rFonts w:hint="eastAsia" w:ascii="宋体" w:hAnsi="宋体" w:eastAsia="宋体" w:cs="宋体"/>
          <w:color w:val="auto"/>
          <w:sz w:val="20"/>
          <w:szCs w:val="20"/>
          <w:highlight w:val="none"/>
          <w:lang w:eastAsia="zh-CN"/>
        </w:rPr>
        <w:t xml:space="preserve"> 邮编：</w:t>
      </w:r>
    </w:p>
    <w:p w14:paraId="0B470430">
      <w:pPr>
        <w:pageBreakBefore w:val="0"/>
        <w:widowControl w:val="0"/>
        <w:overflowPunct/>
        <w:topLinePunct w:val="0"/>
        <w:bidi w:val="0"/>
        <w:spacing w:line="400" w:lineRule="exact"/>
        <w:ind w:firstLine="402" w:firstLineChars="200"/>
        <w:rPr>
          <w:rFonts w:hint="eastAsia" w:ascii="宋体" w:hAnsi="宋体" w:eastAsia="宋体" w:cs="宋体"/>
          <w:color w:val="auto"/>
          <w:sz w:val="20"/>
          <w:szCs w:val="20"/>
          <w:highlight w:val="none"/>
          <w:lang w:eastAsia="zh-CN"/>
        </w:rPr>
      </w:pPr>
      <w:r>
        <w:rPr>
          <w:rFonts w:hint="eastAsia" w:ascii="宋体" w:hAnsi="宋体" w:eastAsia="宋体" w:cs="宋体"/>
          <w:b/>
          <w:bCs/>
          <w:color w:val="auto"/>
          <w:sz w:val="20"/>
          <w:szCs w:val="20"/>
          <w:highlight w:val="none"/>
          <w:lang w:eastAsia="zh-CN"/>
        </w:rPr>
        <w:t>二、质疑项目基本情况：</w:t>
      </w:r>
    </w:p>
    <w:p w14:paraId="554A8335">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质疑项目的名称：</w:t>
      </w:r>
      <w:r>
        <w:rPr>
          <w:rFonts w:hint="eastAsia" w:ascii="宋体" w:hAnsi="宋体" w:eastAsia="宋体" w:cs="宋体"/>
          <w:color w:val="auto"/>
          <w:sz w:val="20"/>
          <w:szCs w:val="20"/>
          <w:highlight w:val="none"/>
          <w:u w:val="single"/>
          <w:lang w:eastAsia="zh-CN"/>
        </w:rPr>
        <w:t xml:space="preserve">                     </w:t>
      </w:r>
    </w:p>
    <w:p w14:paraId="02C09F20">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质疑项目的编号：</w:t>
      </w:r>
      <w:r>
        <w:rPr>
          <w:rFonts w:hint="eastAsia" w:ascii="宋体" w:hAnsi="宋体" w:eastAsia="宋体" w:cs="宋体"/>
          <w:color w:val="auto"/>
          <w:sz w:val="20"/>
          <w:szCs w:val="20"/>
          <w:highlight w:val="none"/>
          <w:u w:val="single"/>
          <w:lang w:eastAsia="zh-CN"/>
        </w:rPr>
        <w:t xml:space="preserve">                     </w:t>
      </w:r>
    </w:p>
    <w:p w14:paraId="56E56CC9">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采购人名称：</w:t>
      </w:r>
      <w:r>
        <w:rPr>
          <w:rFonts w:hint="eastAsia" w:ascii="宋体" w:hAnsi="宋体" w:eastAsia="宋体" w:cs="宋体"/>
          <w:color w:val="auto"/>
          <w:sz w:val="20"/>
          <w:szCs w:val="20"/>
          <w:highlight w:val="none"/>
          <w:u w:val="single"/>
          <w:lang w:eastAsia="zh-CN"/>
        </w:rPr>
        <w:t xml:space="preserve">                     </w:t>
      </w:r>
    </w:p>
    <w:p w14:paraId="6E0BFCB5">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质疑事项：</w:t>
      </w:r>
      <w:r>
        <w:rPr>
          <w:rFonts w:hint="eastAsia" w:ascii="宋体" w:hAnsi="宋体" w:eastAsia="宋体" w:cs="宋体"/>
          <w:color w:val="auto"/>
          <w:sz w:val="20"/>
          <w:szCs w:val="20"/>
          <w:highlight w:val="none"/>
          <w:u w:val="single"/>
          <w:lang w:eastAsia="zh-CN"/>
        </w:rPr>
        <w:t xml:space="preserve">                     </w:t>
      </w:r>
    </w:p>
    <w:p w14:paraId="6B463AD8">
      <w:pPr>
        <w:pageBreakBefore w:val="0"/>
        <w:widowControl w:val="0"/>
        <w:overflowPunct/>
        <w:topLinePunct w:val="0"/>
        <w:bidi w:val="0"/>
        <w:spacing w:line="400" w:lineRule="exact"/>
        <w:ind w:firstLine="6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30"/>
          <w:szCs w:val="30"/>
          <w:highlight w:val="none"/>
          <w:lang w:eastAsia="zh-CN"/>
        </w:rPr>
        <w:t>□</w:t>
      </w:r>
      <w:r>
        <w:rPr>
          <w:rFonts w:hint="eastAsia" w:ascii="宋体" w:hAnsi="宋体" w:eastAsia="宋体" w:cs="宋体"/>
          <w:color w:val="auto"/>
          <w:sz w:val="20"/>
          <w:szCs w:val="20"/>
          <w:highlight w:val="none"/>
          <w:lang w:eastAsia="zh-CN"/>
        </w:rPr>
        <w:t>谈判文件   谈判文件获取日期：</w:t>
      </w:r>
    </w:p>
    <w:p w14:paraId="6C7B8BC6">
      <w:pPr>
        <w:pageBreakBefore w:val="0"/>
        <w:widowControl w:val="0"/>
        <w:overflowPunct/>
        <w:topLinePunct w:val="0"/>
        <w:bidi w:val="0"/>
        <w:spacing w:line="400" w:lineRule="exact"/>
        <w:ind w:firstLine="6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30"/>
          <w:szCs w:val="30"/>
          <w:highlight w:val="none"/>
          <w:lang w:eastAsia="zh-CN"/>
        </w:rPr>
        <w:t>□</w:t>
      </w:r>
      <w:r>
        <w:rPr>
          <w:rFonts w:hint="eastAsia" w:ascii="宋体" w:hAnsi="宋体" w:eastAsia="宋体" w:cs="宋体"/>
          <w:color w:val="auto"/>
          <w:sz w:val="20"/>
          <w:szCs w:val="20"/>
          <w:highlight w:val="none"/>
          <w:lang w:eastAsia="zh-CN"/>
        </w:rPr>
        <w:t>采购过程</w:t>
      </w:r>
    </w:p>
    <w:p w14:paraId="2E2711D5">
      <w:pPr>
        <w:pageBreakBefore w:val="0"/>
        <w:widowControl w:val="0"/>
        <w:overflowPunct/>
        <w:topLinePunct w:val="0"/>
        <w:bidi w:val="0"/>
        <w:spacing w:line="400" w:lineRule="exact"/>
        <w:ind w:firstLine="6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30"/>
          <w:szCs w:val="30"/>
          <w:highlight w:val="none"/>
          <w:lang w:eastAsia="zh-CN"/>
        </w:rPr>
        <w:t>□</w:t>
      </w:r>
      <w:r>
        <w:rPr>
          <w:rFonts w:hint="eastAsia" w:ascii="宋体" w:hAnsi="宋体" w:eastAsia="宋体" w:cs="宋体"/>
          <w:color w:val="auto"/>
          <w:sz w:val="20"/>
          <w:szCs w:val="20"/>
          <w:highlight w:val="none"/>
          <w:lang w:eastAsia="zh-CN"/>
        </w:rPr>
        <w:t>成交结果</w:t>
      </w:r>
    </w:p>
    <w:p w14:paraId="3EDBB16D">
      <w:pPr>
        <w:pageBreakBefore w:val="0"/>
        <w:widowControl w:val="0"/>
        <w:overflowPunct/>
        <w:topLinePunct w:val="0"/>
        <w:bidi w:val="0"/>
        <w:spacing w:line="400" w:lineRule="exact"/>
        <w:ind w:firstLine="402" w:firstLineChars="200"/>
        <w:rPr>
          <w:rFonts w:hint="eastAsia" w:ascii="宋体" w:hAnsi="宋体" w:eastAsia="宋体" w:cs="宋体"/>
          <w:color w:val="auto"/>
          <w:sz w:val="20"/>
          <w:szCs w:val="20"/>
          <w:highlight w:val="none"/>
          <w:lang w:eastAsia="zh-CN"/>
        </w:rPr>
      </w:pPr>
      <w:r>
        <w:rPr>
          <w:rFonts w:hint="eastAsia" w:ascii="宋体" w:hAnsi="宋体" w:eastAsia="宋体" w:cs="宋体"/>
          <w:b/>
          <w:bCs/>
          <w:color w:val="auto"/>
          <w:sz w:val="20"/>
          <w:szCs w:val="20"/>
          <w:highlight w:val="none"/>
          <w:lang w:eastAsia="zh-CN"/>
        </w:rPr>
        <w:t>三、质疑事项具体内容</w:t>
      </w:r>
    </w:p>
    <w:p w14:paraId="7975CCAD">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质疑事项 1：</w:t>
      </w:r>
      <w:r>
        <w:rPr>
          <w:rFonts w:hint="eastAsia" w:ascii="宋体" w:hAnsi="宋体" w:eastAsia="宋体" w:cs="宋体"/>
          <w:color w:val="auto"/>
          <w:sz w:val="20"/>
          <w:szCs w:val="20"/>
          <w:highlight w:val="none"/>
          <w:u w:val="single"/>
          <w:lang w:eastAsia="zh-CN"/>
        </w:rPr>
        <w:t xml:space="preserve">                     </w:t>
      </w:r>
    </w:p>
    <w:p w14:paraId="7D6E95A3">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事实依据：</w:t>
      </w:r>
      <w:r>
        <w:rPr>
          <w:rFonts w:hint="eastAsia" w:ascii="宋体" w:hAnsi="宋体" w:eastAsia="宋体" w:cs="宋体"/>
          <w:color w:val="auto"/>
          <w:sz w:val="20"/>
          <w:szCs w:val="20"/>
          <w:highlight w:val="none"/>
          <w:u w:val="single"/>
          <w:lang w:eastAsia="zh-CN"/>
        </w:rPr>
        <w:t xml:space="preserve">                     </w:t>
      </w:r>
    </w:p>
    <w:p w14:paraId="1225895E">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法律依据：</w:t>
      </w:r>
      <w:r>
        <w:rPr>
          <w:rFonts w:hint="eastAsia" w:ascii="宋体" w:hAnsi="宋体" w:eastAsia="宋体" w:cs="宋体"/>
          <w:color w:val="auto"/>
          <w:sz w:val="20"/>
          <w:szCs w:val="20"/>
          <w:highlight w:val="none"/>
          <w:u w:val="single"/>
          <w:lang w:eastAsia="zh-CN"/>
        </w:rPr>
        <w:t xml:space="preserve">                     </w:t>
      </w:r>
    </w:p>
    <w:p w14:paraId="54B8D42D">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质疑事项 2</w:t>
      </w:r>
      <w:r>
        <w:rPr>
          <w:rFonts w:hint="eastAsia" w:ascii="宋体" w:hAnsi="宋体" w:eastAsia="宋体" w:cs="宋体"/>
          <w:color w:val="auto"/>
          <w:sz w:val="20"/>
          <w:szCs w:val="20"/>
          <w:highlight w:val="none"/>
          <w:u w:val="single"/>
          <w:lang w:eastAsia="zh-CN"/>
        </w:rPr>
        <w:t xml:space="preserve">                     </w:t>
      </w:r>
    </w:p>
    <w:p w14:paraId="0DC8154B">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w:t>
      </w:r>
    </w:p>
    <w:p w14:paraId="2518CE61">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四、与质疑事项相关的质疑请求：</w:t>
      </w:r>
    </w:p>
    <w:p w14:paraId="71A28A7D">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请求：</w:t>
      </w:r>
      <w:r>
        <w:rPr>
          <w:rFonts w:hint="eastAsia" w:ascii="宋体" w:hAnsi="宋体" w:eastAsia="宋体" w:cs="宋体"/>
          <w:color w:val="auto"/>
          <w:sz w:val="20"/>
          <w:szCs w:val="20"/>
          <w:highlight w:val="none"/>
          <w:u w:val="single"/>
          <w:lang w:eastAsia="zh-CN"/>
        </w:rPr>
        <w:t xml:space="preserve">                     </w:t>
      </w:r>
    </w:p>
    <w:p w14:paraId="5B730704">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066C3A2E">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签字（签章）：                                         公章：</w:t>
      </w:r>
    </w:p>
    <w:p w14:paraId="28BAF96C">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7607C48C">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日期：</w:t>
      </w:r>
    </w:p>
    <w:p w14:paraId="69B7FC7E">
      <w:pPr>
        <w:pageBreakBefore w:val="0"/>
        <w:widowControl w:val="0"/>
        <w:overflowPunct/>
        <w:topLinePunct w:val="0"/>
        <w:bidi w:val="0"/>
        <w:spacing w:line="400" w:lineRule="exact"/>
        <w:ind w:firstLine="402" w:firstLineChars="200"/>
        <w:rPr>
          <w:rFonts w:hint="eastAsia" w:ascii="宋体" w:hAnsi="宋体" w:eastAsia="宋体" w:cs="宋体"/>
          <w:color w:val="auto"/>
          <w:sz w:val="20"/>
          <w:szCs w:val="20"/>
          <w:highlight w:val="none"/>
          <w:lang w:eastAsia="zh-CN"/>
        </w:rPr>
      </w:pPr>
      <w:r>
        <w:rPr>
          <w:rFonts w:hint="eastAsia" w:ascii="宋体" w:hAnsi="宋体" w:eastAsia="宋体" w:cs="宋体"/>
          <w:b/>
          <w:bCs/>
          <w:color w:val="auto"/>
          <w:sz w:val="20"/>
          <w:szCs w:val="20"/>
          <w:highlight w:val="none"/>
          <w:lang w:eastAsia="zh-CN"/>
        </w:rPr>
        <w:t>说明：</w:t>
      </w:r>
    </w:p>
    <w:p w14:paraId="14824624">
      <w:pPr>
        <w:pageBreakBefore w:val="0"/>
        <w:widowControl w:val="0"/>
        <w:overflowPunct/>
        <w:topLinePunct w:val="0"/>
        <w:bidi w:val="0"/>
        <w:spacing w:line="400" w:lineRule="exact"/>
        <w:ind w:firstLine="402" w:firstLineChars="200"/>
        <w:rPr>
          <w:rFonts w:hint="eastAsia" w:ascii="宋体" w:hAnsi="宋体" w:eastAsia="宋体" w:cs="宋体"/>
          <w:color w:val="auto"/>
          <w:sz w:val="20"/>
          <w:szCs w:val="20"/>
          <w:highlight w:val="none"/>
          <w:lang w:eastAsia="zh-CN"/>
        </w:rPr>
      </w:pPr>
      <w:r>
        <w:rPr>
          <w:rFonts w:hint="eastAsia" w:ascii="宋体" w:hAnsi="宋体" w:eastAsia="宋体" w:cs="宋体"/>
          <w:b/>
          <w:bCs/>
          <w:color w:val="auto"/>
          <w:sz w:val="20"/>
          <w:szCs w:val="20"/>
          <w:highlight w:val="none"/>
          <w:lang w:eastAsia="zh-CN"/>
        </w:rPr>
        <w:t>1.供应商提出质疑时，应提交质疑函和必要的证明材料。</w:t>
      </w:r>
    </w:p>
    <w:p w14:paraId="5C90A747">
      <w:pPr>
        <w:pageBreakBefore w:val="0"/>
        <w:widowControl w:val="0"/>
        <w:overflowPunct/>
        <w:topLinePunct w:val="0"/>
        <w:bidi w:val="0"/>
        <w:spacing w:line="400" w:lineRule="exact"/>
        <w:ind w:firstLine="402" w:firstLineChars="200"/>
        <w:rPr>
          <w:rFonts w:hint="eastAsia" w:ascii="宋体" w:hAnsi="宋体" w:eastAsia="宋体" w:cs="宋体"/>
          <w:color w:val="auto"/>
          <w:sz w:val="20"/>
          <w:szCs w:val="20"/>
          <w:highlight w:val="none"/>
          <w:lang w:eastAsia="zh-CN"/>
        </w:rPr>
      </w:pPr>
      <w:r>
        <w:rPr>
          <w:rFonts w:hint="eastAsia" w:ascii="宋体" w:hAnsi="宋体" w:eastAsia="宋体" w:cs="宋体"/>
          <w:b/>
          <w:bCs/>
          <w:color w:val="auto"/>
          <w:sz w:val="20"/>
          <w:szCs w:val="20"/>
          <w:highlight w:val="none"/>
          <w:lang w:eastAsia="zh-CN"/>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0D9569D6">
      <w:pPr>
        <w:pageBreakBefore w:val="0"/>
        <w:widowControl w:val="0"/>
        <w:overflowPunct/>
        <w:topLinePunct w:val="0"/>
        <w:bidi w:val="0"/>
        <w:spacing w:line="400" w:lineRule="exact"/>
        <w:ind w:firstLine="402" w:firstLineChars="200"/>
        <w:rPr>
          <w:rFonts w:hint="eastAsia" w:ascii="宋体" w:hAnsi="宋体" w:eastAsia="宋体" w:cs="宋体"/>
          <w:color w:val="auto"/>
          <w:sz w:val="20"/>
          <w:szCs w:val="20"/>
          <w:highlight w:val="none"/>
          <w:lang w:eastAsia="zh-CN"/>
        </w:rPr>
      </w:pPr>
      <w:r>
        <w:rPr>
          <w:rFonts w:hint="eastAsia" w:ascii="宋体" w:hAnsi="宋体" w:eastAsia="宋体" w:cs="宋体"/>
          <w:b/>
          <w:bCs/>
          <w:color w:val="auto"/>
          <w:sz w:val="20"/>
          <w:szCs w:val="20"/>
          <w:highlight w:val="none"/>
          <w:lang w:eastAsia="zh-CN"/>
        </w:rPr>
        <w:t>3.质疑函的质疑事项应具体、明确，并有必要的事实依据和法律依据。</w:t>
      </w:r>
    </w:p>
    <w:p w14:paraId="48DF1E0A">
      <w:pPr>
        <w:pageBreakBefore w:val="0"/>
        <w:widowControl w:val="0"/>
        <w:overflowPunct/>
        <w:topLinePunct w:val="0"/>
        <w:bidi w:val="0"/>
        <w:spacing w:line="400" w:lineRule="exact"/>
        <w:ind w:firstLine="402" w:firstLineChars="200"/>
        <w:rPr>
          <w:rFonts w:hint="eastAsia" w:ascii="宋体" w:hAnsi="宋体" w:eastAsia="宋体" w:cs="宋体"/>
          <w:color w:val="auto"/>
          <w:sz w:val="20"/>
          <w:szCs w:val="20"/>
          <w:highlight w:val="none"/>
          <w:lang w:eastAsia="zh-CN"/>
        </w:rPr>
      </w:pPr>
      <w:r>
        <w:rPr>
          <w:rFonts w:hint="eastAsia" w:ascii="宋体" w:hAnsi="宋体" w:eastAsia="宋体" w:cs="宋体"/>
          <w:b/>
          <w:bCs/>
          <w:color w:val="auto"/>
          <w:sz w:val="20"/>
          <w:szCs w:val="20"/>
          <w:highlight w:val="none"/>
          <w:lang w:eastAsia="zh-CN"/>
        </w:rPr>
        <w:t>4.质疑函的质疑请求应与质疑事项相关。</w:t>
      </w:r>
    </w:p>
    <w:p w14:paraId="7EBF54B6">
      <w:pPr>
        <w:pageBreakBefore w:val="0"/>
        <w:widowControl w:val="0"/>
        <w:overflowPunct/>
        <w:topLinePunct w:val="0"/>
        <w:bidi w:val="0"/>
        <w:spacing w:line="400" w:lineRule="exact"/>
        <w:ind w:firstLine="402" w:firstLineChars="200"/>
        <w:rPr>
          <w:rFonts w:hint="eastAsia" w:ascii="宋体" w:hAnsi="宋体" w:eastAsia="宋体" w:cs="宋体"/>
          <w:color w:val="auto"/>
          <w:sz w:val="20"/>
          <w:szCs w:val="20"/>
          <w:highlight w:val="none"/>
          <w:lang w:eastAsia="zh-CN"/>
        </w:rPr>
      </w:pPr>
      <w:r>
        <w:rPr>
          <w:rFonts w:hint="eastAsia" w:ascii="宋体" w:hAnsi="宋体" w:eastAsia="宋体" w:cs="宋体"/>
          <w:b/>
          <w:bCs/>
          <w:color w:val="auto"/>
          <w:sz w:val="20"/>
          <w:szCs w:val="20"/>
          <w:highlight w:val="none"/>
          <w:lang w:eastAsia="zh-CN"/>
        </w:rPr>
        <w:t>5.质疑供应商为自然人的，质疑函应由本人签字；质疑供应商为法人或者其他组织的，质疑函应由法定代表人、主要负责人，或者其授权代表签字或者盖章，并加盖公章。</w:t>
      </w:r>
    </w:p>
    <w:p w14:paraId="6DB76299">
      <w:pPr>
        <w:pageBreakBefore w:val="0"/>
        <w:widowControl w:val="0"/>
        <w:overflowPunct/>
        <w:topLinePunct w:val="0"/>
        <w:bidi w:val="0"/>
        <w:spacing w:line="400" w:lineRule="exact"/>
        <w:ind w:firstLine="482" w:firstLineChars="200"/>
        <w:rPr>
          <w:rFonts w:hint="eastAsia" w:ascii="宋体" w:hAnsi="宋体" w:eastAsia="宋体" w:cs="宋体"/>
          <w:b/>
          <w:bCs/>
          <w:color w:val="auto"/>
          <w:sz w:val="24"/>
          <w:szCs w:val="24"/>
          <w:highlight w:val="none"/>
          <w:lang w:eastAsia="zh-CN"/>
        </w:rPr>
      </w:pPr>
    </w:p>
    <w:p w14:paraId="70E4BB00">
      <w:pPr>
        <w:pageBreakBefore w:val="0"/>
        <w:overflowPunct/>
        <w:topLinePunct w:val="0"/>
        <w:bidi w:val="0"/>
        <w:spacing w:line="400" w:lineRule="exact"/>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br w:type="page"/>
      </w:r>
    </w:p>
    <w:p w14:paraId="4382869A">
      <w:pPr>
        <w:pageBreakBefore w:val="0"/>
        <w:widowControl w:val="0"/>
        <w:overflowPunct/>
        <w:topLinePunct w:val="0"/>
        <w:bidi w:val="0"/>
        <w:spacing w:line="400" w:lineRule="exact"/>
        <w:ind w:firstLine="482" w:firstLineChars="200"/>
        <w:rPr>
          <w:rFonts w:hint="eastAsia"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附表2：</w:t>
      </w:r>
    </w:p>
    <w:p w14:paraId="66C3BEAF">
      <w:pPr>
        <w:pStyle w:val="8"/>
        <w:pageBreakBefore w:val="0"/>
        <w:widowControl w:val="0"/>
        <w:overflowPunct/>
        <w:topLinePunct w:val="0"/>
        <w:bidi w:val="0"/>
        <w:spacing w:line="240" w:lineRule="auto"/>
        <w:ind w:firstLine="420" w:firstLineChars="200"/>
        <w:rPr>
          <w:rFonts w:hint="eastAsia" w:ascii="宋体" w:hAnsi="宋体" w:eastAsia="宋体" w:cs="宋体"/>
          <w:color w:val="auto"/>
          <w:highlight w:val="none"/>
          <w:lang w:eastAsia="zh-CN"/>
        </w:rPr>
      </w:pPr>
    </w:p>
    <w:p w14:paraId="16770ED7">
      <w:pPr>
        <w:pageBreakBefore w:val="0"/>
        <w:widowControl w:val="0"/>
        <w:overflowPunct/>
        <w:topLinePunct w:val="0"/>
        <w:bidi w:val="0"/>
        <w:spacing w:line="240" w:lineRule="auto"/>
        <w:jc w:val="center"/>
        <w:rPr>
          <w:rFonts w:hint="eastAsia" w:ascii="宋体" w:hAnsi="宋体" w:eastAsia="宋体" w:cs="宋体"/>
          <w:color w:val="auto"/>
          <w:sz w:val="43"/>
          <w:szCs w:val="43"/>
          <w:highlight w:val="none"/>
          <w:lang w:eastAsia="zh-CN"/>
        </w:rPr>
      </w:pPr>
      <w:r>
        <w:rPr>
          <w:rFonts w:hint="eastAsia" w:ascii="宋体" w:hAnsi="宋体" w:eastAsia="宋体" w:cs="宋体"/>
          <w:color w:val="auto"/>
          <w:sz w:val="43"/>
          <w:szCs w:val="43"/>
          <w:highlight w:val="none"/>
          <w:lang w:eastAsia="zh-CN"/>
        </w:rPr>
        <w:t>投诉书（格式）</w:t>
      </w:r>
    </w:p>
    <w:p w14:paraId="30934B0B">
      <w:pPr>
        <w:pageBreakBefore w:val="0"/>
        <w:widowControl w:val="0"/>
        <w:overflowPunct/>
        <w:topLinePunct w:val="0"/>
        <w:bidi w:val="0"/>
        <w:spacing w:line="400" w:lineRule="exact"/>
        <w:ind w:firstLine="402" w:firstLineChars="200"/>
        <w:rPr>
          <w:rFonts w:hint="eastAsia" w:ascii="宋体" w:hAnsi="宋体" w:eastAsia="宋体" w:cs="宋体"/>
          <w:color w:val="auto"/>
          <w:sz w:val="20"/>
          <w:szCs w:val="20"/>
          <w:highlight w:val="none"/>
          <w:lang w:eastAsia="zh-CN"/>
        </w:rPr>
      </w:pPr>
      <w:r>
        <w:rPr>
          <w:rFonts w:hint="eastAsia" w:ascii="宋体" w:hAnsi="宋体" w:eastAsia="宋体" w:cs="宋体"/>
          <w:b/>
          <w:bCs/>
          <w:color w:val="auto"/>
          <w:sz w:val="20"/>
          <w:szCs w:val="20"/>
          <w:highlight w:val="none"/>
          <w:lang w:eastAsia="zh-CN"/>
        </w:rPr>
        <w:t>一、投诉相关主体基本情况：</w:t>
      </w:r>
    </w:p>
    <w:p w14:paraId="6A1B940C">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供应商：</w:t>
      </w:r>
      <w:r>
        <w:rPr>
          <w:rFonts w:hint="eastAsia" w:ascii="宋体" w:hAnsi="宋体" w:eastAsia="宋体" w:cs="宋体"/>
          <w:color w:val="auto"/>
          <w:sz w:val="20"/>
          <w:szCs w:val="20"/>
          <w:highlight w:val="none"/>
          <w:u w:val="single"/>
          <w:lang w:eastAsia="zh-CN"/>
        </w:rPr>
        <w:t xml:space="preserve">                     </w:t>
      </w:r>
    </w:p>
    <w:p w14:paraId="416A7029">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地址：</w:t>
      </w:r>
      <w:r>
        <w:rPr>
          <w:rFonts w:hint="eastAsia" w:ascii="宋体" w:hAnsi="宋体" w:eastAsia="宋体" w:cs="宋体"/>
          <w:color w:val="auto"/>
          <w:sz w:val="20"/>
          <w:szCs w:val="20"/>
          <w:highlight w:val="none"/>
          <w:u w:val="single"/>
          <w:lang w:eastAsia="zh-CN"/>
        </w:rPr>
        <w:t xml:space="preserve">                                           </w:t>
      </w:r>
      <w:r>
        <w:rPr>
          <w:rFonts w:hint="eastAsia" w:ascii="宋体" w:hAnsi="宋体" w:eastAsia="宋体" w:cs="宋体"/>
          <w:color w:val="auto"/>
          <w:sz w:val="20"/>
          <w:szCs w:val="20"/>
          <w:highlight w:val="none"/>
          <w:lang w:eastAsia="zh-CN"/>
        </w:rPr>
        <w:t xml:space="preserve"> 邮编：</w:t>
      </w:r>
      <w:r>
        <w:rPr>
          <w:rFonts w:hint="eastAsia" w:ascii="宋体" w:hAnsi="宋体" w:eastAsia="宋体" w:cs="宋体"/>
          <w:color w:val="auto"/>
          <w:sz w:val="20"/>
          <w:szCs w:val="20"/>
          <w:highlight w:val="none"/>
          <w:u w:val="single"/>
          <w:lang w:eastAsia="zh-CN"/>
        </w:rPr>
        <w:t xml:space="preserve">                     </w:t>
      </w:r>
    </w:p>
    <w:p w14:paraId="1FE90D2B">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法定代表人/主要负责人：</w:t>
      </w:r>
      <w:r>
        <w:rPr>
          <w:rFonts w:hint="eastAsia" w:ascii="宋体" w:hAnsi="宋体" w:eastAsia="宋体" w:cs="宋体"/>
          <w:color w:val="auto"/>
          <w:sz w:val="20"/>
          <w:szCs w:val="20"/>
          <w:highlight w:val="none"/>
          <w:u w:val="single"/>
          <w:lang w:eastAsia="zh-CN"/>
        </w:rPr>
        <w:t xml:space="preserve">                     </w:t>
      </w:r>
    </w:p>
    <w:p w14:paraId="170420F2">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联系电话：</w:t>
      </w:r>
      <w:r>
        <w:rPr>
          <w:rFonts w:hint="eastAsia" w:ascii="宋体" w:hAnsi="宋体" w:eastAsia="宋体" w:cs="宋体"/>
          <w:color w:val="auto"/>
          <w:sz w:val="20"/>
          <w:szCs w:val="20"/>
          <w:highlight w:val="none"/>
          <w:u w:val="single"/>
          <w:lang w:eastAsia="zh-CN"/>
        </w:rPr>
        <w:t xml:space="preserve">                     </w:t>
      </w:r>
    </w:p>
    <w:p w14:paraId="7422ACF0">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授权代表：</w:t>
      </w:r>
      <w:r>
        <w:rPr>
          <w:rFonts w:hint="eastAsia" w:ascii="宋体" w:hAnsi="宋体" w:eastAsia="宋体" w:cs="宋体"/>
          <w:color w:val="auto"/>
          <w:sz w:val="20"/>
          <w:szCs w:val="20"/>
          <w:highlight w:val="none"/>
          <w:u w:val="single"/>
          <w:lang w:eastAsia="zh-CN"/>
        </w:rPr>
        <w:t xml:space="preserve">                                           </w:t>
      </w:r>
      <w:r>
        <w:rPr>
          <w:rFonts w:hint="eastAsia" w:ascii="宋体" w:hAnsi="宋体" w:eastAsia="宋体" w:cs="宋体"/>
          <w:color w:val="auto"/>
          <w:sz w:val="20"/>
          <w:szCs w:val="20"/>
          <w:highlight w:val="none"/>
          <w:lang w:eastAsia="zh-CN"/>
        </w:rPr>
        <w:t xml:space="preserve"> 联系电话：</w:t>
      </w:r>
      <w:r>
        <w:rPr>
          <w:rFonts w:hint="eastAsia" w:ascii="宋体" w:hAnsi="宋体" w:eastAsia="宋体" w:cs="宋体"/>
          <w:color w:val="auto"/>
          <w:sz w:val="20"/>
          <w:szCs w:val="20"/>
          <w:highlight w:val="none"/>
          <w:u w:val="single"/>
          <w:lang w:eastAsia="zh-CN"/>
        </w:rPr>
        <w:t xml:space="preserve">                     </w:t>
      </w:r>
    </w:p>
    <w:p w14:paraId="3E582E59">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地址：</w:t>
      </w:r>
      <w:r>
        <w:rPr>
          <w:rFonts w:hint="eastAsia" w:ascii="宋体" w:hAnsi="宋体" w:eastAsia="宋体" w:cs="宋体"/>
          <w:color w:val="auto"/>
          <w:sz w:val="20"/>
          <w:szCs w:val="20"/>
          <w:highlight w:val="none"/>
          <w:u w:val="single"/>
          <w:lang w:eastAsia="zh-CN"/>
        </w:rPr>
        <w:t xml:space="preserve">                                                              </w:t>
      </w:r>
      <w:r>
        <w:rPr>
          <w:rFonts w:hint="eastAsia" w:ascii="宋体" w:hAnsi="宋体" w:eastAsia="宋体" w:cs="宋体"/>
          <w:color w:val="auto"/>
          <w:sz w:val="20"/>
          <w:szCs w:val="20"/>
          <w:highlight w:val="none"/>
          <w:lang w:eastAsia="zh-CN"/>
        </w:rPr>
        <w:t xml:space="preserve"> 邮编：</w:t>
      </w:r>
      <w:r>
        <w:rPr>
          <w:rFonts w:hint="eastAsia" w:ascii="宋体" w:hAnsi="宋体" w:eastAsia="宋体" w:cs="宋体"/>
          <w:color w:val="auto"/>
          <w:sz w:val="20"/>
          <w:szCs w:val="20"/>
          <w:highlight w:val="none"/>
          <w:u w:val="single"/>
          <w:lang w:eastAsia="zh-CN"/>
        </w:rPr>
        <w:t xml:space="preserve">                     </w:t>
      </w:r>
    </w:p>
    <w:p w14:paraId="3F81EAD7">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被投诉人 1：</w:t>
      </w:r>
    </w:p>
    <w:p w14:paraId="596D77CE">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地址：</w:t>
      </w:r>
      <w:r>
        <w:rPr>
          <w:rFonts w:hint="eastAsia" w:ascii="宋体" w:hAnsi="宋体" w:eastAsia="宋体" w:cs="宋体"/>
          <w:color w:val="auto"/>
          <w:sz w:val="20"/>
          <w:szCs w:val="20"/>
          <w:highlight w:val="none"/>
          <w:u w:val="single"/>
          <w:lang w:eastAsia="zh-CN"/>
        </w:rPr>
        <w:t xml:space="preserve">                                                              </w:t>
      </w:r>
      <w:r>
        <w:rPr>
          <w:rFonts w:hint="eastAsia" w:ascii="宋体" w:hAnsi="宋体" w:eastAsia="宋体" w:cs="宋体"/>
          <w:color w:val="auto"/>
          <w:sz w:val="20"/>
          <w:szCs w:val="20"/>
          <w:highlight w:val="none"/>
          <w:lang w:eastAsia="zh-CN"/>
        </w:rPr>
        <w:t xml:space="preserve"> 邮编：</w:t>
      </w:r>
      <w:r>
        <w:rPr>
          <w:rFonts w:hint="eastAsia" w:ascii="宋体" w:hAnsi="宋体" w:eastAsia="宋体" w:cs="宋体"/>
          <w:color w:val="auto"/>
          <w:sz w:val="20"/>
          <w:szCs w:val="20"/>
          <w:highlight w:val="none"/>
          <w:u w:val="single"/>
          <w:lang w:eastAsia="zh-CN"/>
        </w:rPr>
        <w:t xml:space="preserve">                     </w:t>
      </w:r>
    </w:p>
    <w:p w14:paraId="5C625748">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联系人：</w:t>
      </w:r>
      <w:r>
        <w:rPr>
          <w:rFonts w:hint="eastAsia" w:ascii="宋体" w:hAnsi="宋体" w:eastAsia="宋体" w:cs="宋体"/>
          <w:color w:val="auto"/>
          <w:sz w:val="20"/>
          <w:szCs w:val="20"/>
          <w:highlight w:val="none"/>
          <w:u w:val="single"/>
          <w:lang w:eastAsia="zh-CN"/>
        </w:rPr>
        <w:t xml:space="preserve">                                                  </w:t>
      </w:r>
      <w:r>
        <w:rPr>
          <w:rFonts w:hint="eastAsia" w:ascii="宋体" w:hAnsi="宋体" w:eastAsia="宋体" w:cs="宋体"/>
          <w:color w:val="auto"/>
          <w:sz w:val="20"/>
          <w:szCs w:val="20"/>
          <w:highlight w:val="none"/>
          <w:lang w:eastAsia="zh-CN"/>
        </w:rPr>
        <w:t xml:space="preserve"> 联系电话：</w:t>
      </w:r>
      <w:r>
        <w:rPr>
          <w:rFonts w:hint="eastAsia" w:ascii="宋体" w:hAnsi="宋体" w:eastAsia="宋体" w:cs="宋体"/>
          <w:color w:val="auto"/>
          <w:sz w:val="20"/>
          <w:szCs w:val="20"/>
          <w:highlight w:val="none"/>
          <w:u w:val="single"/>
          <w:lang w:eastAsia="zh-CN"/>
        </w:rPr>
        <w:t xml:space="preserve">                     </w:t>
      </w:r>
    </w:p>
    <w:p w14:paraId="4563D9E9">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被投诉人 2：</w:t>
      </w:r>
    </w:p>
    <w:p w14:paraId="18B812CD">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w:t>
      </w:r>
    </w:p>
    <w:p w14:paraId="7439D3F3">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相关供应商：</w:t>
      </w:r>
      <w:r>
        <w:rPr>
          <w:rFonts w:hint="eastAsia" w:ascii="宋体" w:hAnsi="宋体" w:eastAsia="宋体" w:cs="宋体"/>
          <w:color w:val="auto"/>
          <w:sz w:val="20"/>
          <w:szCs w:val="20"/>
          <w:highlight w:val="none"/>
          <w:u w:val="single"/>
          <w:lang w:eastAsia="zh-CN"/>
        </w:rPr>
        <w:t xml:space="preserve">                     </w:t>
      </w:r>
    </w:p>
    <w:p w14:paraId="0599881A">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地址：</w:t>
      </w:r>
      <w:r>
        <w:rPr>
          <w:rFonts w:hint="eastAsia" w:ascii="宋体" w:hAnsi="宋体" w:eastAsia="宋体" w:cs="宋体"/>
          <w:color w:val="auto"/>
          <w:sz w:val="20"/>
          <w:szCs w:val="20"/>
          <w:highlight w:val="none"/>
          <w:u w:val="single"/>
          <w:lang w:eastAsia="zh-CN"/>
        </w:rPr>
        <w:t xml:space="preserve">                                                </w:t>
      </w:r>
      <w:r>
        <w:rPr>
          <w:rFonts w:hint="eastAsia" w:ascii="宋体" w:hAnsi="宋体" w:eastAsia="宋体" w:cs="宋体"/>
          <w:color w:val="auto"/>
          <w:sz w:val="20"/>
          <w:szCs w:val="20"/>
          <w:highlight w:val="none"/>
          <w:lang w:eastAsia="zh-CN"/>
        </w:rPr>
        <w:t xml:space="preserve"> 邮编：</w:t>
      </w:r>
      <w:r>
        <w:rPr>
          <w:rFonts w:hint="eastAsia" w:ascii="宋体" w:hAnsi="宋体" w:eastAsia="宋体" w:cs="宋体"/>
          <w:color w:val="auto"/>
          <w:sz w:val="20"/>
          <w:szCs w:val="20"/>
          <w:highlight w:val="none"/>
          <w:u w:val="single"/>
          <w:lang w:eastAsia="zh-CN"/>
        </w:rPr>
        <w:t xml:space="preserve">                     </w:t>
      </w:r>
    </w:p>
    <w:p w14:paraId="600D2225">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联系人：</w:t>
      </w:r>
      <w:r>
        <w:rPr>
          <w:rFonts w:hint="eastAsia" w:ascii="宋体" w:hAnsi="宋体" w:eastAsia="宋体" w:cs="宋体"/>
          <w:color w:val="auto"/>
          <w:sz w:val="20"/>
          <w:szCs w:val="20"/>
          <w:highlight w:val="none"/>
          <w:u w:val="single"/>
          <w:lang w:eastAsia="zh-CN"/>
        </w:rPr>
        <w:t xml:space="preserve">                                              </w:t>
      </w:r>
      <w:r>
        <w:rPr>
          <w:rFonts w:hint="eastAsia" w:ascii="宋体" w:hAnsi="宋体" w:eastAsia="宋体" w:cs="宋体"/>
          <w:color w:val="auto"/>
          <w:sz w:val="20"/>
          <w:szCs w:val="20"/>
          <w:highlight w:val="none"/>
          <w:lang w:eastAsia="zh-CN"/>
        </w:rPr>
        <w:t xml:space="preserve"> 联系电话：</w:t>
      </w:r>
      <w:r>
        <w:rPr>
          <w:rFonts w:hint="eastAsia" w:ascii="宋体" w:hAnsi="宋体" w:eastAsia="宋体" w:cs="宋体"/>
          <w:color w:val="auto"/>
          <w:sz w:val="20"/>
          <w:szCs w:val="20"/>
          <w:highlight w:val="none"/>
          <w:u w:val="single"/>
          <w:lang w:eastAsia="zh-CN"/>
        </w:rPr>
        <w:t xml:space="preserve">                     </w:t>
      </w:r>
    </w:p>
    <w:p w14:paraId="55489606">
      <w:pPr>
        <w:pageBreakBefore w:val="0"/>
        <w:widowControl w:val="0"/>
        <w:overflowPunct/>
        <w:topLinePunct w:val="0"/>
        <w:bidi w:val="0"/>
        <w:spacing w:line="400" w:lineRule="exact"/>
        <w:ind w:firstLine="402" w:firstLineChars="200"/>
        <w:rPr>
          <w:rFonts w:hint="eastAsia" w:ascii="宋体" w:hAnsi="宋体" w:eastAsia="宋体" w:cs="宋体"/>
          <w:color w:val="auto"/>
          <w:sz w:val="20"/>
          <w:szCs w:val="20"/>
          <w:highlight w:val="none"/>
          <w:lang w:eastAsia="zh-CN"/>
        </w:rPr>
      </w:pPr>
      <w:r>
        <w:rPr>
          <w:rFonts w:hint="eastAsia" w:ascii="宋体" w:hAnsi="宋体" w:eastAsia="宋体" w:cs="宋体"/>
          <w:b/>
          <w:bCs/>
          <w:color w:val="auto"/>
          <w:sz w:val="20"/>
          <w:szCs w:val="20"/>
          <w:highlight w:val="none"/>
          <w:lang w:eastAsia="zh-CN"/>
        </w:rPr>
        <w:t>二、投诉项目基本情况：</w:t>
      </w:r>
    </w:p>
    <w:p w14:paraId="1DDE73E5">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u w:val="single"/>
          <w:lang w:eastAsia="zh-CN"/>
        </w:rPr>
      </w:pPr>
      <w:r>
        <w:rPr>
          <w:rFonts w:hint="eastAsia" w:ascii="宋体" w:hAnsi="宋体" w:eastAsia="宋体" w:cs="宋体"/>
          <w:color w:val="auto"/>
          <w:sz w:val="20"/>
          <w:szCs w:val="20"/>
          <w:highlight w:val="none"/>
          <w:lang w:eastAsia="zh-CN"/>
        </w:rPr>
        <w:t>采购项目的名称：</w:t>
      </w:r>
      <w:r>
        <w:rPr>
          <w:rFonts w:hint="eastAsia" w:ascii="宋体" w:hAnsi="宋体" w:eastAsia="宋体" w:cs="宋体"/>
          <w:color w:val="auto"/>
          <w:sz w:val="20"/>
          <w:szCs w:val="20"/>
          <w:highlight w:val="none"/>
          <w:u w:val="single"/>
          <w:lang w:eastAsia="zh-CN"/>
        </w:rPr>
        <w:t xml:space="preserve">                     </w:t>
      </w:r>
    </w:p>
    <w:p w14:paraId="4F7554CE">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采购项目的编号：</w:t>
      </w:r>
      <w:r>
        <w:rPr>
          <w:rFonts w:hint="eastAsia" w:ascii="宋体" w:hAnsi="宋体" w:eastAsia="宋体" w:cs="宋体"/>
          <w:color w:val="auto"/>
          <w:sz w:val="20"/>
          <w:szCs w:val="20"/>
          <w:highlight w:val="none"/>
          <w:u w:val="single"/>
          <w:lang w:eastAsia="zh-CN"/>
        </w:rPr>
        <w:t xml:space="preserve">                     </w:t>
      </w:r>
    </w:p>
    <w:p w14:paraId="362E710A">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采购人名称：</w:t>
      </w:r>
      <w:r>
        <w:rPr>
          <w:rFonts w:hint="eastAsia" w:ascii="宋体" w:hAnsi="宋体" w:eastAsia="宋体" w:cs="宋体"/>
          <w:color w:val="auto"/>
          <w:sz w:val="20"/>
          <w:szCs w:val="20"/>
          <w:highlight w:val="none"/>
          <w:u w:val="single"/>
          <w:lang w:eastAsia="zh-CN"/>
        </w:rPr>
        <w:t xml:space="preserve">                     </w:t>
      </w:r>
    </w:p>
    <w:p w14:paraId="76CF1089">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u w:val="single"/>
          <w:lang w:eastAsia="zh-CN"/>
        </w:rPr>
      </w:pPr>
      <w:r>
        <w:rPr>
          <w:rFonts w:hint="eastAsia" w:ascii="宋体" w:hAnsi="宋体" w:eastAsia="宋体" w:cs="宋体"/>
          <w:color w:val="auto"/>
          <w:sz w:val="20"/>
          <w:szCs w:val="20"/>
          <w:highlight w:val="none"/>
          <w:lang w:eastAsia="zh-CN"/>
        </w:rPr>
        <w:t>代理机构名称：</w:t>
      </w:r>
      <w:r>
        <w:rPr>
          <w:rFonts w:hint="eastAsia" w:ascii="宋体" w:hAnsi="宋体" w:eastAsia="宋体" w:cs="宋体"/>
          <w:color w:val="auto"/>
          <w:sz w:val="20"/>
          <w:szCs w:val="20"/>
          <w:highlight w:val="none"/>
          <w:u w:val="single"/>
          <w:lang w:eastAsia="zh-CN"/>
        </w:rPr>
        <w:t xml:space="preserve">                     </w:t>
      </w:r>
    </w:p>
    <w:p w14:paraId="5E4EF8F4">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采购文件公告：</w:t>
      </w:r>
      <w:r>
        <w:rPr>
          <w:rFonts w:hint="eastAsia" w:ascii="宋体" w:hAnsi="宋体" w:eastAsia="宋体" w:cs="宋体"/>
          <w:color w:val="auto"/>
          <w:sz w:val="20"/>
          <w:szCs w:val="20"/>
          <w:highlight w:val="none"/>
          <w:u w:val="single"/>
          <w:lang w:eastAsia="zh-CN"/>
        </w:rPr>
        <w:t>是/否</w:t>
      </w:r>
      <w:r>
        <w:rPr>
          <w:rFonts w:hint="eastAsia" w:ascii="宋体" w:hAnsi="宋体" w:eastAsia="宋体" w:cs="宋体"/>
          <w:color w:val="auto"/>
          <w:sz w:val="20"/>
          <w:szCs w:val="20"/>
          <w:highlight w:val="none"/>
          <w:lang w:eastAsia="zh-CN"/>
        </w:rPr>
        <w:t>公告期限：</w:t>
      </w:r>
    </w:p>
    <w:p w14:paraId="23EAE8A6">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采购结果公告：</w:t>
      </w:r>
      <w:r>
        <w:rPr>
          <w:rFonts w:hint="eastAsia" w:ascii="宋体" w:hAnsi="宋体" w:eastAsia="宋体" w:cs="宋体"/>
          <w:color w:val="auto"/>
          <w:sz w:val="20"/>
          <w:szCs w:val="20"/>
          <w:highlight w:val="none"/>
          <w:u w:val="single"/>
          <w:lang w:eastAsia="zh-CN"/>
        </w:rPr>
        <w:t>是/否</w:t>
      </w:r>
      <w:r>
        <w:rPr>
          <w:rFonts w:hint="eastAsia" w:ascii="宋体" w:hAnsi="宋体" w:eastAsia="宋体" w:cs="宋体"/>
          <w:color w:val="auto"/>
          <w:sz w:val="20"/>
          <w:szCs w:val="20"/>
          <w:highlight w:val="none"/>
          <w:lang w:eastAsia="zh-CN"/>
        </w:rPr>
        <w:t>公告期限：</w:t>
      </w:r>
    </w:p>
    <w:p w14:paraId="5E74ADD1">
      <w:pPr>
        <w:pageBreakBefore w:val="0"/>
        <w:widowControl w:val="0"/>
        <w:overflowPunct/>
        <w:topLinePunct w:val="0"/>
        <w:bidi w:val="0"/>
        <w:spacing w:line="400" w:lineRule="exact"/>
        <w:ind w:firstLine="402" w:firstLineChars="200"/>
        <w:rPr>
          <w:rFonts w:hint="eastAsia" w:ascii="宋体" w:hAnsi="宋体" w:eastAsia="宋体" w:cs="宋体"/>
          <w:color w:val="auto"/>
          <w:sz w:val="20"/>
          <w:szCs w:val="20"/>
          <w:highlight w:val="none"/>
          <w:lang w:eastAsia="zh-CN"/>
        </w:rPr>
      </w:pPr>
      <w:r>
        <w:rPr>
          <w:rFonts w:hint="eastAsia" w:ascii="宋体" w:hAnsi="宋体" w:eastAsia="宋体" w:cs="宋体"/>
          <w:b/>
          <w:bCs/>
          <w:color w:val="auto"/>
          <w:sz w:val="20"/>
          <w:szCs w:val="20"/>
          <w:highlight w:val="none"/>
          <w:lang w:eastAsia="zh-CN"/>
        </w:rPr>
        <w:t>三、质疑基本情况</w:t>
      </w:r>
    </w:p>
    <w:p w14:paraId="3B11C483">
      <w:pPr>
        <w:pageBreakBefore w:val="0"/>
        <w:widowControl w:val="0"/>
        <w:overflowPunct/>
        <w:topLinePunct w:val="0"/>
        <w:bidi w:val="0"/>
        <w:spacing w:line="400" w:lineRule="exact"/>
        <w:ind w:firstLine="400" w:firstLineChars="200"/>
        <w:rPr>
          <w:rFonts w:hint="eastAsia" w:ascii="宋体" w:hAnsi="宋体" w:eastAsia="宋体" w:cs="宋体"/>
          <w:color w:val="auto"/>
          <w:highlight w:val="none"/>
          <w:lang w:eastAsia="zh-CN"/>
        </w:rPr>
      </w:pPr>
      <w:r>
        <w:rPr>
          <w:rFonts w:hint="eastAsia" w:ascii="宋体" w:hAnsi="宋体" w:eastAsia="宋体" w:cs="宋体"/>
          <w:color w:val="auto"/>
          <w:sz w:val="20"/>
          <w:szCs w:val="20"/>
          <w:highlight w:val="none"/>
          <w:lang w:eastAsia="zh-CN"/>
        </w:rPr>
        <w:t xml:space="preserve">投诉人于 </w:t>
      </w:r>
      <w:r>
        <w:rPr>
          <w:rFonts w:hint="eastAsia" w:ascii="宋体" w:hAnsi="宋体" w:eastAsia="宋体" w:cs="宋体"/>
          <w:color w:val="auto"/>
          <w:sz w:val="20"/>
          <w:szCs w:val="20"/>
          <w:highlight w:val="none"/>
          <w:u w:val="single"/>
          <w:lang w:eastAsia="zh-CN"/>
        </w:rPr>
        <w:t xml:space="preserve">      </w:t>
      </w:r>
      <w:r>
        <w:rPr>
          <w:rFonts w:hint="eastAsia" w:ascii="宋体" w:hAnsi="宋体" w:eastAsia="宋体" w:cs="宋体"/>
          <w:color w:val="auto"/>
          <w:sz w:val="20"/>
          <w:szCs w:val="20"/>
          <w:highlight w:val="none"/>
          <w:lang w:eastAsia="zh-CN"/>
        </w:rPr>
        <w:t xml:space="preserve"> 年 </w:t>
      </w:r>
      <w:r>
        <w:rPr>
          <w:rFonts w:hint="eastAsia" w:ascii="宋体" w:hAnsi="宋体" w:eastAsia="宋体" w:cs="宋体"/>
          <w:color w:val="auto"/>
          <w:sz w:val="20"/>
          <w:szCs w:val="20"/>
          <w:highlight w:val="none"/>
          <w:u w:val="single"/>
          <w:lang w:eastAsia="zh-CN"/>
        </w:rPr>
        <w:t xml:space="preserve">   </w:t>
      </w:r>
      <w:r>
        <w:rPr>
          <w:rFonts w:hint="eastAsia" w:ascii="宋体" w:hAnsi="宋体" w:eastAsia="宋体" w:cs="宋体"/>
          <w:color w:val="auto"/>
          <w:sz w:val="20"/>
          <w:szCs w:val="20"/>
          <w:highlight w:val="none"/>
          <w:lang w:eastAsia="zh-CN"/>
        </w:rPr>
        <w:t xml:space="preserve"> 月 </w:t>
      </w:r>
      <w:r>
        <w:rPr>
          <w:rFonts w:hint="eastAsia" w:ascii="宋体" w:hAnsi="宋体" w:eastAsia="宋体" w:cs="宋体"/>
          <w:color w:val="auto"/>
          <w:sz w:val="20"/>
          <w:szCs w:val="20"/>
          <w:highlight w:val="none"/>
          <w:u w:val="single"/>
          <w:lang w:eastAsia="zh-CN"/>
        </w:rPr>
        <w:t xml:space="preserve">   </w:t>
      </w:r>
      <w:r>
        <w:rPr>
          <w:rFonts w:hint="eastAsia" w:ascii="宋体" w:hAnsi="宋体" w:eastAsia="宋体" w:cs="宋体"/>
          <w:color w:val="auto"/>
          <w:sz w:val="20"/>
          <w:szCs w:val="20"/>
          <w:highlight w:val="none"/>
          <w:lang w:eastAsia="zh-CN"/>
        </w:rPr>
        <w:t xml:space="preserve"> 日，向 </w:t>
      </w:r>
      <w:r>
        <w:rPr>
          <w:rFonts w:hint="eastAsia" w:ascii="宋体" w:hAnsi="宋体" w:eastAsia="宋体" w:cs="宋体"/>
          <w:color w:val="auto"/>
          <w:sz w:val="20"/>
          <w:szCs w:val="20"/>
          <w:highlight w:val="none"/>
          <w:u w:val="single"/>
          <w:lang w:eastAsia="zh-CN"/>
        </w:rPr>
        <w:t xml:space="preserve">                  </w:t>
      </w:r>
      <w:r>
        <w:rPr>
          <w:rFonts w:hint="eastAsia" w:ascii="宋体" w:hAnsi="宋体" w:eastAsia="宋体" w:cs="宋体"/>
          <w:color w:val="auto"/>
          <w:sz w:val="20"/>
          <w:szCs w:val="20"/>
          <w:highlight w:val="none"/>
          <w:lang w:eastAsia="zh-CN"/>
        </w:rPr>
        <w:t xml:space="preserve"> 提出质疑，质疑事项为：</w:t>
      </w:r>
      <w:r>
        <w:rPr>
          <w:rFonts w:hint="eastAsia" w:ascii="宋体" w:hAnsi="宋体" w:eastAsia="宋体" w:cs="宋体"/>
          <w:color w:val="auto"/>
          <w:sz w:val="20"/>
          <w:szCs w:val="20"/>
          <w:highlight w:val="none"/>
          <w:u w:val="single"/>
          <w:lang w:eastAsia="zh-CN"/>
        </w:rPr>
        <w:t xml:space="preserve">                     </w:t>
      </w:r>
    </w:p>
    <w:p w14:paraId="5E3DB8AC">
      <w:pPr>
        <w:pageBreakBefore w:val="0"/>
        <w:widowControl w:val="0"/>
        <w:overflowPunct/>
        <w:topLinePunct w:val="0"/>
        <w:bidi w:val="0"/>
        <w:spacing w:line="400" w:lineRule="exact"/>
        <w:jc w:val="both"/>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u w:val="single"/>
          <w:lang w:eastAsia="zh-CN"/>
        </w:rPr>
        <w:t>采购人/代理机构</w:t>
      </w:r>
      <w:r>
        <w:rPr>
          <w:rFonts w:hint="eastAsia" w:ascii="宋体" w:hAnsi="宋体" w:eastAsia="宋体" w:cs="宋体"/>
          <w:color w:val="auto"/>
          <w:sz w:val="20"/>
          <w:szCs w:val="20"/>
          <w:highlight w:val="none"/>
          <w:lang w:eastAsia="zh-CN"/>
        </w:rPr>
        <w:t xml:space="preserve">于 </w:t>
      </w:r>
      <w:r>
        <w:rPr>
          <w:rFonts w:hint="eastAsia" w:ascii="宋体" w:hAnsi="宋体" w:eastAsia="宋体" w:cs="宋体"/>
          <w:color w:val="auto"/>
          <w:sz w:val="20"/>
          <w:szCs w:val="20"/>
          <w:highlight w:val="none"/>
          <w:u w:val="single"/>
          <w:lang w:eastAsia="zh-CN"/>
        </w:rPr>
        <w:t xml:space="preserve">      </w:t>
      </w:r>
      <w:r>
        <w:rPr>
          <w:rFonts w:hint="eastAsia" w:ascii="宋体" w:hAnsi="宋体" w:eastAsia="宋体" w:cs="宋体"/>
          <w:color w:val="auto"/>
          <w:sz w:val="20"/>
          <w:szCs w:val="20"/>
          <w:highlight w:val="none"/>
          <w:lang w:eastAsia="zh-CN"/>
        </w:rPr>
        <w:t xml:space="preserve"> 年 </w:t>
      </w:r>
      <w:r>
        <w:rPr>
          <w:rFonts w:hint="eastAsia" w:ascii="宋体" w:hAnsi="宋体" w:eastAsia="宋体" w:cs="宋体"/>
          <w:color w:val="auto"/>
          <w:sz w:val="20"/>
          <w:szCs w:val="20"/>
          <w:highlight w:val="none"/>
          <w:u w:val="single"/>
          <w:lang w:eastAsia="zh-CN"/>
        </w:rPr>
        <w:t xml:space="preserve">   </w:t>
      </w:r>
      <w:r>
        <w:rPr>
          <w:rFonts w:hint="eastAsia" w:ascii="宋体" w:hAnsi="宋体" w:eastAsia="宋体" w:cs="宋体"/>
          <w:color w:val="auto"/>
          <w:sz w:val="20"/>
          <w:szCs w:val="20"/>
          <w:highlight w:val="none"/>
          <w:lang w:eastAsia="zh-CN"/>
        </w:rPr>
        <w:t xml:space="preserve"> 月 </w:t>
      </w:r>
      <w:r>
        <w:rPr>
          <w:rFonts w:hint="eastAsia" w:ascii="宋体" w:hAnsi="宋体" w:eastAsia="宋体" w:cs="宋体"/>
          <w:color w:val="auto"/>
          <w:sz w:val="20"/>
          <w:szCs w:val="20"/>
          <w:highlight w:val="none"/>
          <w:u w:val="single"/>
          <w:lang w:eastAsia="zh-CN"/>
        </w:rPr>
        <w:t xml:space="preserve">   </w:t>
      </w:r>
      <w:r>
        <w:rPr>
          <w:rFonts w:hint="eastAsia" w:ascii="宋体" w:hAnsi="宋体" w:eastAsia="宋体" w:cs="宋体"/>
          <w:color w:val="auto"/>
          <w:sz w:val="20"/>
          <w:szCs w:val="20"/>
          <w:highlight w:val="none"/>
          <w:lang w:eastAsia="zh-CN"/>
        </w:rPr>
        <w:t xml:space="preserve"> 日，就质疑事项作出了答复/没有在法定期限内作出答复。</w:t>
      </w:r>
    </w:p>
    <w:p w14:paraId="543E5293">
      <w:pPr>
        <w:pageBreakBefore w:val="0"/>
        <w:widowControl w:val="0"/>
        <w:overflowPunct/>
        <w:topLinePunct w:val="0"/>
        <w:bidi w:val="0"/>
        <w:spacing w:line="400" w:lineRule="exact"/>
        <w:ind w:firstLine="402" w:firstLineChars="200"/>
        <w:rPr>
          <w:rFonts w:hint="eastAsia" w:ascii="宋体" w:hAnsi="宋体" w:eastAsia="宋体" w:cs="宋体"/>
          <w:color w:val="auto"/>
          <w:sz w:val="20"/>
          <w:szCs w:val="20"/>
          <w:highlight w:val="none"/>
          <w:lang w:eastAsia="zh-CN"/>
        </w:rPr>
      </w:pPr>
      <w:r>
        <w:rPr>
          <w:rFonts w:hint="eastAsia" w:ascii="宋体" w:hAnsi="宋体" w:eastAsia="宋体" w:cs="宋体"/>
          <w:b/>
          <w:bCs/>
          <w:color w:val="auto"/>
          <w:sz w:val="20"/>
          <w:szCs w:val="20"/>
          <w:highlight w:val="none"/>
          <w:lang w:eastAsia="zh-CN"/>
        </w:rPr>
        <w:t>四、投诉事项具体内容</w:t>
      </w:r>
    </w:p>
    <w:p w14:paraId="436FA93D">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投诉事项 1：</w:t>
      </w:r>
    </w:p>
    <w:p w14:paraId="1B90DDC3">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事实依据：</w:t>
      </w:r>
    </w:p>
    <w:p w14:paraId="4ACF99EF">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58421391">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7EDBB915">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法律依据：</w:t>
      </w:r>
    </w:p>
    <w:p w14:paraId="2129A480">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0BF34888">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6BEDC32B">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投诉事项 2</w:t>
      </w:r>
    </w:p>
    <w:p w14:paraId="3F0B2F35">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w:t>
      </w:r>
    </w:p>
    <w:p w14:paraId="2FDF0C8A">
      <w:pPr>
        <w:pageBreakBefore w:val="0"/>
        <w:widowControl w:val="0"/>
        <w:overflowPunct/>
        <w:topLinePunct w:val="0"/>
        <w:bidi w:val="0"/>
        <w:spacing w:line="400" w:lineRule="exact"/>
        <w:ind w:firstLine="402" w:firstLineChars="200"/>
        <w:rPr>
          <w:rFonts w:hint="eastAsia" w:ascii="宋体" w:hAnsi="宋体" w:eastAsia="宋体" w:cs="宋体"/>
          <w:color w:val="auto"/>
          <w:sz w:val="20"/>
          <w:szCs w:val="20"/>
          <w:highlight w:val="none"/>
          <w:lang w:eastAsia="zh-CN"/>
        </w:rPr>
      </w:pPr>
      <w:r>
        <w:rPr>
          <w:rFonts w:hint="eastAsia" w:ascii="宋体" w:hAnsi="宋体" w:eastAsia="宋体" w:cs="宋体"/>
          <w:b/>
          <w:bCs/>
          <w:color w:val="auto"/>
          <w:sz w:val="20"/>
          <w:szCs w:val="20"/>
          <w:highlight w:val="none"/>
          <w:lang w:eastAsia="zh-CN"/>
        </w:rPr>
        <w:t>五、与投诉事项相关的投诉请求：</w:t>
      </w:r>
    </w:p>
    <w:p w14:paraId="0F9E2487">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请求：</w:t>
      </w:r>
    </w:p>
    <w:p w14:paraId="28902D97">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3E2966EE">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4CC2F104">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签字（签章）：                                         公章：</w:t>
      </w:r>
    </w:p>
    <w:p w14:paraId="7D3FF137">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7A9BA533">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2FF1E76D">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日期：</w:t>
      </w:r>
    </w:p>
    <w:p w14:paraId="2EC1C2C8">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46ACF3E4">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74A1BC06">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79D05BE5">
      <w:pPr>
        <w:pageBreakBefore w:val="0"/>
        <w:widowControl w:val="0"/>
        <w:overflowPunct/>
        <w:topLinePunct w:val="0"/>
        <w:bidi w:val="0"/>
        <w:spacing w:line="400" w:lineRule="exact"/>
        <w:ind w:firstLine="402" w:firstLineChars="200"/>
        <w:rPr>
          <w:rFonts w:hint="eastAsia" w:ascii="宋体" w:hAnsi="宋体" w:eastAsia="宋体" w:cs="宋体"/>
          <w:color w:val="auto"/>
          <w:sz w:val="20"/>
          <w:szCs w:val="20"/>
          <w:highlight w:val="none"/>
          <w:lang w:eastAsia="zh-CN"/>
        </w:rPr>
      </w:pPr>
      <w:r>
        <w:rPr>
          <w:rFonts w:hint="eastAsia" w:ascii="宋体" w:hAnsi="宋体" w:eastAsia="宋体" w:cs="宋体"/>
          <w:b/>
          <w:bCs/>
          <w:color w:val="auto"/>
          <w:sz w:val="20"/>
          <w:szCs w:val="20"/>
          <w:highlight w:val="none"/>
          <w:lang w:eastAsia="zh-CN"/>
        </w:rPr>
        <w:t>说明：</w:t>
      </w:r>
    </w:p>
    <w:p w14:paraId="4B0CA74D">
      <w:pPr>
        <w:pageBreakBefore w:val="0"/>
        <w:widowControl w:val="0"/>
        <w:overflowPunct/>
        <w:topLinePunct w:val="0"/>
        <w:bidi w:val="0"/>
        <w:spacing w:line="400" w:lineRule="exact"/>
        <w:ind w:firstLine="402" w:firstLineChars="200"/>
        <w:rPr>
          <w:rFonts w:hint="eastAsia" w:ascii="宋体" w:hAnsi="宋体" w:eastAsia="宋体" w:cs="宋体"/>
          <w:color w:val="auto"/>
          <w:sz w:val="20"/>
          <w:szCs w:val="20"/>
          <w:highlight w:val="none"/>
          <w:lang w:eastAsia="zh-CN"/>
        </w:rPr>
      </w:pPr>
      <w:r>
        <w:rPr>
          <w:rFonts w:hint="eastAsia" w:ascii="宋体" w:hAnsi="宋体" w:eastAsia="宋体" w:cs="宋体"/>
          <w:b/>
          <w:bCs/>
          <w:color w:val="auto"/>
          <w:sz w:val="20"/>
          <w:szCs w:val="20"/>
          <w:highlight w:val="none"/>
          <w:lang w:eastAsia="zh-CN"/>
        </w:rPr>
        <w:t>1.投诉人提起投诉时，应当提交投诉书和必要的证明材料，并按照被投诉人和与投诉事项有关的供应商数量提供投诉书副本。</w:t>
      </w:r>
    </w:p>
    <w:p w14:paraId="1B9A25DE">
      <w:pPr>
        <w:pageBreakBefore w:val="0"/>
        <w:widowControl w:val="0"/>
        <w:overflowPunct/>
        <w:topLinePunct w:val="0"/>
        <w:bidi w:val="0"/>
        <w:spacing w:line="400" w:lineRule="exact"/>
        <w:ind w:firstLine="402" w:firstLineChars="200"/>
        <w:rPr>
          <w:rFonts w:hint="eastAsia" w:ascii="宋体" w:hAnsi="宋体" w:eastAsia="宋体" w:cs="宋体"/>
          <w:color w:val="auto"/>
          <w:sz w:val="20"/>
          <w:szCs w:val="20"/>
          <w:highlight w:val="none"/>
          <w:lang w:eastAsia="zh-CN"/>
        </w:rPr>
      </w:pPr>
      <w:r>
        <w:rPr>
          <w:rFonts w:hint="eastAsia" w:ascii="宋体" w:hAnsi="宋体" w:eastAsia="宋体" w:cs="宋体"/>
          <w:b/>
          <w:bCs/>
          <w:color w:val="auto"/>
          <w:sz w:val="20"/>
          <w:szCs w:val="20"/>
          <w:highlight w:val="none"/>
          <w:lang w:eastAsia="zh-CN"/>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709BFD3B">
      <w:pPr>
        <w:pageBreakBefore w:val="0"/>
        <w:widowControl w:val="0"/>
        <w:overflowPunct/>
        <w:topLinePunct w:val="0"/>
        <w:bidi w:val="0"/>
        <w:spacing w:line="400" w:lineRule="exact"/>
        <w:ind w:firstLine="402" w:firstLineChars="200"/>
        <w:rPr>
          <w:rFonts w:hint="eastAsia" w:ascii="宋体" w:hAnsi="宋体" w:eastAsia="宋体" w:cs="宋体"/>
          <w:color w:val="auto"/>
          <w:sz w:val="20"/>
          <w:szCs w:val="20"/>
          <w:highlight w:val="none"/>
          <w:lang w:eastAsia="zh-CN"/>
        </w:rPr>
      </w:pPr>
      <w:r>
        <w:rPr>
          <w:rFonts w:hint="eastAsia" w:ascii="宋体" w:hAnsi="宋体" w:eastAsia="宋体" w:cs="宋体"/>
          <w:b/>
          <w:bCs/>
          <w:color w:val="auto"/>
          <w:sz w:val="20"/>
          <w:szCs w:val="20"/>
          <w:highlight w:val="none"/>
          <w:lang w:eastAsia="zh-CN"/>
        </w:rPr>
        <w:t>3.投诉书应简要列明质疑事项，质疑函、质疑答复等作为附件材料提供。</w:t>
      </w:r>
    </w:p>
    <w:p w14:paraId="35E0064F">
      <w:pPr>
        <w:pageBreakBefore w:val="0"/>
        <w:widowControl w:val="0"/>
        <w:overflowPunct/>
        <w:topLinePunct w:val="0"/>
        <w:bidi w:val="0"/>
        <w:spacing w:line="400" w:lineRule="exact"/>
        <w:ind w:firstLine="402" w:firstLineChars="200"/>
        <w:rPr>
          <w:rFonts w:hint="eastAsia" w:ascii="宋体" w:hAnsi="宋体" w:eastAsia="宋体" w:cs="宋体"/>
          <w:color w:val="auto"/>
          <w:sz w:val="20"/>
          <w:szCs w:val="20"/>
          <w:highlight w:val="none"/>
          <w:lang w:eastAsia="zh-CN"/>
        </w:rPr>
      </w:pPr>
      <w:r>
        <w:rPr>
          <w:rFonts w:hint="eastAsia" w:ascii="宋体" w:hAnsi="宋体" w:eastAsia="宋体" w:cs="宋体"/>
          <w:b/>
          <w:bCs/>
          <w:color w:val="auto"/>
          <w:sz w:val="20"/>
          <w:szCs w:val="20"/>
          <w:highlight w:val="none"/>
          <w:lang w:eastAsia="zh-CN"/>
        </w:rPr>
        <w:t>4.投诉书的投诉事项应具体、明确，并有必要的事实依据和法律依据。</w:t>
      </w:r>
    </w:p>
    <w:p w14:paraId="584B337F">
      <w:pPr>
        <w:pageBreakBefore w:val="0"/>
        <w:widowControl w:val="0"/>
        <w:overflowPunct/>
        <w:topLinePunct w:val="0"/>
        <w:bidi w:val="0"/>
        <w:spacing w:line="400" w:lineRule="exact"/>
        <w:ind w:firstLine="402" w:firstLineChars="200"/>
        <w:rPr>
          <w:rFonts w:hint="eastAsia" w:ascii="宋体" w:hAnsi="宋体" w:eastAsia="宋体" w:cs="宋体"/>
          <w:color w:val="auto"/>
          <w:sz w:val="20"/>
          <w:szCs w:val="20"/>
          <w:highlight w:val="none"/>
          <w:lang w:eastAsia="zh-CN"/>
        </w:rPr>
      </w:pPr>
      <w:r>
        <w:rPr>
          <w:rFonts w:hint="eastAsia" w:ascii="宋体" w:hAnsi="宋体" w:eastAsia="宋体" w:cs="宋体"/>
          <w:b/>
          <w:bCs/>
          <w:color w:val="auto"/>
          <w:sz w:val="20"/>
          <w:szCs w:val="20"/>
          <w:highlight w:val="none"/>
          <w:lang w:eastAsia="zh-CN"/>
        </w:rPr>
        <w:t>5.投诉书的投诉请求应与投诉事项相关。</w:t>
      </w:r>
    </w:p>
    <w:p w14:paraId="349C98E3">
      <w:pPr>
        <w:pageBreakBefore w:val="0"/>
        <w:widowControl w:val="0"/>
        <w:overflowPunct/>
        <w:topLinePunct w:val="0"/>
        <w:bidi w:val="0"/>
        <w:spacing w:line="400" w:lineRule="exact"/>
        <w:ind w:firstLine="402" w:firstLineChars="200"/>
        <w:rPr>
          <w:rFonts w:hint="eastAsia" w:ascii="宋体" w:hAnsi="宋体" w:eastAsia="宋体" w:cs="宋体"/>
          <w:color w:val="auto"/>
          <w:sz w:val="20"/>
          <w:szCs w:val="20"/>
          <w:highlight w:val="none"/>
          <w:lang w:eastAsia="zh-CN"/>
        </w:rPr>
      </w:pPr>
      <w:r>
        <w:rPr>
          <w:rFonts w:hint="eastAsia" w:ascii="宋体" w:hAnsi="宋体" w:eastAsia="宋体" w:cs="宋体"/>
          <w:b/>
          <w:bCs/>
          <w:color w:val="auto"/>
          <w:sz w:val="20"/>
          <w:szCs w:val="20"/>
          <w:highlight w:val="none"/>
          <w:lang w:eastAsia="zh-CN"/>
        </w:rPr>
        <w:t>6.投诉人为自然人的，投诉书应由本人签字；投诉人为法人或者其他组织的，投诉书应由法定代表人、主要负责人，或者其授权代表签字或者盖章，并加盖公章。</w:t>
      </w:r>
    </w:p>
    <w:p w14:paraId="6B8D1B99">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sectPr>
          <w:footerReference r:id="rId7" w:type="default"/>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p w14:paraId="1EA6B709">
      <w:pPr>
        <w:pageBreakBefore w:val="0"/>
        <w:widowControl w:val="0"/>
        <w:overflowPunct/>
        <w:topLinePunct w:val="0"/>
        <w:bidi w:val="0"/>
        <w:spacing w:line="240" w:lineRule="auto"/>
        <w:jc w:val="center"/>
        <w:rPr>
          <w:rFonts w:hint="eastAsia" w:ascii="宋体" w:hAnsi="宋体" w:eastAsia="宋体" w:cs="宋体"/>
          <w:color w:val="auto"/>
          <w:sz w:val="43"/>
          <w:szCs w:val="43"/>
          <w:highlight w:val="none"/>
          <w:lang w:eastAsia="zh-CN"/>
        </w:rPr>
      </w:pPr>
      <w:r>
        <w:rPr>
          <w:rFonts w:hint="eastAsia" w:ascii="宋体" w:hAnsi="宋体" w:eastAsia="宋体" w:cs="宋体"/>
          <w:color w:val="auto"/>
          <w:sz w:val="43"/>
          <w:szCs w:val="43"/>
          <w:highlight w:val="none"/>
          <w:lang w:eastAsia="zh-CN"/>
        </w:rPr>
        <w:t>广西线上“政采贷”政策告知函</w:t>
      </w:r>
    </w:p>
    <w:p w14:paraId="02184046">
      <w:pPr>
        <w:pStyle w:val="8"/>
        <w:pageBreakBefore w:val="0"/>
        <w:widowControl w:val="0"/>
        <w:overflowPunct/>
        <w:topLinePunct w:val="0"/>
        <w:bidi w:val="0"/>
        <w:spacing w:line="240" w:lineRule="auto"/>
        <w:ind w:firstLine="420" w:firstLineChars="200"/>
        <w:rPr>
          <w:rFonts w:hint="eastAsia" w:ascii="宋体" w:hAnsi="宋体" w:eastAsia="宋体" w:cs="宋体"/>
          <w:color w:val="auto"/>
          <w:highlight w:val="none"/>
          <w:lang w:eastAsia="zh-CN"/>
        </w:rPr>
      </w:pPr>
    </w:p>
    <w:p w14:paraId="458842D5">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45045C97">
      <w:pPr>
        <w:pageBreakBefore w:val="0"/>
        <w:widowControl w:val="0"/>
        <w:overflowPunct/>
        <w:topLinePunct w:val="0"/>
        <w:bidi w:val="0"/>
        <w:spacing w:line="40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各供应商：</w:t>
      </w:r>
    </w:p>
    <w:p w14:paraId="552E1A84">
      <w:pPr>
        <w:pageBreakBefore w:val="0"/>
        <w:widowControl w:val="0"/>
        <w:overflowPunct/>
        <w:topLinePunct w:val="0"/>
        <w:bidi w:val="0"/>
        <w:spacing w:line="40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欢迎贵公司参与广西政府采购活动！</w:t>
      </w:r>
    </w:p>
    <w:p w14:paraId="7D1D7C3D">
      <w:pPr>
        <w:pageBreakBefore w:val="0"/>
        <w:widowControl w:val="0"/>
        <w:overflowPunct/>
        <w:topLinePunct w:val="0"/>
        <w:bidi w:val="0"/>
        <w:spacing w:line="40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线上“政采贷”是人民银行南宁中心支行和自治区财政厅共同支持企业发展，针对参与政府采购活动的企业融资难、融资贵、融资慢、融资繁问题推出的一项融资政策。贵公司若成为本次政府采购项目的中标（中标）供应商，可持政府采购合同在线向银行业金融机构申请贷款，融资机构将根据《中国人民银行南宁中心支行广西壮族自治区财政厅关于推广线上“政采贷”融资模式的通知》（南宁银发〔2021〕258号），按照双方自愿的原则提供便捷、优惠的贷款服务。</w:t>
      </w:r>
    </w:p>
    <w:p w14:paraId="0CE2D076">
      <w:pPr>
        <w:pageBreakBefore w:val="0"/>
        <w:widowControl w:val="0"/>
        <w:overflowPunct/>
        <w:topLinePunct w:val="0"/>
        <w:bidi w:val="0"/>
        <w:spacing w:line="400" w:lineRule="exact"/>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相关金融产品和银行业金融机构联系方式，可在中征应收账款融资服务平台查询（网</w:t>
      </w:r>
      <w:bookmarkStart w:id="9" w:name="_Toc17355"/>
      <w:r>
        <w:rPr>
          <w:rFonts w:hint="eastAsia" w:ascii="宋体" w:hAnsi="宋体" w:eastAsia="宋体" w:cs="宋体"/>
          <w:color w:val="auto"/>
          <w:sz w:val="24"/>
          <w:szCs w:val="24"/>
          <w:highlight w:val="none"/>
        </w:rPr>
        <w:t>址：</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"https://www.crcrfsp.com/" </w:instrText>
      </w:r>
      <w:r>
        <w:rPr>
          <w:rFonts w:hint="eastAsia" w:ascii="宋体" w:hAnsi="宋体" w:eastAsia="宋体" w:cs="宋体"/>
          <w:color w:val="auto"/>
          <w:highlight w:val="none"/>
        </w:rPr>
        <w:fldChar w:fldCharType="separate"/>
      </w:r>
      <w:r>
        <w:rPr>
          <w:rFonts w:hint="eastAsia" w:ascii="宋体" w:hAnsi="宋体" w:eastAsia="宋体" w:cs="宋体"/>
          <w:color w:val="auto"/>
          <w:sz w:val="24"/>
          <w:szCs w:val="24"/>
          <w:highlight w:val="none"/>
          <w:u w:val="single"/>
        </w:rPr>
        <w:t>https://www.crcrfsp.com/</w:t>
      </w:r>
      <w:r>
        <w:rPr>
          <w:rFonts w:hint="eastAsia" w:ascii="宋体" w:hAnsi="宋体" w:eastAsia="宋体" w:cs="宋体"/>
          <w:color w:val="auto"/>
          <w:sz w:val="24"/>
          <w:szCs w:val="24"/>
          <w:highlight w:val="none"/>
          <w:u w:val="single"/>
        </w:rPr>
        <w:fldChar w:fldCharType="end"/>
      </w:r>
      <w:r>
        <w:rPr>
          <w:rFonts w:hint="eastAsia" w:ascii="宋体" w:hAnsi="宋体" w:eastAsia="宋体" w:cs="宋体"/>
          <w:color w:val="auto"/>
          <w:sz w:val="24"/>
          <w:szCs w:val="24"/>
          <w:highlight w:val="none"/>
        </w:rPr>
        <w:t>，客服电话：400-009-0001）。</w:t>
      </w:r>
      <w:bookmarkEnd w:id="9"/>
    </w:p>
    <w:p w14:paraId="55A1F479">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3D8A2CD0">
      <w:pPr>
        <w:pageBreakBefore w:val="0"/>
        <w:widowControl w:val="0"/>
        <w:overflowPunct/>
        <w:topLinePunct w:val="0"/>
        <w:bidi w:val="0"/>
        <w:spacing w:line="400" w:lineRule="exact"/>
        <w:ind w:firstLine="480" w:firstLineChars="200"/>
        <w:rPr>
          <w:rFonts w:hint="eastAsia" w:ascii="宋体" w:hAnsi="宋体" w:eastAsia="宋体" w:cs="宋体"/>
          <w:color w:val="auto"/>
          <w:sz w:val="24"/>
          <w:szCs w:val="24"/>
          <w:highlight w:val="none"/>
        </w:rPr>
        <w:sectPr>
          <w:footerReference r:id="rId8" w:type="default"/>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p w14:paraId="0F095857">
      <w:pPr>
        <w:pageBreakBefore w:val="0"/>
        <w:widowControl w:val="0"/>
        <w:overflowPunct/>
        <w:topLinePunct w:val="0"/>
        <w:bidi w:val="0"/>
        <w:spacing w:line="400" w:lineRule="exact"/>
        <w:jc w:val="center"/>
        <w:outlineLvl w:val="0"/>
        <w:rPr>
          <w:rFonts w:hint="eastAsia" w:ascii="宋体" w:hAnsi="宋体" w:eastAsia="宋体" w:cs="宋体"/>
          <w:color w:val="auto"/>
          <w:sz w:val="31"/>
          <w:szCs w:val="31"/>
          <w:highlight w:val="none"/>
          <w:lang w:eastAsia="zh-CN"/>
        </w:rPr>
      </w:pPr>
      <w:bookmarkStart w:id="10" w:name="_Toc32758"/>
      <w:r>
        <w:rPr>
          <w:rFonts w:hint="eastAsia" w:ascii="宋体" w:hAnsi="宋体" w:eastAsia="宋体" w:cs="宋体"/>
          <w:b/>
          <w:bCs/>
          <w:color w:val="auto"/>
          <w:sz w:val="31"/>
          <w:szCs w:val="31"/>
          <w:highlight w:val="none"/>
          <w:lang w:eastAsia="zh-CN"/>
        </w:rPr>
        <w:t>第三章</w:t>
      </w:r>
      <w:r>
        <w:rPr>
          <w:rFonts w:hint="eastAsia" w:ascii="宋体" w:hAnsi="宋体" w:eastAsia="宋体" w:cs="宋体"/>
          <w:color w:val="auto"/>
          <w:sz w:val="31"/>
          <w:szCs w:val="31"/>
          <w:highlight w:val="none"/>
          <w:lang w:eastAsia="zh-CN"/>
        </w:rPr>
        <w:t xml:space="preserve">  </w:t>
      </w:r>
      <w:r>
        <w:rPr>
          <w:rFonts w:hint="eastAsia" w:ascii="宋体" w:hAnsi="宋体" w:eastAsia="宋体" w:cs="宋体"/>
          <w:b/>
          <w:bCs/>
          <w:color w:val="auto"/>
          <w:sz w:val="31"/>
          <w:szCs w:val="31"/>
          <w:highlight w:val="none"/>
          <w:lang w:eastAsia="zh-CN"/>
        </w:rPr>
        <w:t>采购需求</w:t>
      </w:r>
      <w:bookmarkEnd w:id="10"/>
    </w:p>
    <w:p w14:paraId="44DBD954">
      <w:pPr>
        <w:keepNext w:val="0"/>
        <w:keepLines w:val="0"/>
        <w:pageBreakBefore w:val="0"/>
        <w:widowControl/>
        <w:kinsoku w:val="0"/>
        <w:wordWrap/>
        <w:overflowPunct/>
        <w:topLinePunct w:val="0"/>
        <w:autoSpaceDE w:val="0"/>
        <w:autoSpaceDN w:val="0"/>
        <w:bidi w:val="0"/>
        <w:adjustRightInd w:val="0"/>
        <w:snapToGrid w:val="0"/>
        <w:spacing w:after="120" w:afterLines="0" w:line="400" w:lineRule="exact"/>
        <w:ind w:left="0" w:leftChars="0" w:firstLine="0" w:firstLineChars="0"/>
        <w:textAlignment w:val="baseline"/>
        <w:rPr>
          <w:rFonts w:hint="eastAsia" w:ascii="宋体" w:hAnsi="宋体" w:eastAsia="宋体" w:cs="宋体"/>
          <w:b/>
          <w:snapToGrid w:val="0"/>
          <w:color w:val="auto"/>
          <w:kern w:val="0"/>
          <w:sz w:val="21"/>
          <w:szCs w:val="21"/>
          <w:lang w:val="en-US" w:eastAsia="en-US" w:bidi="ar"/>
        </w:rPr>
      </w:pPr>
      <w:r>
        <w:rPr>
          <w:rFonts w:hint="eastAsia" w:ascii="宋体" w:hAnsi="宋体" w:eastAsia="宋体" w:cs="宋体"/>
          <w:b/>
          <w:snapToGrid w:val="0"/>
          <w:color w:val="auto"/>
          <w:kern w:val="0"/>
          <w:sz w:val="21"/>
          <w:szCs w:val="21"/>
          <w:lang w:val="en-US" w:eastAsia="en-US" w:bidi="ar"/>
        </w:rPr>
        <w:t>说明：</w:t>
      </w:r>
    </w:p>
    <w:p w14:paraId="115C1F1E">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left"/>
        <w:textAlignment w:val="baseline"/>
        <w:rPr>
          <w:rFonts w:hint="eastAsia" w:ascii="宋体" w:hAnsi="宋体" w:eastAsia="宋体" w:cs="宋体"/>
          <w:b/>
          <w:snapToGrid w:val="0"/>
          <w:color w:val="auto"/>
          <w:kern w:val="0"/>
          <w:szCs w:val="21"/>
          <w:lang w:eastAsia="zh-CN" w:bidi="ar"/>
        </w:rPr>
      </w:pPr>
      <w:r>
        <w:rPr>
          <w:rFonts w:hint="eastAsia" w:ascii="宋体" w:hAnsi="宋体" w:eastAsia="宋体" w:cs="宋体"/>
          <w:b/>
          <w:bCs/>
          <w:snapToGrid w:val="0"/>
          <w:color w:val="auto"/>
          <w:kern w:val="0"/>
          <w:szCs w:val="21"/>
          <w:lang w:eastAsia="en-US"/>
        </w:rPr>
        <w:t>1、</w:t>
      </w:r>
      <w:r>
        <w:rPr>
          <w:rFonts w:hint="eastAsia" w:ascii="宋体" w:hAnsi="宋体" w:eastAsia="宋体" w:cs="宋体"/>
          <w:b/>
          <w:snapToGrid w:val="0"/>
          <w:color w:val="auto"/>
          <w:kern w:val="0"/>
          <w:szCs w:val="21"/>
          <w:lang w:eastAsia="en-US" w:bidi="ar"/>
        </w:rPr>
        <w:t>根据《关于调整优化节能</w:t>
      </w:r>
      <w:r>
        <w:rPr>
          <w:rFonts w:hint="eastAsia" w:ascii="宋体" w:hAnsi="宋体" w:eastAsia="宋体" w:cs="宋体"/>
          <w:b/>
          <w:snapToGrid w:val="0"/>
          <w:color w:val="auto"/>
          <w:kern w:val="0"/>
          <w:szCs w:val="21"/>
          <w:lang w:eastAsia="en-US"/>
        </w:rPr>
        <w:t>产品、环境标志产品政府采购执行机制的通知》（财库〔2019〕9号）的规定，政府采购节能产品、环境标志产品实施品目清单管</w:t>
      </w:r>
      <w:r>
        <w:rPr>
          <w:rFonts w:hint="eastAsia" w:ascii="宋体" w:hAnsi="宋体" w:eastAsia="宋体" w:cs="宋体"/>
          <w:b/>
          <w:snapToGrid w:val="0"/>
          <w:color w:val="auto"/>
          <w:kern w:val="0"/>
          <w:szCs w:val="21"/>
          <w:lang w:eastAsia="en-US" w:bidi="ar"/>
        </w:rPr>
        <w:t>理，依据品目清单和认证证书实施政府优先采购。采购人拟采购的产品属于品目清单范围的，采购人及其委托的采购代理机构应当依据国家确定的认证机构出具的、处于有效期之内的节能产品、环境标志产品认证证书，对获得证书的产品实施政府优先采购。供应商提交响应文件时须提供产品的相关证明材料。</w:t>
      </w:r>
    </w:p>
    <w:p w14:paraId="1459BDA1">
      <w:pPr>
        <w:keepNext w:val="0"/>
        <w:keepLines w:val="0"/>
        <w:pageBreakBefore w:val="0"/>
        <w:widowControl/>
        <w:kinsoku w:val="0"/>
        <w:wordWrap/>
        <w:overflowPunct/>
        <w:topLinePunct w:val="0"/>
        <w:autoSpaceDE w:val="0"/>
        <w:autoSpaceDN w:val="0"/>
        <w:bidi w:val="0"/>
        <w:adjustRightInd w:val="0"/>
        <w:snapToGrid w:val="0"/>
        <w:spacing w:line="400" w:lineRule="exact"/>
        <w:jc w:val="left"/>
        <w:textAlignment w:val="baseline"/>
        <w:rPr>
          <w:rFonts w:hint="eastAsia" w:ascii="宋体" w:hAnsi="宋体" w:eastAsia="宋体" w:cs="宋体"/>
          <w:b/>
          <w:snapToGrid w:val="0"/>
          <w:color w:val="auto"/>
          <w:kern w:val="0"/>
          <w:szCs w:val="21"/>
          <w:lang w:eastAsia="zh-CN" w:bidi="ar"/>
        </w:rPr>
      </w:pPr>
      <w:r>
        <w:rPr>
          <w:rFonts w:hint="eastAsia" w:ascii="宋体" w:hAnsi="宋体" w:eastAsia="宋体" w:cs="宋体"/>
          <w:b/>
          <w:snapToGrid w:val="0"/>
          <w:color w:val="auto"/>
          <w:kern w:val="0"/>
          <w:szCs w:val="21"/>
          <w:lang w:eastAsia="en-US" w:bidi="ar"/>
        </w:rPr>
        <w:t>《节能产品政府采购品目清单》中：</w:t>
      </w:r>
    </w:p>
    <w:p w14:paraId="23BE8A0D">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left"/>
        <w:textAlignment w:val="baseline"/>
        <w:rPr>
          <w:rFonts w:hint="eastAsia" w:ascii="宋体" w:hAnsi="宋体" w:eastAsia="宋体" w:cs="宋体"/>
          <w:b/>
          <w:snapToGrid w:val="0"/>
          <w:color w:val="auto"/>
          <w:kern w:val="0"/>
          <w:szCs w:val="21"/>
          <w:lang w:eastAsia="zh-CN" w:bidi="ar"/>
        </w:rPr>
      </w:pPr>
      <w:r>
        <w:rPr>
          <w:rFonts w:hint="eastAsia" w:ascii="宋体" w:hAnsi="宋体" w:eastAsia="宋体" w:cs="宋体"/>
          <w:b/>
          <w:snapToGrid w:val="0"/>
          <w:color w:val="auto"/>
          <w:kern w:val="0"/>
          <w:szCs w:val="21"/>
          <w:lang w:eastAsia="en-US" w:bidi="ar"/>
        </w:rPr>
        <w:t>1) 计算机设备（台式计算机、便携式计算机、平板式微型计算机）；</w:t>
      </w:r>
    </w:p>
    <w:p w14:paraId="11837049">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left"/>
        <w:textAlignment w:val="baseline"/>
        <w:rPr>
          <w:rFonts w:hint="eastAsia" w:ascii="宋体" w:hAnsi="宋体" w:eastAsia="宋体" w:cs="宋体"/>
          <w:b/>
          <w:snapToGrid w:val="0"/>
          <w:color w:val="auto"/>
          <w:kern w:val="0"/>
          <w:szCs w:val="21"/>
          <w:lang w:eastAsia="zh-CN" w:bidi="ar"/>
        </w:rPr>
      </w:pPr>
      <w:r>
        <w:rPr>
          <w:rFonts w:hint="eastAsia" w:ascii="宋体" w:hAnsi="宋体" w:eastAsia="宋体" w:cs="宋体"/>
          <w:b/>
          <w:snapToGrid w:val="0"/>
          <w:color w:val="auto"/>
          <w:kern w:val="0"/>
          <w:szCs w:val="21"/>
          <w:lang w:eastAsia="en-US" w:bidi="ar"/>
        </w:rPr>
        <w:t>2) 输入输出设备【打印设备（激光打印机、针式打印机）、显示设备（液晶显示器）】；</w:t>
      </w:r>
    </w:p>
    <w:p w14:paraId="4DA7EB99">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left"/>
        <w:textAlignment w:val="baseline"/>
        <w:rPr>
          <w:rFonts w:hint="eastAsia" w:ascii="宋体" w:hAnsi="宋体" w:eastAsia="宋体" w:cs="宋体"/>
          <w:b/>
          <w:snapToGrid w:val="0"/>
          <w:color w:val="auto"/>
          <w:kern w:val="0"/>
          <w:szCs w:val="21"/>
          <w:lang w:eastAsia="zh-CN" w:bidi="ar"/>
        </w:rPr>
      </w:pPr>
      <w:r>
        <w:rPr>
          <w:rFonts w:hint="eastAsia" w:ascii="宋体" w:hAnsi="宋体" w:eastAsia="宋体" w:cs="宋体"/>
          <w:b/>
          <w:snapToGrid w:val="0"/>
          <w:color w:val="auto"/>
          <w:kern w:val="0"/>
          <w:szCs w:val="21"/>
          <w:lang w:eastAsia="en-US" w:bidi="ar"/>
        </w:rPr>
        <w:t>3) 制冷空调设备【制冷压缩机（冷水机组、水源热泵机组、溴化锂吸收式冷水机组）、空调机组（多联式空调（热泵）机组（制冷量＞14000W）、单元式空气调节机（制冷量＞14000W））、专用制冷、空调设备（机房空调）】；</w:t>
      </w:r>
    </w:p>
    <w:p w14:paraId="137874E1">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left"/>
        <w:textAlignment w:val="baseline"/>
        <w:rPr>
          <w:rFonts w:hint="eastAsia" w:ascii="宋体" w:hAnsi="宋体" w:eastAsia="宋体" w:cs="宋体"/>
          <w:b/>
          <w:snapToGrid w:val="0"/>
          <w:color w:val="auto"/>
          <w:kern w:val="0"/>
          <w:szCs w:val="21"/>
          <w:lang w:eastAsia="zh-CN" w:bidi="ar"/>
        </w:rPr>
      </w:pPr>
      <w:r>
        <w:rPr>
          <w:rFonts w:hint="eastAsia" w:ascii="宋体" w:hAnsi="宋体" w:eastAsia="宋体" w:cs="宋体"/>
          <w:b/>
          <w:snapToGrid w:val="0"/>
          <w:color w:val="auto"/>
          <w:kern w:val="0"/>
          <w:szCs w:val="21"/>
          <w:lang w:eastAsia="en-US" w:bidi="ar"/>
        </w:rPr>
        <w:t>4) 镇流器（管型荧光灯镇流器）；</w:t>
      </w:r>
    </w:p>
    <w:p w14:paraId="2FB72001">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left"/>
        <w:textAlignment w:val="baseline"/>
        <w:rPr>
          <w:rFonts w:hint="eastAsia" w:ascii="宋体" w:hAnsi="宋体" w:eastAsia="宋体" w:cs="宋体"/>
          <w:b/>
          <w:snapToGrid w:val="0"/>
          <w:color w:val="auto"/>
          <w:kern w:val="0"/>
          <w:szCs w:val="21"/>
          <w:lang w:eastAsia="zh-CN" w:bidi="ar"/>
        </w:rPr>
      </w:pPr>
      <w:r>
        <w:rPr>
          <w:rFonts w:hint="eastAsia" w:ascii="宋体" w:hAnsi="宋体" w:eastAsia="宋体" w:cs="宋体"/>
          <w:b/>
          <w:snapToGrid w:val="0"/>
          <w:color w:val="auto"/>
          <w:kern w:val="0"/>
          <w:szCs w:val="21"/>
          <w:lang w:eastAsia="en-US" w:bidi="ar"/>
        </w:rPr>
        <w:t>5) 生活用电器｛空调机【房间空气调节器、多联式空调（热泵）机组（制冷量≤14000W）、单元式空气调节机（制冷量≤14000W）】、热水器（电热水器）｝；</w:t>
      </w:r>
    </w:p>
    <w:p w14:paraId="167E36B6">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left"/>
        <w:textAlignment w:val="baseline"/>
        <w:rPr>
          <w:rFonts w:hint="eastAsia" w:ascii="宋体" w:hAnsi="宋体" w:eastAsia="宋体" w:cs="宋体"/>
          <w:b/>
          <w:snapToGrid w:val="0"/>
          <w:color w:val="auto"/>
          <w:kern w:val="0"/>
          <w:szCs w:val="21"/>
          <w:lang w:eastAsia="zh-CN" w:bidi="ar"/>
        </w:rPr>
      </w:pPr>
      <w:r>
        <w:rPr>
          <w:rFonts w:hint="eastAsia" w:ascii="宋体" w:hAnsi="宋体" w:eastAsia="宋体" w:cs="宋体"/>
          <w:b/>
          <w:snapToGrid w:val="0"/>
          <w:color w:val="auto"/>
          <w:kern w:val="0"/>
          <w:szCs w:val="21"/>
          <w:lang w:eastAsia="en-US" w:bidi="ar"/>
        </w:rPr>
        <w:t>6) 照明设备（普通照明用双端荧光灯）；</w:t>
      </w:r>
    </w:p>
    <w:p w14:paraId="3B757684">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left"/>
        <w:textAlignment w:val="baseline"/>
        <w:rPr>
          <w:rFonts w:hint="eastAsia" w:ascii="宋体" w:hAnsi="宋体" w:eastAsia="宋体" w:cs="宋体"/>
          <w:b/>
          <w:snapToGrid w:val="0"/>
          <w:color w:val="auto"/>
          <w:kern w:val="0"/>
          <w:szCs w:val="21"/>
          <w:lang w:eastAsia="zh-CN" w:bidi="ar"/>
        </w:rPr>
      </w:pPr>
      <w:r>
        <w:rPr>
          <w:rFonts w:hint="eastAsia" w:ascii="宋体" w:hAnsi="宋体" w:eastAsia="宋体" w:cs="宋体"/>
          <w:b/>
          <w:snapToGrid w:val="0"/>
          <w:color w:val="auto"/>
          <w:kern w:val="0"/>
          <w:szCs w:val="21"/>
          <w:lang w:eastAsia="en-US" w:bidi="ar"/>
        </w:rPr>
        <w:t>7) 电视设备【普通电视设备（电视机）】；</w:t>
      </w:r>
    </w:p>
    <w:p w14:paraId="3CE038FE">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left"/>
        <w:textAlignment w:val="baseline"/>
        <w:rPr>
          <w:rFonts w:hint="eastAsia" w:ascii="宋体" w:hAnsi="宋体" w:eastAsia="宋体" w:cs="宋体"/>
          <w:b/>
          <w:snapToGrid w:val="0"/>
          <w:color w:val="auto"/>
          <w:kern w:val="0"/>
          <w:szCs w:val="21"/>
          <w:lang w:eastAsia="zh-CN" w:bidi="ar"/>
        </w:rPr>
      </w:pPr>
      <w:r>
        <w:rPr>
          <w:rFonts w:hint="eastAsia" w:ascii="宋体" w:hAnsi="宋体" w:eastAsia="宋体" w:cs="宋体"/>
          <w:b/>
          <w:snapToGrid w:val="0"/>
          <w:color w:val="auto"/>
          <w:kern w:val="0"/>
          <w:szCs w:val="21"/>
          <w:lang w:eastAsia="en-US" w:bidi="ar"/>
        </w:rPr>
        <w:t>8) 视频设备【视频监控设备（监视器）】；</w:t>
      </w:r>
    </w:p>
    <w:p w14:paraId="2A92D9F0">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left"/>
        <w:textAlignment w:val="baseline"/>
        <w:rPr>
          <w:rFonts w:hint="eastAsia" w:ascii="宋体" w:hAnsi="宋体" w:eastAsia="宋体" w:cs="宋体"/>
          <w:b/>
          <w:snapToGrid w:val="0"/>
          <w:color w:val="auto"/>
          <w:kern w:val="0"/>
          <w:szCs w:val="21"/>
          <w:lang w:eastAsia="zh-CN"/>
        </w:rPr>
      </w:pPr>
      <w:r>
        <w:rPr>
          <w:rFonts w:hint="eastAsia" w:ascii="宋体" w:hAnsi="宋体" w:eastAsia="宋体" w:cs="宋体"/>
          <w:b/>
          <w:snapToGrid w:val="0"/>
          <w:color w:val="auto"/>
          <w:kern w:val="0"/>
          <w:szCs w:val="21"/>
          <w:lang w:eastAsia="en-US" w:bidi="ar"/>
        </w:rPr>
        <w:t>9) 便</w:t>
      </w:r>
      <w:r>
        <w:rPr>
          <w:rFonts w:hint="eastAsia" w:ascii="宋体" w:hAnsi="宋体" w:eastAsia="宋体" w:cs="宋体"/>
          <w:b/>
          <w:snapToGrid w:val="0"/>
          <w:color w:val="auto"/>
          <w:kern w:val="0"/>
          <w:szCs w:val="21"/>
          <w:lang w:eastAsia="en-US"/>
        </w:rPr>
        <w:t>器（坐便器、蹲便器、小便器）；</w:t>
      </w:r>
    </w:p>
    <w:p w14:paraId="293CE20B">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left"/>
        <w:textAlignment w:val="baseline"/>
        <w:rPr>
          <w:rFonts w:hint="eastAsia" w:ascii="宋体" w:hAnsi="宋体" w:eastAsia="宋体" w:cs="宋体"/>
          <w:b/>
          <w:snapToGrid w:val="0"/>
          <w:color w:val="auto"/>
          <w:kern w:val="0"/>
          <w:szCs w:val="21"/>
          <w:lang w:eastAsia="zh-CN"/>
        </w:rPr>
      </w:pPr>
      <w:r>
        <w:rPr>
          <w:rFonts w:hint="eastAsia" w:ascii="宋体" w:hAnsi="宋体" w:eastAsia="宋体" w:cs="宋体"/>
          <w:b/>
          <w:snapToGrid w:val="0"/>
          <w:color w:val="auto"/>
          <w:kern w:val="0"/>
          <w:szCs w:val="21"/>
          <w:lang w:eastAsia="en-US"/>
        </w:rPr>
        <w:t>10) 水嘴。</w:t>
      </w:r>
    </w:p>
    <w:p w14:paraId="564EDDFC">
      <w:pPr>
        <w:keepNext w:val="0"/>
        <w:keepLines w:val="0"/>
        <w:pageBreakBefore w:val="0"/>
        <w:widowControl/>
        <w:kinsoku w:val="0"/>
        <w:wordWrap/>
        <w:overflowPunct/>
        <w:topLinePunct w:val="0"/>
        <w:autoSpaceDE w:val="0"/>
        <w:autoSpaceDN w:val="0"/>
        <w:bidi w:val="0"/>
        <w:adjustRightInd w:val="0"/>
        <w:snapToGrid w:val="0"/>
        <w:spacing w:line="400" w:lineRule="exact"/>
        <w:ind w:firstLine="431"/>
        <w:jc w:val="left"/>
        <w:textAlignment w:val="baseline"/>
        <w:rPr>
          <w:rFonts w:hint="eastAsia" w:ascii="宋体" w:hAnsi="宋体" w:eastAsia="宋体" w:cs="宋体"/>
          <w:b/>
          <w:snapToGrid w:val="0"/>
          <w:color w:val="auto"/>
          <w:kern w:val="0"/>
          <w:szCs w:val="21"/>
          <w:lang w:eastAsia="zh-CN"/>
        </w:rPr>
      </w:pPr>
      <w:r>
        <w:rPr>
          <w:rFonts w:hint="eastAsia" w:ascii="宋体" w:hAnsi="宋体" w:eastAsia="宋体" w:cs="宋体"/>
          <w:b/>
          <w:snapToGrid w:val="0"/>
          <w:color w:val="auto"/>
          <w:kern w:val="0"/>
          <w:szCs w:val="21"/>
          <w:lang w:eastAsia="en-US"/>
        </w:rPr>
        <w:t>以上所罗列的设备为《节能产品政府采购品目清单》中政府强制采购节能产品，采购人拟采购的产品属于政府强制采购产品的，供应商提交响应文件时必须针对该产品出具依据国家确定的认证机构出具的、处于有效期之内的节能产品认证证书复印件，并加盖供应商公章，否则其响应文件无效。</w:t>
      </w:r>
    </w:p>
    <w:p w14:paraId="5D33286A">
      <w:pPr>
        <w:keepNext w:val="0"/>
        <w:keepLines w:val="0"/>
        <w:pageBreakBefore w:val="0"/>
        <w:widowControl/>
        <w:kinsoku w:val="0"/>
        <w:wordWrap/>
        <w:overflowPunct/>
        <w:topLinePunct w:val="0"/>
        <w:autoSpaceDE w:val="0"/>
        <w:autoSpaceDN w:val="0"/>
        <w:bidi w:val="0"/>
        <w:adjustRightInd w:val="0"/>
        <w:snapToGrid w:val="0"/>
        <w:spacing w:line="400" w:lineRule="exact"/>
        <w:ind w:firstLine="431"/>
        <w:jc w:val="left"/>
        <w:textAlignment w:val="baseline"/>
        <w:rPr>
          <w:rFonts w:hint="eastAsia" w:ascii="宋体" w:hAnsi="宋体" w:eastAsia="宋体" w:cs="宋体"/>
          <w:b/>
          <w:snapToGrid w:val="0"/>
          <w:color w:val="auto"/>
          <w:kern w:val="0"/>
          <w:szCs w:val="21"/>
          <w:lang w:eastAsia="en-US"/>
        </w:rPr>
      </w:pPr>
      <w:r>
        <w:rPr>
          <w:rFonts w:hint="eastAsia" w:ascii="宋体" w:hAnsi="宋体" w:eastAsia="宋体" w:cs="宋体"/>
          <w:b/>
          <w:snapToGrid w:val="0"/>
          <w:color w:val="auto"/>
          <w:kern w:val="0"/>
          <w:szCs w:val="21"/>
          <w:lang w:eastAsia="en-US"/>
        </w:rPr>
        <w:t>2、根据《关于信息安全产品实施政府采购的通知》（财库〔2010〕48号）的规定，如采购需求中有涉及信息安全产品的设备，必须提供由中国信息安全认证中心按国家标准认证颁发的有效认证证书复印件。</w:t>
      </w:r>
    </w:p>
    <w:p w14:paraId="461D5DE0">
      <w:pPr>
        <w:keepNext w:val="0"/>
        <w:keepLines w:val="0"/>
        <w:pageBreakBefore w:val="0"/>
        <w:widowControl/>
        <w:kinsoku w:val="0"/>
        <w:wordWrap/>
        <w:overflowPunct/>
        <w:topLinePunct w:val="0"/>
        <w:autoSpaceDE w:val="0"/>
        <w:autoSpaceDN w:val="0"/>
        <w:bidi w:val="0"/>
        <w:adjustRightInd w:val="0"/>
        <w:snapToGrid w:val="0"/>
        <w:spacing w:line="400" w:lineRule="exact"/>
        <w:ind w:firstLine="431"/>
        <w:jc w:val="left"/>
        <w:textAlignment w:val="baseline"/>
        <w:rPr>
          <w:rFonts w:hint="eastAsia" w:ascii="宋体" w:hAnsi="宋体" w:eastAsia="宋体" w:cs="宋体"/>
          <w:b/>
          <w:snapToGrid w:val="0"/>
          <w:color w:val="auto"/>
          <w:kern w:val="0"/>
          <w:szCs w:val="21"/>
          <w:lang w:eastAsia="en-US"/>
        </w:rPr>
      </w:pPr>
      <w:r>
        <w:rPr>
          <w:rFonts w:hint="eastAsia" w:ascii="宋体" w:hAnsi="宋体" w:eastAsia="宋体" w:cs="宋体"/>
          <w:b/>
          <w:snapToGrid w:val="0"/>
          <w:color w:val="auto"/>
          <w:kern w:val="0"/>
          <w:szCs w:val="21"/>
          <w:lang w:eastAsia="en-US"/>
        </w:rPr>
        <w:t>3、供应商应对响应内容所涉及的专利承担法律责任，并负责保护业主的利益不受任何损害。一切由于文字、商标、技术和软件专利授权引起的法律裁决、诉讼和赔偿费用均由成交供应商负责。同时，具有产品专利的供应商应在其响应文件中提供与其自有产品专利相关的有效证明材料，否则，不能就其产品的专利在本项目投标过程中被侵权问题而提出异议。</w:t>
      </w:r>
    </w:p>
    <w:p w14:paraId="418E91F6">
      <w:pPr>
        <w:keepNext w:val="0"/>
        <w:keepLines w:val="0"/>
        <w:pageBreakBefore w:val="0"/>
        <w:widowControl/>
        <w:kinsoku w:val="0"/>
        <w:wordWrap/>
        <w:overflowPunct/>
        <w:topLinePunct w:val="0"/>
        <w:autoSpaceDE w:val="0"/>
        <w:autoSpaceDN w:val="0"/>
        <w:bidi w:val="0"/>
        <w:adjustRightInd w:val="0"/>
        <w:snapToGrid w:val="0"/>
        <w:spacing w:line="400" w:lineRule="exact"/>
        <w:ind w:firstLine="431"/>
        <w:jc w:val="left"/>
        <w:textAlignment w:val="baseline"/>
        <w:rPr>
          <w:rFonts w:hint="eastAsia" w:ascii="宋体" w:hAnsi="宋体" w:eastAsia="宋体" w:cs="宋体"/>
          <w:b/>
          <w:snapToGrid w:val="0"/>
          <w:color w:val="auto"/>
          <w:kern w:val="0"/>
          <w:szCs w:val="21"/>
          <w:lang w:eastAsia="en-US"/>
        </w:rPr>
      </w:pPr>
      <w:r>
        <w:rPr>
          <w:rFonts w:hint="eastAsia" w:ascii="宋体" w:hAnsi="宋体" w:eastAsia="宋体" w:cs="宋体"/>
          <w:b/>
          <w:snapToGrid w:val="0"/>
          <w:color w:val="auto"/>
          <w:kern w:val="0"/>
          <w:szCs w:val="21"/>
          <w:lang w:eastAsia="en-US"/>
        </w:rPr>
        <w:t>4、供应商应注意下列内容：</w:t>
      </w:r>
    </w:p>
    <w:p w14:paraId="4F27842F">
      <w:pPr>
        <w:keepNext w:val="0"/>
        <w:keepLines w:val="0"/>
        <w:pageBreakBefore w:val="0"/>
        <w:widowControl/>
        <w:kinsoku w:val="0"/>
        <w:wordWrap/>
        <w:overflowPunct/>
        <w:topLinePunct w:val="0"/>
        <w:autoSpaceDE w:val="0"/>
        <w:autoSpaceDN w:val="0"/>
        <w:bidi w:val="0"/>
        <w:adjustRightInd w:val="0"/>
        <w:snapToGrid w:val="0"/>
        <w:spacing w:line="400" w:lineRule="exact"/>
        <w:ind w:firstLine="431"/>
        <w:jc w:val="left"/>
        <w:textAlignment w:val="baseline"/>
        <w:rPr>
          <w:rFonts w:hint="eastAsia" w:ascii="宋体" w:hAnsi="宋体" w:eastAsia="宋体" w:cs="宋体"/>
          <w:b/>
          <w:snapToGrid w:val="0"/>
          <w:color w:val="auto"/>
          <w:kern w:val="0"/>
          <w:szCs w:val="21"/>
          <w:highlight w:val="none"/>
          <w:lang w:val="en-US" w:eastAsia="zh-CN"/>
        </w:rPr>
      </w:pPr>
      <w:r>
        <w:rPr>
          <w:rFonts w:hint="eastAsia" w:ascii="宋体" w:hAnsi="宋体" w:eastAsia="宋体" w:cs="宋体"/>
          <w:b/>
          <w:snapToGrid w:val="0"/>
          <w:color w:val="auto"/>
          <w:kern w:val="0"/>
          <w:szCs w:val="21"/>
          <w:lang w:eastAsia="en-US"/>
        </w:rPr>
        <w:t>1）“实质性要求”是指采购文件中已经指明不满足则响应无效的条款，或者不能负偏离的条款，或者采购需求中带“</w:t>
      </w:r>
      <w:r>
        <w:rPr>
          <w:rFonts w:hint="eastAsia" w:ascii="宋体" w:hAnsi="宋体" w:eastAsia="宋体" w:cs="宋体"/>
          <w:i w:val="0"/>
          <w:iCs w:val="0"/>
          <w:snapToGrid/>
          <w:color w:val="auto"/>
          <w:kern w:val="2"/>
          <w:sz w:val="21"/>
          <w:szCs w:val="21"/>
          <w:u w:val="none"/>
          <w:lang w:eastAsia="zh-CN"/>
        </w:rPr>
        <w:t>▲</w:t>
      </w:r>
      <w:r>
        <w:rPr>
          <w:rFonts w:hint="eastAsia" w:ascii="宋体" w:hAnsi="宋体" w:eastAsia="宋体" w:cs="宋体"/>
          <w:b/>
          <w:snapToGrid w:val="0"/>
          <w:color w:val="auto"/>
          <w:kern w:val="0"/>
          <w:szCs w:val="21"/>
          <w:lang w:eastAsia="en-US"/>
        </w:rPr>
        <w:t>”的条款。</w:t>
      </w:r>
      <w:r>
        <w:rPr>
          <w:rFonts w:hint="eastAsia" w:ascii="宋体" w:hAnsi="宋体" w:eastAsia="宋体" w:cs="宋体"/>
          <w:b/>
          <w:bCs/>
          <w:snapToGrid w:val="0"/>
          <w:color w:val="auto"/>
          <w:kern w:val="0"/>
          <w:szCs w:val="21"/>
          <w:lang w:eastAsia="en-US"/>
        </w:rPr>
        <w:t>未</w:t>
      </w:r>
      <w:r>
        <w:rPr>
          <w:rFonts w:hint="eastAsia" w:ascii="宋体" w:hAnsi="宋体" w:eastAsia="宋体" w:cs="宋体"/>
          <w:b/>
          <w:snapToGrid w:val="0"/>
          <w:color w:val="auto"/>
          <w:kern w:val="0"/>
          <w:szCs w:val="21"/>
          <w:lang w:eastAsia="en-US"/>
        </w:rPr>
        <w:t>标注“</w:t>
      </w:r>
      <w:r>
        <w:rPr>
          <w:rFonts w:hint="eastAsia" w:ascii="宋体" w:hAnsi="宋体" w:eastAsia="宋体" w:cs="宋体"/>
          <w:i w:val="0"/>
          <w:iCs w:val="0"/>
          <w:snapToGrid/>
          <w:color w:val="auto"/>
          <w:kern w:val="2"/>
          <w:sz w:val="21"/>
          <w:szCs w:val="21"/>
          <w:u w:val="none"/>
          <w:lang w:eastAsia="zh-CN"/>
        </w:rPr>
        <w:t>▲</w:t>
      </w:r>
      <w:r>
        <w:rPr>
          <w:rFonts w:hint="eastAsia" w:ascii="宋体" w:hAnsi="宋体" w:eastAsia="宋体" w:cs="宋体"/>
          <w:b/>
          <w:snapToGrid w:val="0"/>
          <w:color w:val="auto"/>
          <w:kern w:val="0"/>
          <w:szCs w:val="21"/>
          <w:lang w:eastAsia="en-US"/>
        </w:rPr>
        <w:t>”</w:t>
      </w:r>
      <w:r>
        <w:rPr>
          <w:rFonts w:hint="eastAsia" w:ascii="宋体" w:hAnsi="宋体" w:eastAsia="宋体" w:cs="宋体"/>
          <w:b/>
          <w:bCs/>
          <w:snapToGrid w:val="0"/>
          <w:color w:val="auto"/>
          <w:kern w:val="0"/>
          <w:szCs w:val="21"/>
          <w:lang w:eastAsia="en-US"/>
        </w:rPr>
        <w:t>的条款或要求系指</w:t>
      </w:r>
      <w:r>
        <w:rPr>
          <w:rFonts w:hint="eastAsia" w:ascii="宋体" w:hAnsi="宋体" w:eastAsia="宋体" w:cs="宋体"/>
          <w:b/>
          <w:snapToGrid w:val="0"/>
          <w:color w:val="auto"/>
          <w:kern w:val="0"/>
          <w:szCs w:val="21"/>
          <w:lang w:eastAsia="en-US"/>
        </w:rPr>
        <w:t>普通指标或技术参数，允许负偏离</w:t>
      </w:r>
      <w:r>
        <w:rPr>
          <w:rFonts w:hint="eastAsia" w:ascii="宋体" w:hAnsi="宋体" w:eastAsia="宋体" w:cs="宋体"/>
          <w:b/>
          <w:snapToGrid w:val="0"/>
          <w:color w:val="auto"/>
          <w:kern w:val="0"/>
          <w:szCs w:val="21"/>
          <w:lang w:eastAsia="zh-CN"/>
        </w:rPr>
        <w:t>。</w:t>
      </w:r>
      <w:r>
        <w:rPr>
          <w:rFonts w:hint="eastAsia" w:ascii="宋体" w:hAnsi="宋体" w:eastAsia="宋体" w:cs="宋体"/>
          <w:b/>
          <w:snapToGrid/>
          <w:color w:val="auto"/>
          <w:kern w:val="2"/>
          <w:szCs w:val="21"/>
          <w:lang w:eastAsia="zh-CN"/>
        </w:rPr>
        <w:t>商务要求评审中允许负偏离的条款数为</w:t>
      </w:r>
      <w:r>
        <w:rPr>
          <w:rFonts w:hint="eastAsia" w:ascii="宋体" w:hAnsi="宋体" w:eastAsia="宋体" w:cs="宋体"/>
          <w:b/>
          <w:snapToGrid/>
          <w:color w:val="auto"/>
          <w:kern w:val="2"/>
          <w:szCs w:val="21"/>
          <w:highlight w:val="none"/>
          <w:u w:val="single"/>
          <w:lang w:val="en-US" w:eastAsia="zh-CN"/>
        </w:rPr>
        <w:t xml:space="preserve"> 0 </w:t>
      </w:r>
      <w:r>
        <w:rPr>
          <w:rFonts w:hint="eastAsia" w:ascii="宋体" w:hAnsi="宋体" w:eastAsia="宋体" w:cs="宋体"/>
          <w:b/>
          <w:snapToGrid/>
          <w:color w:val="auto"/>
          <w:kern w:val="2"/>
          <w:szCs w:val="21"/>
          <w:highlight w:val="none"/>
          <w:lang w:eastAsia="zh-CN"/>
        </w:rPr>
        <w:t>项，技术要求评审中允许负偏离的条款数为</w:t>
      </w:r>
      <w:r>
        <w:rPr>
          <w:rFonts w:hint="eastAsia" w:ascii="宋体" w:hAnsi="宋体" w:eastAsia="宋体" w:cs="宋体"/>
          <w:b/>
          <w:snapToGrid/>
          <w:color w:val="auto"/>
          <w:kern w:val="2"/>
          <w:szCs w:val="21"/>
          <w:highlight w:val="none"/>
          <w:u w:val="single"/>
          <w:lang w:val="en-US" w:eastAsia="zh-CN"/>
        </w:rPr>
        <w:t xml:space="preserve"> 3 </w:t>
      </w:r>
      <w:r>
        <w:rPr>
          <w:rFonts w:hint="eastAsia" w:ascii="宋体" w:hAnsi="宋体" w:eastAsia="宋体" w:cs="宋体"/>
          <w:b/>
          <w:snapToGrid/>
          <w:color w:val="auto"/>
          <w:kern w:val="2"/>
          <w:szCs w:val="21"/>
          <w:highlight w:val="none"/>
          <w:lang w:eastAsia="zh-CN"/>
        </w:rPr>
        <w:t>项。</w:t>
      </w:r>
    </w:p>
    <w:p w14:paraId="619197F2">
      <w:pPr>
        <w:keepNext w:val="0"/>
        <w:keepLines w:val="0"/>
        <w:pageBreakBefore w:val="0"/>
        <w:widowControl/>
        <w:kinsoku w:val="0"/>
        <w:wordWrap/>
        <w:overflowPunct/>
        <w:topLinePunct w:val="0"/>
        <w:autoSpaceDE w:val="0"/>
        <w:autoSpaceDN w:val="0"/>
        <w:bidi w:val="0"/>
        <w:adjustRightInd w:val="0"/>
        <w:snapToGrid w:val="0"/>
        <w:spacing w:line="400" w:lineRule="exact"/>
        <w:ind w:firstLine="431"/>
        <w:jc w:val="left"/>
        <w:textAlignment w:val="baseline"/>
        <w:rPr>
          <w:rFonts w:hint="eastAsia" w:ascii="宋体" w:hAnsi="宋体" w:eastAsia="宋体" w:cs="宋体"/>
          <w:b/>
          <w:snapToGrid w:val="0"/>
          <w:color w:val="auto"/>
          <w:kern w:val="0"/>
          <w:szCs w:val="21"/>
          <w:lang w:eastAsia="en-US"/>
        </w:rPr>
      </w:pPr>
      <w:r>
        <w:rPr>
          <w:rFonts w:hint="eastAsia" w:ascii="宋体" w:hAnsi="宋体" w:eastAsia="宋体" w:cs="宋体"/>
          <w:b/>
          <w:snapToGrid w:val="0"/>
          <w:color w:val="auto"/>
          <w:kern w:val="0"/>
          <w:szCs w:val="21"/>
          <w:lang w:eastAsia="en-US"/>
        </w:rPr>
        <w:t>2）供应商须在响应文件中填写/应答技术规格参数，当响应文件中技术参数与</w:t>
      </w:r>
      <w:r>
        <w:rPr>
          <w:rFonts w:hint="eastAsia" w:ascii="宋体" w:hAnsi="宋体" w:eastAsia="宋体" w:cs="宋体"/>
          <w:b/>
          <w:snapToGrid w:val="0"/>
          <w:color w:val="auto"/>
          <w:kern w:val="0"/>
          <w:szCs w:val="21"/>
          <w:lang w:val="en-US" w:eastAsia="zh-CN"/>
        </w:rPr>
        <w:t>谈判</w:t>
      </w:r>
      <w:r>
        <w:rPr>
          <w:rFonts w:hint="eastAsia" w:ascii="宋体" w:hAnsi="宋体" w:eastAsia="宋体" w:cs="宋体"/>
          <w:b/>
          <w:snapToGrid w:val="0"/>
          <w:color w:val="auto"/>
          <w:kern w:val="0"/>
          <w:szCs w:val="21"/>
          <w:lang w:eastAsia="en-US"/>
        </w:rPr>
        <w:t>文件中技术参数有偏离时，须在“偏离”栏内如实注明是“正偏离”或“负偏离”，“正偏离”指投标设备的技术参数优于</w:t>
      </w:r>
      <w:r>
        <w:rPr>
          <w:rFonts w:hint="eastAsia" w:ascii="宋体" w:hAnsi="宋体" w:eastAsia="宋体" w:cs="宋体"/>
          <w:b/>
          <w:snapToGrid w:val="0"/>
          <w:color w:val="auto"/>
          <w:kern w:val="0"/>
          <w:szCs w:val="21"/>
          <w:lang w:eastAsia="zh-CN"/>
        </w:rPr>
        <w:t>谈判</w:t>
      </w:r>
      <w:r>
        <w:rPr>
          <w:rFonts w:hint="eastAsia" w:ascii="宋体" w:hAnsi="宋体" w:eastAsia="宋体" w:cs="宋体"/>
          <w:b/>
          <w:snapToGrid w:val="0"/>
          <w:color w:val="auto"/>
          <w:kern w:val="0"/>
          <w:szCs w:val="21"/>
          <w:lang w:eastAsia="en-US"/>
        </w:rPr>
        <w:t>文件中要求，“负偏离”指设备的技术参数低于</w:t>
      </w:r>
      <w:r>
        <w:rPr>
          <w:rFonts w:hint="eastAsia" w:ascii="宋体" w:hAnsi="宋体" w:eastAsia="宋体" w:cs="宋体"/>
          <w:b/>
          <w:snapToGrid w:val="0"/>
          <w:color w:val="auto"/>
          <w:kern w:val="0"/>
          <w:szCs w:val="21"/>
          <w:lang w:eastAsia="zh-CN"/>
        </w:rPr>
        <w:t>谈判</w:t>
      </w:r>
      <w:r>
        <w:rPr>
          <w:rFonts w:hint="eastAsia" w:ascii="宋体" w:hAnsi="宋体" w:eastAsia="宋体" w:cs="宋体"/>
          <w:b/>
          <w:snapToGrid w:val="0"/>
          <w:color w:val="auto"/>
          <w:kern w:val="0"/>
          <w:szCs w:val="21"/>
          <w:lang w:eastAsia="en-US"/>
        </w:rPr>
        <w:t>文件要求。响应文件中的技术参数、功能或其它内容有“正偏离”的，供应商须对“正偏离”的情况单独作出说明。</w:t>
      </w:r>
    </w:p>
    <w:p w14:paraId="5FB7FDD1">
      <w:pPr>
        <w:keepNext w:val="0"/>
        <w:keepLines w:val="0"/>
        <w:pageBreakBefore w:val="0"/>
        <w:widowControl/>
        <w:kinsoku w:val="0"/>
        <w:wordWrap/>
        <w:overflowPunct/>
        <w:topLinePunct w:val="0"/>
        <w:autoSpaceDE w:val="0"/>
        <w:autoSpaceDN w:val="0"/>
        <w:bidi w:val="0"/>
        <w:adjustRightInd w:val="0"/>
        <w:snapToGrid w:val="0"/>
        <w:spacing w:line="400" w:lineRule="exact"/>
        <w:ind w:firstLine="431"/>
        <w:jc w:val="left"/>
        <w:textAlignment w:val="baseline"/>
        <w:rPr>
          <w:rFonts w:hint="eastAsia" w:ascii="宋体" w:hAnsi="宋体" w:eastAsia="宋体" w:cs="宋体"/>
          <w:b/>
          <w:snapToGrid w:val="0"/>
          <w:color w:val="auto"/>
          <w:kern w:val="0"/>
          <w:szCs w:val="21"/>
          <w:lang w:eastAsia="en-US"/>
        </w:rPr>
      </w:pPr>
      <w:r>
        <w:rPr>
          <w:rFonts w:hint="eastAsia" w:ascii="宋体" w:hAnsi="宋体" w:eastAsia="宋体" w:cs="宋体"/>
          <w:b/>
          <w:snapToGrid w:val="0"/>
          <w:color w:val="auto"/>
          <w:kern w:val="0"/>
          <w:szCs w:val="21"/>
          <w:lang w:val="en-US" w:eastAsia="zh-CN"/>
        </w:rPr>
        <w:t>3</w:t>
      </w:r>
      <w:r>
        <w:rPr>
          <w:rFonts w:hint="eastAsia" w:ascii="宋体" w:hAnsi="宋体" w:eastAsia="宋体" w:cs="宋体"/>
          <w:b/>
          <w:snapToGrid w:val="0"/>
          <w:color w:val="auto"/>
          <w:kern w:val="0"/>
          <w:szCs w:val="21"/>
          <w:lang w:eastAsia="zh-CN"/>
        </w:rPr>
        <w:t>）</w:t>
      </w:r>
      <w:r>
        <w:rPr>
          <w:rFonts w:hint="eastAsia" w:ascii="宋体" w:hAnsi="宋体" w:eastAsia="宋体" w:cs="宋体"/>
          <w:b/>
          <w:snapToGrid w:val="0"/>
          <w:color w:val="auto"/>
          <w:kern w:val="0"/>
          <w:szCs w:val="21"/>
          <w:lang w:eastAsia="en-US"/>
        </w:rPr>
        <w:t>本项目采购标的所属行业：</w:t>
      </w:r>
      <w:r>
        <w:rPr>
          <w:rFonts w:hint="eastAsia" w:ascii="宋体" w:hAnsi="宋体" w:eastAsia="宋体" w:cs="宋体"/>
          <w:b/>
          <w:snapToGrid w:val="0"/>
          <w:color w:val="auto"/>
          <w:kern w:val="0"/>
          <w:szCs w:val="21"/>
          <w:highlight w:val="none"/>
          <w:u w:val="single"/>
          <w:lang w:val="en-US" w:eastAsia="zh-CN"/>
        </w:rPr>
        <w:t xml:space="preserve"> 工业 </w:t>
      </w:r>
      <w:r>
        <w:rPr>
          <w:rFonts w:hint="eastAsia" w:ascii="宋体" w:hAnsi="宋体" w:eastAsia="宋体" w:cs="宋体"/>
          <w:b/>
          <w:snapToGrid w:val="0"/>
          <w:color w:val="auto"/>
          <w:kern w:val="0"/>
          <w:szCs w:val="21"/>
          <w:lang w:eastAsia="en-US"/>
        </w:rPr>
        <w:t>。</w:t>
      </w:r>
    </w:p>
    <w:p w14:paraId="159E190B">
      <w:pPr>
        <w:keepNext w:val="0"/>
        <w:keepLines w:val="0"/>
        <w:pageBreakBefore w:val="0"/>
        <w:widowControl/>
        <w:kinsoku w:val="0"/>
        <w:wordWrap/>
        <w:overflowPunct/>
        <w:topLinePunct w:val="0"/>
        <w:autoSpaceDE w:val="0"/>
        <w:autoSpaceDN w:val="0"/>
        <w:bidi w:val="0"/>
        <w:adjustRightInd w:val="0"/>
        <w:snapToGrid w:val="0"/>
        <w:spacing w:line="400" w:lineRule="exact"/>
        <w:ind w:firstLine="431"/>
        <w:jc w:val="left"/>
        <w:textAlignment w:val="baseline"/>
        <w:rPr>
          <w:rFonts w:hint="eastAsia" w:ascii="宋体" w:hAnsi="宋体" w:eastAsia="宋体" w:cs="宋体"/>
          <w:b/>
          <w:snapToGrid w:val="0"/>
          <w:color w:val="auto"/>
          <w:kern w:val="0"/>
          <w:szCs w:val="21"/>
          <w:u w:val="single"/>
          <w:lang w:val="en-US" w:eastAsia="zh-CN"/>
        </w:rPr>
      </w:pPr>
      <w:r>
        <w:rPr>
          <w:rFonts w:hint="eastAsia" w:ascii="宋体" w:hAnsi="宋体" w:eastAsia="宋体" w:cs="宋体"/>
          <w:b/>
          <w:snapToGrid w:val="0"/>
          <w:color w:val="auto"/>
          <w:kern w:val="0"/>
          <w:szCs w:val="21"/>
          <w:lang w:val="en-US" w:eastAsia="zh-CN"/>
        </w:rPr>
        <w:t>4</w:t>
      </w:r>
      <w:r>
        <w:rPr>
          <w:rFonts w:hint="eastAsia" w:ascii="宋体" w:hAnsi="宋体" w:eastAsia="宋体" w:cs="宋体"/>
          <w:b/>
          <w:snapToGrid w:val="0"/>
          <w:color w:val="auto"/>
          <w:kern w:val="0"/>
          <w:szCs w:val="21"/>
          <w:lang w:eastAsia="zh-CN"/>
        </w:rPr>
        <w:t>）本项目核心产品：</w:t>
      </w:r>
      <w:r>
        <w:rPr>
          <w:rFonts w:hint="eastAsia" w:ascii="宋体" w:hAnsi="宋体" w:eastAsia="宋体" w:cs="宋体"/>
          <w:b/>
          <w:snapToGrid w:val="0"/>
          <w:color w:val="auto"/>
          <w:kern w:val="0"/>
          <w:szCs w:val="21"/>
          <w:highlight w:val="none"/>
          <w:u w:val="single"/>
          <w:lang w:eastAsia="zh-CN"/>
        </w:rPr>
        <w:t>智能五参数水质分析仪、高锰酸盐指数水质分析仪、氨氮水质分析仪、总磷水质分析仪、总氮水质分析仪、智慧水质在线监测基站控制管理系统、质控单元</w:t>
      </w:r>
    </w:p>
    <w:p w14:paraId="2EC4F8F6">
      <w:pPr>
        <w:keepNext w:val="0"/>
        <w:keepLines w:val="0"/>
        <w:pageBreakBefore w:val="0"/>
        <w:widowControl/>
        <w:kinsoku w:val="0"/>
        <w:wordWrap/>
        <w:overflowPunct/>
        <w:topLinePunct w:val="0"/>
        <w:autoSpaceDE w:val="0"/>
        <w:autoSpaceDN w:val="0"/>
        <w:bidi w:val="0"/>
        <w:adjustRightInd w:val="0"/>
        <w:snapToGrid w:val="0"/>
        <w:spacing w:line="400" w:lineRule="exact"/>
        <w:ind w:firstLine="431"/>
        <w:jc w:val="left"/>
        <w:textAlignment w:val="baseline"/>
        <w:rPr>
          <w:rFonts w:hint="eastAsia" w:ascii="宋体" w:hAnsi="宋体" w:eastAsia="宋体" w:cs="宋体"/>
          <w:b/>
          <w:snapToGrid/>
          <w:color w:val="auto"/>
          <w:kern w:val="2"/>
          <w:szCs w:val="21"/>
          <w:lang w:eastAsia="zh-CN"/>
        </w:rPr>
      </w:pPr>
      <w:r>
        <w:rPr>
          <w:rFonts w:hint="eastAsia" w:ascii="宋体" w:hAnsi="宋体" w:eastAsia="宋体" w:cs="宋体"/>
          <w:b/>
          <w:snapToGrid w:val="0"/>
          <w:color w:val="auto"/>
          <w:kern w:val="0"/>
          <w:szCs w:val="21"/>
          <w:lang w:eastAsia="zh-CN"/>
        </w:rPr>
        <w:t>注：根据《政府采购货物和服务招标投标管理办法》财政部令第87号）第三十一条第二款规定，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具体详见“供应商须知正文”</w:t>
      </w:r>
      <w:r>
        <w:rPr>
          <w:rFonts w:hint="eastAsia" w:ascii="宋体" w:hAnsi="宋体" w:eastAsia="宋体" w:cs="宋体"/>
          <w:b/>
          <w:snapToGrid w:val="0"/>
          <w:color w:val="auto"/>
          <w:kern w:val="0"/>
          <w:szCs w:val="21"/>
          <w:lang w:val="en-US" w:eastAsia="zh-CN"/>
        </w:rPr>
        <w:t>8.1</w:t>
      </w:r>
      <w:r>
        <w:rPr>
          <w:rFonts w:hint="eastAsia" w:ascii="宋体" w:hAnsi="宋体" w:eastAsia="宋体" w:cs="宋体"/>
          <w:b/>
          <w:snapToGrid w:val="0"/>
          <w:color w:val="auto"/>
          <w:kern w:val="0"/>
          <w:szCs w:val="21"/>
          <w:lang w:eastAsia="zh-CN"/>
        </w:rPr>
        <w:t>条款规定。</w:t>
      </w:r>
    </w:p>
    <w:p w14:paraId="12ABAB49">
      <w:pPr>
        <w:pageBreakBefore w:val="0"/>
        <w:widowControl/>
        <w:kinsoku w:val="0"/>
        <w:overflowPunct/>
        <w:topLinePunct w:val="0"/>
        <w:autoSpaceDE w:val="0"/>
        <w:autoSpaceDN w:val="0"/>
        <w:bidi w:val="0"/>
        <w:adjustRightInd w:val="0"/>
        <w:snapToGrid w:val="0"/>
        <w:spacing w:line="400" w:lineRule="exact"/>
        <w:ind w:firstLine="470" w:firstLineChars="200"/>
        <w:jc w:val="left"/>
        <w:textAlignment w:val="baseline"/>
        <w:rPr>
          <w:rFonts w:hint="eastAsia" w:ascii="宋体" w:hAnsi="宋体" w:eastAsia="宋体" w:cs="宋体"/>
          <w:b/>
          <w:bCs/>
          <w:snapToGrid w:val="0"/>
          <w:color w:val="auto"/>
          <w:spacing w:val="7"/>
          <w:kern w:val="0"/>
          <w:sz w:val="22"/>
          <w:szCs w:val="22"/>
          <w:lang w:val="en-US" w:eastAsia="zh-CN"/>
        </w:rPr>
      </w:pPr>
      <w:r>
        <w:rPr>
          <w:rFonts w:hint="eastAsia" w:ascii="宋体" w:hAnsi="宋体" w:eastAsia="宋体" w:cs="宋体"/>
          <w:b/>
          <w:bCs/>
          <w:snapToGrid w:val="0"/>
          <w:color w:val="auto"/>
          <w:spacing w:val="7"/>
          <w:kern w:val="0"/>
          <w:sz w:val="22"/>
          <w:szCs w:val="22"/>
          <w:lang w:val="en-US" w:eastAsia="zh-CN"/>
        </w:rPr>
        <w:t>5、支持本国产品：  ☑适用     □不适用</w:t>
      </w:r>
    </w:p>
    <w:p w14:paraId="56641B7D">
      <w:pPr>
        <w:pageBreakBefore w:val="0"/>
        <w:widowControl/>
        <w:kinsoku w:val="0"/>
        <w:overflowPunct/>
        <w:topLinePunct w:val="0"/>
        <w:autoSpaceDE w:val="0"/>
        <w:autoSpaceDN w:val="0"/>
        <w:bidi w:val="0"/>
        <w:adjustRightInd w:val="0"/>
        <w:snapToGrid w:val="0"/>
        <w:spacing w:line="400" w:lineRule="exact"/>
        <w:ind w:firstLine="510" w:firstLineChars="200"/>
        <w:jc w:val="left"/>
        <w:textAlignment w:val="baseline"/>
        <w:rPr>
          <w:rFonts w:hint="eastAsia" w:ascii="宋体" w:hAnsi="宋体" w:eastAsia="宋体" w:cs="宋体"/>
          <w:b/>
          <w:snapToGrid w:val="0"/>
          <w:color w:val="auto"/>
          <w:kern w:val="0"/>
          <w:sz w:val="24"/>
          <w:szCs w:val="24"/>
          <w:lang w:eastAsia="zh-CN"/>
        </w:rPr>
      </w:pPr>
      <w:r>
        <w:rPr>
          <w:rFonts w:hint="eastAsia" w:ascii="宋体" w:hAnsi="宋体" w:eastAsia="宋体" w:cs="宋体"/>
          <w:b/>
          <w:bCs/>
          <w:snapToGrid w:val="0"/>
          <w:color w:val="auto"/>
          <w:spacing w:val="7"/>
          <w:kern w:val="0"/>
          <w:sz w:val="24"/>
          <w:szCs w:val="24"/>
          <w:lang w:eastAsia="en-US"/>
        </w:rPr>
        <w:t>一、采购内容及技术</w:t>
      </w:r>
      <w:r>
        <w:rPr>
          <w:rFonts w:hint="eastAsia" w:ascii="宋体" w:hAnsi="宋体" w:eastAsia="宋体" w:cs="宋体"/>
          <w:b/>
          <w:bCs/>
          <w:snapToGrid w:val="0"/>
          <w:color w:val="auto"/>
          <w:spacing w:val="7"/>
          <w:kern w:val="0"/>
          <w:sz w:val="24"/>
          <w:szCs w:val="24"/>
          <w:lang w:eastAsia="zh-CN"/>
        </w:rPr>
        <w:t>参数</w:t>
      </w:r>
    </w:p>
    <w:tbl>
      <w:tblPr>
        <w:tblStyle w:val="20"/>
        <w:tblW w:w="9271"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42"/>
        <w:gridCol w:w="1276"/>
        <w:gridCol w:w="4544"/>
        <w:gridCol w:w="403"/>
        <w:gridCol w:w="629"/>
        <w:gridCol w:w="876"/>
        <w:gridCol w:w="1101"/>
      </w:tblGrid>
      <w:tr w14:paraId="04891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8" w:hRule="atLeast"/>
          <w:tblHeader/>
        </w:trPr>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5FE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snapToGrid/>
                <w:color w:val="auto"/>
                <w:kern w:val="2"/>
                <w:sz w:val="21"/>
                <w:szCs w:val="21"/>
                <w:highlight w:val="none"/>
                <w:u w:val="none"/>
                <w:lang w:eastAsia="zh-CN"/>
              </w:rPr>
            </w:pPr>
            <w:r>
              <w:rPr>
                <w:rFonts w:hint="eastAsia" w:ascii="宋体" w:hAnsi="宋体" w:eastAsia="宋体" w:cs="宋体"/>
                <w:b/>
                <w:bCs/>
                <w:i w:val="0"/>
                <w:iCs w:val="0"/>
                <w:snapToGrid/>
                <w:color w:val="auto"/>
                <w:kern w:val="0"/>
                <w:sz w:val="21"/>
                <w:szCs w:val="21"/>
                <w:highlight w:val="none"/>
                <w:u w:val="none"/>
                <w:lang w:val="en-US" w:eastAsia="zh-CN" w:bidi="ar"/>
              </w:rPr>
              <w:t>序号</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4A7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snapToGrid/>
                <w:color w:val="auto"/>
                <w:kern w:val="2"/>
                <w:sz w:val="21"/>
                <w:szCs w:val="21"/>
                <w:highlight w:val="none"/>
                <w:u w:val="none"/>
                <w:lang w:eastAsia="zh-CN"/>
              </w:rPr>
            </w:pPr>
            <w:r>
              <w:rPr>
                <w:rFonts w:hint="eastAsia" w:ascii="宋体" w:hAnsi="宋体" w:eastAsia="宋体" w:cs="宋体"/>
                <w:b/>
                <w:bCs/>
                <w:i w:val="0"/>
                <w:iCs w:val="0"/>
                <w:snapToGrid/>
                <w:color w:val="auto"/>
                <w:kern w:val="0"/>
                <w:sz w:val="21"/>
                <w:szCs w:val="21"/>
                <w:highlight w:val="none"/>
                <w:u w:val="none"/>
                <w:lang w:val="en-US" w:eastAsia="zh-CN" w:bidi="ar"/>
              </w:rPr>
              <w:t>名称</w:t>
            </w:r>
          </w:p>
        </w:tc>
        <w:tc>
          <w:tcPr>
            <w:tcW w:w="4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DD79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snapToGrid/>
                <w:color w:val="auto"/>
                <w:kern w:val="2"/>
                <w:sz w:val="21"/>
                <w:szCs w:val="21"/>
                <w:highlight w:val="none"/>
                <w:u w:val="none"/>
                <w:lang w:eastAsia="zh-CN"/>
              </w:rPr>
            </w:pPr>
            <w:r>
              <w:rPr>
                <w:rFonts w:hint="eastAsia" w:ascii="宋体" w:hAnsi="宋体" w:eastAsia="宋体" w:cs="宋体"/>
                <w:b/>
                <w:bCs/>
                <w:i w:val="0"/>
                <w:iCs w:val="0"/>
                <w:snapToGrid/>
                <w:color w:val="auto"/>
                <w:kern w:val="0"/>
                <w:sz w:val="21"/>
                <w:szCs w:val="21"/>
                <w:highlight w:val="none"/>
                <w:u w:val="none"/>
                <w:lang w:val="en-US" w:eastAsia="zh-CN" w:bidi="ar"/>
              </w:rPr>
              <w:t>技术参数</w:t>
            </w: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EE0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snapToGrid/>
                <w:color w:val="auto"/>
                <w:kern w:val="2"/>
                <w:sz w:val="21"/>
                <w:szCs w:val="21"/>
                <w:highlight w:val="none"/>
                <w:u w:val="none"/>
                <w:lang w:eastAsia="zh-CN"/>
              </w:rPr>
            </w:pPr>
            <w:r>
              <w:rPr>
                <w:rFonts w:hint="eastAsia" w:ascii="宋体" w:hAnsi="宋体" w:eastAsia="宋体" w:cs="宋体"/>
                <w:b/>
                <w:bCs/>
                <w:i w:val="0"/>
                <w:iCs w:val="0"/>
                <w:snapToGrid/>
                <w:color w:val="auto"/>
                <w:kern w:val="0"/>
                <w:sz w:val="21"/>
                <w:szCs w:val="21"/>
                <w:highlight w:val="none"/>
                <w:u w:val="none"/>
                <w:lang w:val="en-US" w:eastAsia="zh-CN" w:bidi="ar"/>
              </w:rPr>
              <w:t>单位</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A223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snapToGrid/>
                <w:color w:val="auto"/>
                <w:kern w:val="2"/>
                <w:sz w:val="21"/>
                <w:szCs w:val="21"/>
                <w:highlight w:val="none"/>
                <w:u w:val="none"/>
                <w:lang w:eastAsia="zh-CN"/>
              </w:rPr>
            </w:pPr>
            <w:r>
              <w:rPr>
                <w:rFonts w:hint="eastAsia" w:ascii="宋体" w:hAnsi="宋体" w:eastAsia="宋体" w:cs="宋体"/>
                <w:b/>
                <w:bCs/>
                <w:i w:val="0"/>
                <w:iCs w:val="0"/>
                <w:snapToGrid/>
                <w:color w:val="auto"/>
                <w:kern w:val="2"/>
                <w:sz w:val="21"/>
                <w:szCs w:val="21"/>
                <w:highlight w:val="none"/>
                <w:u w:val="none"/>
                <w:lang w:eastAsia="zh-CN"/>
              </w:rPr>
              <w:t>数量</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109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snapToGrid/>
                <w:color w:val="auto"/>
                <w:kern w:val="2"/>
                <w:sz w:val="21"/>
                <w:szCs w:val="21"/>
                <w:highlight w:val="none"/>
                <w:u w:val="none"/>
                <w:lang w:eastAsia="zh-CN"/>
              </w:rPr>
            </w:pPr>
            <w:r>
              <w:rPr>
                <w:rFonts w:hint="eastAsia" w:ascii="宋体" w:hAnsi="宋体" w:eastAsia="宋体" w:cs="宋体"/>
                <w:b/>
                <w:bCs/>
                <w:i w:val="0"/>
                <w:iCs w:val="0"/>
                <w:snapToGrid/>
                <w:color w:val="auto"/>
                <w:kern w:val="0"/>
                <w:sz w:val="21"/>
                <w:szCs w:val="21"/>
                <w:highlight w:val="none"/>
                <w:u w:val="none"/>
                <w:lang w:val="en-US" w:eastAsia="zh-CN" w:bidi="ar"/>
              </w:rPr>
              <w:t>单价(元)</w:t>
            </w:r>
          </w:p>
        </w:tc>
        <w:tc>
          <w:tcPr>
            <w:tcW w:w="1101" w:type="dxa"/>
            <w:tcBorders>
              <w:top w:val="single" w:color="000000" w:sz="4" w:space="0"/>
              <w:left w:val="single" w:color="000000" w:sz="4" w:space="0"/>
              <w:bottom w:val="single" w:color="000000" w:sz="4" w:space="0"/>
              <w:right w:val="single" w:color="auto" w:sz="4" w:space="0"/>
            </w:tcBorders>
            <w:shd w:val="clear" w:color="auto" w:fill="auto"/>
            <w:vAlign w:val="center"/>
          </w:tcPr>
          <w:p w14:paraId="685584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snapToGrid/>
                <w:color w:val="auto"/>
                <w:kern w:val="2"/>
                <w:sz w:val="21"/>
                <w:szCs w:val="21"/>
                <w:highlight w:val="none"/>
                <w:u w:val="none"/>
                <w:lang w:eastAsia="zh-CN"/>
              </w:rPr>
            </w:pPr>
            <w:r>
              <w:rPr>
                <w:rFonts w:hint="eastAsia" w:ascii="宋体" w:hAnsi="宋体" w:eastAsia="宋体" w:cs="宋体"/>
                <w:b/>
                <w:bCs/>
                <w:i w:val="0"/>
                <w:iCs w:val="0"/>
                <w:snapToGrid/>
                <w:color w:val="auto"/>
                <w:kern w:val="0"/>
                <w:sz w:val="21"/>
                <w:szCs w:val="21"/>
                <w:highlight w:val="none"/>
                <w:u w:val="none"/>
                <w:lang w:val="en-US" w:eastAsia="zh-CN" w:bidi="ar"/>
              </w:rPr>
              <w:t>合价(元)</w:t>
            </w:r>
          </w:p>
        </w:tc>
      </w:tr>
      <w:tr w14:paraId="20B12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7" w:hRule="atLeast"/>
        </w:trPr>
        <w:tc>
          <w:tcPr>
            <w:tcW w:w="9271" w:type="dxa"/>
            <w:gridSpan w:val="7"/>
            <w:tcBorders>
              <w:top w:val="single" w:color="000000" w:sz="4" w:space="0"/>
              <w:left w:val="single" w:color="000000" w:sz="4" w:space="0"/>
              <w:bottom w:val="single" w:color="000000" w:sz="4" w:space="0"/>
              <w:right w:val="single" w:color="auto" w:sz="4" w:space="0"/>
            </w:tcBorders>
            <w:shd w:val="clear" w:color="auto" w:fill="auto"/>
            <w:vAlign w:val="center"/>
          </w:tcPr>
          <w:p w14:paraId="0F888D0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b/>
                <w:bCs/>
                <w:i w:val="0"/>
                <w:iCs w:val="0"/>
                <w:snapToGrid/>
                <w:color w:val="auto"/>
                <w:kern w:val="0"/>
                <w:sz w:val="21"/>
                <w:szCs w:val="21"/>
                <w:highlight w:val="none"/>
                <w:u w:val="none"/>
                <w:lang w:val="en-US" w:eastAsia="zh-CN" w:bidi="ar"/>
              </w:rPr>
              <w:t>一、仪器部分</w:t>
            </w:r>
          </w:p>
        </w:tc>
      </w:tr>
      <w:tr w14:paraId="0EC8B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3" w:hRule="atLeast"/>
        </w:trPr>
        <w:tc>
          <w:tcPr>
            <w:tcW w:w="9271" w:type="dxa"/>
            <w:gridSpan w:val="7"/>
            <w:tcBorders>
              <w:top w:val="single" w:color="000000" w:sz="4" w:space="0"/>
              <w:left w:val="single" w:color="000000" w:sz="4" w:space="0"/>
              <w:bottom w:val="single" w:color="000000" w:sz="4" w:space="0"/>
              <w:right w:val="single" w:color="auto" w:sz="4" w:space="0"/>
            </w:tcBorders>
            <w:shd w:val="clear" w:color="auto" w:fill="auto"/>
            <w:vAlign w:val="center"/>
          </w:tcPr>
          <w:p w14:paraId="32E4A86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一、仪器部分通用要求</w:t>
            </w:r>
          </w:p>
          <w:p w14:paraId="4BDDEDE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1.1操作语言</w:t>
            </w:r>
          </w:p>
          <w:p w14:paraId="5384FEA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水质自动分析仪器和控制单元所有显示须为中文，符合《信息交换用汉字编码字符集》（GB2312－1980）。</w:t>
            </w:r>
          </w:p>
          <w:p w14:paraId="199817B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1.2供电要求</w:t>
            </w:r>
          </w:p>
          <w:p w14:paraId="3F898F6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设备的运行电压为：(220±22)V（固定站），交流频率为（50±0.5）Hz；所有设备的电源插头为中国制式A9120-9085-1。</w:t>
            </w:r>
          </w:p>
          <w:p w14:paraId="478FE4E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1.3使用环境要求</w:t>
            </w:r>
          </w:p>
          <w:p w14:paraId="1A5331D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所有设备在温度5～45℃、相对湿度小于90%环境下能够正常运行。</w:t>
            </w:r>
          </w:p>
          <w:p w14:paraId="13D04BB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1.4通讯协议要求</w:t>
            </w:r>
          </w:p>
          <w:p w14:paraId="36F3C07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质保期内，按照指定的传输协议要求，将所有监测数据传输至指定的平台，包括仪器的实时状态、关键参数和监测数据等。签订合同后提供所有仪器的底层通信协议。质保期内，按照国家最新的通信协议负责调整。</w:t>
            </w:r>
          </w:p>
          <w:p w14:paraId="07B1211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bCs/>
                <w:i w:val="0"/>
                <w:iCs w:val="0"/>
                <w:snapToGrid/>
                <w:color w:val="auto"/>
                <w:kern w:val="0"/>
                <w:sz w:val="21"/>
                <w:szCs w:val="21"/>
                <w:highlight w:val="none"/>
                <w:u w:val="none"/>
                <w:lang w:val="en-US" w:eastAsia="zh-CN" w:bidi="ar"/>
              </w:rPr>
            </w:pPr>
            <w:r>
              <w:rPr>
                <w:rFonts w:hint="eastAsia" w:ascii="宋体" w:hAnsi="宋体" w:eastAsia="宋体" w:cs="宋体"/>
                <w:i w:val="0"/>
                <w:iCs w:val="0"/>
                <w:snapToGrid/>
                <w:color w:val="auto"/>
                <w:kern w:val="2"/>
                <w:sz w:val="21"/>
                <w:szCs w:val="21"/>
                <w:highlight w:val="none"/>
                <w:u w:val="none"/>
                <w:lang w:val="en-US" w:eastAsia="zh-CN"/>
              </w:rPr>
              <w:t>1.5故障率：≤1次/40天。</w:t>
            </w:r>
          </w:p>
        </w:tc>
      </w:tr>
      <w:tr w14:paraId="67413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B4A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0"/>
                <w:sz w:val="21"/>
                <w:szCs w:val="21"/>
                <w:highlight w:val="none"/>
                <w:u w:val="none"/>
                <w:lang w:val="en-US" w:eastAsia="zh-CN" w:bidi="ar"/>
              </w:rPr>
              <w:t>1</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9920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0"/>
                <w:sz w:val="21"/>
                <w:szCs w:val="21"/>
                <w:highlight w:val="none"/>
                <w:u w:val="none"/>
                <w:lang w:val="en-US" w:eastAsia="zh-CN" w:bidi="ar"/>
              </w:rPr>
              <w:t>智能五参数水质分析仪</w:t>
            </w:r>
          </w:p>
        </w:tc>
        <w:tc>
          <w:tcPr>
            <w:tcW w:w="4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A35C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五参数（水温、pH值、溶解氧、电导率、浊度）</w:t>
            </w:r>
          </w:p>
          <w:p w14:paraId="7CDD37F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1.分析仪技术指标</w:t>
            </w:r>
          </w:p>
          <w:p w14:paraId="2B6F4D3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1.1水温</w:t>
            </w:r>
          </w:p>
          <w:p w14:paraId="23B86B1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1.1.1 分析方法：热电阻/热电偶；</w:t>
            </w:r>
          </w:p>
          <w:p w14:paraId="0F589E8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1.1.2 检测范围：0℃～60℃；</w:t>
            </w:r>
          </w:p>
          <w:p w14:paraId="4224681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▲1.1.3 准确度：±0.5℃；</w:t>
            </w:r>
            <w:r>
              <w:rPr>
                <w:rFonts w:hint="eastAsia" w:ascii="宋体" w:hAnsi="宋体" w:eastAsia="宋体" w:cs="宋体"/>
                <w:b/>
                <w:bCs/>
                <w:i w:val="0"/>
                <w:iCs w:val="0"/>
                <w:snapToGrid/>
                <w:color w:val="auto"/>
                <w:kern w:val="2"/>
                <w:sz w:val="21"/>
                <w:szCs w:val="21"/>
                <w:highlight w:val="none"/>
                <w:u w:val="none"/>
                <w:lang w:eastAsia="zh-CN"/>
              </w:rPr>
              <w:t>【竞标时需提供相关证明材料（包括但不限于彩页、官网和功能截图），并加盖供应商单位公章，否则竞标无效。</w:t>
            </w:r>
            <w:r>
              <w:rPr>
                <w:rFonts w:hint="eastAsia" w:ascii="宋体" w:hAnsi="宋体" w:eastAsia="宋体" w:cs="宋体"/>
                <w:i w:val="0"/>
                <w:iCs w:val="0"/>
                <w:snapToGrid/>
                <w:color w:val="auto"/>
                <w:kern w:val="2"/>
                <w:sz w:val="21"/>
                <w:szCs w:val="21"/>
                <w:highlight w:val="none"/>
                <w:u w:val="none"/>
                <w:lang w:eastAsia="zh-CN"/>
              </w:rPr>
              <w:t>】</w:t>
            </w:r>
          </w:p>
          <w:p w14:paraId="1D622C5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1.1.</w:t>
            </w:r>
            <w:r>
              <w:rPr>
                <w:rFonts w:hint="eastAsia" w:ascii="宋体" w:hAnsi="宋体" w:eastAsia="宋体" w:cs="宋体"/>
                <w:i w:val="0"/>
                <w:iCs w:val="0"/>
                <w:snapToGrid/>
                <w:color w:val="auto"/>
                <w:kern w:val="2"/>
                <w:sz w:val="21"/>
                <w:szCs w:val="21"/>
                <w:highlight w:val="none"/>
                <w:u w:val="none"/>
                <w:lang w:val="en-US" w:eastAsia="zh-CN"/>
              </w:rPr>
              <w:t>4</w:t>
            </w:r>
            <w:r>
              <w:rPr>
                <w:rFonts w:hint="eastAsia" w:ascii="宋体" w:hAnsi="宋体" w:eastAsia="宋体" w:cs="宋体"/>
                <w:i w:val="0"/>
                <w:iCs w:val="0"/>
                <w:snapToGrid/>
                <w:color w:val="auto"/>
                <w:kern w:val="2"/>
                <w:sz w:val="21"/>
                <w:szCs w:val="21"/>
                <w:highlight w:val="none"/>
                <w:u w:val="none"/>
                <w:lang w:eastAsia="zh-CN"/>
              </w:rPr>
              <w:t xml:space="preserve"> 实际水样比对：绝对误差≤±0.5℃。</w:t>
            </w:r>
          </w:p>
          <w:p w14:paraId="2121AEA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1.2 pH值</w:t>
            </w:r>
          </w:p>
          <w:p w14:paraId="7932246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1.2.1 分析方法：玻璃电极法；</w:t>
            </w:r>
          </w:p>
          <w:p w14:paraId="48897F6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1.2.2 检测范围：pH值0～14(0-40℃)，可调；</w:t>
            </w:r>
          </w:p>
          <w:p w14:paraId="6803C71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bCs/>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▲1.2.3 重复性：≤±0.1pH值；</w:t>
            </w:r>
            <w:r>
              <w:rPr>
                <w:rFonts w:hint="eastAsia" w:ascii="宋体" w:hAnsi="宋体" w:eastAsia="宋体" w:cs="宋体"/>
                <w:b/>
                <w:bCs/>
                <w:i w:val="0"/>
                <w:iCs w:val="0"/>
                <w:snapToGrid/>
                <w:color w:val="auto"/>
                <w:kern w:val="2"/>
                <w:sz w:val="21"/>
                <w:szCs w:val="21"/>
                <w:highlight w:val="none"/>
                <w:u w:val="none"/>
                <w:lang w:eastAsia="zh-CN"/>
              </w:rPr>
              <w:t>【竞标时需提供相关证明材料（包括但不限于彩页、官网和功能截图），并加盖供应商单位公章，否则竞标无效。】</w:t>
            </w:r>
          </w:p>
          <w:p w14:paraId="354815C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1.2.4 分辨率：0.01pH值；</w:t>
            </w:r>
          </w:p>
          <w:p w14:paraId="2FD934F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1.2.5 漂移（pH值=4、7、9）：≤±0.1pH值；</w:t>
            </w:r>
          </w:p>
          <w:p w14:paraId="26DBD18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1.2.6 响应时间：≤0.5min；</w:t>
            </w:r>
          </w:p>
          <w:p w14:paraId="3D8504C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1.2.</w:t>
            </w:r>
            <w:r>
              <w:rPr>
                <w:rFonts w:hint="eastAsia" w:ascii="宋体" w:hAnsi="宋体" w:eastAsia="宋体" w:cs="宋体"/>
                <w:i w:val="0"/>
                <w:iCs w:val="0"/>
                <w:snapToGrid/>
                <w:color w:val="auto"/>
                <w:kern w:val="2"/>
                <w:sz w:val="21"/>
                <w:szCs w:val="21"/>
                <w:highlight w:val="none"/>
                <w:u w:val="none"/>
                <w:lang w:val="en-US" w:eastAsia="zh-CN"/>
              </w:rPr>
              <w:t>7</w:t>
            </w:r>
            <w:r>
              <w:rPr>
                <w:rFonts w:hint="eastAsia" w:ascii="宋体" w:hAnsi="宋体" w:eastAsia="宋体" w:cs="宋体"/>
                <w:i w:val="0"/>
                <w:iCs w:val="0"/>
                <w:snapToGrid/>
                <w:color w:val="auto"/>
                <w:kern w:val="2"/>
                <w:sz w:val="21"/>
                <w:szCs w:val="21"/>
                <w:highlight w:val="none"/>
                <w:u w:val="none"/>
                <w:lang w:eastAsia="zh-CN"/>
              </w:rPr>
              <w:t xml:space="preserve"> 实际水样比对试验：≤±0.5pH值；</w:t>
            </w:r>
          </w:p>
          <w:p w14:paraId="45AF06E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1.2.</w:t>
            </w:r>
            <w:r>
              <w:rPr>
                <w:rFonts w:hint="eastAsia" w:ascii="宋体" w:hAnsi="宋体" w:eastAsia="宋体" w:cs="宋体"/>
                <w:i w:val="0"/>
                <w:iCs w:val="0"/>
                <w:snapToGrid/>
                <w:color w:val="auto"/>
                <w:kern w:val="2"/>
                <w:sz w:val="21"/>
                <w:szCs w:val="21"/>
                <w:highlight w:val="none"/>
                <w:u w:val="none"/>
                <w:lang w:val="en-US" w:eastAsia="zh-CN"/>
              </w:rPr>
              <w:t>8</w:t>
            </w:r>
            <w:r>
              <w:rPr>
                <w:rFonts w:hint="eastAsia" w:ascii="宋体" w:hAnsi="宋体" w:eastAsia="宋体" w:cs="宋体"/>
                <w:i w:val="0"/>
                <w:iCs w:val="0"/>
                <w:snapToGrid/>
                <w:color w:val="auto"/>
                <w:kern w:val="2"/>
                <w:sz w:val="21"/>
                <w:szCs w:val="21"/>
                <w:highlight w:val="none"/>
                <w:u w:val="none"/>
                <w:lang w:eastAsia="zh-CN"/>
              </w:rPr>
              <w:t xml:space="preserve"> 标准溶液测试：绝对误差≤±0.15；</w:t>
            </w:r>
          </w:p>
          <w:p w14:paraId="7074B22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1.2.</w:t>
            </w:r>
            <w:r>
              <w:rPr>
                <w:rFonts w:hint="eastAsia" w:ascii="宋体" w:hAnsi="宋体" w:eastAsia="宋体" w:cs="宋体"/>
                <w:i w:val="0"/>
                <w:iCs w:val="0"/>
                <w:snapToGrid/>
                <w:color w:val="auto"/>
                <w:kern w:val="2"/>
                <w:sz w:val="21"/>
                <w:szCs w:val="21"/>
                <w:highlight w:val="none"/>
                <w:u w:val="none"/>
                <w:lang w:val="en-US" w:eastAsia="zh-CN"/>
              </w:rPr>
              <w:t>9</w:t>
            </w:r>
            <w:r>
              <w:rPr>
                <w:rFonts w:hint="eastAsia" w:ascii="宋体" w:hAnsi="宋体" w:eastAsia="宋体" w:cs="宋体"/>
                <w:i w:val="0"/>
                <w:iCs w:val="0"/>
                <w:snapToGrid/>
                <w:color w:val="auto"/>
                <w:kern w:val="2"/>
                <w:sz w:val="21"/>
                <w:szCs w:val="21"/>
                <w:highlight w:val="none"/>
                <w:u w:val="none"/>
                <w:lang w:eastAsia="zh-CN"/>
              </w:rPr>
              <w:t xml:space="preserve"> 温度补偿：自动温度补偿功能。</w:t>
            </w:r>
          </w:p>
          <w:p w14:paraId="061CB30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1.3 溶解氧</w:t>
            </w:r>
          </w:p>
          <w:p w14:paraId="375008D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1.3.1 分析方法：电化学法/荧光法；</w:t>
            </w:r>
          </w:p>
          <w:p w14:paraId="0CBA4FE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1.3.2 检测范围：0～20mg/L，可调；</w:t>
            </w:r>
          </w:p>
          <w:p w14:paraId="54D60A7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1.3.3 零点漂移：±0.3mg/L；</w:t>
            </w:r>
          </w:p>
          <w:p w14:paraId="3077217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1.3.4 量程漂移：±0.3mg/L；</w:t>
            </w:r>
          </w:p>
          <w:p w14:paraId="14F61A1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▲1.3.5 重复性：±0.3mg/L；【</w:t>
            </w:r>
            <w:r>
              <w:rPr>
                <w:rFonts w:hint="eastAsia" w:ascii="宋体" w:hAnsi="宋体" w:eastAsia="宋体" w:cs="宋体"/>
                <w:b/>
                <w:bCs/>
                <w:i w:val="0"/>
                <w:iCs w:val="0"/>
                <w:snapToGrid/>
                <w:color w:val="auto"/>
                <w:kern w:val="2"/>
                <w:sz w:val="21"/>
                <w:szCs w:val="21"/>
                <w:highlight w:val="none"/>
                <w:u w:val="none"/>
                <w:lang w:eastAsia="zh-CN"/>
              </w:rPr>
              <w:t>竞标时需提供相关证明材料（包括但不限于彩页、官网和功能截图），并加盖供应商单位公章，否则竞标无效。</w:t>
            </w:r>
            <w:r>
              <w:rPr>
                <w:rFonts w:hint="eastAsia" w:ascii="宋体" w:hAnsi="宋体" w:eastAsia="宋体" w:cs="宋体"/>
                <w:i w:val="0"/>
                <w:iCs w:val="0"/>
                <w:snapToGrid/>
                <w:color w:val="auto"/>
                <w:kern w:val="2"/>
                <w:sz w:val="21"/>
                <w:szCs w:val="21"/>
                <w:highlight w:val="none"/>
                <w:u w:val="none"/>
                <w:lang w:eastAsia="zh-CN"/>
              </w:rPr>
              <w:t>】</w:t>
            </w:r>
          </w:p>
          <w:p w14:paraId="63CB244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1.3.6 分辨率：0.01mg/L；</w:t>
            </w:r>
          </w:p>
          <w:p w14:paraId="3FB4CCB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1.3.7 响应时间（T90）：≤2min；</w:t>
            </w:r>
          </w:p>
          <w:p w14:paraId="10125FF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1.3.</w:t>
            </w:r>
            <w:r>
              <w:rPr>
                <w:rFonts w:hint="eastAsia" w:ascii="宋体" w:hAnsi="宋体" w:eastAsia="宋体" w:cs="宋体"/>
                <w:i w:val="0"/>
                <w:iCs w:val="0"/>
                <w:snapToGrid/>
                <w:color w:val="auto"/>
                <w:kern w:val="2"/>
                <w:sz w:val="21"/>
                <w:szCs w:val="21"/>
                <w:highlight w:val="none"/>
                <w:u w:val="none"/>
                <w:lang w:val="en-US" w:eastAsia="zh-CN"/>
              </w:rPr>
              <w:t>8</w:t>
            </w:r>
            <w:r>
              <w:rPr>
                <w:rFonts w:hint="eastAsia" w:ascii="宋体" w:hAnsi="宋体" w:eastAsia="宋体" w:cs="宋体"/>
                <w:i w:val="0"/>
                <w:iCs w:val="0"/>
                <w:snapToGrid/>
                <w:color w:val="auto"/>
                <w:kern w:val="2"/>
                <w:sz w:val="21"/>
                <w:szCs w:val="21"/>
                <w:highlight w:val="none"/>
                <w:u w:val="none"/>
                <w:lang w:eastAsia="zh-CN"/>
              </w:rPr>
              <w:t xml:space="preserve"> 实际水样比对试验：±0.8mg/L；</w:t>
            </w:r>
          </w:p>
          <w:p w14:paraId="3D22091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1.3.</w:t>
            </w:r>
            <w:r>
              <w:rPr>
                <w:rFonts w:hint="eastAsia" w:ascii="宋体" w:hAnsi="宋体" w:eastAsia="宋体" w:cs="宋体"/>
                <w:i w:val="0"/>
                <w:iCs w:val="0"/>
                <w:snapToGrid/>
                <w:color w:val="auto"/>
                <w:kern w:val="2"/>
                <w:sz w:val="21"/>
                <w:szCs w:val="21"/>
                <w:highlight w:val="none"/>
                <w:u w:val="none"/>
                <w:lang w:val="en-US" w:eastAsia="zh-CN"/>
              </w:rPr>
              <w:t>9</w:t>
            </w:r>
            <w:r>
              <w:rPr>
                <w:rFonts w:hint="eastAsia" w:ascii="宋体" w:hAnsi="宋体" w:eastAsia="宋体" w:cs="宋体"/>
                <w:i w:val="0"/>
                <w:iCs w:val="0"/>
                <w:snapToGrid/>
                <w:color w:val="auto"/>
                <w:kern w:val="2"/>
                <w:sz w:val="21"/>
                <w:szCs w:val="21"/>
                <w:highlight w:val="none"/>
                <w:u w:val="none"/>
                <w:lang w:eastAsia="zh-CN"/>
              </w:rPr>
              <w:t>标准溶液测试：绝对误差≤±0.3mg/L；</w:t>
            </w:r>
          </w:p>
          <w:p w14:paraId="2BCCB52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1.3.1</w:t>
            </w:r>
            <w:r>
              <w:rPr>
                <w:rFonts w:hint="eastAsia" w:ascii="宋体" w:hAnsi="宋体" w:eastAsia="宋体" w:cs="宋体"/>
                <w:i w:val="0"/>
                <w:iCs w:val="0"/>
                <w:snapToGrid/>
                <w:color w:val="auto"/>
                <w:kern w:val="2"/>
                <w:sz w:val="21"/>
                <w:szCs w:val="21"/>
                <w:highlight w:val="none"/>
                <w:u w:val="none"/>
                <w:lang w:val="en-US" w:eastAsia="zh-CN"/>
              </w:rPr>
              <w:t>0</w:t>
            </w:r>
            <w:r>
              <w:rPr>
                <w:rFonts w:hint="eastAsia" w:ascii="宋体" w:hAnsi="宋体" w:eastAsia="宋体" w:cs="宋体"/>
                <w:i w:val="0"/>
                <w:iCs w:val="0"/>
                <w:snapToGrid/>
                <w:color w:val="auto"/>
                <w:kern w:val="2"/>
                <w:sz w:val="21"/>
                <w:szCs w:val="21"/>
                <w:highlight w:val="none"/>
                <w:u w:val="none"/>
                <w:lang w:eastAsia="zh-CN"/>
              </w:rPr>
              <w:t xml:space="preserve"> 温度补偿：自动温度补偿功能。</w:t>
            </w:r>
          </w:p>
          <w:p w14:paraId="0F1F98A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1.4 电导率</w:t>
            </w:r>
          </w:p>
          <w:p w14:paraId="4656F90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1.4.1 分析方法：电极法；</w:t>
            </w:r>
          </w:p>
          <w:p w14:paraId="2038704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1.4.2 最小检测范围：0-500mS/m(0-40℃)，可调；</w:t>
            </w:r>
          </w:p>
          <w:p w14:paraId="2DE2C48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▲1.4.3 重复性误差：±1%；</w:t>
            </w:r>
            <w:r>
              <w:rPr>
                <w:rFonts w:hint="eastAsia" w:ascii="宋体" w:hAnsi="宋体" w:eastAsia="宋体" w:cs="宋体"/>
                <w:b/>
                <w:bCs/>
                <w:i w:val="0"/>
                <w:iCs w:val="0"/>
                <w:snapToGrid/>
                <w:color w:val="auto"/>
                <w:kern w:val="2"/>
                <w:sz w:val="21"/>
                <w:szCs w:val="21"/>
                <w:highlight w:val="none"/>
                <w:u w:val="none"/>
                <w:lang w:eastAsia="zh-CN"/>
              </w:rPr>
              <w:t>【竞标时需提供相关证明材料（包括但不限于彩页、官网和功能截图），并加盖供应商单位公章，否则竞标无效。</w:t>
            </w:r>
            <w:r>
              <w:rPr>
                <w:rFonts w:hint="eastAsia" w:ascii="宋体" w:hAnsi="宋体" w:eastAsia="宋体" w:cs="宋体"/>
                <w:i w:val="0"/>
                <w:iCs w:val="0"/>
                <w:snapToGrid/>
                <w:color w:val="auto"/>
                <w:kern w:val="2"/>
                <w:sz w:val="21"/>
                <w:szCs w:val="21"/>
                <w:highlight w:val="none"/>
                <w:u w:val="none"/>
                <w:lang w:eastAsia="zh-CN"/>
              </w:rPr>
              <w:t>】</w:t>
            </w:r>
          </w:p>
          <w:p w14:paraId="48337FD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1.4.4 零点漂移：±1%；</w:t>
            </w:r>
          </w:p>
          <w:p w14:paraId="572AE67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1.4.5 量程漂移：±1%；</w:t>
            </w:r>
          </w:p>
          <w:p w14:paraId="66D0B80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1.4.6 响应时间（T90）：0.5min以内；</w:t>
            </w:r>
          </w:p>
          <w:p w14:paraId="546F48F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1.4.7 温度补偿精度：±1%；</w:t>
            </w:r>
          </w:p>
          <w:p w14:paraId="7FDB1ED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▲1.4.9 标准溶液测试【</w:t>
            </w:r>
            <w:r>
              <w:rPr>
                <w:rFonts w:hint="eastAsia" w:ascii="宋体" w:hAnsi="宋体" w:eastAsia="宋体" w:cs="宋体"/>
                <w:b/>
                <w:bCs/>
                <w:i w:val="0"/>
                <w:iCs w:val="0"/>
                <w:snapToGrid/>
                <w:color w:val="auto"/>
                <w:kern w:val="2"/>
                <w:sz w:val="21"/>
                <w:szCs w:val="21"/>
                <w:highlight w:val="none"/>
                <w:u w:val="none"/>
                <w:lang w:eastAsia="zh-CN"/>
              </w:rPr>
              <w:t>竞标时需提供相关证明材料（包括但不限于彩页、官网和功能截图），并加盖供应商单位公章，否则竞标无效。</w:t>
            </w:r>
            <w:r>
              <w:rPr>
                <w:rFonts w:hint="eastAsia" w:ascii="宋体" w:hAnsi="宋体" w:eastAsia="宋体" w:cs="宋体"/>
                <w:i w:val="0"/>
                <w:iCs w:val="0"/>
                <w:snapToGrid/>
                <w:color w:val="auto"/>
                <w:kern w:val="2"/>
                <w:sz w:val="21"/>
                <w:szCs w:val="21"/>
                <w:highlight w:val="none"/>
                <w:u w:val="none"/>
                <w:lang w:eastAsia="zh-CN"/>
              </w:rPr>
              <w:t>】</w:t>
            </w:r>
          </w:p>
          <w:p w14:paraId="01B04AF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（a）绝对误差：标准溶液值≤100μS/cm时，≤±5μS/cm；</w:t>
            </w:r>
          </w:p>
          <w:p w14:paraId="4D9A33B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（b）相对误差：＞100μS/cm时，≤±5%。</w:t>
            </w:r>
          </w:p>
          <w:p w14:paraId="79BBA14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1.4.10 实际水样比对</w:t>
            </w:r>
          </w:p>
          <w:p w14:paraId="24B4868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（a）绝对误差：便携检测结果≤100μS/cm时，≤±10μS/cm；</w:t>
            </w:r>
          </w:p>
          <w:p w14:paraId="12943A4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（b）相对误差：便携检测结果＞100μS/cm时，便携检测结果≤±10%。</w:t>
            </w:r>
          </w:p>
          <w:p w14:paraId="1D03896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1.4.11 温度补偿：自动温度补偿功能。</w:t>
            </w:r>
          </w:p>
          <w:p w14:paraId="1CE9D25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1.5 浊度</w:t>
            </w:r>
          </w:p>
          <w:p w14:paraId="6B471A7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1.5.1 分析方法：光散射法；</w:t>
            </w:r>
          </w:p>
          <w:p w14:paraId="1EA088A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1.5.2 检测范围：0～2000NTU，可调；</w:t>
            </w:r>
          </w:p>
          <w:p w14:paraId="2766CDA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▲1.5.3 重复性误差：±5%；【</w:t>
            </w:r>
            <w:r>
              <w:rPr>
                <w:rFonts w:hint="eastAsia" w:ascii="宋体" w:hAnsi="宋体" w:eastAsia="宋体" w:cs="宋体"/>
                <w:b/>
                <w:bCs/>
                <w:i w:val="0"/>
                <w:iCs w:val="0"/>
                <w:snapToGrid/>
                <w:color w:val="auto"/>
                <w:kern w:val="2"/>
                <w:sz w:val="21"/>
                <w:szCs w:val="21"/>
                <w:highlight w:val="none"/>
                <w:u w:val="none"/>
                <w:lang w:eastAsia="zh-CN"/>
              </w:rPr>
              <w:t>竞标时需提供相关证明材料（包括但不限于彩页、官网和功能截图），并加盖供应商单位公章，否则竞标无效。</w:t>
            </w:r>
            <w:r>
              <w:rPr>
                <w:rFonts w:hint="eastAsia" w:ascii="宋体" w:hAnsi="宋体" w:eastAsia="宋体" w:cs="宋体"/>
                <w:i w:val="0"/>
                <w:iCs w:val="0"/>
                <w:snapToGrid/>
                <w:color w:val="auto"/>
                <w:kern w:val="2"/>
                <w:sz w:val="21"/>
                <w:szCs w:val="21"/>
                <w:highlight w:val="none"/>
                <w:u w:val="none"/>
                <w:lang w:eastAsia="zh-CN"/>
              </w:rPr>
              <w:t>】</w:t>
            </w:r>
          </w:p>
          <w:p w14:paraId="4091DC9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1.5.4 零点漂移:±3%；</w:t>
            </w:r>
          </w:p>
          <w:p w14:paraId="2A97044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1.5.5 量程漂移：±5%；</w:t>
            </w:r>
          </w:p>
          <w:p w14:paraId="133D87D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1.5.6 线性误差：±5%；</w:t>
            </w:r>
          </w:p>
          <w:p w14:paraId="25F13F7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▲1.5.</w:t>
            </w:r>
            <w:r>
              <w:rPr>
                <w:rFonts w:hint="eastAsia" w:ascii="宋体" w:hAnsi="宋体" w:eastAsia="宋体" w:cs="宋体"/>
                <w:i w:val="0"/>
                <w:iCs w:val="0"/>
                <w:snapToGrid/>
                <w:color w:val="auto"/>
                <w:kern w:val="2"/>
                <w:sz w:val="21"/>
                <w:szCs w:val="21"/>
                <w:highlight w:val="none"/>
                <w:u w:val="none"/>
                <w:lang w:val="en-US" w:eastAsia="zh-CN"/>
              </w:rPr>
              <w:t>7</w:t>
            </w:r>
            <w:r>
              <w:rPr>
                <w:rFonts w:hint="eastAsia" w:ascii="宋体" w:hAnsi="宋体" w:eastAsia="宋体" w:cs="宋体"/>
                <w:i w:val="0"/>
                <w:iCs w:val="0"/>
                <w:snapToGrid/>
                <w:color w:val="auto"/>
                <w:kern w:val="2"/>
                <w:sz w:val="21"/>
                <w:szCs w:val="21"/>
                <w:highlight w:val="none"/>
                <w:u w:val="none"/>
                <w:lang w:eastAsia="zh-CN"/>
              </w:rPr>
              <w:t xml:space="preserve"> 标准溶液测试：【</w:t>
            </w:r>
            <w:r>
              <w:rPr>
                <w:rFonts w:hint="eastAsia" w:ascii="宋体" w:hAnsi="宋体" w:eastAsia="宋体" w:cs="宋体"/>
                <w:b/>
                <w:bCs/>
                <w:i w:val="0"/>
                <w:iCs w:val="0"/>
                <w:snapToGrid/>
                <w:color w:val="auto"/>
                <w:kern w:val="2"/>
                <w:sz w:val="21"/>
                <w:szCs w:val="21"/>
                <w:highlight w:val="none"/>
                <w:u w:val="none"/>
                <w:lang w:eastAsia="zh-CN"/>
              </w:rPr>
              <w:t>竞标时需提供相关证明材料（包括但不限于彩页、官网和功能截图），并加盖供应商单位公章，否则竞标无效。</w:t>
            </w:r>
            <w:r>
              <w:rPr>
                <w:rFonts w:hint="eastAsia" w:ascii="宋体" w:hAnsi="宋体" w:eastAsia="宋体" w:cs="宋体"/>
                <w:i w:val="0"/>
                <w:iCs w:val="0"/>
                <w:snapToGrid/>
                <w:color w:val="auto"/>
                <w:kern w:val="2"/>
                <w:sz w:val="21"/>
                <w:szCs w:val="21"/>
                <w:highlight w:val="none"/>
                <w:u w:val="none"/>
                <w:lang w:eastAsia="zh-CN"/>
              </w:rPr>
              <w:t>】</w:t>
            </w:r>
          </w:p>
          <w:p w14:paraId="30119D4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（a）相对误差：30NTU＜标准溶液值≤50NTU，≤±15%；</w:t>
            </w:r>
          </w:p>
          <w:p w14:paraId="07990A3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（b）相对误差：50NTU＜标准溶液值≤1000NTU，≤±10%。</w:t>
            </w:r>
          </w:p>
          <w:p w14:paraId="6FEB0B1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1.5.9 实际水样比对：</w:t>
            </w:r>
          </w:p>
          <w:p w14:paraId="6D30EC1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（a）相对误差：便携检测结果≤50NTU，≤±30%；</w:t>
            </w:r>
          </w:p>
          <w:p w14:paraId="0C953D6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（b）相对误差：便携检测结果＞50NTU，≤±20%；</w:t>
            </w:r>
          </w:p>
          <w:p w14:paraId="49C59EC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（c）当浊度自动监测仪与便携仪器检测结果均≤30NTU或者≥1000NTU时，判定比对结果合格。</w:t>
            </w:r>
          </w:p>
          <w:p w14:paraId="63AFF2A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2.通用要求</w:t>
            </w:r>
          </w:p>
          <w:p w14:paraId="1D9A22F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2.1 显示屏:不小于5寸触摸屏(彩色)/800x480。</w:t>
            </w:r>
          </w:p>
          <w:p w14:paraId="4C57572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2.2 供电:(85～260)VAC。</w:t>
            </w:r>
          </w:p>
          <w:p w14:paraId="621A39E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2.3 存储温度:(-20～70)℃。</w:t>
            </w:r>
          </w:p>
          <w:p w14:paraId="4137DA6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2.4 工作温度:(-10～60)℃</w:t>
            </w:r>
          </w:p>
          <w:p w14:paraId="1C3F6D7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2.5 设备外壳材料:PC、ABS等防腐防潮材料（整体设备满足要求）。</w:t>
            </w:r>
          </w:p>
          <w:p w14:paraId="1B6FAEE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2.6 防护等级:条款防护等级要求等于或优于IP65（整体设备满足要求）。</w:t>
            </w:r>
          </w:p>
          <w:p w14:paraId="475D71C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2.7 支持传感器数:不少于4个数字传感器。</w:t>
            </w:r>
          </w:p>
          <w:p w14:paraId="28C47D7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2.8 继电器:不少于6路继电器(120VAC,24VD/1A)。</w:t>
            </w:r>
          </w:p>
          <w:p w14:paraId="381B4BF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2.9 数字输出：至少满足1路RS485输出和1路RS232输出。</w:t>
            </w:r>
          </w:p>
          <w:p w14:paraId="34B5AE1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3.质控要求</w:t>
            </w:r>
          </w:p>
          <w:p w14:paraId="6F19310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▲3.1 自动周质控功能</w:t>
            </w:r>
          </w:p>
          <w:p w14:paraId="2CFCBB2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仪器每周自动使用标准溶液（购买标准溶液或自行配制）对自动监测仪器进行标样核查，每次标液核查结束均排空，确保每次核查使用新标液；可以自动实现水样以及标准溶液的替换、清洗等动作，达到无人化自动标样核查。【</w:t>
            </w:r>
            <w:r>
              <w:rPr>
                <w:rFonts w:hint="eastAsia" w:ascii="宋体" w:hAnsi="宋体" w:eastAsia="宋体" w:cs="宋体"/>
                <w:b/>
                <w:bCs/>
                <w:i w:val="0"/>
                <w:iCs w:val="0"/>
                <w:snapToGrid/>
                <w:color w:val="auto"/>
                <w:kern w:val="2"/>
                <w:sz w:val="21"/>
                <w:szCs w:val="21"/>
                <w:highlight w:val="none"/>
                <w:u w:val="none"/>
                <w:lang w:eastAsia="zh-CN"/>
              </w:rPr>
              <w:t>竞标时需提供该功能的相关证明材料，包括但不限于彩页、官网和功能截图等并加盖供应商单位公章。】</w:t>
            </w:r>
          </w:p>
          <w:p w14:paraId="3DDBCE8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▲3.2 自动校准功能</w:t>
            </w:r>
          </w:p>
          <w:p w14:paraId="45771EF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当水样数据发生异常时，可以自动进行标样核查检查，对于自动标样核查结果异常的站点，采用自动校准以判断传感器是否异常，在自动校准过程中，并对校准原始数据进行记录和判断。具备自动清洗五参数探头，清洗过程对水样测试环节无干扰。具备零氧水和饱和溶解氧水的自动制备的功能，可实现溶解氧的零氧、饱和氧的自动切换核查功能。【</w:t>
            </w:r>
            <w:r>
              <w:rPr>
                <w:rFonts w:hint="eastAsia" w:ascii="宋体" w:hAnsi="宋体" w:eastAsia="宋体" w:cs="宋体"/>
                <w:b/>
                <w:bCs/>
                <w:i w:val="0"/>
                <w:iCs w:val="0"/>
                <w:snapToGrid/>
                <w:color w:val="auto"/>
                <w:kern w:val="2"/>
                <w:sz w:val="21"/>
                <w:szCs w:val="21"/>
                <w:highlight w:val="none"/>
                <w:u w:val="none"/>
                <w:lang w:eastAsia="zh-CN"/>
              </w:rPr>
              <w:t>竞标时需提供该功能的相关证明材料，包括但不限于彩页、官网和功能截图等并加盖供应商单位公章。】</w:t>
            </w:r>
          </w:p>
          <w:p w14:paraId="1F65EA1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▲3.3 远程反控功能</w:t>
            </w:r>
          </w:p>
          <w:p w14:paraId="5F7BA5A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可以实现五参数分析仪的远程控制能力，支持远程设定核查标液、标样浓度、自动标液核查时间，pH值、电导率、浊度、溶解氧支持2种（或以上）任意浓度的标样进行核查，五参数可同步进行标样核查或校准。【</w:t>
            </w:r>
            <w:r>
              <w:rPr>
                <w:rFonts w:hint="eastAsia" w:ascii="宋体" w:hAnsi="宋体" w:eastAsia="宋体" w:cs="宋体"/>
                <w:b/>
                <w:bCs/>
                <w:i w:val="0"/>
                <w:iCs w:val="0"/>
                <w:snapToGrid/>
                <w:color w:val="auto"/>
                <w:kern w:val="2"/>
                <w:sz w:val="21"/>
                <w:szCs w:val="21"/>
                <w:highlight w:val="none"/>
                <w:u w:val="none"/>
                <w:lang w:eastAsia="zh-CN"/>
              </w:rPr>
              <w:t>竞标时需提供该功能的相关证明材料，包括但不限于彩页、官网和功能截图等并加盖供应商单位公章。】</w:t>
            </w:r>
          </w:p>
          <w:p w14:paraId="4741FA9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3.4 自动进样功能</w:t>
            </w:r>
          </w:p>
          <w:p w14:paraId="75D6B4F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电导率、pH值、溶解氧、浊度标准溶液以及水样能够自动切换，自动进样。</w:t>
            </w:r>
          </w:p>
          <w:p w14:paraId="5681D57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3.5 具备关键参数上传功能。</w:t>
            </w:r>
          </w:p>
          <w:p w14:paraId="6AF0004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3.6 具备数据自动标识功能。</w:t>
            </w:r>
          </w:p>
          <w:p w14:paraId="58B417F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3.7 具备试剂余量报警功能。</w:t>
            </w:r>
          </w:p>
          <w:p w14:paraId="04B4E9A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3.8 具有电极状态诊断功能，可根据信号值判断电极的性能状态，性能不良时发出异常告警。</w:t>
            </w:r>
          </w:p>
          <w:p w14:paraId="6F6AC95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3.9 具有电极自清洁功能，人工维护周期≥1个月。</w:t>
            </w: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064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台</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75E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2</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BCB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117000</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7D3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234000</w:t>
            </w:r>
          </w:p>
        </w:tc>
      </w:tr>
      <w:tr w14:paraId="76BAA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6" w:hRule="atLeast"/>
        </w:trPr>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59D3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0"/>
                <w:sz w:val="21"/>
                <w:szCs w:val="21"/>
                <w:highlight w:val="none"/>
                <w:u w:val="none"/>
                <w:lang w:val="en-US" w:eastAsia="zh-CN" w:bidi="ar"/>
              </w:rPr>
              <w:t>2</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5A6F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高锰酸盐指数水质分析仪</w:t>
            </w:r>
          </w:p>
        </w:tc>
        <w:tc>
          <w:tcPr>
            <w:tcW w:w="4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CE6A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1.工作条件</w:t>
            </w:r>
          </w:p>
          <w:p w14:paraId="325C549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1.1 电源要求﹙220±22﹚VAC；﹙50±1﹚Hz；</w:t>
            </w:r>
          </w:p>
          <w:p w14:paraId="6EAB361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1.2 工作环境温度(5～45)℃。</w:t>
            </w:r>
          </w:p>
          <w:p w14:paraId="768BFFB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2.通用要求</w:t>
            </w:r>
          </w:p>
          <w:p w14:paraId="6AA4FA1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2.1 显示屏：不小于5寸触摸屏(彩色)/600×1024；</w:t>
            </w:r>
          </w:p>
          <w:p w14:paraId="08DB76E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w:t>
            </w:r>
            <w:r>
              <w:rPr>
                <w:rFonts w:hint="eastAsia" w:ascii="宋体" w:hAnsi="宋体" w:eastAsia="宋体" w:cs="宋体"/>
                <w:i w:val="0"/>
                <w:iCs w:val="0"/>
                <w:snapToGrid/>
                <w:color w:val="auto"/>
                <w:kern w:val="2"/>
                <w:sz w:val="21"/>
                <w:szCs w:val="21"/>
                <w:highlight w:val="none"/>
                <w:u w:val="none"/>
                <w:lang w:val="en-US" w:eastAsia="zh-CN"/>
              </w:rPr>
              <w:t>2</w:t>
            </w:r>
            <w:r>
              <w:rPr>
                <w:rFonts w:hint="eastAsia" w:ascii="宋体" w:hAnsi="宋体" w:eastAsia="宋体" w:cs="宋体"/>
                <w:i w:val="0"/>
                <w:iCs w:val="0"/>
                <w:snapToGrid/>
                <w:color w:val="auto"/>
                <w:kern w:val="2"/>
                <w:sz w:val="21"/>
                <w:szCs w:val="21"/>
                <w:highlight w:val="none"/>
                <w:u w:val="none"/>
                <w:lang w:eastAsia="zh-CN"/>
              </w:rPr>
              <w:t xml:space="preserve"> 仪器检测周期：≤60min；</w:t>
            </w:r>
          </w:p>
          <w:p w14:paraId="78AE29A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w:t>
            </w: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 xml:space="preserve"> 绝缘阻抗：＞5MΩ；</w:t>
            </w:r>
          </w:p>
          <w:p w14:paraId="5767B0A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w:t>
            </w:r>
            <w:r>
              <w:rPr>
                <w:rFonts w:hint="eastAsia" w:ascii="宋体" w:hAnsi="宋体" w:eastAsia="宋体" w:cs="宋体"/>
                <w:i w:val="0"/>
                <w:iCs w:val="0"/>
                <w:snapToGrid/>
                <w:color w:val="auto"/>
                <w:kern w:val="2"/>
                <w:sz w:val="21"/>
                <w:szCs w:val="21"/>
                <w:highlight w:val="none"/>
                <w:u w:val="none"/>
                <w:lang w:val="en-US" w:eastAsia="zh-CN"/>
              </w:rPr>
              <w:t>4</w:t>
            </w:r>
            <w:r>
              <w:rPr>
                <w:rFonts w:hint="eastAsia" w:ascii="宋体" w:hAnsi="宋体" w:eastAsia="宋体" w:cs="宋体"/>
                <w:i w:val="0"/>
                <w:iCs w:val="0"/>
                <w:snapToGrid/>
                <w:color w:val="auto"/>
                <w:kern w:val="2"/>
                <w:sz w:val="21"/>
                <w:szCs w:val="21"/>
                <w:highlight w:val="none"/>
                <w:u w:val="none"/>
                <w:lang w:eastAsia="zh-CN"/>
              </w:rPr>
              <w:t xml:space="preserve"> 数据有效率：≥90%；</w:t>
            </w:r>
          </w:p>
          <w:p w14:paraId="1E34FF9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w:t>
            </w:r>
            <w:r>
              <w:rPr>
                <w:rFonts w:hint="eastAsia" w:ascii="宋体" w:hAnsi="宋体" w:eastAsia="宋体" w:cs="宋体"/>
                <w:i w:val="0"/>
                <w:iCs w:val="0"/>
                <w:snapToGrid/>
                <w:color w:val="auto"/>
                <w:kern w:val="2"/>
                <w:sz w:val="21"/>
                <w:szCs w:val="21"/>
                <w:highlight w:val="none"/>
                <w:u w:val="none"/>
                <w:lang w:val="en-US" w:eastAsia="zh-CN"/>
              </w:rPr>
              <w:t>5</w:t>
            </w:r>
            <w:r>
              <w:rPr>
                <w:rFonts w:hint="eastAsia" w:ascii="宋体" w:hAnsi="宋体" w:eastAsia="宋体" w:cs="宋体"/>
                <w:i w:val="0"/>
                <w:iCs w:val="0"/>
                <w:snapToGrid/>
                <w:color w:val="auto"/>
                <w:kern w:val="2"/>
                <w:sz w:val="21"/>
                <w:szCs w:val="21"/>
                <w:highlight w:val="none"/>
                <w:u w:val="none"/>
                <w:lang w:eastAsia="zh-CN"/>
              </w:rPr>
              <w:t xml:space="preserve"> 试剂更换周期：90天≥周期≥31天；</w:t>
            </w:r>
          </w:p>
          <w:p w14:paraId="22FEF93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w:t>
            </w:r>
            <w:r>
              <w:rPr>
                <w:rFonts w:hint="eastAsia" w:ascii="宋体" w:hAnsi="宋体" w:eastAsia="宋体" w:cs="宋体"/>
                <w:i w:val="0"/>
                <w:iCs w:val="0"/>
                <w:snapToGrid/>
                <w:color w:val="auto"/>
                <w:kern w:val="2"/>
                <w:sz w:val="21"/>
                <w:szCs w:val="21"/>
                <w:highlight w:val="none"/>
                <w:u w:val="none"/>
                <w:lang w:val="en-US" w:eastAsia="zh-CN"/>
              </w:rPr>
              <w:t>6</w:t>
            </w:r>
            <w:r>
              <w:rPr>
                <w:rFonts w:hint="eastAsia" w:ascii="宋体" w:hAnsi="宋体" w:eastAsia="宋体" w:cs="宋体"/>
                <w:i w:val="0"/>
                <w:iCs w:val="0"/>
                <w:snapToGrid/>
                <w:color w:val="auto"/>
                <w:kern w:val="2"/>
                <w:sz w:val="21"/>
                <w:szCs w:val="21"/>
                <w:highlight w:val="none"/>
                <w:u w:val="none"/>
                <w:lang w:eastAsia="zh-CN"/>
              </w:rPr>
              <w:t xml:space="preserve"> 数据存储不少于365天；</w:t>
            </w:r>
          </w:p>
          <w:p w14:paraId="4EA8955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w:t>
            </w:r>
            <w:r>
              <w:rPr>
                <w:rFonts w:hint="eastAsia" w:ascii="宋体" w:hAnsi="宋体" w:eastAsia="宋体" w:cs="宋体"/>
                <w:i w:val="0"/>
                <w:iCs w:val="0"/>
                <w:snapToGrid/>
                <w:color w:val="auto"/>
                <w:kern w:val="2"/>
                <w:sz w:val="21"/>
                <w:szCs w:val="21"/>
                <w:highlight w:val="none"/>
                <w:u w:val="none"/>
                <w:lang w:val="en-US" w:eastAsia="zh-CN"/>
              </w:rPr>
              <w:t>7</w:t>
            </w:r>
            <w:r>
              <w:rPr>
                <w:rFonts w:hint="eastAsia" w:ascii="宋体" w:hAnsi="宋体" w:eastAsia="宋体" w:cs="宋体"/>
                <w:i w:val="0"/>
                <w:iCs w:val="0"/>
                <w:snapToGrid/>
                <w:color w:val="auto"/>
                <w:kern w:val="2"/>
                <w:sz w:val="21"/>
                <w:szCs w:val="21"/>
                <w:highlight w:val="none"/>
                <w:u w:val="none"/>
                <w:lang w:eastAsia="zh-CN"/>
              </w:rPr>
              <w:t xml:space="preserve"> 具有异常信息记录、上传功能，包括部件故障、超标报警、缺试剂报警等信息；</w:t>
            </w:r>
          </w:p>
          <w:p w14:paraId="13F7773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w:t>
            </w:r>
            <w:r>
              <w:rPr>
                <w:rFonts w:hint="eastAsia" w:ascii="宋体" w:hAnsi="宋体" w:eastAsia="宋体" w:cs="宋体"/>
                <w:i w:val="0"/>
                <w:iCs w:val="0"/>
                <w:snapToGrid/>
                <w:color w:val="auto"/>
                <w:kern w:val="2"/>
                <w:sz w:val="21"/>
                <w:szCs w:val="21"/>
                <w:highlight w:val="none"/>
                <w:u w:val="none"/>
                <w:lang w:val="en-US" w:eastAsia="zh-CN"/>
              </w:rPr>
              <w:t>8</w:t>
            </w:r>
            <w:r>
              <w:rPr>
                <w:rFonts w:hint="eastAsia" w:ascii="宋体" w:hAnsi="宋体" w:eastAsia="宋体" w:cs="宋体"/>
                <w:i w:val="0"/>
                <w:iCs w:val="0"/>
                <w:snapToGrid/>
                <w:color w:val="auto"/>
                <w:kern w:val="2"/>
                <w:sz w:val="21"/>
                <w:szCs w:val="21"/>
                <w:highlight w:val="none"/>
                <w:u w:val="none"/>
                <w:lang w:eastAsia="zh-CN"/>
              </w:rPr>
              <w:t xml:space="preserve"> 具有浊度干扰自动补偿功能；</w:t>
            </w:r>
          </w:p>
          <w:p w14:paraId="3D4D2B8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w:t>
            </w:r>
            <w:r>
              <w:rPr>
                <w:rFonts w:hint="eastAsia" w:ascii="宋体" w:hAnsi="宋体" w:eastAsia="宋体" w:cs="宋体"/>
                <w:i w:val="0"/>
                <w:iCs w:val="0"/>
                <w:snapToGrid/>
                <w:color w:val="auto"/>
                <w:kern w:val="2"/>
                <w:sz w:val="21"/>
                <w:szCs w:val="21"/>
                <w:highlight w:val="none"/>
                <w:u w:val="none"/>
                <w:lang w:val="en-US" w:eastAsia="zh-CN"/>
              </w:rPr>
              <w:t>9</w:t>
            </w:r>
            <w:r>
              <w:rPr>
                <w:rFonts w:hint="eastAsia" w:ascii="宋体" w:hAnsi="宋体" w:eastAsia="宋体" w:cs="宋体"/>
                <w:i w:val="0"/>
                <w:iCs w:val="0"/>
                <w:snapToGrid/>
                <w:color w:val="auto"/>
                <w:kern w:val="2"/>
                <w:sz w:val="21"/>
                <w:szCs w:val="21"/>
                <w:highlight w:val="none"/>
                <w:u w:val="none"/>
                <w:lang w:eastAsia="zh-CN"/>
              </w:rPr>
              <w:t xml:space="preserve"> 具有RS-232/485、传输控制协议/网际协议（TCP/IP）等标准通讯接口；</w:t>
            </w:r>
          </w:p>
          <w:p w14:paraId="5C08CA3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2.1</w:t>
            </w:r>
            <w:r>
              <w:rPr>
                <w:rFonts w:hint="eastAsia" w:ascii="宋体" w:hAnsi="宋体" w:eastAsia="宋体" w:cs="宋体"/>
                <w:i w:val="0"/>
                <w:iCs w:val="0"/>
                <w:snapToGrid/>
                <w:color w:val="auto"/>
                <w:kern w:val="2"/>
                <w:sz w:val="21"/>
                <w:szCs w:val="21"/>
                <w:highlight w:val="none"/>
                <w:u w:val="none"/>
                <w:lang w:val="en-US" w:eastAsia="zh-CN"/>
              </w:rPr>
              <w:t>0</w:t>
            </w:r>
            <w:r>
              <w:rPr>
                <w:rFonts w:hint="eastAsia" w:ascii="宋体" w:hAnsi="宋体" w:eastAsia="宋体" w:cs="宋体"/>
                <w:i w:val="0"/>
                <w:iCs w:val="0"/>
                <w:snapToGrid/>
                <w:color w:val="auto"/>
                <w:kern w:val="2"/>
                <w:sz w:val="21"/>
                <w:szCs w:val="21"/>
                <w:highlight w:val="none"/>
                <w:u w:val="none"/>
                <w:lang w:eastAsia="zh-CN"/>
              </w:rPr>
              <w:t xml:space="preserve"> 具有自动开展低浓度和高浓度标样核查、空白校准、标样校准等功能；</w:t>
            </w:r>
          </w:p>
          <w:p w14:paraId="48D202D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2.1</w:t>
            </w:r>
            <w:r>
              <w:rPr>
                <w:rFonts w:hint="eastAsia" w:ascii="宋体" w:hAnsi="宋体" w:eastAsia="宋体" w:cs="宋体"/>
                <w:i w:val="0"/>
                <w:iCs w:val="0"/>
                <w:snapToGrid/>
                <w:color w:val="auto"/>
                <w:kern w:val="2"/>
                <w:sz w:val="21"/>
                <w:szCs w:val="21"/>
                <w:highlight w:val="none"/>
                <w:u w:val="none"/>
                <w:lang w:val="en-US" w:eastAsia="zh-CN"/>
              </w:rPr>
              <w:t>1</w:t>
            </w:r>
            <w:r>
              <w:rPr>
                <w:rFonts w:hint="eastAsia" w:ascii="宋体" w:hAnsi="宋体" w:eastAsia="宋体" w:cs="宋体"/>
                <w:i w:val="0"/>
                <w:iCs w:val="0"/>
                <w:snapToGrid/>
                <w:color w:val="auto"/>
                <w:kern w:val="2"/>
                <w:sz w:val="21"/>
                <w:szCs w:val="21"/>
                <w:highlight w:val="none"/>
                <w:u w:val="none"/>
                <w:lang w:eastAsia="zh-CN"/>
              </w:rPr>
              <w:t>具有量程切换功能；</w:t>
            </w:r>
          </w:p>
          <w:p w14:paraId="129EBCC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2.1</w:t>
            </w:r>
            <w:r>
              <w:rPr>
                <w:rFonts w:hint="eastAsia" w:ascii="宋体" w:hAnsi="宋体" w:eastAsia="宋体" w:cs="宋体"/>
                <w:i w:val="0"/>
                <w:iCs w:val="0"/>
                <w:snapToGrid/>
                <w:color w:val="auto"/>
                <w:kern w:val="2"/>
                <w:sz w:val="21"/>
                <w:szCs w:val="21"/>
                <w:highlight w:val="none"/>
                <w:u w:val="none"/>
                <w:lang w:val="en-US" w:eastAsia="zh-CN"/>
              </w:rPr>
              <w:t>2</w:t>
            </w:r>
            <w:r>
              <w:rPr>
                <w:rFonts w:hint="eastAsia" w:ascii="宋体" w:hAnsi="宋体" w:eastAsia="宋体" w:cs="宋体"/>
                <w:i w:val="0"/>
                <w:iCs w:val="0"/>
                <w:snapToGrid/>
                <w:color w:val="auto"/>
                <w:kern w:val="2"/>
                <w:sz w:val="21"/>
                <w:szCs w:val="21"/>
                <w:highlight w:val="none"/>
                <w:u w:val="none"/>
                <w:lang w:eastAsia="zh-CN"/>
              </w:rPr>
              <w:t>具有过程日志记录功能；</w:t>
            </w:r>
          </w:p>
          <w:p w14:paraId="65A4168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2.1</w:t>
            </w: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 xml:space="preserve"> 具有远程参数设置、远程质控、远程启动测量、远程调阅设备运行日志等功能；按照设定周期或远程接受指令，实现水质自动分析仪器进行标样自动核查、自动加标回收率测试、自动多点线性核查、盲样考核等质控功能以及在异常情况下自动留样功能。</w:t>
            </w:r>
          </w:p>
          <w:p w14:paraId="0375133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3.高锰酸盐指数</w:t>
            </w:r>
          </w:p>
          <w:p w14:paraId="7D8A24A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3.1分析方法：高锰酸钾氧化-滴定法。</w:t>
            </w:r>
          </w:p>
          <w:p w14:paraId="0E7A832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3.2 技术指标</w:t>
            </w:r>
          </w:p>
          <w:p w14:paraId="7DC0136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3.2.1 测量范围：（0～50）mg/L（可扩展）；</w:t>
            </w:r>
          </w:p>
          <w:p w14:paraId="2844365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3.2.2 重复性：≤5%；</w:t>
            </w:r>
          </w:p>
          <w:p w14:paraId="0A29350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3.2.3 零点漂移：±5%；</w:t>
            </w:r>
          </w:p>
          <w:p w14:paraId="474827A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▲3.2.4 量程漂移：±5%；【</w:t>
            </w:r>
            <w:r>
              <w:rPr>
                <w:rFonts w:hint="eastAsia" w:ascii="宋体" w:hAnsi="宋体" w:eastAsia="宋体" w:cs="宋体"/>
                <w:b/>
                <w:bCs/>
                <w:i w:val="0"/>
                <w:iCs w:val="0"/>
                <w:snapToGrid/>
                <w:color w:val="auto"/>
                <w:kern w:val="2"/>
                <w:sz w:val="21"/>
                <w:szCs w:val="21"/>
                <w:highlight w:val="none"/>
                <w:u w:val="none"/>
                <w:lang w:eastAsia="zh-CN"/>
              </w:rPr>
              <w:t>竞标时需提供相关证明材料（包括但不限于彩页、官网和功能截图），并加盖供应商单位公章，否则竞标无效。</w:t>
            </w:r>
            <w:r>
              <w:rPr>
                <w:rFonts w:hint="eastAsia" w:ascii="宋体" w:hAnsi="宋体" w:eastAsia="宋体" w:cs="宋体"/>
                <w:i w:val="0"/>
                <w:iCs w:val="0"/>
                <w:snapToGrid/>
                <w:color w:val="auto"/>
                <w:kern w:val="2"/>
                <w:sz w:val="21"/>
                <w:szCs w:val="21"/>
                <w:highlight w:val="none"/>
                <w:u w:val="none"/>
                <w:lang w:eastAsia="zh-CN"/>
              </w:rPr>
              <w:t>】</w:t>
            </w:r>
          </w:p>
          <w:p w14:paraId="47EA490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3.2.5 示值误差：</w:t>
            </w:r>
          </w:p>
          <w:p w14:paraId="593F0DD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20%量程液：±10%；</w:t>
            </w:r>
          </w:p>
          <w:p w14:paraId="793C856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50%量程液：±8%；</w:t>
            </w:r>
          </w:p>
          <w:p w14:paraId="33FBE06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80%量程液：±5%。</w:t>
            </w:r>
          </w:p>
          <w:p w14:paraId="2D369D3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3.3.质量控制指标</w:t>
            </w:r>
          </w:p>
          <w:p w14:paraId="3C26034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3.3.1 正确度：±10%以内；</w:t>
            </w:r>
          </w:p>
          <w:p w14:paraId="19578BB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3.3.2 精密度：≤5%；</w:t>
            </w:r>
          </w:p>
          <w:p w14:paraId="44FBB49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3.3.3 检出限：≤0.5mg/L。</w:t>
            </w:r>
          </w:p>
          <w:p w14:paraId="03E2CC9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3.3.4 标准曲线：</w:t>
            </w:r>
          </w:p>
          <w:p w14:paraId="29928F1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（a）零点示值误差±1.0mg/L以内；</w:t>
            </w:r>
          </w:p>
          <w:p w14:paraId="2717E1C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（b）其他点示值误差±10%以内；</w:t>
            </w:r>
          </w:p>
          <w:p w14:paraId="61BD7FE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（c）相关系数≥0.998；</w:t>
            </w:r>
          </w:p>
          <w:p w14:paraId="4D49FA0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3.3.5 实际水样比对相对误差：（B为GB3838规定的水质类别限值）</w:t>
            </w:r>
          </w:p>
          <w:p w14:paraId="1B4142A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（a）实验室分析结果&gt;BⅣ时，相对误差≤20%；</w:t>
            </w:r>
          </w:p>
          <w:p w14:paraId="08A2A98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（b）BⅡ&lt;实验室分析结果≤BⅣ时，相对误差≤30%；</w:t>
            </w:r>
          </w:p>
          <w:p w14:paraId="597EE71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（c）实验室分析结果≤BⅡ时，相对误差≤40%；</w:t>
            </w:r>
          </w:p>
          <w:p w14:paraId="62E32DD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除湖库总磷外,当自动监测结果和实验室分析结果均低于BⅡ时,认定比对实验结果合格。当湖库总磷自动监测结果和实验室分析结果均低于BⅢ时,认定比对实验结果合格；</w:t>
            </w:r>
          </w:p>
          <w:p w14:paraId="283B9E8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3.3.6 低浓度标样核查：</w:t>
            </w:r>
          </w:p>
          <w:p w14:paraId="2056694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（a）Ⅰ～Ⅲ类水绝对误差±1.0mg/L以内；</w:t>
            </w:r>
          </w:p>
          <w:p w14:paraId="4172BDE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（b）Ⅳ～劣Ⅴ类水相对误差±5%标样核查上限值以内。</w:t>
            </w:r>
          </w:p>
          <w:p w14:paraId="0BAD628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3.3.7 标准溶液核查：</w:t>
            </w:r>
          </w:p>
          <w:p w14:paraId="1003DBE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（a）零点核查误差：±1.0mg/L以内；</w:t>
            </w:r>
          </w:p>
          <w:p w14:paraId="292329F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（b）20%F.S．以内低浓度核查误差：≤±1.0mg/L（Ⅰ～Ⅲ类水），或≤±5%标样核查上限值（Ⅳ～劣Ⅴ类水）；</w:t>
            </w:r>
          </w:p>
          <w:p w14:paraId="78ABE95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（c）其它核查浓度相对误差：≤±10%。</w:t>
            </w:r>
          </w:p>
          <w:p w14:paraId="51FEF30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3.3.8 24h核查浓度漂移：≤±10%；</w:t>
            </w:r>
          </w:p>
          <w:p w14:paraId="1B40CC7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3.3.9 加标回收率：80%～120%。</w:t>
            </w: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38A3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台</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EF94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2</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10CA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60000</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3D58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120000</w:t>
            </w:r>
          </w:p>
        </w:tc>
      </w:tr>
      <w:tr w14:paraId="08FF8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E9EF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0"/>
                <w:sz w:val="21"/>
                <w:szCs w:val="21"/>
                <w:highlight w:val="none"/>
                <w:u w:val="none"/>
                <w:lang w:val="en-US" w:eastAsia="zh-CN" w:bidi="ar"/>
              </w:rPr>
              <w:t>3</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CA85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氨氮水质分析仪</w:t>
            </w:r>
          </w:p>
        </w:tc>
        <w:tc>
          <w:tcPr>
            <w:tcW w:w="4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3293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1.工作条件</w:t>
            </w:r>
          </w:p>
          <w:p w14:paraId="3B38A37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1.1 电源要求﹙220±22﹚VAC；﹙50±1﹚Hz；</w:t>
            </w:r>
          </w:p>
          <w:p w14:paraId="4B4BF49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1.2 工作环境温度(5～45)℃。</w:t>
            </w:r>
          </w:p>
          <w:p w14:paraId="63C8FEA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2.通用要求</w:t>
            </w:r>
          </w:p>
          <w:p w14:paraId="3844D9E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2.1 显示屏：不小于5寸触摸屏(彩色)/600×1024；</w:t>
            </w:r>
          </w:p>
          <w:p w14:paraId="2606821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w:t>
            </w:r>
            <w:r>
              <w:rPr>
                <w:rFonts w:hint="eastAsia" w:ascii="宋体" w:hAnsi="宋体" w:eastAsia="宋体" w:cs="宋体"/>
                <w:i w:val="0"/>
                <w:iCs w:val="0"/>
                <w:snapToGrid/>
                <w:color w:val="auto"/>
                <w:kern w:val="2"/>
                <w:sz w:val="21"/>
                <w:szCs w:val="21"/>
                <w:highlight w:val="none"/>
                <w:u w:val="none"/>
                <w:lang w:val="en-US" w:eastAsia="zh-CN"/>
              </w:rPr>
              <w:t>2</w:t>
            </w:r>
            <w:r>
              <w:rPr>
                <w:rFonts w:hint="eastAsia" w:ascii="宋体" w:hAnsi="宋体" w:eastAsia="宋体" w:cs="宋体"/>
                <w:i w:val="0"/>
                <w:iCs w:val="0"/>
                <w:snapToGrid/>
                <w:color w:val="auto"/>
                <w:kern w:val="2"/>
                <w:sz w:val="21"/>
                <w:szCs w:val="21"/>
                <w:highlight w:val="none"/>
                <w:u w:val="none"/>
                <w:lang w:eastAsia="zh-CN"/>
              </w:rPr>
              <w:t xml:space="preserve"> 仪器检测周期：≤60min；</w:t>
            </w:r>
          </w:p>
          <w:p w14:paraId="2556925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w:t>
            </w: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 xml:space="preserve"> 绝缘阻抗：＞5MΩ；</w:t>
            </w:r>
          </w:p>
          <w:p w14:paraId="0C9D575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w:t>
            </w:r>
            <w:r>
              <w:rPr>
                <w:rFonts w:hint="eastAsia" w:ascii="宋体" w:hAnsi="宋体" w:eastAsia="宋体" w:cs="宋体"/>
                <w:i w:val="0"/>
                <w:iCs w:val="0"/>
                <w:snapToGrid/>
                <w:color w:val="auto"/>
                <w:kern w:val="2"/>
                <w:sz w:val="21"/>
                <w:szCs w:val="21"/>
                <w:highlight w:val="none"/>
                <w:u w:val="none"/>
                <w:lang w:val="en-US" w:eastAsia="zh-CN"/>
              </w:rPr>
              <w:t>4</w:t>
            </w:r>
            <w:r>
              <w:rPr>
                <w:rFonts w:hint="eastAsia" w:ascii="宋体" w:hAnsi="宋体" w:eastAsia="宋体" w:cs="宋体"/>
                <w:i w:val="0"/>
                <w:iCs w:val="0"/>
                <w:snapToGrid/>
                <w:color w:val="auto"/>
                <w:kern w:val="2"/>
                <w:sz w:val="21"/>
                <w:szCs w:val="21"/>
                <w:highlight w:val="none"/>
                <w:u w:val="none"/>
                <w:lang w:eastAsia="zh-CN"/>
              </w:rPr>
              <w:t xml:space="preserve"> 数据有效率：≥90%；</w:t>
            </w:r>
          </w:p>
          <w:p w14:paraId="06B3433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w:t>
            </w:r>
            <w:r>
              <w:rPr>
                <w:rFonts w:hint="eastAsia" w:ascii="宋体" w:hAnsi="宋体" w:eastAsia="宋体" w:cs="宋体"/>
                <w:i w:val="0"/>
                <w:iCs w:val="0"/>
                <w:snapToGrid/>
                <w:color w:val="auto"/>
                <w:kern w:val="2"/>
                <w:sz w:val="21"/>
                <w:szCs w:val="21"/>
                <w:highlight w:val="none"/>
                <w:u w:val="none"/>
                <w:lang w:val="en-US" w:eastAsia="zh-CN"/>
              </w:rPr>
              <w:t>5</w:t>
            </w:r>
            <w:r>
              <w:rPr>
                <w:rFonts w:hint="eastAsia" w:ascii="宋体" w:hAnsi="宋体" w:eastAsia="宋体" w:cs="宋体"/>
                <w:i w:val="0"/>
                <w:iCs w:val="0"/>
                <w:snapToGrid/>
                <w:color w:val="auto"/>
                <w:kern w:val="2"/>
                <w:sz w:val="21"/>
                <w:szCs w:val="21"/>
                <w:highlight w:val="none"/>
                <w:u w:val="none"/>
                <w:lang w:eastAsia="zh-CN"/>
              </w:rPr>
              <w:t xml:space="preserve"> 试剂更换周期：90天≥周期≥31天； </w:t>
            </w:r>
          </w:p>
          <w:p w14:paraId="391BFC6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w:t>
            </w:r>
            <w:r>
              <w:rPr>
                <w:rFonts w:hint="eastAsia" w:ascii="宋体" w:hAnsi="宋体" w:eastAsia="宋体" w:cs="宋体"/>
                <w:i w:val="0"/>
                <w:iCs w:val="0"/>
                <w:snapToGrid/>
                <w:color w:val="auto"/>
                <w:kern w:val="2"/>
                <w:sz w:val="21"/>
                <w:szCs w:val="21"/>
                <w:highlight w:val="none"/>
                <w:u w:val="none"/>
                <w:lang w:val="en-US" w:eastAsia="zh-CN"/>
              </w:rPr>
              <w:t>6</w:t>
            </w:r>
            <w:r>
              <w:rPr>
                <w:rFonts w:hint="eastAsia" w:ascii="宋体" w:hAnsi="宋体" w:eastAsia="宋体" w:cs="宋体"/>
                <w:i w:val="0"/>
                <w:iCs w:val="0"/>
                <w:snapToGrid/>
                <w:color w:val="auto"/>
                <w:kern w:val="2"/>
                <w:sz w:val="21"/>
                <w:szCs w:val="21"/>
                <w:highlight w:val="none"/>
                <w:u w:val="none"/>
                <w:lang w:eastAsia="zh-CN"/>
              </w:rPr>
              <w:t xml:space="preserve"> 数据存储不少于365天； </w:t>
            </w:r>
          </w:p>
          <w:p w14:paraId="19844D9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w:t>
            </w:r>
            <w:r>
              <w:rPr>
                <w:rFonts w:hint="eastAsia" w:ascii="宋体" w:hAnsi="宋体" w:eastAsia="宋体" w:cs="宋体"/>
                <w:i w:val="0"/>
                <w:iCs w:val="0"/>
                <w:snapToGrid/>
                <w:color w:val="auto"/>
                <w:kern w:val="2"/>
                <w:sz w:val="21"/>
                <w:szCs w:val="21"/>
                <w:highlight w:val="none"/>
                <w:u w:val="none"/>
                <w:lang w:val="en-US" w:eastAsia="zh-CN"/>
              </w:rPr>
              <w:t>7</w:t>
            </w:r>
            <w:r>
              <w:rPr>
                <w:rFonts w:hint="eastAsia" w:ascii="宋体" w:hAnsi="宋体" w:eastAsia="宋体" w:cs="宋体"/>
                <w:i w:val="0"/>
                <w:iCs w:val="0"/>
                <w:snapToGrid/>
                <w:color w:val="auto"/>
                <w:kern w:val="2"/>
                <w:sz w:val="21"/>
                <w:szCs w:val="21"/>
                <w:highlight w:val="none"/>
                <w:u w:val="none"/>
                <w:lang w:eastAsia="zh-CN"/>
              </w:rPr>
              <w:t xml:space="preserve"> 具有异常信息记录、上传功能，包括部件故障、超标报警、缺试剂报警等信息；</w:t>
            </w:r>
          </w:p>
          <w:p w14:paraId="129AF59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w:t>
            </w:r>
            <w:r>
              <w:rPr>
                <w:rFonts w:hint="eastAsia" w:ascii="宋体" w:hAnsi="宋体" w:eastAsia="宋体" w:cs="宋体"/>
                <w:i w:val="0"/>
                <w:iCs w:val="0"/>
                <w:snapToGrid/>
                <w:color w:val="auto"/>
                <w:kern w:val="2"/>
                <w:sz w:val="21"/>
                <w:szCs w:val="21"/>
                <w:highlight w:val="none"/>
                <w:u w:val="none"/>
                <w:lang w:val="en-US" w:eastAsia="zh-CN"/>
              </w:rPr>
              <w:t>8</w:t>
            </w:r>
            <w:r>
              <w:rPr>
                <w:rFonts w:hint="eastAsia" w:ascii="宋体" w:hAnsi="宋体" w:eastAsia="宋体" w:cs="宋体"/>
                <w:i w:val="0"/>
                <w:iCs w:val="0"/>
                <w:snapToGrid/>
                <w:color w:val="auto"/>
                <w:kern w:val="2"/>
                <w:sz w:val="21"/>
                <w:szCs w:val="21"/>
                <w:highlight w:val="none"/>
                <w:u w:val="none"/>
                <w:lang w:eastAsia="zh-CN"/>
              </w:rPr>
              <w:t xml:space="preserve"> 具有浊度干扰自动补偿功能；</w:t>
            </w:r>
          </w:p>
          <w:p w14:paraId="76C72CB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w:t>
            </w:r>
            <w:r>
              <w:rPr>
                <w:rFonts w:hint="eastAsia" w:ascii="宋体" w:hAnsi="宋体" w:eastAsia="宋体" w:cs="宋体"/>
                <w:i w:val="0"/>
                <w:iCs w:val="0"/>
                <w:snapToGrid/>
                <w:color w:val="auto"/>
                <w:kern w:val="2"/>
                <w:sz w:val="21"/>
                <w:szCs w:val="21"/>
                <w:highlight w:val="none"/>
                <w:u w:val="none"/>
                <w:lang w:val="en-US" w:eastAsia="zh-CN"/>
              </w:rPr>
              <w:t>9</w:t>
            </w:r>
            <w:r>
              <w:rPr>
                <w:rFonts w:hint="eastAsia" w:ascii="宋体" w:hAnsi="宋体" w:eastAsia="宋体" w:cs="宋体"/>
                <w:i w:val="0"/>
                <w:iCs w:val="0"/>
                <w:snapToGrid/>
                <w:color w:val="auto"/>
                <w:kern w:val="2"/>
                <w:sz w:val="21"/>
                <w:szCs w:val="21"/>
                <w:highlight w:val="none"/>
                <w:u w:val="none"/>
                <w:lang w:eastAsia="zh-CN"/>
              </w:rPr>
              <w:t xml:space="preserve"> 具有RS-232/485、传输控制协议/网际协议（TCP/IP）等标准通讯接口；</w:t>
            </w:r>
          </w:p>
          <w:p w14:paraId="72F240F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2.1</w:t>
            </w:r>
            <w:r>
              <w:rPr>
                <w:rFonts w:hint="eastAsia" w:ascii="宋体" w:hAnsi="宋体" w:eastAsia="宋体" w:cs="宋体"/>
                <w:i w:val="0"/>
                <w:iCs w:val="0"/>
                <w:snapToGrid/>
                <w:color w:val="auto"/>
                <w:kern w:val="2"/>
                <w:sz w:val="21"/>
                <w:szCs w:val="21"/>
                <w:highlight w:val="none"/>
                <w:u w:val="none"/>
                <w:lang w:val="en-US" w:eastAsia="zh-CN"/>
              </w:rPr>
              <w:t>0</w:t>
            </w:r>
            <w:r>
              <w:rPr>
                <w:rFonts w:hint="eastAsia" w:ascii="宋体" w:hAnsi="宋体" w:eastAsia="宋体" w:cs="宋体"/>
                <w:i w:val="0"/>
                <w:iCs w:val="0"/>
                <w:snapToGrid/>
                <w:color w:val="auto"/>
                <w:kern w:val="2"/>
                <w:sz w:val="21"/>
                <w:szCs w:val="21"/>
                <w:highlight w:val="none"/>
                <w:u w:val="none"/>
                <w:lang w:eastAsia="zh-CN"/>
              </w:rPr>
              <w:t xml:space="preserve"> 具有自动开展低浓度和高浓度标样核查、空白校准、标样校准等功能；</w:t>
            </w:r>
          </w:p>
          <w:p w14:paraId="4A34A73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2.1</w:t>
            </w:r>
            <w:r>
              <w:rPr>
                <w:rFonts w:hint="eastAsia" w:ascii="宋体" w:hAnsi="宋体" w:eastAsia="宋体" w:cs="宋体"/>
                <w:i w:val="0"/>
                <w:iCs w:val="0"/>
                <w:snapToGrid/>
                <w:color w:val="auto"/>
                <w:kern w:val="2"/>
                <w:sz w:val="21"/>
                <w:szCs w:val="21"/>
                <w:highlight w:val="none"/>
                <w:u w:val="none"/>
                <w:lang w:val="en-US" w:eastAsia="zh-CN"/>
              </w:rPr>
              <w:t>1</w:t>
            </w:r>
            <w:r>
              <w:rPr>
                <w:rFonts w:hint="eastAsia" w:ascii="宋体" w:hAnsi="宋体" w:eastAsia="宋体" w:cs="宋体"/>
                <w:i w:val="0"/>
                <w:iCs w:val="0"/>
                <w:snapToGrid/>
                <w:color w:val="auto"/>
                <w:kern w:val="2"/>
                <w:sz w:val="21"/>
                <w:szCs w:val="21"/>
                <w:highlight w:val="none"/>
                <w:u w:val="none"/>
                <w:lang w:eastAsia="zh-CN"/>
              </w:rPr>
              <w:t>具有量程切换功能；</w:t>
            </w:r>
          </w:p>
          <w:p w14:paraId="27670B3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2.1</w:t>
            </w:r>
            <w:r>
              <w:rPr>
                <w:rFonts w:hint="eastAsia" w:ascii="宋体" w:hAnsi="宋体" w:eastAsia="宋体" w:cs="宋体"/>
                <w:i w:val="0"/>
                <w:iCs w:val="0"/>
                <w:snapToGrid/>
                <w:color w:val="auto"/>
                <w:kern w:val="2"/>
                <w:sz w:val="21"/>
                <w:szCs w:val="21"/>
                <w:highlight w:val="none"/>
                <w:u w:val="none"/>
                <w:lang w:val="en-US" w:eastAsia="zh-CN"/>
              </w:rPr>
              <w:t>2</w:t>
            </w:r>
            <w:r>
              <w:rPr>
                <w:rFonts w:hint="eastAsia" w:ascii="宋体" w:hAnsi="宋体" w:eastAsia="宋体" w:cs="宋体"/>
                <w:i w:val="0"/>
                <w:iCs w:val="0"/>
                <w:snapToGrid/>
                <w:color w:val="auto"/>
                <w:kern w:val="2"/>
                <w:sz w:val="21"/>
                <w:szCs w:val="21"/>
                <w:highlight w:val="none"/>
                <w:u w:val="none"/>
                <w:lang w:eastAsia="zh-CN"/>
              </w:rPr>
              <w:t>具有过程日志记录功能；</w:t>
            </w:r>
          </w:p>
          <w:p w14:paraId="097DA53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2.1</w:t>
            </w: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 xml:space="preserve"> 具有远程参数设置、远程质控、远程启动测量、远程调阅设备运行日志等功能；按照设定周期或远程接受指令，实现水质自动分析仪器进行标样自动核查、自动加标回收率测试、自动多点线性核查、盲样考核等质控功能以及在异常情况下自动留样功能。</w:t>
            </w:r>
          </w:p>
          <w:p w14:paraId="6A183C5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.氨氮</w:t>
            </w:r>
          </w:p>
          <w:p w14:paraId="26C71A9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3.1.</w:t>
            </w:r>
            <w:r>
              <w:rPr>
                <w:rFonts w:hint="eastAsia" w:ascii="宋体" w:hAnsi="宋体" w:eastAsia="宋体" w:cs="宋体"/>
                <w:i w:val="0"/>
                <w:iCs w:val="0"/>
                <w:snapToGrid/>
                <w:color w:val="auto"/>
                <w:kern w:val="2"/>
                <w:sz w:val="21"/>
                <w:szCs w:val="21"/>
                <w:highlight w:val="none"/>
                <w:u w:val="none"/>
                <w:lang w:eastAsia="zh-CN"/>
              </w:rPr>
              <w:t xml:space="preserve"> 分析方法：水杨酸分光光度法；</w:t>
            </w:r>
          </w:p>
          <w:p w14:paraId="1F9FC14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3.2.</w:t>
            </w:r>
            <w:r>
              <w:rPr>
                <w:rFonts w:hint="eastAsia" w:ascii="宋体" w:hAnsi="宋体" w:eastAsia="宋体" w:cs="宋体"/>
                <w:i w:val="0"/>
                <w:iCs w:val="0"/>
                <w:snapToGrid/>
                <w:color w:val="auto"/>
                <w:kern w:val="2"/>
                <w:sz w:val="21"/>
                <w:szCs w:val="21"/>
                <w:highlight w:val="none"/>
                <w:u w:val="none"/>
                <w:lang w:eastAsia="zh-CN"/>
              </w:rPr>
              <w:t>技术指标</w:t>
            </w:r>
          </w:p>
          <w:p w14:paraId="5BAF200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2.1 测定范围:0～30mg/L（可扩展）；</w:t>
            </w:r>
          </w:p>
          <w:p w14:paraId="525FD46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2.2 重复性:≤2.0%；</w:t>
            </w:r>
          </w:p>
          <w:p w14:paraId="5D9A54C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w:t>
            </w:r>
            <w:r>
              <w:rPr>
                <w:rFonts w:hint="eastAsia" w:ascii="宋体" w:hAnsi="宋体" w:eastAsia="宋体" w:cs="宋体"/>
                <w:i w:val="0"/>
                <w:iCs w:val="0"/>
                <w:snapToGrid/>
                <w:color w:val="auto"/>
                <w:kern w:val="2"/>
                <w:sz w:val="21"/>
                <w:szCs w:val="21"/>
                <w:highlight w:val="none"/>
                <w:u w:val="none"/>
                <w:lang w:val="en-US" w:eastAsia="zh-CN"/>
              </w:rPr>
              <w:t>2.</w:t>
            </w:r>
            <w:r>
              <w:rPr>
                <w:rFonts w:hint="eastAsia" w:ascii="宋体" w:hAnsi="宋体" w:eastAsia="宋体" w:cs="宋体"/>
                <w:i w:val="0"/>
                <w:iCs w:val="0"/>
                <w:snapToGrid/>
                <w:color w:val="auto"/>
                <w:kern w:val="2"/>
                <w:sz w:val="21"/>
                <w:szCs w:val="21"/>
                <w:highlight w:val="none"/>
                <w:u w:val="none"/>
                <w:lang w:eastAsia="zh-CN"/>
              </w:rPr>
              <w:t>3 零点漂移:≤±5%F.S.；</w:t>
            </w:r>
          </w:p>
          <w:p w14:paraId="3D227D5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w:t>
            </w: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w:t>
            </w:r>
            <w:r>
              <w:rPr>
                <w:rFonts w:hint="eastAsia" w:ascii="宋体" w:hAnsi="宋体" w:eastAsia="宋体" w:cs="宋体"/>
                <w:i w:val="0"/>
                <w:iCs w:val="0"/>
                <w:snapToGrid/>
                <w:color w:val="auto"/>
                <w:kern w:val="2"/>
                <w:sz w:val="21"/>
                <w:szCs w:val="21"/>
                <w:highlight w:val="none"/>
                <w:u w:val="none"/>
                <w:lang w:val="en-US" w:eastAsia="zh-CN"/>
              </w:rPr>
              <w:t>2.</w:t>
            </w:r>
            <w:r>
              <w:rPr>
                <w:rFonts w:hint="eastAsia" w:ascii="宋体" w:hAnsi="宋体" w:eastAsia="宋体" w:cs="宋体"/>
                <w:i w:val="0"/>
                <w:iCs w:val="0"/>
                <w:snapToGrid/>
                <w:color w:val="auto"/>
                <w:kern w:val="2"/>
                <w:sz w:val="21"/>
                <w:szCs w:val="21"/>
                <w:highlight w:val="none"/>
                <w:u w:val="none"/>
                <w:lang w:eastAsia="zh-CN"/>
              </w:rPr>
              <w:t>4 量程漂移:±10%F.S.；【</w:t>
            </w:r>
            <w:r>
              <w:rPr>
                <w:rFonts w:hint="eastAsia" w:ascii="宋体" w:hAnsi="宋体" w:eastAsia="宋体" w:cs="宋体"/>
                <w:b/>
                <w:bCs/>
                <w:i w:val="0"/>
                <w:iCs w:val="0"/>
                <w:snapToGrid/>
                <w:color w:val="auto"/>
                <w:kern w:val="2"/>
                <w:sz w:val="21"/>
                <w:szCs w:val="21"/>
                <w:highlight w:val="none"/>
                <w:u w:val="none"/>
                <w:lang w:eastAsia="zh-CN"/>
              </w:rPr>
              <w:t>竞标时需提供相关证明材料（包括但不限于彩页、官网和功能截图），并加盖供应商单位公章，否则竞标无效。</w:t>
            </w:r>
            <w:r>
              <w:rPr>
                <w:rFonts w:hint="eastAsia" w:ascii="宋体" w:hAnsi="宋体" w:eastAsia="宋体" w:cs="宋体"/>
                <w:i w:val="0"/>
                <w:iCs w:val="0"/>
                <w:snapToGrid/>
                <w:color w:val="auto"/>
                <w:kern w:val="2"/>
                <w:sz w:val="21"/>
                <w:szCs w:val="21"/>
                <w:highlight w:val="none"/>
                <w:u w:val="none"/>
                <w:lang w:eastAsia="zh-CN"/>
              </w:rPr>
              <w:t>】</w:t>
            </w:r>
          </w:p>
          <w:p w14:paraId="434AACB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w:t>
            </w:r>
            <w:r>
              <w:rPr>
                <w:rFonts w:hint="eastAsia" w:ascii="宋体" w:hAnsi="宋体" w:eastAsia="宋体" w:cs="宋体"/>
                <w:i w:val="0"/>
                <w:iCs w:val="0"/>
                <w:snapToGrid/>
                <w:color w:val="auto"/>
                <w:kern w:val="2"/>
                <w:sz w:val="21"/>
                <w:szCs w:val="21"/>
                <w:highlight w:val="none"/>
                <w:u w:val="none"/>
                <w:lang w:val="en-US" w:eastAsia="zh-CN"/>
              </w:rPr>
              <w:t>2.</w:t>
            </w:r>
            <w:r>
              <w:rPr>
                <w:rFonts w:hint="eastAsia" w:ascii="宋体" w:hAnsi="宋体" w:eastAsia="宋体" w:cs="宋体"/>
                <w:i w:val="0"/>
                <w:iCs w:val="0"/>
                <w:snapToGrid/>
                <w:color w:val="auto"/>
                <w:kern w:val="2"/>
                <w:sz w:val="21"/>
                <w:szCs w:val="21"/>
                <w:highlight w:val="none"/>
                <w:u w:val="none"/>
                <w:lang w:eastAsia="zh-CN"/>
              </w:rPr>
              <w:t>5 示值误差：</w:t>
            </w:r>
          </w:p>
          <w:p w14:paraId="23B8B97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20%量程液：±8%；</w:t>
            </w:r>
          </w:p>
          <w:p w14:paraId="19B9254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50%量程液：±5%；</w:t>
            </w:r>
          </w:p>
          <w:p w14:paraId="73067A3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80%量程液：±3%；</w:t>
            </w:r>
          </w:p>
          <w:p w14:paraId="690F268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3.3</w:t>
            </w:r>
            <w:r>
              <w:rPr>
                <w:rFonts w:hint="eastAsia" w:ascii="宋体" w:hAnsi="宋体" w:eastAsia="宋体" w:cs="宋体"/>
                <w:i w:val="0"/>
                <w:iCs w:val="0"/>
                <w:snapToGrid/>
                <w:color w:val="auto"/>
                <w:kern w:val="2"/>
                <w:sz w:val="21"/>
                <w:szCs w:val="21"/>
                <w:highlight w:val="none"/>
                <w:u w:val="none"/>
                <w:lang w:eastAsia="zh-CN"/>
              </w:rPr>
              <w:t xml:space="preserve"> 质量控制指标</w:t>
            </w:r>
          </w:p>
          <w:p w14:paraId="0604258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3.3</w:t>
            </w:r>
            <w:r>
              <w:rPr>
                <w:rFonts w:hint="eastAsia" w:ascii="宋体" w:hAnsi="宋体" w:eastAsia="宋体" w:cs="宋体"/>
                <w:i w:val="0"/>
                <w:iCs w:val="0"/>
                <w:snapToGrid/>
                <w:color w:val="auto"/>
                <w:kern w:val="2"/>
                <w:sz w:val="21"/>
                <w:szCs w:val="21"/>
                <w:highlight w:val="none"/>
                <w:u w:val="none"/>
                <w:lang w:eastAsia="zh-CN"/>
              </w:rPr>
              <w:t>.1 正确度：±10%以内；</w:t>
            </w:r>
          </w:p>
          <w:p w14:paraId="04710ED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3.3</w:t>
            </w:r>
            <w:r>
              <w:rPr>
                <w:rFonts w:hint="eastAsia" w:ascii="宋体" w:hAnsi="宋体" w:eastAsia="宋体" w:cs="宋体"/>
                <w:i w:val="0"/>
                <w:iCs w:val="0"/>
                <w:snapToGrid/>
                <w:color w:val="auto"/>
                <w:kern w:val="2"/>
                <w:sz w:val="21"/>
                <w:szCs w:val="21"/>
                <w:highlight w:val="none"/>
                <w:u w:val="none"/>
                <w:lang w:eastAsia="zh-CN"/>
              </w:rPr>
              <w:t>.2 精密度：≤5%；</w:t>
            </w:r>
          </w:p>
          <w:p w14:paraId="1EBEA23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3.3.3</w:t>
            </w:r>
            <w:r>
              <w:rPr>
                <w:rFonts w:hint="eastAsia" w:ascii="宋体" w:hAnsi="宋体" w:eastAsia="宋体" w:cs="宋体"/>
                <w:i w:val="0"/>
                <w:iCs w:val="0"/>
                <w:snapToGrid/>
                <w:color w:val="auto"/>
                <w:kern w:val="2"/>
                <w:sz w:val="21"/>
                <w:szCs w:val="21"/>
                <w:highlight w:val="none"/>
                <w:u w:val="none"/>
                <w:lang w:eastAsia="zh-CN"/>
              </w:rPr>
              <w:t xml:space="preserve"> 检出限：≤0.5mg/L；</w:t>
            </w:r>
          </w:p>
          <w:p w14:paraId="4801215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3.3.4</w:t>
            </w:r>
            <w:r>
              <w:rPr>
                <w:rFonts w:hint="eastAsia" w:ascii="宋体" w:hAnsi="宋体" w:eastAsia="宋体" w:cs="宋体"/>
                <w:i w:val="0"/>
                <w:iCs w:val="0"/>
                <w:snapToGrid/>
                <w:color w:val="auto"/>
                <w:kern w:val="2"/>
                <w:sz w:val="21"/>
                <w:szCs w:val="21"/>
                <w:highlight w:val="none"/>
                <w:u w:val="none"/>
                <w:lang w:eastAsia="zh-CN"/>
              </w:rPr>
              <w:t xml:space="preserve"> 标准曲线：</w:t>
            </w:r>
          </w:p>
          <w:p w14:paraId="04962ED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（a）零点示值误差±0.2mg/L以内；</w:t>
            </w:r>
          </w:p>
          <w:p w14:paraId="6810784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（b）其他点示值误差±10%以内；</w:t>
            </w:r>
          </w:p>
          <w:p w14:paraId="4140DD3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（c）相关系数≥0.998；</w:t>
            </w:r>
          </w:p>
          <w:p w14:paraId="14F6C0A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3.3.5</w:t>
            </w:r>
            <w:r>
              <w:rPr>
                <w:rFonts w:hint="eastAsia" w:ascii="宋体" w:hAnsi="宋体" w:eastAsia="宋体" w:cs="宋体"/>
                <w:i w:val="0"/>
                <w:iCs w:val="0"/>
                <w:snapToGrid/>
                <w:color w:val="auto"/>
                <w:kern w:val="2"/>
                <w:sz w:val="21"/>
                <w:szCs w:val="21"/>
                <w:highlight w:val="none"/>
                <w:u w:val="none"/>
                <w:lang w:eastAsia="zh-CN"/>
              </w:rPr>
              <w:t>实际水样比对相对误差：（B为GB3838规定的水质类别限值）</w:t>
            </w:r>
          </w:p>
          <w:p w14:paraId="3984100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（a）实验室分析结果&gt;BⅣ时，相对误差≤20%；</w:t>
            </w:r>
          </w:p>
          <w:p w14:paraId="5E2102E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（b）BⅡ&lt;实验室分析结果≤BⅣ时，相对误差≤30%；</w:t>
            </w:r>
          </w:p>
          <w:p w14:paraId="46922A6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（c）实验室分析结果≤BⅡ时，相对误差≤40%；</w:t>
            </w:r>
          </w:p>
          <w:p w14:paraId="02392AD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除湖库总磷外,当自动监测结果和实验室分析结果均低于BⅡ时,认定比对实验结果合格。当湖库总磷自动监测结果和实验室分析结果均低于BⅢ时,认定比对实验结果合格。</w:t>
            </w:r>
          </w:p>
          <w:p w14:paraId="6635A64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3.3.6</w:t>
            </w:r>
            <w:r>
              <w:rPr>
                <w:rFonts w:hint="eastAsia" w:ascii="宋体" w:hAnsi="宋体" w:eastAsia="宋体" w:cs="宋体"/>
                <w:i w:val="0"/>
                <w:iCs w:val="0"/>
                <w:snapToGrid/>
                <w:color w:val="auto"/>
                <w:kern w:val="2"/>
                <w:sz w:val="21"/>
                <w:szCs w:val="21"/>
                <w:highlight w:val="none"/>
                <w:u w:val="none"/>
                <w:lang w:eastAsia="zh-CN"/>
              </w:rPr>
              <w:t xml:space="preserve"> 标准溶液核查：</w:t>
            </w:r>
          </w:p>
          <w:p w14:paraId="76BF220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（a）零点核查误差：±0.2mg/L以内，</w:t>
            </w:r>
          </w:p>
          <w:p w14:paraId="033672A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（b）20%F.S．以内低浓度核查误差：≤±0.2mg/L（Ⅰ～Ⅲ类水），或≤±5%标样核查上限值（Ⅳ～劣Ⅴ类水）；</w:t>
            </w:r>
          </w:p>
          <w:p w14:paraId="04F6D30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（c）其它核查浓度相对误差：≤±10%。</w:t>
            </w:r>
          </w:p>
          <w:p w14:paraId="74FE7B4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3.3.7</w:t>
            </w:r>
            <w:r>
              <w:rPr>
                <w:rFonts w:hint="eastAsia" w:ascii="宋体" w:hAnsi="宋体" w:eastAsia="宋体" w:cs="宋体"/>
                <w:i w:val="0"/>
                <w:iCs w:val="0"/>
                <w:snapToGrid/>
                <w:color w:val="auto"/>
                <w:kern w:val="2"/>
                <w:sz w:val="21"/>
                <w:szCs w:val="21"/>
                <w:highlight w:val="none"/>
                <w:u w:val="none"/>
                <w:lang w:eastAsia="zh-CN"/>
              </w:rPr>
              <w:t xml:space="preserve"> 核查浓度漂移：</w:t>
            </w:r>
          </w:p>
          <w:p w14:paraId="3356130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24h低浓度（20%F.S．以内）核查浓度漂移：≤±5%；</w:t>
            </w:r>
          </w:p>
          <w:p w14:paraId="31138DB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 xml:space="preserve">3.3.8 </w:t>
            </w:r>
            <w:r>
              <w:rPr>
                <w:rFonts w:hint="eastAsia" w:ascii="宋体" w:hAnsi="宋体" w:eastAsia="宋体" w:cs="宋体"/>
                <w:i w:val="0"/>
                <w:iCs w:val="0"/>
                <w:snapToGrid/>
                <w:color w:val="auto"/>
                <w:kern w:val="2"/>
                <w:sz w:val="21"/>
                <w:szCs w:val="21"/>
                <w:highlight w:val="none"/>
                <w:u w:val="none"/>
                <w:lang w:eastAsia="zh-CN"/>
              </w:rPr>
              <w:t>24h其他核查浓度漂移：≤±10%；</w:t>
            </w:r>
          </w:p>
          <w:p w14:paraId="6A1D7BD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3.3.9</w:t>
            </w:r>
            <w:r>
              <w:rPr>
                <w:rFonts w:hint="eastAsia" w:ascii="宋体" w:hAnsi="宋体" w:eastAsia="宋体" w:cs="宋体"/>
                <w:i w:val="0"/>
                <w:iCs w:val="0"/>
                <w:snapToGrid/>
                <w:color w:val="auto"/>
                <w:kern w:val="2"/>
                <w:sz w:val="21"/>
                <w:szCs w:val="21"/>
                <w:highlight w:val="none"/>
                <w:u w:val="none"/>
                <w:lang w:eastAsia="zh-CN"/>
              </w:rPr>
              <w:t xml:space="preserve"> 加标回收率：80%～120%。</w:t>
            </w: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8ACF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台</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3868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2</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0C7D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60000</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825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120000</w:t>
            </w:r>
          </w:p>
        </w:tc>
      </w:tr>
      <w:tr w14:paraId="672DA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0" w:hRule="atLeast"/>
        </w:trPr>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2060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0"/>
                <w:sz w:val="21"/>
                <w:szCs w:val="21"/>
                <w:highlight w:val="none"/>
                <w:u w:val="none"/>
                <w:lang w:val="en-US" w:eastAsia="zh-CN" w:bidi="ar"/>
              </w:rPr>
              <w:t>4</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5103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总磷水质分析仪</w:t>
            </w:r>
          </w:p>
        </w:tc>
        <w:tc>
          <w:tcPr>
            <w:tcW w:w="4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72EC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1.工作条件</w:t>
            </w:r>
          </w:p>
          <w:p w14:paraId="4A443D0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1.1 电源要求﹙220±22﹚VAC；﹙50±1﹚Hz；</w:t>
            </w:r>
          </w:p>
          <w:p w14:paraId="4E0C932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1.2 工作环境温度(5～45)℃。</w:t>
            </w:r>
          </w:p>
          <w:p w14:paraId="7BE6E03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2.通用要求</w:t>
            </w:r>
          </w:p>
          <w:p w14:paraId="1C3EA1D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2.1 显示屏：不小于5寸触摸屏(彩色)/600×1024；</w:t>
            </w:r>
          </w:p>
          <w:p w14:paraId="6E24ADE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w:t>
            </w:r>
            <w:r>
              <w:rPr>
                <w:rFonts w:hint="eastAsia" w:ascii="宋体" w:hAnsi="宋体" w:eastAsia="宋体" w:cs="宋体"/>
                <w:i w:val="0"/>
                <w:iCs w:val="0"/>
                <w:snapToGrid/>
                <w:color w:val="auto"/>
                <w:kern w:val="2"/>
                <w:sz w:val="21"/>
                <w:szCs w:val="21"/>
                <w:highlight w:val="none"/>
                <w:u w:val="none"/>
                <w:lang w:val="en-US" w:eastAsia="zh-CN"/>
              </w:rPr>
              <w:t>2</w:t>
            </w:r>
            <w:r>
              <w:rPr>
                <w:rFonts w:hint="eastAsia" w:ascii="宋体" w:hAnsi="宋体" w:eastAsia="宋体" w:cs="宋体"/>
                <w:i w:val="0"/>
                <w:iCs w:val="0"/>
                <w:snapToGrid/>
                <w:color w:val="auto"/>
                <w:kern w:val="2"/>
                <w:sz w:val="21"/>
                <w:szCs w:val="21"/>
                <w:highlight w:val="none"/>
                <w:u w:val="none"/>
                <w:lang w:eastAsia="zh-CN"/>
              </w:rPr>
              <w:t xml:space="preserve"> 仪器检测周期：≤60min；</w:t>
            </w:r>
          </w:p>
          <w:p w14:paraId="277B526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w:t>
            </w: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 xml:space="preserve"> 绝缘阻抗：＞5MΩ；</w:t>
            </w:r>
          </w:p>
          <w:p w14:paraId="7B1D748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w:t>
            </w:r>
            <w:r>
              <w:rPr>
                <w:rFonts w:hint="eastAsia" w:ascii="宋体" w:hAnsi="宋体" w:eastAsia="宋体" w:cs="宋体"/>
                <w:i w:val="0"/>
                <w:iCs w:val="0"/>
                <w:snapToGrid/>
                <w:color w:val="auto"/>
                <w:kern w:val="2"/>
                <w:sz w:val="21"/>
                <w:szCs w:val="21"/>
                <w:highlight w:val="none"/>
                <w:u w:val="none"/>
                <w:lang w:val="en-US" w:eastAsia="zh-CN"/>
              </w:rPr>
              <w:t>4</w:t>
            </w:r>
            <w:r>
              <w:rPr>
                <w:rFonts w:hint="eastAsia" w:ascii="宋体" w:hAnsi="宋体" w:eastAsia="宋体" w:cs="宋体"/>
                <w:i w:val="0"/>
                <w:iCs w:val="0"/>
                <w:snapToGrid/>
                <w:color w:val="auto"/>
                <w:kern w:val="2"/>
                <w:sz w:val="21"/>
                <w:szCs w:val="21"/>
                <w:highlight w:val="none"/>
                <w:u w:val="none"/>
                <w:lang w:eastAsia="zh-CN"/>
              </w:rPr>
              <w:t xml:space="preserve"> 数据有效率：≥90%；</w:t>
            </w:r>
          </w:p>
          <w:p w14:paraId="325FEF8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w:t>
            </w:r>
            <w:r>
              <w:rPr>
                <w:rFonts w:hint="eastAsia" w:ascii="宋体" w:hAnsi="宋体" w:eastAsia="宋体" w:cs="宋体"/>
                <w:i w:val="0"/>
                <w:iCs w:val="0"/>
                <w:snapToGrid/>
                <w:color w:val="auto"/>
                <w:kern w:val="2"/>
                <w:sz w:val="21"/>
                <w:szCs w:val="21"/>
                <w:highlight w:val="none"/>
                <w:u w:val="none"/>
                <w:lang w:val="en-US" w:eastAsia="zh-CN"/>
              </w:rPr>
              <w:t>5</w:t>
            </w:r>
            <w:r>
              <w:rPr>
                <w:rFonts w:hint="eastAsia" w:ascii="宋体" w:hAnsi="宋体" w:eastAsia="宋体" w:cs="宋体"/>
                <w:i w:val="0"/>
                <w:iCs w:val="0"/>
                <w:snapToGrid/>
                <w:color w:val="auto"/>
                <w:kern w:val="2"/>
                <w:sz w:val="21"/>
                <w:szCs w:val="21"/>
                <w:highlight w:val="none"/>
                <w:u w:val="none"/>
                <w:lang w:eastAsia="zh-CN"/>
              </w:rPr>
              <w:t xml:space="preserve"> 试剂更换周期：90天≥周期≥31天； </w:t>
            </w:r>
          </w:p>
          <w:p w14:paraId="26223E5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w:t>
            </w:r>
            <w:r>
              <w:rPr>
                <w:rFonts w:hint="eastAsia" w:ascii="宋体" w:hAnsi="宋体" w:eastAsia="宋体" w:cs="宋体"/>
                <w:i w:val="0"/>
                <w:iCs w:val="0"/>
                <w:snapToGrid/>
                <w:color w:val="auto"/>
                <w:kern w:val="2"/>
                <w:sz w:val="21"/>
                <w:szCs w:val="21"/>
                <w:highlight w:val="none"/>
                <w:u w:val="none"/>
                <w:lang w:val="en-US" w:eastAsia="zh-CN"/>
              </w:rPr>
              <w:t>6</w:t>
            </w:r>
            <w:r>
              <w:rPr>
                <w:rFonts w:hint="eastAsia" w:ascii="宋体" w:hAnsi="宋体" w:eastAsia="宋体" w:cs="宋体"/>
                <w:i w:val="0"/>
                <w:iCs w:val="0"/>
                <w:snapToGrid/>
                <w:color w:val="auto"/>
                <w:kern w:val="2"/>
                <w:sz w:val="21"/>
                <w:szCs w:val="21"/>
                <w:highlight w:val="none"/>
                <w:u w:val="none"/>
                <w:lang w:eastAsia="zh-CN"/>
              </w:rPr>
              <w:t xml:space="preserve"> 数据存储不少于365天； </w:t>
            </w:r>
          </w:p>
          <w:p w14:paraId="2760F9D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w:t>
            </w:r>
            <w:r>
              <w:rPr>
                <w:rFonts w:hint="eastAsia" w:ascii="宋体" w:hAnsi="宋体" w:eastAsia="宋体" w:cs="宋体"/>
                <w:i w:val="0"/>
                <w:iCs w:val="0"/>
                <w:snapToGrid/>
                <w:color w:val="auto"/>
                <w:kern w:val="2"/>
                <w:sz w:val="21"/>
                <w:szCs w:val="21"/>
                <w:highlight w:val="none"/>
                <w:u w:val="none"/>
                <w:lang w:val="en-US" w:eastAsia="zh-CN"/>
              </w:rPr>
              <w:t>7</w:t>
            </w:r>
            <w:r>
              <w:rPr>
                <w:rFonts w:hint="eastAsia" w:ascii="宋体" w:hAnsi="宋体" w:eastAsia="宋体" w:cs="宋体"/>
                <w:i w:val="0"/>
                <w:iCs w:val="0"/>
                <w:snapToGrid/>
                <w:color w:val="auto"/>
                <w:kern w:val="2"/>
                <w:sz w:val="21"/>
                <w:szCs w:val="21"/>
                <w:highlight w:val="none"/>
                <w:u w:val="none"/>
                <w:lang w:eastAsia="zh-CN"/>
              </w:rPr>
              <w:t xml:space="preserve"> 具有异常信息记录、上传功能，包括部件故障、超标报警、缺试剂报警等信息；</w:t>
            </w:r>
          </w:p>
          <w:p w14:paraId="7F4FBBC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w:t>
            </w:r>
            <w:r>
              <w:rPr>
                <w:rFonts w:hint="eastAsia" w:ascii="宋体" w:hAnsi="宋体" w:eastAsia="宋体" w:cs="宋体"/>
                <w:i w:val="0"/>
                <w:iCs w:val="0"/>
                <w:snapToGrid/>
                <w:color w:val="auto"/>
                <w:kern w:val="2"/>
                <w:sz w:val="21"/>
                <w:szCs w:val="21"/>
                <w:highlight w:val="none"/>
                <w:u w:val="none"/>
                <w:lang w:val="en-US" w:eastAsia="zh-CN"/>
              </w:rPr>
              <w:t>8</w:t>
            </w:r>
            <w:r>
              <w:rPr>
                <w:rFonts w:hint="eastAsia" w:ascii="宋体" w:hAnsi="宋体" w:eastAsia="宋体" w:cs="宋体"/>
                <w:i w:val="0"/>
                <w:iCs w:val="0"/>
                <w:snapToGrid/>
                <w:color w:val="auto"/>
                <w:kern w:val="2"/>
                <w:sz w:val="21"/>
                <w:szCs w:val="21"/>
                <w:highlight w:val="none"/>
                <w:u w:val="none"/>
                <w:lang w:eastAsia="zh-CN"/>
              </w:rPr>
              <w:t xml:space="preserve"> 具有浊度干扰自动补偿功能；</w:t>
            </w:r>
          </w:p>
          <w:p w14:paraId="5F683F0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w:t>
            </w:r>
            <w:r>
              <w:rPr>
                <w:rFonts w:hint="eastAsia" w:ascii="宋体" w:hAnsi="宋体" w:eastAsia="宋体" w:cs="宋体"/>
                <w:i w:val="0"/>
                <w:iCs w:val="0"/>
                <w:snapToGrid/>
                <w:color w:val="auto"/>
                <w:kern w:val="2"/>
                <w:sz w:val="21"/>
                <w:szCs w:val="21"/>
                <w:highlight w:val="none"/>
                <w:u w:val="none"/>
                <w:lang w:val="en-US" w:eastAsia="zh-CN"/>
              </w:rPr>
              <w:t>9</w:t>
            </w:r>
            <w:r>
              <w:rPr>
                <w:rFonts w:hint="eastAsia" w:ascii="宋体" w:hAnsi="宋体" w:eastAsia="宋体" w:cs="宋体"/>
                <w:i w:val="0"/>
                <w:iCs w:val="0"/>
                <w:snapToGrid/>
                <w:color w:val="auto"/>
                <w:kern w:val="2"/>
                <w:sz w:val="21"/>
                <w:szCs w:val="21"/>
                <w:highlight w:val="none"/>
                <w:u w:val="none"/>
                <w:lang w:eastAsia="zh-CN"/>
              </w:rPr>
              <w:t xml:space="preserve"> 具有RS-232/485、传输控制协议/网际协议（TCP/IP）等标准通讯接口；</w:t>
            </w:r>
          </w:p>
          <w:p w14:paraId="7190299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2.1</w:t>
            </w:r>
            <w:r>
              <w:rPr>
                <w:rFonts w:hint="eastAsia" w:ascii="宋体" w:hAnsi="宋体" w:eastAsia="宋体" w:cs="宋体"/>
                <w:i w:val="0"/>
                <w:iCs w:val="0"/>
                <w:snapToGrid/>
                <w:color w:val="auto"/>
                <w:kern w:val="2"/>
                <w:sz w:val="21"/>
                <w:szCs w:val="21"/>
                <w:highlight w:val="none"/>
                <w:u w:val="none"/>
                <w:lang w:val="en-US" w:eastAsia="zh-CN"/>
              </w:rPr>
              <w:t>0</w:t>
            </w:r>
            <w:r>
              <w:rPr>
                <w:rFonts w:hint="eastAsia" w:ascii="宋体" w:hAnsi="宋体" w:eastAsia="宋体" w:cs="宋体"/>
                <w:i w:val="0"/>
                <w:iCs w:val="0"/>
                <w:snapToGrid/>
                <w:color w:val="auto"/>
                <w:kern w:val="2"/>
                <w:sz w:val="21"/>
                <w:szCs w:val="21"/>
                <w:highlight w:val="none"/>
                <w:u w:val="none"/>
                <w:lang w:eastAsia="zh-CN"/>
              </w:rPr>
              <w:t xml:space="preserve"> 具有自动开展低浓度和高浓度标样核查、空白校准、标样校准等功能；</w:t>
            </w:r>
          </w:p>
          <w:p w14:paraId="05B0973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2.1</w:t>
            </w:r>
            <w:r>
              <w:rPr>
                <w:rFonts w:hint="eastAsia" w:ascii="宋体" w:hAnsi="宋体" w:eastAsia="宋体" w:cs="宋体"/>
                <w:i w:val="0"/>
                <w:iCs w:val="0"/>
                <w:snapToGrid/>
                <w:color w:val="auto"/>
                <w:kern w:val="2"/>
                <w:sz w:val="21"/>
                <w:szCs w:val="21"/>
                <w:highlight w:val="none"/>
                <w:u w:val="none"/>
                <w:lang w:val="en-US" w:eastAsia="zh-CN"/>
              </w:rPr>
              <w:t>1</w:t>
            </w:r>
            <w:r>
              <w:rPr>
                <w:rFonts w:hint="eastAsia" w:ascii="宋体" w:hAnsi="宋体" w:eastAsia="宋体" w:cs="宋体"/>
                <w:i w:val="0"/>
                <w:iCs w:val="0"/>
                <w:snapToGrid/>
                <w:color w:val="auto"/>
                <w:kern w:val="2"/>
                <w:sz w:val="21"/>
                <w:szCs w:val="21"/>
                <w:highlight w:val="none"/>
                <w:u w:val="none"/>
                <w:lang w:eastAsia="zh-CN"/>
              </w:rPr>
              <w:t>具有量程切换功能；</w:t>
            </w:r>
          </w:p>
          <w:p w14:paraId="215B6BD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2.1</w:t>
            </w:r>
            <w:r>
              <w:rPr>
                <w:rFonts w:hint="eastAsia" w:ascii="宋体" w:hAnsi="宋体" w:eastAsia="宋体" w:cs="宋体"/>
                <w:i w:val="0"/>
                <w:iCs w:val="0"/>
                <w:snapToGrid/>
                <w:color w:val="auto"/>
                <w:kern w:val="2"/>
                <w:sz w:val="21"/>
                <w:szCs w:val="21"/>
                <w:highlight w:val="none"/>
                <w:u w:val="none"/>
                <w:lang w:val="en-US" w:eastAsia="zh-CN"/>
              </w:rPr>
              <w:t>2</w:t>
            </w:r>
            <w:r>
              <w:rPr>
                <w:rFonts w:hint="eastAsia" w:ascii="宋体" w:hAnsi="宋体" w:eastAsia="宋体" w:cs="宋体"/>
                <w:i w:val="0"/>
                <w:iCs w:val="0"/>
                <w:snapToGrid/>
                <w:color w:val="auto"/>
                <w:kern w:val="2"/>
                <w:sz w:val="21"/>
                <w:szCs w:val="21"/>
                <w:highlight w:val="none"/>
                <w:u w:val="none"/>
                <w:lang w:eastAsia="zh-CN"/>
              </w:rPr>
              <w:t>具有过程日志记录功能；</w:t>
            </w:r>
          </w:p>
          <w:p w14:paraId="2072604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2.1</w:t>
            </w: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 xml:space="preserve"> 具有远程参数设置、远程质控、远程启动测量、远程调阅设备运行日志等功能；按照设定周期或远程接受指令，实现水质自动分析仪器进行标样自动核查、自动加标回收率测试、自动多点线性核查、盲样考核等质控功能以及在异常情况下自动留样功能。</w:t>
            </w:r>
          </w:p>
          <w:p w14:paraId="2B29781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总磷</w:t>
            </w:r>
          </w:p>
          <w:p w14:paraId="16649AD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3.1.</w:t>
            </w:r>
            <w:r>
              <w:rPr>
                <w:rFonts w:hint="eastAsia" w:ascii="宋体" w:hAnsi="宋体" w:eastAsia="宋体" w:cs="宋体"/>
                <w:i w:val="0"/>
                <w:iCs w:val="0"/>
                <w:snapToGrid/>
                <w:color w:val="auto"/>
                <w:kern w:val="2"/>
                <w:sz w:val="21"/>
                <w:szCs w:val="21"/>
                <w:highlight w:val="none"/>
                <w:u w:val="none"/>
                <w:lang w:eastAsia="zh-CN"/>
              </w:rPr>
              <w:t>分析方法：钼酸铵分光光度法；</w:t>
            </w:r>
          </w:p>
          <w:p w14:paraId="253EA87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3.2</w:t>
            </w:r>
            <w:r>
              <w:rPr>
                <w:rFonts w:hint="eastAsia" w:ascii="宋体" w:hAnsi="宋体" w:eastAsia="宋体" w:cs="宋体"/>
                <w:i w:val="0"/>
                <w:iCs w:val="0"/>
                <w:snapToGrid/>
                <w:color w:val="auto"/>
                <w:kern w:val="2"/>
                <w:sz w:val="21"/>
                <w:szCs w:val="21"/>
                <w:highlight w:val="none"/>
                <w:u w:val="none"/>
                <w:lang w:eastAsia="zh-CN"/>
              </w:rPr>
              <w:t>技术指标：</w:t>
            </w:r>
          </w:p>
          <w:p w14:paraId="0FFC41E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3.2.1</w:t>
            </w:r>
            <w:r>
              <w:rPr>
                <w:rFonts w:hint="eastAsia" w:ascii="宋体" w:hAnsi="宋体" w:eastAsia="宋体" w:cs="宋体"/>
                <w:i w:val="0"/>
                <w:iCs w:val="0"/>
                <w:snapToGrid/>
                <w:color w:val="auto"/>
                <w:kern w:val="2"/>
                <w:sz w:val="21"/>
                <w:szCs w:val="21"/>
                <w:highlight w:val="none"/>
                <w:u w:val="none"/>
                <w:lang w:eastAsia="zh-CN"/>
              </w:rPr>
              <w:t xml:space="preserve"> 测定范围:0-20mg/L范围内可调；</w:t>
            </w:r>
          </w:p>
          <w:p w14:paraId="1E87ED3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3.2.2</w:t>
            </w:r>
            <w:r>
              <w:rPr>
                <w:rFonts w:hint="eastAsia" w:ascii="宋体" w:hAnsi="宋体" w:eastAsia="宋体" w:cs="宋体"/>
                <w:i w:val="0"/>
                <w:iCs w:val="0"/>
                <w:snapToGrid/>
                <w:color w:val="auto"/>
                <w:kern w:val="2"/>
                <w:sz w:val="21"/>
                <w:szCs w:val="21"/>
                <w:highlight w:val="none"/>
                <w:u w:val="none"/>
                <w:lang w:eastAsia="zh-CN"/>
              </w:rPr>
              <w:t xml:space="preserve"> 重复性:≤5.0%；</w:t>
            </w:r>
          </w:p>
          <w:p w14:paraId="55A03C0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3.2.3</w:t>
            </w:r>
            <w:r>
              <w:rPr>
                <w:rFonts w:hint="eastAsia" w:ascii="宋体" w:hAnsi="宋体" w:eastAsia="宋体" w:cs="宋体"/>
                <w:i w:val="0"/>
                <w:iCs w:val="0"/>
                <w:snapToGrid/>
                <w:color w:val="auto"/>
                <w:kern w:val="2"/>
                <w:sz w:val="21"/>
                <w:szCs w:val="21"/>
                <w:highlight w:val="none"/>
                <w:u w:val="none"/>
                <w:lang w:eastAsia="zh-CN"/>
              </w:rPr>
              <w:t xml:space="preserve"> 零点漂移:≤±5%F.S.；</w:t>
            </w:r>
          </w:p>
          <w:p w14:paraId="59BF4CF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w:t>
            </w:r>
            <w:r>
              <w:rPr>
                <w:rFonts w:hint="eastAsia" w:ascii="宋体" w:hAnsi="宋体" w:eastAsia="宋体" w:cs="宋体"/>
                <w:i w:val="0"/>
                <w:iCs w:val="0"/>
                <w:snapToGrid/>
                <w:color w:val="auto"/>
                <w:kern w:val="2"/>
                <w:sz w:val="21"/>
                <w:szCs w:val="21"/>
                <w:highlight w:val="none"/>
                <w:u w:val="none"/>
                <w:lang w:val="en-US" w:eastAsia="zh-CN"/>
              </w:rPr>
              <w:t>3.2</w:t>
            </w:r>
            <w:r>
              <w:rPr>
                <w:rFonts w:hint="eastAsia" w:ascii="宋体" w:hAnsi="宋体" w:eastAsia="宋体" w:cs="宋体"/>
                <w:i w:val="0"/>
                <w:iCs w:val="0"/>
                <w:snapToGrid/>
                <w:color w:val="auto"/>
                <w:kern w:val="2"/>
                <w:sz w:val="21"/>
                <w:szCs w:val="21"/>
                <w:highlight w:val="none"/>
                <w:u w:val="none"/>
                <w:lang w:eastAsia="zh-CN"/>
              </w:rPr>
              <w:t>.4 量程漂移:≤±10%F.S.；【竞标时需提供相关证明材料（包括但不限于彩页、官网和功能截图），并加盖供应商单位公章，否则竞标无效。】</w:t>
            </w:r>
          </w:p>
          <w:p w14:paraId="1D08B99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3.3</w:t>
            </w:r>
            <w:r>
              <w:rPr>
                <w:rFonts w:hint="eastAsia" w:ascii="宋体" w:hAnsi="宋体" w:eastAsia="宋体" w:cs="宋体"/>
                <w:i w:val="0"/>
                <w:iCs w:val="0"/>
                <w:snapToGrid/>
                <w:color w:val="auto"/>
                <w:kern w:val="2"/>
                <w:sz w:val="21"/>
                <w:szCs w:val="21"/>
                <w:highlight w:val="none"/>
                <w:u w:val="none"/>
                <w:lang w:eastAsia="zh-CN"/>
              </w:rPr>
              <w:t>质量控制指标</w:t>
            </w:r>
          </w:p>
          <w:p w14:paraId="06BB5EF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3.3</w:t>
            </w:r>
            <w:r>
              <w:rPr>
                <w:rFonts w:hint="eastAsia" w:ascii="宋体" w:hAnsi="宋体" w:eastAsia="宋体" w:cs="宋体"/>
                <w:i w:val="0"/>
                <w:iCs w:val="0"/>
                <w:snapToGrid/>
                <w:color w:val="auto"/>
                <w:kern w:val="2"/>
                <w:sz w:val="21"/>
                <w:szCs w:val="21"/>
                <w:highlight w:val="none"/>
                <w:u w:val="none"/>
                <w:lang w:eastAsia="zh-CN"/>
              </w:rPr>
              <w:t>.1 正确度：±10%以内；</w:t>
            </w:r>
          </w:p>
          <w:p w14:paraId="0407D2B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3.3</w:t>
            </w:r>
            <w:r>
              <w:rPr>
                <w:rFonts w:hint="eastAsia" w:ascii="宋体" w:hAnsi="宋体" w:eastAsia="宋体" w:cs="宋体"/>
                <w:i w:val="0"/>
                <w:iCs w:val="0"/>
                <w:snapToGrid/>
                <w:color w:val="auto"/>
                <w:kern w:val="2"/>
                <w:sz w:val="21"/>
                <w:szCs w:val="21"/>
                <w:highlight w:val="none"/>
                <w:u w:val="none"/>
                <w:lang w:eastAsia="zh-CN"/>
              </w:rPr>
              <w:t>.2 精密度：≤5%；</w:t>
            </w:r>
          </w:p>
          <w:p w14:paraId="3D853F7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3.3</w:t>
            </w:r>
            <w:r>
              <w:rPr>
                <w:rFonts w:hint="eastAsia" w:ascii="宋体" w:hAnsi="宋体" w:eastAsia="宋体" w:cs="宋体"/>
                <w:i w:val="0"/>
                <w:iCs w:val="0"/>
                <w:snapToGrid/>
                <w:color w:val="auto"/>
                <w:kern w:val="2"/>
                <w:sz w:val="21"/>
                <w:szCs w:val="21"/>
                <w:highlight w:val="none"/>
                <w:u w:val="none"/>
                <w:lang w:eastAsia="zh-CN"/>
              </w:rPr>
              <w:t>.3 检出限：≤0.01mg/L。</w:t>
            </w:r>
          </w:p>
          <w:p w14:paraId="729E361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3.3.</w:t>
            </w:r>
            <w:r>
              <w:rPr>
                <w:rFonts w:hint="eastAsia" w:ascii="宋体" w:hAnsi="宋体" w:eastAsia="宋体" w:cs="宋体"/>
                <w:i w:val="0"/>
                <w:iCs w:val="0"/>
                <w:snapToGrid/>
                <w:color w:val="auto"/>
                <w:kern w:val="2"/>
                <w:sz w:val="21"/>
                <w:szCs w:val="21"/>
                <w:highlight w:val="none"/>
                <w:u w:val="none"/>
                <w:lang w:eastAsia="zh-CN"/>
              </w:rPr>
              <w:t xml:space="preserve">4 标准曲线： </w:t>
            </w:r>
          </w:p>
          <w:p w14:paraId="7E7214D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（a）零点示值误差±0.02mg/L以内；</w:t>
            </w:r>
          </w:p>
          <w:p w14:paraId="7A33002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（b）其他点示值误差±10%以内；</w:t>
            </w:r>
          </w:p>
          <w:p w14:paraId="0C4792C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（c）直线相关系数≥0.998；</w:t>
            </w:r>
          </w:p>
          <w:p w14:paraId="73F481B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3.3.</w:t>
            </w:r>
            <w:r>
              <w:rPr>
                <w:rFonts w:hint="eastAsia" w:ascii="宋体" w:hAnsi="宋体" w:eastAsia="宋体" w:cs="宋体"/>
                <w:i w:val="0"/>
                <w:iCs w:val="0"/>
                <w:snapToGrid/>
                <w:color w:val="auto"/>
                <w:kern w:val="2"/>
                <w:sz w:val="21"/>
                <w:szCs w:val="21"/>
                <w:highlight w:val="none"/>
                <w:u w:val="none"/>
                <w:lang w:eastAsia="zh-CN"/>
              </w:rPr>
              <w:t>5 实际水样比对试验误差：（B为GB3838规定的水质类别限值）</w:t>
            </w:r>
          </w:p>
          <w:p w14:paraId="5CEE7E3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（a）实验室分析结果&gt;BⅣ时，相对误差≤20%；</w:t>
            </w:r>
          </w:p>
          <w:p w14:paraId="68559FD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（b）BⅡ&lt;实验室分析结果≤BⅣ时，相对误差≤30%；</w:t>
            </w:r>
          </w:p>
          <w:p w14:paraId="4C0A961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（c）实验室分析结果≤BⅡ时，相对误差≤40%；</w:t>
            </w:r>
          </w:p>
          <w:p w14:paraId="28EC2DC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除湖库总磷外,当自动监测结果和实验室分析结果均低于BⅡ时,认定比对实验结果合格。当湖库总磷自动监测结果和实验室分析结果均低于BⅢ时,认定比对实验结果合格。</w:t>
            </w:r>
          </w:p>
          <w:p w14:paraId="395104D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3.3.</w:t>
            </w:r>
            <w:r>
              <w:rPr>
                <w:rFonts w:hint="eastAsia" w:ascii="宋体" w:hAnsi="宋体" w:eastAsia="宋体" w:cs="宋体"/>
                <w:i w:val="0"/>
                <w:iCs w:val="0"/>
                <w:snapToGrid/>
                <w:color w:val="auto"/>
                <w:kern w:val="2"/>
                <w:sz w:val="21"/>
                <w:szCs w:val="21"/>
                <w:highlight w:val="none"/>
                <w:u w:val="none"/>
                <w:lang w:eastAsia="zh-CN"/>
              </w:rPr>
              <w:t>6 标准溶液核查：</w:t>
            </w:r>
          </w:p>
          <w:p w14:paraId="533F98B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 xml:space="preserve">（a）零点核查误差：±0.02mg/L以内; </w:t>
            </w:r>
          </w:p>
          <w:p w14:paraId="555EDB5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（b）20%F.S．以内低浓度核查误差：≤±0.02mg/L（Ⅰ～Ⅲ类水），或≤±5%标样核查上限值（Ⅳ～劣Ⅴ类水）；</w:t>
            </w:r>
          </w:p>
          <w:p w14:paraId="12B0F07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（c）其它核查浓度相对误差：≤±10%；</w:t>
            </w:r>
          </w:p>
          <w:p w14:paraId="38163DA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3.3.</w:t>
            </w:r>
            <w:r>
              <w:rPr>
                <w:rFonts w:hint="eastAsia" w:ascii="宋体" w:hAnsi="宋体" w:eastAsia="宋体" w:cs="宋体"/>
                <w:i w:val="0"/>
                <w:iCs w:val="0"/>
                <w:snapToGrid/>
                <w:color w:val="auto"/>
                <w:kern w:val="2"/>
                <w:sz w:val="21"/>
                <w:szCs w:val="21"/>
                <w:highlight w:val="none"/>
                <w:u w:val="none"/>
                <w:lang w:eastAsia="zh-CN"/>
              </w:rPr>
              <w:t>7 核查浓度漂移</w:t>
            </w:r>
          </w:p>
          <w:p w14:paraId="68BEA3C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（a）24h低浓度（20%F.S．以内）核查浓度漂移：≤±5%；</w:t>
            </w:r>
          </w:p>
          <w:p w14:paraId="4C49F0E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（b）24h其他核查浓度漂移：≤±10%；</w:t>
            </w:r>
          </w:p>
          <w:p w14:paraId="584F3DB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3.3</w:t>
            </w:r>
            <w:r>
              <w:rPr>
                <w:rFonts w:hint="eastAsia" w:ascii="宋体" w:hAnsi="宋体" w:eastAsia="宋体" w:cs="宋体"/>
                <w:i w:val="0"/>
                <w:iCs w:val="0"/>
                <w:snapToGrid/>
                <w:color w:val="auto"/>
                <w:kern w:val="2"/>
                <w:sz w:val="21"/>
                <w:szCs w:val="21"/>
                <w:highlight w:val="none"/>
                <w:u w:val="none"/>
                <w:lang w:eastAsia="zh-CN"/>
              </w:rPr>
              <w:t>.8 加标回收率：80%～120%。</w:t>
            </w: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A133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台</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B12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2</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2836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60000</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37C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120000</w:t>
            </w:r>
          </w:p>
        </w:tc>
      </w:tr>
      <w:tr w14:paraId="4E720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52D3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0"/>
                <w:sz w:val="21"/>
                <w:szCs w:val="21"/>
                <w:highlight w:val="none"/>
                <w:u w:val="none"/>
                <w:lang w:val="en-US" w:eastAsia="zh-CN" w:bidi="ar"/>
              </w:rPr>
              <w:t>5</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534F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总氮水质分析仪</w:t>
            </w:r>
          </w:p>
        </w:tc>
        <w:tc>
          <w:tcPr>
            <w:tcW w:w="4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E71B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1.工作条件</w:t>
            </w:r>
          </w:p>
          <w:p w14:paraId="2306FC8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1.1 电源要求﹙220±22﹚VAC；﹙50±1﹚Hz；</w:t>
            </w:r>
          </w:p>
          <w:p w14:paraId="7062877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1.2 工作环境温度(5～45)℃。</w:t>
            </w:r>
          </w:p>
          <w:p w14:paraId="7CEF276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2.通用要求</w:t>
            </w:r>
          </w:p>
          <w:p w14:paraId="64B4A2A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2.1 显示屏：不小于5寸触摸屏(彩色)/600×1024；</w:t>
            </w:r>
          </w:p>
          <w:p w14:paraId="32BC248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w:t>
            </w:r>
            <w:r>
              <w:rPr>
                <w:rFonts w:hint="eastAsia" w:ascii="宋体" w:hAnsi="宋体" w:eastAsia="宋体" w:cs="宋体"/>
                <w:i w:val="0"/>
                <w:iCs w:val="0"/>
                <w:snapToGrid/>
                <w:color w:val="auto"/>
                <w:kern w:val="2"/>
                <w:sz w:val="21"/>
                <w:szCs w:val="21"/>
                <w:highlight w:val="none"/>
                <w:u w:val="none"/>
                <w:lang w:val="en-US" w:eastAsia="zh-CN"/>
              </w:rPr>
              <w:t>2</w:t>
            </w:r>
            <w:r>
              <w:rPr>
                <w:rFonts w:hint="eastAsia" w:ascii="宋体" w:hAnsi="宋体" w:eastAsia="宋体" w:cs="宋体"/>
                <w:i w:val="0"/>
                <w:iCs w:val="0"/>
                <w:snapToGrid/>
                <w:color w:val="auto"/>
                <w:kern w:val="2"/>
                <w:sz w:val="21"/>
                <w:szCs w:val="21"/>
                <w:highlight w:val="none"/>
                <w:u w:val="none"/>
                <w:lang w:eastAsia="zh-CN"/>
              </w:rPr>
              <w:t xml:space="preserve"> 仪器检测周期：≤60min；</w:t>
            </w:r>
          </w:p>
          <w:p w14:paraId="1BA93E4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w:t>
            </w: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 xml:space="preserve"> 绝缘阻抗：＞5MΩ；</w:t>
            </w:r>
          </w:p>
          <w:p w14:paraId="52129B9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w:t>
            </w:r>
            <w:r>
              <w:rPr>
                <w:rFonts w:hint="eastAsia" w:ascii="宋体" w:hAnsi="宋体" w:eastAsia="宋体" w:cs="宋体"/>
                <w:i w:val="0"/>
                <w:iCs w:val="0"/>
                <w:snapToGrid/>
                <w:color w:val="auto"/>
                <w:kern w:val="2"/>
                <w:sz w:val="21"/>
                <w:szCs w:val="21"/>
                <w:highlight w:val="none"/>
                <w:u w:val="none"/>
                <w:lang w:val="en-US" w:eastAsia="zh-CN"/>
              </w:rPr>
              <w:t>4</w:t>
            </w:r>
            <w:r>
              <w:rPr>
                <w:rFonts w:hint="eastAsia" w:ascii="宋体" w:hAnsi="宋体" w:eastAsia="宋体" w:cs="宋体"/>
                <w:i w:val="0"/>
                <w:iCs w:val="0"/>
                <w:snapToGrid/>
                <w:color w:val="auto"/>
                <w:kern w:val="2"/>
                <w:sz w:val="21"/>
                <w:szCs w:val="21"/>
                <w:highlight w:val="none"/>
                <w:u w:val="none"/>
                <w:lang w:eastAsia="zh-CN"/>
              </w:rPr>
              <w:t xml:space="preserve"> 数据有效率：≥90%；</w:t>
            </w:r>
          </w:p>
          <w:p w14:paraId="718C9B6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w:t>
            </w:r>
            <w:r>
              <w:rPr>
                <w:rFonts w:hint="eastAsia" w:ascii="宋体" w:hAnsi="宋体" w:eastAsia="宋体" w:cs="宋体"/>
                <w:i w:val="0"/>
                <w:iCs w:val="0"/>
                <w:snapToGrid/>
                <w:color w:val="auto"/>
                <w:kern w:val="2"/>
                <w:sz w:val="21"/>
                <w:szCs w:val="21"/>
                <w:highlight w:val="none"/>
                <w:u w:val="none"/>
                <w:lang w:val="en-US" w:eastAsia="zh-CN"/>
              </w:rPr>
              <w:t>5</w:t>
            </w:r>
            <w:r>
              <w:rPr>
                <w:rFonts w:hint="eastAsia" w:ascii="宋体" w:hAnsi="宋体" w:eastAsia="宋体" w:cs="宋体"/>
                <w:i w:val="0"/>
                <w:iCs w:val="0"/>
                <w:snapToGrid/>
                <w:color w:val="auto"/>
                <w:kern w:val="2"/>
                <w:sz w:val="21"/>
                <w:szCs w:val="21"/>
                <w:highlight w:val="none"/>
                <w:u w:val="none"/>
                <w:lang w:eastAsia="zh-CN"/>
              </w:rPr>
              <w:t xml:space="preserve"> 试剂更换周期：90天≥周期≥31天；</w:t>
            </w:r>
          </w:p>
          <w:p w14:paraId="2E82E4D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w:t>
            </w:r>
            <w:r>
              <w:rPr>
                <w:rFonts w:hint="eastAsia" w:ascii="宋体" w:hAnsi="宋体" w:eastAsia="宋体" w:cs="宋体"/>
                <w:i w:val="0"/>
                <w:iCs w:val="0"/>
                <w:snapToGrid/>
                <w:color w:val="auto"/>
                <w:kern w:val="2"/>
                <w:sz w:val="21"/>
                <w:szCs w:val="21"/>
                <w:highlight w:val="none"/>
                <w:u w:val="none"/>
                <w:lang w:val="en-US" w:eastAsia="zh-CN"/>
              </w:rPr>
              <w:t>6</w:t>
            </w:r>
            <w:r>
              <w:rPr>
                <w:rFonts w:hint="eastAsia" w:ascii="宋体" w:hAnsi="宋体" w:eastAsia="宋体" w:cs="宋体"/>
                <w:i w:val="0"/>
                <w:iCs w:val="0"/>
                <w:snapToGrid/>
                <w:color w:val="auto"/>
                <w:kern w:val="2"/>
                <w:sz w:val="21"/>
                <w:szCs w:val="21"/>
                <w:highlight w:val="none"/>
                <w:u w:val="none"/>
                <w:lang w:eastAsia="zh-CN"/>
              </w:rPr>
              <w:t xml:space="preserve"> 数据存储不少于365天；</w:t>
            </w:r>
          </w:p>
          <w:p w14:paraId="5D4BAD9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w:t>
            </w:r>
            <w:r>
              <w:rPr>
                <w:rFonts w:hint="eastAsia" w:ascii="宋体" w:hAnsi="宋体" w:eastAsia="宋体" w:cs="宋体"/>
                <w:i w:val="0"/>
                <w:iCs w:val="0"/>
                <w:snapToGrid/>
                <w:color w:val="auto"/>
                <w:kern w:val="2"/>
                <w:sz w:val="21"/>
                <w:szCs w:val="21"/>
                <w:highlight w:val="none"/>
                <w:u w:val="none"/>
                <w:lang w:val="en-US" w:eastAsia="zh-CN"/>
              </w:rPr>
              <w:t>7</w:t>
            </w:r>
            <w:r>
              <w:rPr>
                <w:rFonts w:hint="eastAsia" w:ascii="宋体" w:hAnsi="宋体" w:eastAsia="宋体" w:cs="宋体"/>
                <w:i w:val="0"/>
                <w:iCs w:val="0"/>
                <w:snapToGrid/>
                <w:color w:val="auto"/>
                <w:kern w:val="2"/>
                <w:sz w:val="21"/>
                <w:szCs w:val="21"/>
                <w:highlight w:val="none"/>
                <w:u w:val="none"/>
                <w:lang w:eastAsia="zh-CN"/>
              </w:rPr>
              <w:t xml:space="preserve"> 具有异常信息记录、上传功能，包括部件故障、超标报警、缺试剂报警等信息；</w:t>
            </w:r>
          </w:p>
          <w:p w14:paraId="0A71F04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w:t>
            </w:r>
            <w:r>
              <w:rPr>
                <w:rFonts w:hint="eastAsia" w:ascii="宋体" w:hAnsi="宋体" w:eastAsia="宋体" w:cs="宋体"/>
                <w:i w:val="0"/>
                <w:iCs w:val="0"/>
                <w:snapToGrid/>
                <w:color w:val="auto"/>
                <w:kern w:val="2"/>
                <w:sz w:val="21"/>
                <w:szCs w:val="21"/>
                <w:highlight w:val="none"/>
                <w:u w:val="none"/>
                <w:lang w:val="en-US" w:eastAsia="zh-CN"/>
              </w:rPr>
              <w:t>8</w:t>
            </w:r>
            <w:r>
              <w:rPr>
                <w:rFonts w:hint="eastAsia" w:ascii="宋体" w:hAnsi="宋体" w:eastAsia="宋体" w:cs="宋体"/>
                <w:i w:val="0"/>
                <w:iCs w:val="0"/>
                <w:snapToGrid/>
                <w:color w:val="auto"/>
                <w:kern w:val="2"/>
                <w:sz w:val="21"/>
                <w:szCs w:val="21"/>
                <w:highlight w:val="none"/>
                <w:u w:val="none"/>
                <w:lang w:eastAsia="zh-CN"/>
              </w:rPr>
              <w:t xml:space="preserve"> 具有浊度干扰自动补偿功能；</w:t>
            </w:r>
          </w:p>
          <w:p w14:paraId="18B4B48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w:t>
            </w:r>
            <w:r>
              <w:rPr>
                <w:rFonts w:hint="eastAsia" w:ascii="宋体" w:hAnsi="宋体" w:eastAsia="宋体" w:cs="宋体"/>
                <w:i w:val="0"/>
                <w:iCs w:val="0"/>
                <w:snapToGrid/>
                <w:color w:val="auto"/>
                <w:kern w:val="2"/>
                <w:sz w:val="21"/>
                <w:szCs w:val="21"/>
                <w:highlight w:val="none"/>
                <w:u w:val="none"/>
                <w:lang w:val="en-US" w:eastAsia="zh-CN"/>
              </w:rPr>
              <w:t>9</w:t>
            </w:r>
            <w:r>
              <w:rPr>
                <w:rFonts w:hint="eastAsia" w:ascii="宋体" w:hAnsi="宋体" w:eastAsia="宋体" w:cs="宋体"/>
                <w:i w:val="0"/>
                <w:iCs w:val="0"/>
                <w:snapToGrid/>
                <w:color w:val="auto"/>
                <w:kern w:val="2"/>
                <w:sz w:val="21"/>
                <w:szCs w:val="21"/>
                <w:highlight w:val="none"/>
                <w:u w:val="none"/>
                <w:lang w:eastAsia="zh-CN"/>
              </w:rPr>
              <w:t xml:space="preserve"> 具有RS-232/485、传输控制协议/网际协议（TCP/IP）等标准通讯接口；</w:t>
            </w:r>
          </w:p>
          <w:p w14:paraId="664259B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2.1</w:t>
            </w:r>
            <w:r>
              <w:rPr>
                <w:rFonts w:hint="eastAsia" w:ascii="宋体" w:hAnsi="宋体" w:eastAsia="宋体" w:cs="宋体"/>
                <w:i w:val="0"/>
                <w:iCs w:val="0"/>
                <w:snapToGrid/>
                <w:color w:val="auto"/>
                <w:kern w:val="2"/>
                <w:sz w:val="21"/>
                <w:szCs w:val="21"/>
                <w:highlight w:val="none"/>
                <w:u w:val="none"/>
                <w:lang w:val="en-US" w:eastAsia="zh-CN"/>
              </w:rPr>
              <w:t>0</w:t>
            </w:r>
            <w:r>
              <w:rPr>
                <w:rFonts w:hint="eastAsia" w:ascii="宋体" w:hAnsi="宋体" w:eastAsia="宋体" w:cs="宋体"/>
                <w:i w:val="0"/>
                <w:iCs w:val="0"/>
                <w:snapToGrid/>
                <w:color w:val="auto"/>
                <w:kern w:val="2"/>
                <w:sz w:val="21"/>
                <w:szCs w:val="21"/>
                <w:highlight w:val="none"/>
                <w:u w:val="none"/>
                <w:lang w:eastAsia="zh-CN"/>
              </w:rPr>
              <w:t xml:space="preserve"> 具有自动开展低浓度和高浓度标样核查、空白校准、标样校准等功能；</w:t>
            </w:r>
          </w:p>
          <w:p w14:paraId="2F8A85C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2.1</w:t>
            </w:r>
            <w:r>
              <w:rPr>
                <w:rFonts w:hint="eastAsia" w:ascii="宋体" w:hAnsi="宋体" w:eastAsia="宋体" w:cs="宋体"/>
                <w:i w:val="0"/>
                <w:iCs w:val="0"/>
                <w:snapToGrid/>
                <w:color w:val="auto"/>
                <w:kern w:val="2"/>
                <w:sz w:val="21"/>
                <w:szCs w:val="21"/>
                <w:highlight w:val="none"/>
                <w:u w:val="none"/>
                <w:lang w:val="en-US" w:eastAsia="zh-CN"/>
              </w:rPr>
              <w:t>1</w:t>
            </w:r>
            <w:r>
              <w:rPr>
                <w:rFonts w:hint="eastAsia" w:ascii="宋体" w:hAnsi="宋体" w:eastAsia="宋体" w:cs="宋体"/>
                <w:i w:val="0"/>
                <w:iCs w:val="0"/>
                <w:snapToGrid/>
                <w:color w:val="auto"/>
                <w:kern w:val="2"/>
                <w:sz w:val="21"/>
                <w:szCs w:val="21"/>
                <w:highlight w:val="none"/>
                <w:u w:val="none"/>
                <w:lang w:eastAsia="zh-CN"/>
              </w:rPr>
              <w:t>具有量程切换功能；</w:t>
            </w:r>
          </w:p>
          <w:p w14:paraId="29C7907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2.1</w:t>
            </w:r>
            <w:r>
              <w:rPr>
                <w:rFonts w:hint="eastAsia" w:ascii="宋体" w:hAnsi="宋体" w:eastAsia="宋体" w:cs="宋体"/>
                <w:i w:val="0"/>
                <w:iCs w:val="0"/>
                <w:snapToGrid/>
                <w:color w:val="auto"/>
                <w:kern w:val="2"/>
                <w:sz w:val="21"/>
                <w:szCs w:val="21"/>
                <w:highlight w:val="none"/>
                <w:u w:val="none"/>
                <w:lang w:val="en-US" w:eastAsia="zh-CN"/>
              </w:rPr>
              <w:t>2</w:t>
            </w:r>
            <w:r>
              <w:rPr>
                <w:rFonts w:hint="eastAsia" w:ascii="宋体" w:hAnsi="宋体" w:eastAsia="宋体" w:cs="宋体"/>
                <w:i w:val="0"/>
                <w:iCs w:val="0"/>
                <w:snapToGrid/>
                <w:color w:val="auto"/>
                <w:kern w:val="2"/>
                <w:sz w:val="21"/>
                <w:szCs w:val="21"/>
                <w:highlight w:val="none"/>
                <w:u w:val="none"/>
                <w:lang w:eastAsia="zh-CN"/>
              </w:rPr>
              <w:t>具有过程日志记录功能；</w:t>
            </w:r>
          </w:p>
          <w:p w14:paraId="3160FF4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2.1</w:t>
            </w: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 xml:space="preserve"> 具有远程参数设置、远程质控、远程启动测量、远程调阅设备运行日志等功能；按照设定周期或远程接受指令，实现水质自动分析仪器进行标样自动核查、自动加标回收率测试、自动多点线性核查、盲样考核等质控功能以及在异常情况下自动留样功能。</w:t>
            </w:r>
          </w:p>
          <w:p w14:paraId="2BDDE6A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cs="宋体"/>
                <w:b w:val="0"/>
                <w:bCs w:val="0"/>
                <w:color w:val="auto"/>
                <w:szCs w:val="21"/>
                <w:highlight w:val="none"/>
                <w:lang w:bidi="ar"/>
              </w:rPr>
              <w:t>总氮</w:t>
            </w:r>
          </w:p>
          <w:p w14:paraId="5872FF0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3.1</w:t>
            </w:r>
            <w:r>
              <w:rPr>
                <w:rFonts w:hint="eastAsia" w:ascii="宋体" w:hAnsi="宋体" w:eastAsia="宋体" w:cs="宋体"/>
                <w:i w:val="0"/>
                <w:iCs w:val="0"/>
                <w:snapToGrid/>
                <w:color w:val="auto"/>
                <w:kern w:val="2"/>
                <w:sz w:val="21"/>
                <w:szCs w:val="21"/>
                <w:highlight w:val="none"/>
                <w:u w:val="none"/>
                <w:lang w:eastAsia="zh-CN"/>
              </w:rPr>
              <w:t>分析方法：碱性过硫酸钾消解紫外分光光度法/碱性过硫酸钾消解-NED比色法；</w:t>
            </w:r>
          </w:p>
          <w:p w14:paraId="1565DA7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3.2</w:t>
            </w:r>
            <w:r>
              <w:rPr>
                <w:rFonts w:hint="eastAsia" w:ascii="宋体" w:hAnsi="宋体" w:eastAsia="宋体" w:cs="宋体"/>
                <w:i w:val="0"/>
                <w:iCs w:val="0"/>
                <w:snapToGrid/>
                <w:color w:val="auto"/>
                <w:kern w:val="2"/>
                <w:sz w:val="21"/>
                <w:szCs w:val="21"/>
                <w:highlight w:val="none"/>
                <w:u w:val="none"/>
                <w:lang w:eastAsia="zh-CN"/>
              </w:rPr>
              <w:t xml:space="preserve"> 技术指标：</w:t>
            </w:r>
          </w:p>
          <w:p w14:paraId="4F6CB03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3.2</w:t>
            </w:r>
            <w:r>
              <w:rPr>
                <w:rFonts w:hint="eastAsia" w:ascii="宋体" w:hAnsi="宋体" w:eastAsia="宋体" w:cs="宋体"/>
                <w:i w:val="0"/>
                <w:iCs w:val="0"/>
                <w:snapToGrid/>
                <w:color w:val="auto"/>
                <w:kern w:val="2"/>
                <w:sz w:val="21"/>
                <w:szCs w:val="21"/>
                <w:highlight w:val="none"/>
                <w:u w:val="none"/>
                <w:lang w:eastAsia="zh-CN"/>
              </w:rPr>
              <w:t>.1 测定范围:0～50mg/L（可扩展）；</w:t>
            </w:r>
          </w:p>
          <w:p w14:paraId="1343A98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3.2</w:t>
            </w:r>
            <w:r>
              <w:rPr>
                <w:rFonts w:hint="eastAsia" w:ascii="宋体" w:hAnsi="宋体" w:eastAsia="宋体" w:cs="宋体"/>
                <w:i w:val="0"/>
                <w:iCs w:val="0"/>
                <w:snapToGrid/>
                <w:color w:val="auto"/>
                <w:kern w:val="2"/>
                <w:sz w:val="21"/>
                <w:szCs w:val="21"/>
                <w:highlight w:val="none"/>
                <w:u w:val="none"/>
                <w:lang w:eastAsia="zh-CN"/>
              </w:rPr>
              <w:t>.2  重复性:≤3%；</w:t>
            </w:r>
          </w:p>
          <w:p w14:paraId="50E1F9D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3.2</w:t>
            </w:r>
            <w:r>
              <w:rPr>
                <w:rFonts w:hint="eastAsia" w:ascii="宋体" w:hAnsi="宋体" w:eastAsia="宋体" w:cs="宋体"/>
                <w:i w:val="0"/>
                <w:iCs w:val="0"/>
                <w:snapToGrid/>
                <w:color w:val="auto"/>
                <w:kern w:val="2"/>
                <w:sz w:val="21"/>
                <w:szCs w:val="21"/>
                <w:highlight w:val="none"/>
                <w:u w:val="none"/>
                <w:lang w:eastAsia="zh-CN"/>
              </w:rPr>
              <w:t>.3 零点漂移:≤±5%F.S.；</w:t>
            </w:r>
          </w:p>
          <w:p w14:paraId="129FCA8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w:t>
            </w:r>
            <w:r>
              <w:rPr>
                <w:rFonts w:hint="eastAsia" w:ascii="宋体" w:hAnsi="宋体" w:eastAsia="宋体" w:cs="宋体"/>
                <w:i w:val="0"/>
                <w:iCs w:val="0"/>
                <w:snapToGrid/>
                <w:color w:val="auto"/>
                <w:kern w:val="2"/>
                <w:sz w:val="21"/>
                <w:szCs w:val="21"/>
                <w:highlight w:val="none"/>
                <w:u w:val="none"/>
                <w:lang w:val="en-US" w:eastAsia="zh-CN"/>
              </w:rPr>
              <w:t>3.2</w:t>
            </w:r>
            <w:r>
              <w:rPr>
                <w:rFonts w:hint="eastAsia" w:ascii="宋体" w:hAnsi="宋体" w:eastAsia="宋体" w:cs="宋体"/>
                <w:i w:val="0"/>
                <w:iCs w:val="0"/>
                <w:snapToGrid/>
                <w:color w:val="auto"/>
                <w:kern w:val="2"/>
                <w:sz w:val="21"/>
                <w:szCs w:val="21"/>
                <w:highlight w:val="none"/>
                <w:u w:val="none"/>
                <w:lang w:eastAsia="zh-CN"/>
              </w:rPr>
              <w:t>.4 量程漂移:≤±10%F.S.【</w:t>
            </w:r>
            <w:r>
              <w:rPr>
                <w:rFonts w:hint="eastAsia" w:ascii="宋体" w:hAnsi="宋体" w:eastAsia="宋体" w:cs="宋体"/>
                <w:b/>
                <w:bCs/>
                <w:i w:val="0"/>
                <w:iCs w:val="0"/>
                <w:snapToGrid/>
                <w:color w:val="auto"/>
                <w:kern w:val="2"/>
                <w:sz w:val="21"/>
                <w:szCs w:val="21"/>
                <w:highlight w:val="none"/>
                <w:u w:val="none"/>
                <w:lang w:eastAsia="zh-CN"/>
              </w:rPr>
              <w:t>竞标时需提供相关证明材料（包括但不限于彩页、官网和功能截图），并加盖供应商单位公章，否则竞标无效。</w:t>
            </w:r>
            <w:r>
              <w:rPr>
                <w:rFonts w:hint="eastAsia" w:ascii="宋体" w:hAnsi="宋体" w:eastAsia="宋体" w:cs="宋体"/>
                <w:i w:val="0"/>
                <w:iCs w:val="0"/>
                <w:snapToGrid/>
                <w:color w:val="auto"/>
                <w:kern w:val="2"/>
                <w:sz w:val="21"/>
                <w:szCs w:val="21"/>
                <w:highlight w:val="none"/>
                <w:u w:val="none"/>
                <w:lang w:eastAsia="zh-CN"/>
              </w:rPr>
              <w:t>】</w:t>
            </w:r>
          </w:p>
          <w:p w14:paraId="08DE883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3.3</w:t>
            </w:r>
            <w:r>
              <w:rPr>
                <w:rFonts w:hint="eastAsia" w:ascii="宋体" w:hAnsi="宋体" w:eastAsia="宋体" w:cs="宋体"/>
                <w:i w:val="0"/>
                <w:iCs w:val="0"/>
                <w:snapToGrid/>
                <w:color w:val="auto"/>
                <w:kern w:val="2"/>
                <w:sz w:val="21"/>
                <w:szCs w:val="21"/>
                <w:highlight w:val="none"/>
                <w:u w:val="none"/>
                <w:lang w:eastAsia="zh-CN"/>
              </w:rPr>
              <w:t>质量控制指标</w:t>
            </w:r>
          </w:p>
          <w:p w14:paraId="19F8598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3.3</w:t>
            </w:r>
            <w:r>
              <w:rPr>
                <w:rFonts w:hint="eastAsia" w:ascii="宋体" w:hAnsi="宋体" w:eastAsia="宋体" w:cs="宋体"/>
                <w:i w:val="0"/>
                <w:iCs w:val="0"/>
                <w:snapToGrid/>
                <w:color w:val="auto"/>
                <w:kern w:val="2"/>
                <w:sz w:val="21"/>
                <w:szCs w:val="21"/>
                <w:highlight w:val="none"/>
                <w:u w:val="none"/>
                <w:lang w:eastAsia="zh-CN"/>
              </w:rPr>
              <w:t>.1 正确度：±10%以内；</w:t>
            </w:r>
          </w:p>
          <w:p w14:paraId="72DCF83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3.3</w:t>
            </w:r>
            <w:r>
              <w:rPr>
                <w:rFonts w:hint="eastAsia" w:ascii="宋体" w:hAnsi="宋体" w:eastAsia="宋体" w:cs="宋体"/>
                <w:i w:val="0"/>
                <w:iCs w:val="0"/>
                <w:snapToGrid/>
                <w:color w:val="auto"/>
                <w:kern w:val="2"/>
                <w:sz w:val="21"/>
                <w:szCs w:val="21"/>
                <w:highlight w:val="none"/>
                <w:u w:val="none"/>
                <w:lang w:eastAsia="zh-CN"/>
              </w:rPr>
              <w:t>.2 精密度：≤5%；</w:t>
            </w:r>
          </w:p>
          <w:p w14:paraId="606238F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3.3</w:t>
            </w:r>
            <w:r>
              <w:rPr>
                <w:rFonts w:hint="eastAsia" w:ascii="宋体" w:hAnsi="宋体" w:eastAsia="宋体" w:cs="宋体"/>
                <w:i w:val="0"/>
                <w:iCs w:val="0"/>
                <w:snapToGrid/>
                <w:color w:val="auto"/>
                <w:kern w:val="2"/>
                <w:sz w:val="21"/>
                <w:szCs w:val="21"/>
                <w:highlight w:val="none"/>
                <w:u w:val="none"/>
                <w:lang w:eastAsia="zh-CN"/>
              </w:rPr>
              <w:t xml:space="preserve">.3 检出限：≤0.05mg/L； </w:t>
            </w:r>
          </w:p>
          <w:p w14:paraId="744D5EF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3.3</w:t>
            </w:r>
            <w:r>
              <w:rPr>
                <w:rFonts w:hint="eastAsia" w:ascii="宋体" w:hAnsi="宋体" w:eastAsia="宋体" w:cs="宋体"/>
                <w:i w:val="0"/>
                <w:iCs w:val="0"/>
                <w:snapToGrid/>
                <w:color w:val="auto"/>
                <w:kern w:val="2"/>
                <w:sz w:val="21"/>
                <w:szCs w:val="21"/>
                <w:highlight w:val="none"/>
                <w:u w:val="none"/>
                <w:lang w:eastAsia="zh-CN"/>
              </w:rPr>
              <w:t>.4 标准曲线：</w:t>
            </w:r>
          </w:p>
          <w:p w14:paraId="2727080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（a）零点示值误差±0.3mg/L以内；</w:t>
            </w:r>
          </w:p>
          <w:p w14:paraId="66A24C1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（b）其他点示值误差±10%以内；</w:t>
            </w:r>
          </w:p>
          <w:p w14:paraId="635CFD4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（c）直线相关系数≥0.998；</w:t>
            </w:r>
          </w:p>
          <w:p w14:paraId="299BE79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3.3</w:t>
            </w:r>
            <w:r>
              <w:rPr>
                <w:rFonts w:hint="eastAsia" w:ascii="宋体" w:hAnsi="宋体" w:eastAsia="宋体" w:cs="宋体"/>
                <w:i w:val="0"/>
                <w:iCs w:val="0"/>
                <w:snapToGrid/>
                <w:color w:val="auto"/>
                <w:kern w:val="2"/>
                <w:sz w:val="21"/>
                <w:szCs w:val="21"/>
                <w:highlight w:val="none"/>
                <w:u w:val="none"/>
                <w:lang w:eastAsia="zh-CN"/>
              </w:rPr>
              <w:t>.5 实际水样比对试验误差：（B为GB3838规定的水质类别限值）</w:t>
            </w:r>
          </w:p>
          <w:p w14:paraId="7AB8C75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（a）实验室分析结果&gt;BⅣ时，相对误差≤20%；</w:t>
            </w:r>
          </w:p>
          <w:p w14:paraId="2659534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（b）BⅡ&lt;实验室分析结果≤BⅣ时，相对误差≤30%；</w:t>
            </w:r>
          </w:p>
          <w:p w14:paraId="6E89A38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（c）实验室分析结果≤BⅡ时，相对误差≤40%；</w:t>
            </w:r>
          </w:p>
          <w:p w14:paraId="12B3C00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除湖库总磷外,当自动监测结果和实验室分析结果均低于BⅡ时,认定比对实验结果合格。当湖库总磷自动监测结果和实验室分析结果均低于BⅢ时,认定比对实验结果合格；</w:t>
            </w:r>
          </w:p>
          <w:p w14:paraId="00B2AF8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3.3</w:t>
            </w:r>
            <w:r>
              <w:rPr>
                <w:rFonts w:hint="eastAsia" w:ascii="宋体" w:hAnsi="宋体" w:eastAsia="宋体" w:cs="宋体"/>
                <w:i w:val="0"/>
                <w:iCs w:val="0"/>
                <w:snapToGrid/>
                <w:color w:val="auto"/>
                <w:kern w:val="2"/>
                <w:sz w:val="21"/>
                <w:szCs w:val="21"/>
                <w:highlight w:val="none"/>
                <w:u w:val="none"/>
                <w:lang w:eastAsia="zh-CN"/>
              </w:rPr>
              <w:t>.6 标准溶液核查：</w:t>
            </w:r>
          </w:p>
          <w:p w14:paraId="0F2AF7C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（a）零点核查误差：±0.3mg/L以内；</w:t>
            </w:r>
          </w:p>
          <w:p w14:paraId="43A946A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（b）20%F.S．以内低浓度核查误差：≤±0.3mg/L（Ⅰ～Ⅲ类水），或≤±5%标样核查上限值（Ⅳ～劣Ⅴ类水）；</w:t>
            </w:r>
          </w:p>
          <w:p w14:paraId="6DCD442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（c）其它核查浓度相对误差：≤±10%；</w:t>
            </w:r>
          </w:p>
          <w:p w14:paraId="2781CBE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3.3</w:t>
            </w:r>
            <w:r>
              <w:rPr>
                <w:rFonts w:hint="eastAsia" w:ascii="宋体" w:hAnsi="宋体" w:eastAsia="宋体" w:cs="宋体"/>
                <w:i w:val="0"/>
                <w:iCs w:val="0"/>
                <w:snapToGrid/>
                <w:color w:val="auto"/>
                <w:kern w:val="2"/>
                <w:sz w:val="21"/>
                <w:szCs w:val="21"/>
                <w:highlight w:val="none"/>
                <w:u w:val="none"/>
                <w:lang w:eastAsia="zh-CN"/>
              </w:rPr>
              <w:t>.7 核查浓度漂移：</w:t>
            </w:r>
          </w:p>
          <w:p w14:paraId="04A0BDB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（a）24h低浓度（20%F.S．以内）核查浓度漂移：≤±5%；</w:t>
            </w:r>
          </w:p>
          <w:p w14:paraId="122574E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cs="宋体"/>
                <w:color w:val="auto"/>
                <w:szCs w:val="21"/>
                <w:highlight w:val="none"/>
                <w:lang w:bidi="ar"/>
              </w:rPr>
              <w:t>（b）</w:t>
            </w:r>
            <w:r>
              <w:rPr>
                <w:rFonts w:hint="eastAsia" w:ascii="宋体" w:hAnsi="宋体" w:eastAsia="宋体" w:cs="宋体"/>
                <w:i w:val="0"/>
                <w:iCs w:val="0"/>
                <w:snapToGrid/>
                <w:color w:val="auto"/>
                <w:kern w:val="2"/>
                <w:sz w:val="21"/>
                <w:szCs w:val="21"/>
                <w:highlight w:val="none"/>
                <w:u w:val="none"/>
                <w:lang w:eastAsia="zh-CN"/>
              </w:rPr>
              <w:t>24h其他核查浓度漂移：≤±10%；</w:t>
            </w:r>
          </w:p>
          <w:p w14:paraId="0532034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3.3</w:t>
            </w:r>
            <w:r>
              <w:rPr>
                <w:rFonts w:hint="eastAsia" w:ascii="宋体" w:hAnsi="宋体" w:eastAsia="宋体" w:cs="宋体"/>
                <w:i w:val="0"/>
                <w:iCs w:val="0"/>
                <w:snapToGrid/>
                <w:color w:val="auto"/>
                <w:kern w:val="2"/>
                <w:sz w:val="21"/>
                <w:szCs w:val="21"/>
                <w:highlight w:val="none"/>
                <w:u w:val="none"/>
                <w:lang w:eastAsia="zh-CN"/>
              </w:rPr>
              <w:t>.</w:t>
            </w:r>
            <w:r>
              <w:rPr>
                <w:rFonts w:hint="eastAsia" w:ascii="宋体" w:hAnsi="宋体" w:eastAsia="宋体" w:cs="宋体"/>
                <w:i w:val="0"/>
                <w:iCs w:val="0"/>
                <w:snapToGrid/>
                <w:color w:val="auto"/>
                <w:kern w:val="2"/>
                <w:sz w:val="21"/>
                <w:szCs w:val="21"/>
                <w:highlight w:val="none"/>
                <w:u w:val="none"/>
                <w:lang w:val="en-US" w:eastAsia="zh-CN"/>
              </w:rPr>
              <w:t>8</w:t>
            </w:r>
            <w:r>
              <w:rPr>
                <w:rFonts w:hint="eastAsia" w:ascii="宋体" w:hAnsi="宋体" w:eastAsia="宋体" w:cs="宋体"/>
                <w:i w:val="0"/>
                <w:iCs w:val="0"/>
                <w:snapToGrid/>
                <w:color w:val="auto"/>
                <w:kern w:val="2"/>
                <w:sz w:val="21"/>
                <w:szCs w:val="21"/>
                <w:highlight w:val="none"/>
                <w:u w:val="none"/>
                <w:lang w:eastAsia="zh-CN"/>
              </w:rPr>
              <w:t>加标回收率：80%～120%。</w:t>
            </w: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648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台</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A5C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2</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396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60000</w:t>
            </w:r>
          </w:p>
        </w:tc>
        <w:tc>
          <w:tcPr>
            <w:tcW w:w="1101" w:type="dxa"/>
            <w:tcBorders>
              <w:top w:val="single" w:color="000000" w:sz="4" w:space="0"/>
              <w:left w:val="single" w:color="000000" w:sz="4" w:space="0"/>
              <w:bottom w:val="single" w:color="000000" w:sz="4" w:space="0"/>
              <w:right w:val="single" w:color="auto" w:sz="4" w:space="0"/>
            </w:tcBorders>
            <w:shd w:val="clear" w:color="auto" w:fill="auto"/>
            <w:vAlign w:val="center"/>
          </w:tcPr>
          <w:p w14:paraId="1B0E69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120000</w:t>
            </w:r>
          </w:p>
        </w:tc>
      </w:tr>
      <w:tr w14:paraId="78595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9271" w:type="dxa"/>
            <w:gridSpan w:val="7"/>
            <w:tcBorders>
              <w:top w:val="single" w:color="000000" w:sz="4" w:space="0"/>
              <w:left w:val="single" w:color="000000" w:sz="4" w:space="0"/>
              <w:bottom w:val="single" w:color="000000" w:sz="4" w:space="0"/>
              <w:right w:val="single" w:color="auto" w:sz="4" w:space="0"/>
            </w:tcBorders>
            <w:shd w:val="clear" w:color="auto" w:fill="auto"/>
            <w:vAlign w:val="center"/>
          </w:tcPr>
          <w:p w14:paraId="3D59C7A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b/>
                <w:bCs/>
                <w:i w:val="0"/>
                <w:iCs w:val="0"/>
                <w:snapToGrid/>
                <w:color w:val="auto"/>
                <w:kern w:val="2"/>
                <w:sz w:val="21"/>
                <w:szCs w:val="21"/>
                <w:highlight w:val="none"/>
                <w:u w:val="none"/>
                <w:lang w:eastAsia="zh-CN"/>
              </w:rPr>
              <w:t>二、集成部分</w:t>
            </w:r>
          </w:p>
        </w:tc>
      </w:tr>
      <w:tr w14:paraId="0864D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57" w:hRule="atLeast"/>
        </w:trPr>
        <w:tc>
          <w:tcPr>
            <w:tcW w:w="9271" w:type="dxa"/>
            <w:gridSpan w:val="7"/>
            <w:tcBorders>
              <w:top w:val="single" w:color="000000" w:sz="4" w:space="0"/>
              <w:left w:val="single" w:color="000000" w:sz="4" w:space="0"/>
              <w:bottom w:val="single" w:color="000000" w:sz="4" w:space="0"/>
              <w:right w:val="single" w:color="auto" w:sz="4" w:space="0"/>
            </w:tcBorders>
            <w:shd w:val="clear" w:color="auto" w:fill="auto"/>
            <w:vAlign w:val="center"/>
          </w:tcPr>
          <w:p w14:paraId="5C4B3F9D">
            <w:pPr>
              <w:keepNext w:val="0"/>
              <w:keepLines w:val="0"/>
              <w:pageBreakBefore w:val="0"/>
              <w:widowControl/>
              <w:numPr>
                <w:ilvl w:val="0"/>
                <w:numId w:val="1"/>
              </w:numPr>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bCs/>
                <w:i w:val="0"/>
                <w:iCs w:val="0"/>
                <w:snapToGrid/>
                <w:color w:val="auto"/>
                <w:kern w:val="0"/>
                <w:sz w:val="21"/>
                <w:szCs w:val="21"/>
                <w:highlight w:val="none"/>
                <w:u w:val="none"/>
                <w:lang w:val="en-US" w:eastAsia="zh-CN" w:bidi="ar"/>
              </w:rPr>
            </w:pPr>
            <w:r>
              <w:rPr>
                <w:rFonts w:hint="eastAsia" w:ascii="宋体" w:hAnsi="宋体" w:eastAsia="宋体" w:cs="宋体"/>
                <w:b/>
                <w:bCs/>
                <w:i w:val="0"/>
                <w:iCs w:val="0"/>
                <w:snapToGrid/>
                <w:color w:val="auto"/>
                <w:kern w:val="0"/>
                <w:sz w:val="21"/>
                <w:szCs w:val="21"/>
                <w:highlight w:val="none"/>
                <w:u w:val="none"/>
                <w:lang w:val="en-US" w:eastAsia="zh-CN" w:bidi="ar"/>
              </w:rPr>
              <w:t>集成部分</w:t>
            </w:r>
          </w:p>
          <w:p w14:paraId="53552569">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bCs/>
                <w:i w:val="0"/>
                <w:iCs w:val="0"/>
                <w:snapToGrid/>
                <w:color w:val="auto"/>
                <w:kern w:val="2"/>
                <w:sz w:val="21"/>
                <w:szCs w:val="21"/>
                <w:highlight w:val="none"/>
                <w:u w:val="none"/>
                <w:lang w:eastAsia="zh-CN"/>
              </w:rPr>
            </w:pPr>
            <w:r>
              <w:rPr>
                <w:rFonts w:hint="eastAsia" w:ascii="宋体" w:hAnsi="宋体" w:eastAsia="宋体" w:cs="宋体"/>
                <w:b/>
                <w:bCs/>
                <w:i w:val="0"/>
                <w:iCs w:val="0"/>
                <w:snapToGrid/>
                <w:color w:val="auto"/>
                <w:kern w:val="2"/>
                <w:sz w:val="21"/>
                <w:szCs w:val="21"/>
                <w:highlight w:val="none"/>
                <w:u w:val="none"/>
                <w:lang w:eastAsia="zh-CN"/>
              </w:rPr>
              <w:t>1 通用技术要求</w:t>
            </w:r>
          </w:p>
          <w:p w14:paraId="5DC5F45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1.1具有仪器及系统运行周期（连续或间歇）设置功能，至少具备常规、应急、质控等多种运行模式。</w:t>
            </w:r>
          </w:p>
          <w:p w14:paraId="15E3353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1.2 系统集成管路具备断电再度通电后自动排空水样、自动清洗管路、自动复位到待机状态的功能。</w:t>
            </w:r>
          </w:p>
          <w:p w14:paraId="4925F13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1.3 具有异常信息记录、上传功能，如采水故障、部件故障、超量程报警、超标报警、缺试剂报警、仪器内部异常报警（电极异常、光源异常等）信息，对系统过程的关键节点有记录，满足系统数据溯源的要求。</w:t>
            </w:r>
          </w:p>
          <w:p w14:paraId="257D095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1.4 具有仪器关键参数上传、远程设置功能，能接受远程控制指令。</w:t>
            </w:r>
          </w:p>
          <w:p w14:paraId="55622C4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bCs/>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▲1.5 能够按照设定周期或远程接受指令，实现五参数分析仪器进行自动标样核查及校准，高锰酸盐指数、氨氮、总磷和总氮水质自动分析仪器进行标样自动核查、自动加标回收率测试、多点线性核查等质控功能以及在异常情况下自动留样功能。【</w:t>
            </w:r>
            <w:r>
              <w:rPr>
                <w:rFonts w:hint="eastAsia" w:ascii="宋体" w:hAnsi="宋体" w:eastAsia="宋体" w:cs="宋体"/>
                <w:b/>
                <w:bCs/>
                <w:i w:val="0"/>
                <w:iCs w:val="0"/>
                <w:snapToGrid/>
                <w:color w:val="auto"/>
                <w:kern w:val="2"/>
                <w:sz w:val="21"/>
                <w:szCs w:val="21"/>
                <w:highlight w:val="none"/>
                <w:u w:val="none"/>
                <w:lang w:eastAsia="zh-CN"/>
              </w:rPr>
              <w:t>竞标时需提供该功能的相关证明材料，包括但不限于彩页、官网和功能截图等并加盖供应商单位公章。】</w:t>
            </w:r>
          </w:p>
          <w:p w14:paraId="4D5A91D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1.6 确保仪器、系统运行的监测数据和状态信息等稳定传输。</w:t>
            </w:r>
          </w:p>
          <w:p w14:paraId="1CEA20D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1.7 系统应具有良好的扩展性和兼容性，根据实际应用需要，可增加新的监测参数，并方便仪器安装与接入。</w:t>
            </w:r>
          </w:p>
          <w:p w14:paraId="5190875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1.8 控制单元具有三级管理权限，根据登录用户的权限，调取权限范围内的操作功能，如查看数据、参数设置、网络设置、单点控制等，并同步记录所有操作日志；</w:t>
            </w:r>
          </w:p>
          <w:p w14:paraId="7A540E6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1.9 所选管材机械强度及化学稳定性好、使用寿命长、便于安装维护，不会对水质造成影响；管路内径、压力、流量、流速满足仪器分析需要，并留有余量。</w:t>
            </w:r>
          </w:p>
          <w:p w14:paraId="7645FFC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1.10 具有水样预处理功能，满足仪器分析测试需要；</w:t>
            </w:r>
          </w:p>
          <w:p w14:paraId="4CAD057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1.11 针对不同水质情况（浊度、泥沙、色度等），控制系统满足复杂水样的监测要求，具有抗浊度模式、抗色度模式、抗泥沙模式等，并可一键配置，还可以灵活修改配置PLC的流程参数（如采水时间、沉降时间、清洗时间等）；</w:t>
            </w:r>
          </w:p>
          <w:p w14:paraId="7513FEA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1.12 具有良好的防雷抗干扰能力，符合抗电磁辐射、电磁感应的相关规定，具备电源隔离和信号隔离措施。可提供水站运行的点位软件及可视化监控界面，并支持画面手动控制、参数设置、数据和报表显示，历史数据检索等功能；</w:t>
            </w:r>
          </w:p>
          <w:p w14:paraId="120FB5D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1.13 集成系统需能连接智慧化站房，采集汇聚的多源数据，选定数据策略，开展高通量数据传输、数据接入、数据存储、数据监控、数据处理、数据挖掘、数据更新、数据共享服务和运维管理，构建统一数据资源管理、统一数据目录管理、统一数据共享交换能力，实现对内进行数据治理整合，对外进行数据获取和共享交换，全面支撑对智慧监管工作。</w:t>
            </w:r>
          </w:p>
          <w:p w14:paraId="51E97BD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bCs/>
                <w:i w:val="0"/>
                <w:iCs w:val="0"/>
                <w:snapToGrid/>
                <w:color w:val="auto"/>
                <w:kern w:val="2"/>
                <w:sz w:val="21"/>
                <w:szCs w:val="21"/>
                <w:highlight w:val="none"/>
                <w:u w:val="none"/>
                <w:lang w:eastAsia="zh-CN"/>
              </w:rPr>
            </w:pPr>
            <w:r>
              <w:rPr>
                <w:rFonts w:hint="eastAsia" w:ascii="宋体" w:hAnsi="宋体" w:eastAsia="宋体" w:cs="宋体"/>
                <w:b/>
                <w:bCs/>
                <w:i w:val="0"/>
                <w:iCs w:val="0"/>
                <w:snapToGrid/>
                <w:color w:val="auto"/>
                <w:kern w:val="2"/>
                <w:sz w:val="21"/>
                <w:szCs w:val="21"/>
                <w:highlight w:val="none"/>
                <w:u w:val="none"/>
                <w:lang w:val="en-US" w:eastAsia="zh-CN"/>
              </w:rPr>
              <w:t>2.</w:t>
            </w:r>
            <w:r>
              <w:rPr>
                <w:rFonts w:hint="eastAsia" w:ascii="宋体" w:hAnsi="宋体" w:eastAsia="宋体" w:cs="宋体"/>
                <w:b/>
                <w:bCs/>
                <w:i w:val="0"/>
                <w:iCs w:val="0"/>
                <w:snapToGrid/>
                <w:color w:val="auto"/>
                <w:kern w:val="2"/>
                <w:sz w:val="21"/>
                <w:szCs w:val="21"/>
                <w:highlight w:val="none"/>
                <w:u w:val="none"/>
                <w:lang w:eastAsia="zh-CN"/>
              </w:rPr>
              <w:t>控制单元技术要求</w:t>
            </w:r>
          </w:p>
          <w:p w14:paraId="2671DE2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控制单元对采水单元、配水及预处理单元、分析单元、留样单元、辅助单元及视频单元进行控制，并实现数据采集与传输功能，保证系统连续、可靠和安全运行。</w:t>
            </w:r>
          </w:p>
          <w:p w14:paraId="2EFFF09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2</w:t>
            </w:r>
            <w:r>
              <w:rPr>
                <w:rFonts w:hint="eastAsia" w:ascii="宋体" w:hAnsi="宋体" w:eastAsia="宋体" w:cs="宋体"/>
                <w:i w:val="0"/>
                <w:iCs w:val="0"/>
                <w:snapToGrid/>
                <w:color w:val="auto"/>
                <w:kern w:val="2"/>
                <w:sz w:val="21"/>
                <w:szCs w:val="21"/>
                <w:highlight w:val="none"/>
                <w:u w:val="none"/>
                <w:lang w:eastAsia="zh-CN"/>
              </w:rPr>
              <w:t>.1 具有断电保护功能，能够在断电时保存系统参数和历史数据，在来电时自动恢复系统；</w:t>
            </w:r>
          </w:p>
          <w:p w14:paraId="3A7C8AD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2</w:t>
            </w:r>
            <w:r>
              <w:rPr>
                <w:rFonts w:hint="eastAsia" w:ascii="宋体" w:hAnsi="宋体" w:eastAsia="宋体" w:cs="宋体"/>
                <w:i w:val="0"/>
                <w:iCs w:val="0"/>
                <w:snapToGrid/>
                <w:color w:val="auto"/>
                <w:kern w:val="2"/>
                <w:sz w:val="21"/>
                <w:szCs w:val="21"/>
                <w:highlight w:val="none"/>
                <w:u w:val="none"/>
                <w:lang w:eastAsia="zh-CN"/>
              </w:rPr>
              <w:t>.2 具备自动采集数据功能，包括自动采集水质自动分析仪器数据、集成控制数据等，采集的数据应自动添加数据标识，异常监测数据能自动识别，并自动上传至广西水环境监控平台；</w:t>
            </w:r>
          </w:p>
          <w:p w14:paraId="6E75EDC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2</w:t>
            </w:r>
            <w:r>
              <w:rPr>
                <w:rFonts w:hint="eastAsia" w:ascii="宋体" w:hAnsi="宋体" w:eastAsia="宋体" w:cs="宋体"/>
                <w:i w:val="0"/>
                <w:iCs w:val="0"/>
                <w:snapToGrid/>
                <w:color w:val="auto"/>
                <w:kern w:val="2"/>
                <w:sz w:val="21"/>
                <w:szCs w:val="21"/>
                <w:highlight w:val="none"/>
                <w:u w:val="none"/>
                <w:lang w:eastAsia="zh-CN"/>
              </w:rPr>
              <w:t>.3 具备单点控制功能，能够对单一控制点(阀、泵等)进行调试；</w:t>
            </w:r>
          </w:p>
          <w:p w14:paraId="299019B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2</w:t>
            </w:r>
            <w:r>
              <w:rPr>
                <w:rFonts w:hint="eastAsia" w:ascii="宋体" w:hAnsi="宋体" w:eastAsia="宋体" w:cs="宋体"/>
                <w:i w:val="0"/>
                <w:iCs w:val="0"/>
                <w:snapToGrid/>
                <w:color w:val="auto"/>
                <w:kern w:val="2"/>
                <w:sz w:val="21"/>
                <w:szCs w:val="21"/>
                <w:highlight w:val="none"/>
                <w:u w:val="none"/>
                <w:lang w:eastAsia="zh-CN"/>
              </w:rPr>
              <w:t>.4 具备对自动分析仪器的启停、校时、校准、质控测试等控制功能；</w:t>
            </w:r>
          </w:p>
          <w:p w14:paraId="4E70D6A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2</w:t>
            </w:r>
            <w:r>
              <w:rPr>
                <w:rFonts w:hint="eastAsia" w:ascii="宋体" w:hAnsi="宋体" w:eastAsia="宋体" w:cs="宋体"/>
                <w:i w:val="0"/>
                <w:iCs w:val="0"/>
                <w:snapToGrid/>
                <w:color w:val="auto"/>
                <w:kern w:val="2"/>
                <w:sz w:val="21"/>
                <w:szCs w:val="21"/>
                <w:highlight w:val="none"/>
                <w:u w:val="none"/>
                <w:lang w:eastAsia="zh-CN"/>
              </w:rPr>
              <w:t>.5 具备对留样单元的留样、排样的控制功能；</w:t>
            </w:r>
          </w:p>
          <w:p w14:paraId="1C21E7D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2</w:t>
            </w:r>
            <w:r>
              <w:rPr>
                <w:rFonts w:hint="eastAsia" w:ascii="宋体" w:hAnsi="宋体" w:eastAsia="宋体" w:cs="宋体"/>
                <w:i w:val="0"/>
                <w:iCs w:val="0"/>
                <w:snapToGrid/>
                <w:color w:val="auto"/>
                <w:kern w:val="2"/>
                <w:sz w:val="21"/>
                <w:szCs w:val="21"/>
                <w:highlight w:val="none"/>
                <w:u w:val="none"/>
                <w:lang w:eastAsia="zh-CN"/>
              </w:rPr>
              <w:t>.6 具备兼容视频监控设备功能并能实现对视频设备校时、重新启动、参数设置、软件升级、远程维护等功能；</w:t>
            </w:r>
          </w:p>
          <w:p w14:paraId="1F3F7C5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2</w:t>
            </w:r>
            <w:r>
              <w:rPr>
                <w:rFonts w:hint="eastAsia" w:ascii="宋体" w:hAnsi="宋体" w:eastAsia="宋体" w:cs="宋体"/>
                <w:i w:val="0"/>
                <w:iCs w:val="0"/>
                <w:snapToGrid/>
                <w:color w:val="auto"/>
                <w:kern w:val="2"/>
                <w:sz w:val="21"/>
                <w:szCs w:val="21"/>
                <w:highlight w:val="none"/>
                <w:u w:val="none"/>
                <w:lang w:eastAsia="zh-CN"/>
              </w:rPr>
              <w:t>.7 具备参数设置功能，能够对小数位、单位、仪器测定上下限、报警(超标)上下限等参数进行设置；</w:t>
            </w:r>
          </w:p>
          <w:p w14:paraId="6B5AFE0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2</w:t>
            </w:r>
            <w:r>
              <w:rPr>
                <w:rFonts w:hint="eastAsia" w:ascii="宋体" w:hAnsi="宋体" w:eastAsia="宋体" w:cs="宋体"/>
                <w:i w:val="0"/>
                <w:iCs w:val="0"/>
                <w:snapToGrid/>
                <w:color w:val="auto"/>
                <w:kern w:val="2"/>
                <w:sz w:val="21"/>
                <w:szCs w:val="21"/>
                <w:highlight w:val="none"/>
                <w:u w:val="none"/>
                <w:lang w:eastAsia="zh-CN"/>
              </w:rPr>
              <w:t>.8 具备各仪器监测结果、状态参数、运行流程、报警信息等显示的功能；</w:t>
            </w:r>
          </w:p>
          <w:p w14:paraId="44FB08E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2</w:t>
            </w:r>
            <w:r>
              <w:rPr>
                <w:rFonts w:hint="eastAsia" w:ascii="宋体" w:hAnsi="宋体" w:eastAsia="宋体" w:cs="宋体"/>
                <w:i w:val="0"/>
                <w:iCs w:val="0"/>
                <w:snapToGrid/>
                <w:color w:val="auto"/>
                <w:kern w:val="2"/>
                <w:sz w:val="21"/>
                <w:szCs w:val="21"/>
                <w:highlight w:val="none"/>
                <w:u w:val="none"/>
                <w:lang w:eastAsia="zh-CN"/>
              </w:rPr>
              <w:t>.9 具有监测数据查询、导出、自动备份功能，可分类查询水质周期数据、质控数据(空白测试数据、标样核查数据、加标回收率数据等)及其对应的仪器、系统日志流程信息。</w:t>
            </w:r>
          </w:p>
          <w:p w14:paraId="7E65CC7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2</w:t>
            </w:r>
            <w:r>
              <w:rPr>
                <w:rFonts w:hint="eastAsia" w:ascii="宋体" w:hAnsi="宋体" w:eastAsia="宋体" w:cs="宋体"/>
                <w:i w:val="0"/>
                <w:iCs w:val="0"/>
                <w:snapToGrid/>
                <w:color w:val="auto"/>
                <w:kern w:val="2"/>
                <w:sz w:val="21"/>
                <w:szCs w:val="21"/>
                <w:highlight w:val="none"/>
                <w:u w:val="none"/>
                <w:lang w:eastAsia="zh-CN"/>
              </w:rPr>
              <w:t>.10 工控机硬件性能：不低于16G内存，256G固态硬盘，21.5英寸屏幕。</w:t>
            </w:r>
          </w:p>
          <w:p w14:paraId="14535DE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2</w:t>
            </w:r>
            <w:r>
              <w:rPr>
                <w:rFonts w:hint="eastAsia" w:ascii="宋体" w:hAnsi="宋体" w:eastAsia="宋体" w:cs="宋体"/>
                <w:i w:val="0"/>
                <w:iCs w:val="0"/>
                <w:snapToGrid/>
                <w:color w:val="auto"/>
                <w:kern w:val="2"/>
                <w:sz w:val="21"/>
                <w:szCs w:val="21"/>
                <w:highlight w:val="none"/>
                <w:u w:val="none"/>
                <w:lang w:eastAsia="zh-CN"/>
              </w:rPr>
              <w:t>.1</w:t>
            </w:r>
            <w:r>
              <w:rPr>
                <w:rFonts w:hint="eastAsia" w:ascii="宋体" w:hAnsi="宋体" w:eastAsia="宋体" w:cs="宋体"/>
                <w:i w:val="0"/>
                <w:iCs w:val="0"/>
                <w:snapToGrid/>
                <w:color w:val="auto"/>
                <w:kern w:val="2"/>
                <w:sz w:val="21"/>
                <w:szCs w:val="21"/>
                <w:highlight w:val="none"/>
                <w:u w:val="none"/>
                <w:lang w:val="en-US" w:eastAsia="zh-CN"/>
              </w:rPr>
              <w:t>1 控制界面应具备数字可视化，数字孪生式交互，实现监测数据和站点/监测仪器的控制与查看交互，数字显示界面与自动分析仪信息须保持一致、数字状态与现场实际状态须保持一致。</w:t>
            </w:r>
            <w:r>
              <w:rPr>
                <w:rFonts w:hint="eastAsia" w:ascii="宋体" w:hAnsi="宋体" w:eastAsia="宋体" w:cs="宋体"/>
                <w:b/>
                <w:bCs/>
                <w:i w:val="0"/>
                <w:iCs w:val="0"/>
                <w:snapToGrid/>
                <w:color w:val="auto"/>
                <w:kern w:val="2"/>
                <w:sz w:val="21"/>
                <w:szCs w:val="21"/>
                <w:highlight w:val="none"/>
                <w:u w:val="none"/>
                <w:lang w:val="en-US" w:eastAsia="zh-CN"/>
              </w:rPr>
              <w:t>（需提供技术说明文件、实物照片、软件功能截图等证明文件，需加盖制造商公章）</w:t>
            </w:r>
          </w:p>
          <w:p w14:paraId="194C8CA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bCs/>
                <w:i w:val="0"/>
                <w:iCs w:val="0"/>
                <w:snapToGrid/>
                <w:color w:val="auto"/>
                <w:kern w:val="2"/>
                <w:sz w:val="21"/>
                <w:szCs w:val="21"/>
                <w:highlight w:val="none"/>
                <w:u w:val="none"/>
                <w:lang w:eastAsia="zh-CN"/>
              </w:rPr>
            </w:pPr>
            <w:r>
              <w:rPr>
                <w:rFonts w:hint="eastAsia" w:ascii="宋体" w:hAnsi="宋体" w:eastAsia="宋体" w:cs="宋体"/>
                <w:b/>
                <w:bCs/>
                <w:i w:val="0"/>
                <w:iCs w:val="0"/>
                <w:snapToGrid/>
                <w:color w:val="auto"/>
                <w:kern w:val="2"/>
                <w:sz w:val="21"/>
                <w:szCs w:val="21"/>
                <w:highlight w:val="none"/>
                <w:u w:val="none"/>
                <w:lang w:val="en-US" w:eastAsia="zh-CN"/>
              </w:rPr>
              <w:t>3</w:t>
            </w:r>
            <w:r>
              <w:rPr>
                <w:rFonts w:hint="eastAsia" w:ascii="宋体" w:hAnsi="宋体" w:eastAsia="宋体" w:cs="宋体"/>
                <w:b/>
                <w:bCs/>
                <w:i w:val="0"/>
                <w:iCs w:val="0"/>
                <w:snapToGrid/>
                <w:color w:val="auto"/>
                <w:kern w:val="2"/>
                <w:sz w:val="21"/>
                <w:szCs w:val="21"/>
                <w:highlight w:val="none"/>
                <w:u w:val="none"/>
                <w:lang w:eastAsia="zh-CN"/>
              </w:rPr>
              <w:t xml:space="preserve"> 数据采集与传输技术要求</w:t>
            </w:r>
          </w:p>
          <w:p w14:paraId="33D6834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.1 数据采集与存储</w:t>
            </w:r>
          </w:p>
          <w:p w14:paraId="1049292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.1.1 采集自动分析仪器的监测数据，并分类保存；</w:t>
            </w:r>
          </w:p>
          <w:p w14:paraId="096069E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.1.2 采集自动分析仪器和集成系统各单元的工作状态量，并以运行日志的形式记录保存；</w:t>
            </w:r>
          </w:p>
          <w:p w14:paraId="0F32FDA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.1.3 采集关键性参数(测量量程、测量精度、测量间隔、测量检出限、消解温度、消解时长、空白校准时间、标样校准时间、测量信号曲线斜率(k)、曲线截距(b)、相关系数(R))；</w:t>
            </w:r>
          </w:p>
          <w:p w14:paraId="0503D0E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1.4 能够实时采集视频信息，支持各类终端查看；</w:t>
            </w:r>
          </w:p>
          <w:p w14:paraId="29E7521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.1.5 断电后能自动保存历史数据和参数设置。</w:t>
            </w:r>
          </w:p>
          <w:p w14:paraId="5CAEB07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.2 数据传输与通讯</w:t>
            </w:r>
          </w:p>
          <w:p w14:paraId="2146646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.2.1 采用无线、有线的通讯方式满足数据传输要求；</w:t>
            </w:r>
          </w:p>
          <w:p w14:paraId="35B4677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.2.2 具备对通信链路的自动诊断功能，具备超时补发功能。</w:t>
            </w:r>
          </w:p>
        </w:tc>
      </w:tr>
      <w:tr w14:paraId="7C7F5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3" w:hRule="atLeast"/>
        </w:trPr>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3D8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1</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9647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采水单元</w:t>
            </w:r>
          </w:p>
        </w:tc>
        <w:tc>
          <w:tcPr>
            <w:tcW w:w="4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DF79F">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1.</w:t>
            </w:r>
            <w:r>
              <w:rPr>
                <w:rFonts w:hint="eastAsia" w:ascii="宋体" w:hAnsi="宋体" w:eastAsia="宋体" w:cs="宋体"/>
                <w:i w:val="0"/>
                <w:iCs w:val="0"/>
                <w:snapToGrid/>
                <w:color w:val="auto"/>
                <w:kern w:val="2"/>
                <w:sz w:val="21"/>
                <w:szCs w:val="21"/>
                <w:highlight w:val="none"/>
                <w:u w:val="none"/>
                <w:lang w:eastAsia="zh-CN"/>
              </w:rPr>
              <w:t>采水单元应结合现场水文、地质条件确定合适的采水方式，符合《地表水水质自动监测站选址与基础设施建设技术要求》(HJ915.1-2024)、《地表水水质自动监测站站房和采水建设规范》（DB45/T2822-2023）、《地表水环境质量监测技术规范》（HJ91.2-2022），保证运行的稳定性、水样的代表性、维护的方便性。</w:t>
            </w:r>
          </w:p>
          <w:p w14:paraId="4C2B71BB">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2.</w:t>
            </w:r>
            <w:r>
              <w:rPr>
                <w:rFonts w:hint="eastAsia" w:ascii="宋体" w:hAnsi="宋体" w:eastAsia="宋体" w:cs="宋体"/>
                <w:i w:val="0"/>
                <w:iCs w:val="0"/>
                <w:snapToGrid/>
                <w:color w:val="auto"/>
                <w:kern w:val="2"/>
                <w:sz w:val="21"/>
                <w:szCs w:val="21"/>
                <w:highlight w:val="none"/>
                <w:u w:val="none"/>
                <w:lang w:eastAsia="zh-CN"/>
              </w:rPr>
              <w:t>采水单元一般包括采水构筑物、采水泵、采水管道、清洗配套装置、防堵塞装置和保温配套装置。</w:t>
            </w:r>
          </w:p>
          <w:p w14:paraId="17ADA904">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采水装置取水口在不影响航道运行的前提下，应尽量靠近河道中泓线；取水口能够随水位变化调整，固定取水深度，同时与水体底部保持足够的距离，防止底质、淤泥对水样监测结果造成影响。</w:t>
            </w:r>
          </w:p>
          <w:p w14:paraId="6DC3F54A">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4.</w:t>
            </w:r>
            <w:r>
              <w:rPr>
                <w:rFonts w:hint="eastAsia" w:ascii="宋体" w:hAnsi="宋体" w:eastAsia="宋体" w:cs="宋体"/>
                <w:i w:val="0"/>
                <w:iCs w:val="0"/>
                <w:snapToGrid/>
                <w:color w:val="auto"/>
                <w:kern w:val="2"/>
                <w:sz w:val="21"/>
                <w:szCs w:val="21"/>
                <w:highlight w:val="none"/>
                <w:u w:val="none"/>
                <w:lang w:eastAsia="zh-CN"/>
              </w:rPr>
              <w:t>采水装置的吸水口应设在水下0.5～1米范围内，并能够随水位变化适时调整位置，同时与水体底部保持足够的距离，防止底部淤泥对采样水质的影响。做到既能保证采集到具有代表性的水样，又能保证采样单元能连续正常运行。</w:t>
            </w:r>
          </w:p>
          <w:p w14:paraId="18696C77">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5.</w:t>
            </w:r>
            <w:r>
              <w:rPr>
                <w:rFonts w:hint="eastAsia" w:ascii="宋体" w:hAnsi="宋体" w:eastAsia="宋体" w:cs="宋体"/>
                <w:i w:val="0"/>
                <w:iCs w:val="0"/>
                <w:snapToGrid/>
                <w:color w:val="auto"/>
                <w:kern w:val="2"/>
                <w:sz w:val="21"/>
                <w:szCs w:val="21"/>
                <w:highlight w:val="none"/>
                <w:u w:val="none"/>
                <w:lang w:eastAsia="zh-CN"/>
              </w:rPr>
              <w:t>采水系统应具备双泵/双管路轮换功能，配置双泵/双管路采水，一备一用；可进行自动或手动切换，满足实时不间断监测的要求。</w:t>
            </w:r>
          </w:p>
          <w:p w14:paraId="36149812">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6.</w:t>
            </w:r>
            <w:r>
              <w:rPr>
                <w:rFonts w:hint="eastAsia" w:ascii="宋体" w:hAnsi="宋体" w:eastAsia="宋体" w:cs="宋体"/>
                <w:i w:val="0"/>
                <w:iCs w:val="0"/>
                <w:snapToGrid/>
                <w:color w:val="auto"/>
                <w:kern w:val="2"/>
                <w:sz w:val="21"/>
                <w:szCs w:val="21"/>
                <w:highlight w:val="none"/>
                <w:u w:val="none"/>
                <w:lang w:eastAsia="zh-CN"/>
              </w:rPr>
              <w:t>采水管道材质应具有足够的强度，可以承受内压，可预埋保护套管，可选用镀锌钢管或高密度聚乙烯管，回填后应在管路施工铺设线路上做好警示，防止其他施工导致损毁。管道使用年限长、性能可靠、具有极好的化学稳定性，不与水样中被测物产生物力和化学反应，避免污染水样。</w:t>
            </w:r>
          </w:p>
          <w:p w14:paraId="52B689FF">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7.</w:t>
            </w:r>
            <w:r>
              <w:rPr>
                <w:rFonts w:hint="eastAsia" w:ascii="宋体" w:hAnsi="宋体" w:eastAsia="宋体" w:cs="宋体"/>
                <w:i w:val="0"/>
                <w:iCs w:val="0"/>
                <w:snapToGrid/>
                <w:color w:val="auto"/>
                <w:kern w:val="2"/>
                <w:sz w:val="21"/>
                <w:szCs w:val="21"/>
                <w:highlight w:val="none"/>
                <w:u w:val="none"/>
                <w:lang w:eastAsia="zh-CN"/>
              </w:rPr>
              <w:t>采水管道应具有防意外堵塞和方便泥沙沉积后的清洗功能和除藻功能，可以通过清洗水进行自动反冲洗。通过自动阀门切换可以将清洗水和高压振荡空气送至采样头，以消除采样头单向输水运行形成的淤泥，以防藻类生长、聚集和泥沙沉积，在藻类高发时采水单元配置专门防藻除藻结构。</w:t>
            </w:r>
          </w:p>
          <w:p w14:paraId="4CEF1902">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8.</w:t>
            </w:r>
            <w:r>
              <w:rPr>
                <w:rFonts w:hint="eastAsia" w:ascii="宋体" w:hAnsi="宋体" w:eastAsia="宋体" w:cs="宋体"/>
                <w:i w:val="0"/>
                <w:iCs w:val="0"/>
                <w:snapToGrid/>
                <w:color w:val="auto"/>
                <w:kern w:val="2"/>
                <w:sz w:val="21"/>
                <w:szCs w:val="21"/>
                <w:highlight w:val="none"/>
                <w:u w:val="none"/>
                <w:lang w:eastAsia="zh-CN"/>
              </w:rPr>
              <w:t>管道采用排空设计，使管道内不存水，以防采水管路结冰和藻类孳生，留有比对试验用取水口。</w:t>
            </w:r>
          </w:p>
          <w:p w14:paraId="00813701">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9.</w:t>
            </w:r>
            <w:r>
              <w:rPr>
                <w:rFonts w:hint="eastAsia" w:ascii="宋体" w:hAnsi="宋体" w:eastAsia="宋体" w:cs="宋体"/>
                <w:i w:val="0"/>
                <w:iCs w:val="0"/>
                <w:snapToGrid/>
                <w:color w:val="auto"/>
                <w:kern w:val="2"/>
                <w:sz w:val="21"/>
                <w:szCs w:val="21"/>
                <w:highlight w:val="none"/>
                <w:u w:val="none"/>
                <w:lang w:eastAsia="zh-CN"/>
              </w:rPr>
              <w:t>采水构筑物建设在航道上时，应确保长期稳定安全运行，不应影响航运；宜在采水构筑物周围设置警示浮球防护圈及航标灯。</w:t>
            </w:r>
          </w:p>
          <w:p w14:paraId="74126219">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10.</w:t>
            </w:r>
            <w:r>
              <w:rPr>
                <w:rFonts w:hint="eastAsia" w:ascii="宋体" w:hAnsi="宋体" w:eastAsia="宋体" w:cs="宋体"/>
                <w:i w:val="0"/>
                <w:iCs w:val="0"/>
                <w:snapToGrid/>
                <w:color w:val="auto"/>
                <w:kern w:val="2"/>
                <w:sz w:val="21"/>
                <w:szCs w:val="21"/>
                <w:highlight w:val="none"/>
                <w:u w:val="none"/>
                <w:lang w:eastAsia="zh-CN"/>
              </w:rPr>
              <w:t>采水管路回排水口应设置在采水点位下游，与采水点位间的距离应不小于20m，回排水总管公称直径不小于150mm（DN</w:t>
            </w:r>
            <w:r>
              <w:rPr>
                <w:rFonts w:hint="eastAsia" w:ascii="宋体" w:hAnsi="宋体" w:eastAsia="宋体" w:cs="宋体"/>
                <w:i w:val="0"/>
                <w:iCs w:val="0"/>
                <w:snapToGrid/>
                <w:color w:val="auto"/>
                <w:kern w:val="2"/>
                <w:sz w:val="21"/>
                <w:szCs w:val="21"/>
                <w:highlight w:val="none"/>
                <w:u w:val="none"/>
                <w:lang w:val="en-US" w:eastAsia="zh-CN"/>
              </w:rPr>
              <w:t xml:space="preserve"> </w:t>
            </w:r>
            <w:r>
              <w:rPr>
                <w:rFonts w:hint="eastAsia" w:ascii="宋体" w:hAnsi="宋体" w:eastAsia="宋体" w:cs="宋体"/>
                <w:i w:val="0"/>
                <w:iCs w:val="0"/>
                <w:snapToGrid/>
                <w:color w:val="auto"/>
                <w:kern w:val="2"/>
                <w:sz w:val="21"/>
                <w:szCs w:val="21"/>
                <w:highlight w:val="none"/>
                <w:u w:val="none"/>
                <w:lang w:eastAsia="zh-CN"/>
              </w:rPr>
              <w:t>150）。</w:t>
            </w: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D07F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套</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E40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2</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8B9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3000</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F50D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6000</w:t>
            </w:r>
          </w:p>
        </w:tc>
      </w:tr>
      <w:tr w14:paraId="50B7B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3" w:hRule="atLeast"/>
        </w:trPr>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4BA2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2</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B696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配水及预处理单元</w:t>
            </w:r>
          </w:p>
        </w:tc>
        <w:tc>
          <w:tcPr>
            <w:tcW w:w="4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8F38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1.</w:t>
            </w:r>
            <w:r>
              <w:rPr>
                <w:rFonts w:hint="eastAsia" w:ascii="宋体" w:hAnsi="宋体" w:eastAsia="宋体" w:cs="宋体"/>
                <w:i w:val="0"/>
                <w:iCs w:val="0"/>
                <w:snapToGrid/>
                <w:color w:val="auto"/>
                <w:kern w:val="2"/>
                <w:sz w:val="21"/>
                <w:szCs w:val="21"/>
                <w:highlight w:val="none"/>
                <w:u w:val="none"/>
                <w:lang w:eastAsia="zh-CN"/>
              </w:rPr>
              <w:t xml:space="preserve"> 配水及预处理单元技术要求</w:t>
            </w:r>
          </w:p>
          <w:p w14:paraId="69E67E3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配水及预处理单元由水样分配单元、预处理装置及管道等组成。预处理单元应根据国家标准分析方法要求为分析仪器配备相应的预处理装置，常规五参数分析仪使用原水直接分析。</w:t>
            </w:r>
          </w:p>
          <w:p w14:paraId="4713210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 配水管路设计合理，流向清晰，便于维护；保证仪器分析测试的水样能代表断面水质情况并满足仪器测试需求；</w:t>
            </w:r>
          </w:p>
          <w:p w14:paraId="7041B22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配水单元具备自动反清(吹)洗和自动除藻功能，防止菌类和藻类等微生物对样品污染或对系统工作造成不良影响，不能用对环境产生污染的清洗方法；</w:t>
            </w:r>
          </w:p>
          <w:p w14:paraId="0E83114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4.</w:t>
            </w:r>
            <w:r>
              <w:rPr>
                <w:rFonts w:hint="eastAsia" w:ascii="宋体" w:hAnsi="宋体" w:eastAsia="宋体" w:cs="宋体"/>
                <w:i w:val="0"/>
                <w:iCs w:val="0"/>
                <w:snapToGrid/>
                <w:color w:val="auto"/>
                <w:kern w:val="2"/>
                <w:sz w:val="21"/>
                <w:szCs w:val="21"/>
                <w:highlight w:val="none"/>
                <w:u w:val="none"/>
                <w:lang w:eastAsia="zh-CN"/>
              </w:rPr>
              <w:t xml:space="preserve"> 配水主管路采用串联方式，各仪器之间管路采用并联方式，每台仪器从各自的取样杯中取水，任何仪器的配水管路出现故障不能影响其他仪器的测试；</w:t>
            </w:r>
          </w:p>
          <w:p w14:paraId="02F2F91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5.</w:t>
            </w:r>
            <w:r>
              <w:rPr>
                <w:rFonts w:hint="eastAsia" w:ascii="宋体" w:hAnsi="宋体" w:eastAsia="宋体" w:cs="宋体"/>
                <w:i w:val="0"/>
                <w:iCs w:val="0"/>
                <w:snapToGrid/>
                <w:color w:val="auto"/>
                <w:kern w:val="2"/>
                <w:sz w:val="21"/>
                <w:szCs w:val="21"/>
                <w:highlight w:val="none"/>
                <w:u w:val="none"/>
                <w:lang w:eastAsia="zh-CN"/>
              </w:rPr>
              <w:t xml:space="preserve"> 具备可扩展功能，水站预留不少于4台设备的接水口、排水口以及水样比对实验用的手动取水口；</w:t>
            </w:r>
          </w:p>
          <w:p w14:paraId="52F29B1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6.</w:t>
            </w:r>
            <w:r>
              <w:rPr>
                <w:rFonts w:hint="eastAsia" w:ascii="宋体" w:hAnsi="宋体" w:eastAsia="宋体" w:cs="宋体"/>
                <w:i w:val="0"/>
                <w:iCs w:val="0"/>
                <w:snapToGrid/>
                <w:color w:val="auto"/>
                <w:kern w:val="2"/>
                <w:sz w:val="21"/>
                <w:szCs w:val="21"/>
                <w:highlight w:val="none"/>
                <w:u w:val="none"/>
                <w:lang w:eastAsia="zh-CN"/>
              </w:rPr>
              <w:t xml:space="preserve"> 能配合系统实现水样自动分配、自动预处理、故障自动报警、关键部件工作状态的显示和反控等功能；</w:t>
            </w:r>
          </w:p>
          <w:p w14:paraId="59694B8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7.</w:t>
            </w:r>
            <w:r>
              <w:rPr>
                <w:rFonts w:hint="eastAsia" w:ascii="宋体" w:hAnsi="宋体" w:eastAsia="宋体" w:cs="宋体"/>
                <w:i w:val="0"/>
                <w:iCs w:val="0"/>
                <w:snapToGrid/>
                <w:color w:val="auto"/>
                <w:kern w:val="2"/>
                <w:sz w:val="21"/>
                <w:szCs w:val="21"/>
                <w:highlight w:val="none"/>
                <w:u w:val="none"/>
                <w:lang w:eastAsia="zh-CN"/>
              </w:rPr>
              <w:t xml:space="preserve"> 配水单元的所有操作均可通过控制单元实现，并接受平台端的远程控制；</w:t>
            </w:r>
          </w:p>
          <w:p w14:paraId="4CB4860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8.</w:t>
            </w:r>
            <w:r>
              <w:rPr>
                <w:rFonts w:hint="eastAsia" w:ascii="宋体" w:hAnsi="宋体" w:eastAsia="宋体" w:cs="宋体"/>
                <w:i w:val="0"/>
                <w:iCs w:val="0"/>
                <w:snapToGrid/>
                <w:color w:val="auto"/>
                <w:kern w:val="2"/>
                <w:sz w:val="21"/>
                <w:szCs w:val="21"/>
                <w:highlight w:val="none"/>
                <w:u w:val="none"/>
                <w:lang w:eastAsia="zh-CN"/>
              </w:rPr>
              <w:t xml:space="preserve"> 所选管材机械强度及化学稳定性好、使用寿命长、便于安装维护，不会对水样水质造成影响；管路内径、压力、流量、流速满足仪器分析需要，并留有余量；</w:t>
            </w:r>
          </w:p>
          <w:p w14:paraId="63EB8E6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9.</w:t>
            </w:r>
            <w:r>
              <w:rPr>
                <w:rFonts w:hint="eastAsia" w:ascii="宋体" w:hAnsi="宋体" w:eastAsia="宋体" w:cs="宋体"/>
                <w:i w:val="0"/>
                <w:iCs w:val="0"/>
                <w:snapToGrid/>
                <w:color w:val="auto"/>
                <w:kern w:val="2"/>
                <w:sz w:val="21"/>
                <w:szCs w:val="21"/>
                <w:highlight w:val="none"/>
                <w:u w:val="none"/>
                <w:lang w:eastAsia="zh-CN"/>
              </w:rPr>
              <w:t xml:space="preserve"> 除五参数分析仪器使用原水直接分析外，其他仪器根据测试方法要求采用沉降、超声过滤、离心、稀释测量等一种或多种预处理方式。</w:t>
            </w:r>
          </w:p>
          <w:p w14:paraId="253F191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w:t>
            </w:r>
            <w:r>
              <w:rPr>
                <w:rFonts w:hint="eastAsia" w:ascii="宋体" w:hAnsi="宋体" w:eastAsia="宋体" w:cs="宋体"/>
                <w:i w:val="0"/>
                <w:iCs w:val="0"/>
                <w:snapToGrid/>
                <w:color w:val="auto"/>
                <w:kern w:val="2"/>
                <w:sz w:val="21"/>
                <w:szCs w:val="21"/>
                <w:highlight w:val="none"/>
                <w:u w:val="none"/>
                <w:lang w:val="en-US" w:eastAsia="zh-CN"/>
              </w:rPr>
              <w:t>10.</w:t>
            </w:r>
            <w:r>
              <w:rPr>
                <w:rFonts w:hint="eastAsia" w:ascii="宋体" w:hAnsi="宋体" w:eastAsia="宋体" w:cs="宋体"/>
                <w:i w:val="0"/>
                <w:iCs w:val="0"/>
                <w:snapToGrid/>
                <w:color w:val="auto"/>
                <w:kern w:val="2"/>
                <w:sz w:val="21"/>
                <w:szCs w:val="21"/>
                <w:highlight w:val="none"/>
                <w:u w:val="none"/>
                <w:lang w:eastAsia="zh-CN"/>
              </w:rPr>
              <w:t>针对泥沙较大水体、暴雨期间、泄洪、丰水期等浊度影响较大的情况，须有预处理备用管路，并具备自动切换预处理备用管路工作功能，可通过内置或外置等其他方式具备离心功能，转速≥2000r/min。对高锰酸盐指数、氨氮、总磷、总氮仪器抗浊度干扰功能能够达到相应的效果，在水体浊度大于100NTU时，实际水样比对符合《地表水水质自动监测站（常规五参数、CODMn、NH3-N、TP、TN)安装验收技术规范》（HJ 915.2</w:t>
            </w:r>
            <w:r>
              <w:rPr>
                <w:rFonts w:hint="eastAsia" w:ascii="宋体" w:hAnsi="宋体" w:eastAsia="宋体" w:cs="宋体"/>
                <w:i w:val="0"/>
                <w:iCs w:val="0"/>
                <w:snapToGrid/>
                <w:color w:val="auto"/>
                <w:kern w:val="2"/>
                <w:sz w:val="21"/>
                <w:szCs w:val="21"/>
                <w:highlight w:val="none"/>
                <w:u w:val="none"/>
                <w:lang w:val="en-US" w:eastAsia="zh-CN"/>
              </w:rPr>
              <w:t>-</w:t>
            </w:r>
            <w:r>
              <w:rPr>
                <w:rFonts w:hint="eastAsia" w:ascii="宋体" w:hAnsi="宋体" w:eastAsia="宋体" w:cs="宋体"/>
                <w:i w:val="0"/>
                <w:iCs w:val="0"/>
                <w:snapToGrid/>
                <w:color w:val="auto"/>
                <w:kern w:val="2"/>
                <w:sz w:val="21"/>
                <w:szCs w:val="21"/>
                <w:highlight w:val="none"/>
                <w:u w:val="none"/>
                <w:lang w:eastAsia="zh-CN"/>
              </w:rPr>
              <w:t>2024）中的7.2.2要求。【</w:t>
            </w:r>
            <w:r>
              <w:rPr>
                <w:rFonts w:hint="eastAsia" w:ascii="宋体" w:hAnsi="宋体" w:eastAsia="宋体" w:cs="宋体"/>
                <w:b/>
                <w:bCs/>
                <w:i w:val="0"/>
                <w:iCs w:val="0"/>
                <w:snapToGrid/>
                <w:color w:val="auto"/>
                <w:kern w:val="2"/>
                <w:sz w:val="21"/>
                <w:szCs w:val="21"/>
                <w:highlight w:val="none"/>
                <w:u w:val="none"/>
                <w:lang w:eastAsia="zh-CN"/>
              </w:rPr>
              <w:t>供应商须提供仪器厂商依据HJ 915.2‑2024方法标准出具，包含不少于6次浊度大于100NTU测试样品的检测报告（报告需具备CMA资质标识），用于证明本项指标响应情况。</w:t>
            </w:r>
            <w:r>
              <w:rPr>
                <w:rFonts w:hint="eastAsia" w:ascii="宋体" w:hAnsi="宋体" w:eastAsia="宋体" w:cs="宋体"/>
                <w:i w:val="0"/>
                <w:iCs w:val="0"/>
                <w:snapToGrid/>
                <w:color w:val="auto"/>
                <w:kern w:val="2"/>
                <w:sz w:val="21"/>
                <w:szCs w:val="21"/>
                <w:highlight w:val="none"/>
                <w:u w:val="none"/>
                <w:lang w:eastAsia="zh-CN"/>
              </w:rPr>
              <w:t>】</w:t>
            </w:r>
          </w:p>
          <w:p w14:paraId="6376B88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11.</w:t>
            </w:r>
            <w:r>
              <w:rPr>
                <w:rFonts w:hint="eastAsia" w:ascii="宋体" w:hAnsi="宋体" w:eastAsia="宋体" w:cs="宋体"/>
                <w:i w:val="0"/>
                <w:iCs w:val="0"/>
                <w:snapToGrid/>
                <w:color w:val="auto"/>
                <w:kern w:val="2"/>
                <w:sz w:val="21"/>
                <w:szCs w:val="21"/>
                <w:highlight w:val="none"/>
                <w:u w:val="none"/>
                <w:lang w:eastAsia="zh-CN"/>
              </w:rPr>
              <w:t>五参数检测池、预处理装置单元和配水单元等均具有自动清洗功能。</w:t>
            </w:r>
          </w:p>
          <w:p w14:paraId="5BB2D60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12.</w:t>
            </w:r>
            <w:r>
              <w:rPr>
                <w:rFonts w:hint="eastAsia" w:ascii="宋体" w:hAnsi="宋体" w:eastAsia="宋体" w:cs="宋体"/>
                <w:i w:val="0"/>
                <w:iCs w:val="0"/>
                <w:snapToGrid/>
                <w:color w:val="auto"/>
                <w:kern w:val="2"/>
                <w:sz w:val="21"/>
                <w:szCs w:val="21"/>
                <w:highlight w:val="none"/>
                <w:u w:val="none"/>
                <w:lang w:eastAsia="zh-CN"/>
              </w:rPr>
              <w:t xml:space="preserve"> 系统具备多种沉降模式，可设定沉降时间(时间模式)，可设定上层水样的浊度预值(浊度判断模式)，也可根据原水浊度的不同范围智能确定沉降时间(智能模式)。</w:t>
            </w:r>
          </w:p>
          <w:p w14:paraId="474EBD9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13.</w:t>
            </w:r>
            <w:r>
              <w:rPr>
                <w:rFonts w:hint="eastAsia" w:ascii="宋体" w:hAnsi="宋体" w:eastAsia="宋体" w:cs="宋体"/>
                <w:i w:val="0"/>
                <w:iCs w:val="0"/>
                <w:snapToGrid/>
                <w:color w:val="auto"/>
                <w:kern w:val="2"/>
                <w:sz w:val="21"/>
                <w:szCs w:val="21"/>
                <w:highlight w:val="none"/>
                <w:u w:val="none"/>
                <w:lang w:eastAsia="zh-CN"/>
              </w:rPr>
              <w:t>预处理与配水应能实现水样自动分配、自动预处理、故障自动报警、关键部件工作状态的显示和反控等功能，具备实时监控配水泵的工作电压、电流、功率、功耗和流速、流量监测功能，并关联配水环节分析。（需提供技术说明文件、实物照片、软件功能截图等证明文件，需加盖制造商公章）</w:t>
            </w: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2230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套</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C8F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2</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FD09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10000</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B1B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20000</w:t>
            </w:r>
          </w:p>
        </w:tc>
      </w:tr>
      <w:tr w14:paraId="19B07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3" w:hRule="atLeast"/>
        </w:trPr>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03E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3</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C8B7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智慧水质在线监测基站控制管理系统</w:t>
            </w:r>
          </w:p>
        </w:tc>
        <w:tc>
          <w:tcPr>
            <w:tcW w:w="4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1AD0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bCs/>
                <w:i w:val="0"/>
                <w:iCs w:val="0"/>
                <w:snapToGrid/>
                <w:color w:val="auto"/>
                <w:kern w:val="2"/>
                <w:sz w:val="21"/>
                <w:szCs w:val="21"/>
                <w:highlight w:val="none"/>
                <w:u w:val="none"/>
                <w:lang w:eastAsia="zh-CN"/>
              </w:rPr>
            </w:pPr>
            <w:r>
              <w:rPr>
                <w:rFonts w:hint="eastAsia" w:ascii="宋体" w:hAnsi="宋体" w:eastAsia="宋体" w:cs="宋体"/>
                <w:b/>
                <w:bCs/>
                <w:i w:val="0"/>
                <w:iCs w:val="0"/>
                <w:snapToGrid/>
                <w:color w:val="auto"/>
                <w:kern w:val="2"/>
                <w:sz w:val="21"/>
                <w:szCs w:val="21"/>
                <w:highlight w:val="none"/>
                <w:u w:val="none"/>
                <w:lang w:val="en-US" w:eastAsia="zh-CN"/>
              </w:rPr>
              <w:t>1.</w:t>
            </w:r>
            <w:r>
              <w:rPr>
                <w:rFonts w:hint="eastAsia" w:ascii="宋体" w:hAnsi="宋体" w:eastAsia="宋体" w:cs="宋体"/>
                <w:b/>
                <w:bCs/>
                <w:i w:val="0"/>
                <w:iCs w:val="0"/>
                <w:snapToGrid/>
                <w:color w:val="auto"/>
                <w:kern w:val="2"/>
                <w:sz w:val="21"/>
                <w:szCs w:val="21"/>
                <w:highlight w:val="none"/>
                <w:u w:val="none"/>
                <w:lang w:eastAsia="zh-CN"/>
              </w:rPr>
              <w:t>智慧平台技术要求</w:t>
            </w:r>
          </w:p>
          <w:p w14:paraId="04CF705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具备数据智能审核、远程反控、AI预警等功能，采购方可以永久使用平台，成交供应商应免费更新升级平台最新功能。</w:t>
            </w:r>
          </w:p>
          <w:p w14:paraId="02A32B4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远程反控：</w:t>
            </w:r>
          </w:p>
          <w:p w14:paraId="7798C61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1.1 监测数据传输到采购人指定平台。远程查看水质监测仪器、数据采集器、传输模块等设备的运行状态，如电源状态、通信状态、故障信息等。</w:t>
            </w:r>
          </w:p>
          <w:p w14:paraId="28BECBA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1.2 远程查看监测设备、管理设备运行日志、操作日志、故障日志等。</w:t>
            </w:r>
          </w:p>
          <w:p w14:paraId="073F6B2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1.3 可远程设置和调整水质监测仪器的测量参数、校准参数、报警阈值等。</w:t>
            </w:r>
          </w:p>
          <w:p w14:paraId="143668B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1.4 可远程切换水质监测仪器的工作模式，如连续监测模式、定时监测模式等。</w:t>
            </w:r>
          </w:p>
          <w:p w14:paraId="0519DE0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1.5 按技术要求设定五参数周核查。</w:t>
            </w:r>
          </w:p>
          <w:p w14:paraId="19CB9F9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1.6 对现场仪器设备进行远程自动校准、自动质控（如零点检查、跨度检查、多点线性检查、加标回收率测试、标样核查、盲样测试等）。</w:t>
            </w:r>
          </w:p>
          <w:p w14:paraId="55C5480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1.7 远程控制采水、配水、清洗系统。</w:t>
            </w:r>
          </w:p>
          <w:p w14:paraId="622B26F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1.8 远程控制门禁、电源、安防、视频监控等运行保障设施。</w:t>
            </w:r>
          </w:p>
          <w:p w14:paraId="15AE6B4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1.9 远程设置试剂余量报警。</w:t>
            </w:r>
          </w:p>
          <w:p w14:paraId="6E30582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1.10 远程留样方式控制。</w:t>
            </w:r>
          </w:p>
          <w:p w14:paraId="08D301F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 AI预警</w:t>
            </w:r>
          </w:p>
          <w:p w14:paraId="475941E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2.1 采水区域异常识别、故障预警（如：采水区域人为干扰情景记录与预警、采水区域外部水文环境情况变化的识别预警）。</w:t>
            </w:r>
          </w:p>
          <w:p w14:paraId="69A0AC4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2.2 对门禁、电力、水浸、安防、视频监控等增加传感器及相关应用。实现对站房内部环境及周边环境的智能感知，当监测到异常事件或周边环境情况变化时，自动触发报警。</w:t>
            </w:r>
          </w:p>
          <w:p w14:paraId="5E4DEE7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2.3 具备仪器设备异常信息预警（如缺试剂、超量程、试剂余量不足、耗材到期、缺水样、废液量等）。</w:t>
            </w:r>
          </w:p>
          <w:p w14:paraId="7BBA913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预留仪器接口</w:t>
            </w:r>
          </w:p>
          <w:p w14:paraId="665A7B2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预留重金属等其他自动监测设备接口。</w:t>
            </w:r>
          </w:p>
          <w:p w14:paraId="524F1F9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4.平台兼容</w:t>
            </w:r>
          </w:p>
          <w:p w14:paraId="1502399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平台须预留相应接口，接入采购人指定的管理平台，中标方需配合采购人完成后期信创改造适配工作。</w:t>
            </w:r>
          </w:p>
          <w:p w14:paraId="12B4ECE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bCs/>
                <w:i w:val="0"/>
                <w:iCs w:val="0"/>
                <w:snapToGrid/>
                <w:color w:val="auto"/>
                <w:kern w:val="2"/>
                <w:sz w:val="21"/>
                <w:szCs w:val="21"/>
                <w:highlight w:val="none"/>
                <w:u w:val="none"/>
                <w:lang w:eastAsia="zh-CN"/>
              </w:rPr>
            </w:pPr>
            <w:r>
              <w:rPr>
                <w:rFonts w:hint="eastAsia" w:ascii="宋体" w:hAnsi="宋体" w:eastAsia="宋体" w:cs="宋体"/>
                <w:b/>
                <w:bCs/>
                <w:i w:val="0"/>
                <w:iCs w:val="0"/>
                <w:snapToGrid/>
                <w:color w:val="auto"/>
                <w:kern w:val="2"/>
                <w:sz w:val="21"/>
                <w:szCs w:val="21"/>
                <w:highlight w:val="none"/>
                <w:u w:val="none"/>
                <w:lang w:val="en-US" w:eastAsia="zh-CN"/>
              </w:rPr>
              <w:t>5.</w:t>
            </w:r>
            <w:r>
              <w:rPr>
                <w:rFonts w:hint="eastAsia" w:ascii="宋体" w:hAnsi="宋体" w:eastAsia="宋体" w:cs="宋体"/>
                <w:b/>
                <w:bCs/>
                <w:i w:val="0"/>
                <w:iCs w:val="0"/>
                <w:snapToGrid/>
                <w:color w:val="auto"/>
                <w:kern w:val="2"/>
                <w:sz w:val="21"/>
                <w:szCs w:val="21"/>
                <w:highlight w:val="none"/>
                <w:u w:val="none"/>
                <w:lang w:eastAsia="zh-CN"/>
              </w:rPr>
              <w:t>水站整体性能</w:t>
            </w:r>
            <w:r>
              <w:rPr>
                <w:rFonts w:hint="eastAsia" w:ascii="宋体" w:hAnsi="宋体" w:eastAsia="宋体" w:cs="宋体"/>
                <w:b/>
                <w:bCs/>
                <w:i w:val="0"/>
                <w:iCs w:val="0"/>
                <w:snapToGrid/>
                <w:color w:val="auto"/>
                <w:kern w:val="2"/>
                <w:sz w:val="21"/>
                <w:szCs w:val="21"/>
                <w:highlight w:val="none"/>
                <w:u w:val="none"/>
                <w:lang w:val="en-US" w:eastAsia="zh-CN"/>
              </w:rPr>
              <w:t>及其他</w:t>
            </w:r>
            <w:r>
              <w:rPr>
                <w:rFonts w:hint="eastAsia" w:ascii="宋体" w:hAnsi="宋体" w:eastAsia="宋体" w:cs="宋体"/>
                <w:b/>
                <w:bCs/>
                <w:i w:val="0"/>
                <w:iCs w:val="0"/>
                <w:snapToGrid/>
                <w:color w:val="auto"/>
                <w:kern w:val="2"/>
                <w:sz w:val="21"/>
                <w:szCs w:val="21"/>
                <w:highlight w:val="none"/>
                <w:u w:val="none"/>
                <w:lang w:eastAsia="zh-CN"/>
              </w:rPr>
              <w:t>要求</w:t>
            </w:r>
          </w:p>
          <w:p w14:paraId="35FF849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5.</w:t>
            </w:r>
            <w:r>
              <w:rPr>
                <w:rFonts w:hint="eastAsia" w:ascii="宋体" w:hAnsi="宋体" w:eastAsia="宋体" w:cs="宋体"/>
                <w:i w:val="0"/>
                <w:iCs w:val="0"/>
                <w:snapToGrid/>
                <w:color w:val="auto"/>
                <w:kern w:val="2"/>
                <w:sz w:val="21"/>
                <w:szCs w:val="21"/>
                <w:highlight w:val="none"/>
                <w:u w:val="none"/>
                <w:lang w:eastAsia="zh-CN"/>
              </w:rPr>
              <w:t>1数智化水站实现智能巡检和自动诊断功能，帮助水站维护运行人员对设备运行状态的准确识别与判断，对需要维修设备部位准确判断。</w:t>
            </w:r>
          </w:p>
          <w:p w14:paraId="09D9EC1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5.2</w:t>
            </w:r>
            <w:r>
              <w:rPr>
                <w:rFonts w:hint="eastAsia" w:ascii="宋体" w:hAnsi="宋体" w:eastAsia="宋体" w:cs="宋体"/>
                <w:i w:val="0"/>
                <w:iCs w:val="0"/>
                <w:snapToGrid/>
                <w:color w:val="auto"/>
                <w:kern w:val="2"/>
                <w:sz w:val="21"/>
                <w:szCs w:val="21"/>
                <w:highlight w:val="none"/>
                <w:u w:val="none"/>
                <w:lang w:eastAsia="zh-CN"/>
              </w:rPr>
              <w:t>对设备关键零部件的寿命管理（或健康智能诊断）实现智能管理。</w:t>
            </w:r>
          </w:p>
          <w:p w14:paraId="36632CC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5.3</w:t>
            </w:r>
            <w:r>
              <w:rPr>
                <w:rFonts w:hint="eastAsia" w:ascii="宋体" w:hAnsi="宋体" w:eastAsia="宋体" w:cs="宋体"/>
                <w:i w:val="0"/>
                <w:iCs w:val="0"/>
                <w:snapToGrid/>
                <w:color w:val="auto"/>
                <w:kern w:val="2"/>
                <w:sz w:val="21"/>
                <w:szCs w:val="21"/>
                <w:highlight w:val="none"/>
                <w:u w:val="none"/>
                <w:lang w:eastAsia="zh-CN"/>
              </w:rPr>
              <w:t>对水质突变、雨量增加等情况，设备可实现自动触发加密监测功能。</w:t>
            </w:r>
          </w:p>
          <w:p w14:paraId="398B7A8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5.4</w:t>
            </w:r>
            <w:r>
              <w:rPr>
                <w:rFonts w:hint="eastAsia" w:ascii="宋体" w:hAnsi="宋体" w:eastAsia="宋体" w:cs="宋体"/>
                <w:i w:val="0"/>
                <w:iCs w:val="0"/>
                <w:snapToGrid/>
                <w:color w:val="auto"/>
                <w:kern w:val="2"/>
                <w:sz w:val="21"/>
                <w:szCs w:val="21"/>
                <w:highlight w:val="none"/>
                <w:u w:val="none"/>
                <w:lang w:eastAsia="zh-CN"/>
              </w:rPr>
              <w:t>数智化水站配套的管理平台或系统，可实现对水站智能巡检、智能维护、智能质控、智能派单等。适配于采购方管理系统的建设与智能升级，形成“人机料法环测”监测要素的标准化监管和贯穿监测全过程的穿透式管理，最终实现环境监测从人工管理向数字智能驱动的转变，从而最终实现降本、提质、增效、防风险的目标。</w:t>
            </w: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03A8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套</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7E3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2</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5B89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50000</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B28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100000</w:t>
            </w:r>
          </w:p>
        </w:tc>
      </w:tr>
      <w:tr w14:paraId="7B988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3" w:hRule="atLeast"/>
        </w:trPr>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6CF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4</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7607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质控单元</w:t>
            </w:r>
          </w:p>
        </w:tc>
        <w:tc>
          <w:tcPr>
            <w:tcW w:w="4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EF136">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both"/>
              <w:textAlignment w:val="center"/>
              <w:rPr>
                <w:rFonts w:hint="eastAsia" w:ascii="宋体" w:hAnsi="宋体" w:eastAsia="宋体" w:cs="宋体"/>
                <w:b/>
                <w:bCs/>
                <w:i w:val="0"/>
                <w:iCs w:val="0"/>
                <w:snapToGrid/>
                <w:color w:val="auto"/>
                <w:kern w:val="2"/>
                <w:sz w:val="21"/>
                <w:szCs w:val="21"/>
                <w:highlight w:val="none"/>
                <w:u w:val="none"/>
                <w:lang w:eastAsia="zh-CN"/>
              </w:rPr>
            </w:pPr>
            <w:r>
              <w:rPr>
                <w:rFonts w:hint="eastAsia" w:ascii="宋体" w:hAnsi="宋体" w:eastAsia="宋体" w:cs="宋体"/>
                <w:b/>
                <w:bCs/>
                <w:i w:val="0"/>
                <w:iCs w:val="0"/>
                <w:snapToGrid/>
                <w:color w:val="auto"/>
                <w:kern w:val="2"/>
                <w:sz w:val="21"/>
                <w:szCs w:val="21"/>
                <w:highlight w:val="none"/>
                <w:u w:val="none"/>
                <w:lang w:val="en-US" w:eastAsia="zh-CN"/>
              </w:rPr>
              <w:t>1.</w:t>
            </w:r>
            <w:r>
              <w:rPr>
                <w:rFonts w:hint="eastAsia" w:ascii="宋体" w:hAnsi="宋体" w:eastAsia="宋体" w:cs="宋体"/>
                <w:b/>
                <w:bCs/>
                <w:i w:val="0"/>
                <w:iCs w:val="0"/>
                <w:snapToGrid/>
                <w:color w:val="auto"/>
                <w:kern w:val="2"/>
                <w:sz w:val="21"/>
                <w:szCs w:val="21"/>
                <w:highlight w:val="none"/>
                <w:u w:val="none"/>
                <w:lang w:eastAsia="zh-CN"/>
              </w:rPr>
              <w:t>高锰酸盐指数、氨氮、总磷、总氮质控模块技术要求</w:t>
            </w:r>
          </w:p>
          <w:p w14:paraId="77390D95">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both"/>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系统仪器性能指标达到采购方的验收技术要求。智能化质控配样模块，可制备任意浓度标准样品，支撑多元化质控应用。实现远程化、智能化质控，异常数据无需现场质控复核。</w:t>
            </w:r>
          </w:p>
          <w:p w14:paraId="22FAB875">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both"/>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▲1.1 可自动制备任意浓度的标准样品。【</w:t>
            </w:r>
            <w:r>
              <w:rPr>
                <w:rFonts w:hint="eastAsia" w:ascii="宋体" w:hAnsi="宋体" w:eastAsia="宋体" w:cs="宋体"/>
                <w:b/>
                <w:bCs/>
                <w:i w:val="0"/>
                <w:iCs w:val="0"/>
                <w:snapToGrid/>
                <w:color w:val="auto"/>
                <w:kern w:val="2"/>
                <w:sz w:val="21"/>
                <w:szCs w:val="21"/>
                <w:highlight w:val="none"/>
                <w:u w:val="none"/>
                <w:lang w:eastAsia="zh-CN"/>
              </w:rPr>
              <w:t>竞标时需提供相关证明材料（包括但不限于彩页、官网和功能截图），并加盖供应商单位公章，否则竞标无效。</w:t>
            </w:r>
            <w:r>
              <w:rPr>
                <w:rFonts w:hint="eastAsia" w:ascii="宋体" w:hAnsi="宋体" w:eastAsia="宋体" w:cs="宋体"/>
                <w:i w:val="0"/>
                <w:iCs w:val="0"/>
                <w:snapToGrid/>
                <w:color w:val="auto"/>
                <w:kern w:val="2"/>
                <w:sz w:val="21"/>
                <w:szCs w:val="21"/>
                <w:highlight w:val="none"/>
                <w:u w:val="none"/>
                <w:lang w:eastAsia="zh-CN"/>
              </w:rPr>
              <w:t>】</w:t>
            </w:r>
          </w:p>
          <w:p w14:paraId="3099375C">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both"/>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1.2 可自动制备多点线性核查校正液，远程对仪器测量曲线进行线性核查或校准。</w:t>
            </w:r>
          </w:p>
          <w:p w14:paraId="4428DE78">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both"/>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1.3 样杯需具备防止水样被篡改功能。</w:t>
            </w:r>
          </w:p>
          <w:p w14:paraId="2184C1A2">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both"/>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1.4 可通过中心平台实现远程多点线性测试，减少前往现场频率，无需前往现场，可实现远程校准仪器。</w:t>
            </w:r>
          </w:p>
          <w:p w14:paraId="4AB21D05">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both"/>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1.5 具有将盲样考核结果传输至广西水环境监控平台的功能。</w:t>
            </w:r>
          </w:p>
          <w:p w14:paraId="10C901A1">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both"/>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1.6 具备远程控制仪器自动无定量稀释倍数功能；具备远程控制仪器进行自动加标回收测试功能。</w:t>
            </w:r>
          </w:p>
          <w:p w14:paraId="2F99A530">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both"/>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1.7 质控系统水样杯与标样杯互相独立，分别测试。双杯设计能有效避免交叉污染，保护待测水样，提高测量精度，保证数据的准确性与可靠性。</w:t>
            </w:r>
          </w:p>
          <w:p w14:paraId="30E24395">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both"/>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1.8 具有实时更新质控模块的当前状态信息，并向平台和基站传输当前状态信息数据。具有加标及配标前推空管口部分与空气接触的母液的功能，避免变质母液影响测量结果。</w:t>
            </w:r>
          </w:p>
          <w:p w14:paraId="55703B7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1.9 具有流程日志记录功能，直观反映仪器的工作进度及健康状态，提供了问题溯源的依据。</w:t>
            </w:r>
          </w:p>
          <w:p w14:paraId="7F26E1F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bCs/>
                <w:i w:val="0"/>
                <w:iCs w:val="0"/>
                <w:snapToGrid/>
                <w:color w:val="auto"/>
                <w:kern w:val="2"/>
                <w:sz w:val="21"/>
                <w:szCs w:val="21"/>
                <w:highlight w:val="none"/>
                <w:u w:val="none"/>
                <w:lang w:eastAsia="zh-CN"/>
              </w:rPr>
            </w:pPr>
            <w:r>
              <w:rPr>
                <w:rFonts w:hint="eastAsia" w:ascii="宋体" w:hAnsi="宋体" w:eastAsia="宋体" w:cs="宋体"/>
                <w:b/>
                <w:bCs/>
                <w:i w:val="0"/>
                <w:iCs w:val="0"/>
                <w:snapToGrid/>
                <w:color w:val="auto"/>
                <w:kern w:val="2"/>
                <w:sz w:val="21"/>
                <w:szCs w:val="21"/>
                <w:highlight w:val="none"/>
                <w:u w:val="none"/>
                <w:lang w:val="en-US" w:eastAsia="zh-CN"/>
              </w:rPr>
              <w:t>2.</w:t>
            </w:r>
            <w:r>
              <w:rPr>
                <w:rFonts w:hint="eastAsia" w:ascii="宋体" w:hAnsi="宋体" w:eastAsia="宋体" w:cs="宋体"/>
                <w:b/>
                <w:bCs/>
                <w:i w:val="0"/>
                <w:iCs w:val="0"/>
                <w:snapToGrid/>
                <w:color w:val="auto"/>
                <w:kern w:val="2"/>
                <w:sz w:val="21"/>
                <w:szCs w:val="21"/>
                <w:highlight w:val="none"/>
                <w:u w:val="none"/>
                <w:lang w:eastAsia="zh-CN"/>
              </w:rPr>
              <w:t>质控单元技术要求</w:t>
            </w:r>
          </w:p>
          <w:p w14:paraId="55746A2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与分析单元联用，通过现场工控机上的控制软件协同控制分析单元和质控配样装置，实现分析仪器的质控测试。具体要求如下:</w:t>
            </w:r>
          </w:p>
          <w:p w14:paraId="0C5F1C9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2</w:t>
            </w:r>
            <w:r>
              <w:rPr>
                <w:rFonts w:hint="eastAsia" w:ascii="宋体" w:hAnsi="宋体" w:eastAsia="宋体" w:cs="宋体"/>
                <w:i w:val="0"/>
                <w:iCs w:val="0"/>
                <w:snapToGrid/>
                <w:color w:val="auto"/>
                <w:kern w:val="2"/>
                <w:sz w:val="21"/>
                <w:szCs w:val="21"/>
                <w:highlight w:val="none"/>
                <w:u w:val="none"/>
                <w:lang w:eastAsia="zh-CN"/>
              </w:rPr>
              <w:t>.1 须对水质自动分析仪器进行空白样测试、平行样测量、自动标样核查、自动多点线性核查、自动加标回收率测试、自动零点核查、自动跨度核查、24小时零点漂移、24小时跨度漂移等质控功能并具备远程质控功能；</w:t>
            </w:r>
          </w:p>
          <w:p w14:paraId="3F87F60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2</w:t>
            </w:r>
            <w:r>
              <w:rPr>
                <w:rFonts w:hint="eastAsia" w:ascii="宋体" w:hAnsi="宋体" w:eastAsia="宋体" w:cs="宋体"/>
                <w:i w:val="0"/>
                <w:iCs w:val="0"/>
                <w:snapToGrid/>
                <w:color w:val="auto"/>
                <w:kern w:val="2"/>
                <w:sz w:val="21"/>
                <w:szCs w:val="21"/>
                <w:highlight w:val="none"/>
                <w:u w:val="none"/>
                <w:lang w:eastAsia="zh-CN"/>
              </w:rPr>
              <w:t>.2 须有远程盲样考核功能。联动控制仪器启动抽样测试命令，该功能可随时考核仪器测试样品数据的准确稳定性；</w:t>
            </w:r>
          </w:p>
          <w:p w14:paraId="05EB521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2</w:t>
            </w:r>
            <w:r>
              <w:rPr>
                <w:rFonts w:hint="eastAsia" w:ascii="宋体" w:hAnsi="宋体" w:eastAsia="宋体" w:cs="宋体"/>
                <w:i w:val="0"/>
                <w:iCs w:val="0"/>
                <w:snapToGrid/>
                <w:color w:val="auto"/>
                <w:kern w:val="2"/>
                <w:sz w:val="21"/>
                <w:szCs w:val="21"/>
                <w:highlight w:val="none"/>
                <w:u w:val="none"/>
                <w:lang w:eastAsia="zh-CN"/>
              </w:rPr>
              <w:t>.3 须有加标功能，可以根据水样测量值不同而自动调整加标体积。具有数据异常自动留样功能；</w:t>
            </w:r>
          </w:p>
          <w:p w14:paraId="561F834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2</w:t>
            </w:r>
            <w:r>
              <w:rPr>
                <w:rFonts w:hint="eastAsia" w:ascii="宋体" w:hAnsi="宋体" w:eastAsia="宋体" w:cs="宋体"/>
                <w:i w:val="0"/>
                <w:iCs w:val="0"/>
                <w:snapToGrid/>
                <w:color w:val="auto"/>
                <w:kern w:val="2"/>
                <w:sz w:val="21"/>
                <w:szCs w:val="21"/>
                <w:highlight w:val="none"/>
                <w:u w:val="none"/>
                <w:lang w:eastAsia="zh-CN"/>
              </w:rPr>
              <w:t>.4 系统须有自动诊断功能，数据出现异常波动时，自动追加的质控措施；</w:t>
            </w:r>
          </w:p>
          <w:p w14:paraId="78BF277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2</w:t>
            </w:r>
            <w:r>
              <w:rPr>
                <w:rFonts w:hint="eastAsia" w:ascii="宋体" w:hAnsi="宋体" w:eastAsia="宋体" w:cs="宋体"/>
                <w:i w:val="0"/>
                <w:iCs w:val="0"/>
                <w:snapToGrid/>
                <w:color w:val="auto"/>
                <w:kern w:val="2"/>
                <w:sz w:val="21"/>
                <w:szCs w:val="21"/>
                <w:highlight w:val="none"/>
                <w:u w:val="none"/>
                <w:lang w:eastAsia="zh-CN"/>
              </w:rPr>
              <w:t>.5 须动态监控水样杯中的水样量，周期测试时仪器未从水样杯中取样会触发报警，从而保证水样数据的真实性。可实时监控加标标液温度，保证质控样品准确、有效；</w:t>
            </w:r>
          </w:p>
          <w:p w14:paraId="6F46830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2</w:t>
            </w:r>
            <w:r>
              <w:rPr>
                <w:rFonts w:hint="eastAsia" w:ascii="宋体" w:hAnsi="宋体" w:eastAsia="宋体" w:cs="宋体"/>
                <w:i w:val="0"/>
                <w:iCs w:val="0"/>
                <w:snapToGrid/>
                <w:color w:val="auto"/>
                <w:kern w:val="2"/>
                <w:sz w:val="21"/>
                <w:szCs w:val="21"/>
                <w:highlight w:val="none"/>
                <w:u w:val="none"/>
                <w:lang w:eastAsia="zh-CN"/>
              </w:rPr>
              <w:t>.6 须具备自动切换标样管和水样管的功能，以免交叉污染。每台仪器配备独立的质控装置，保证质控考核的独立性，可实现任意标液体积的精确加取；</w:t>
            </w:r>
          </w:p>
          <w:p w14:paraId="4982829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2</w:t>
            </w:r>
            <w:r>
              <w:rPr>
                <w:rFonts w:hint="eastAsia" w:ascii="宋体" w:hAnsi="宋体" w:eastAsia="宋体" w:cs="宋体"/>
                <w:i w:val="0"/>
                <w:iCs w:val="0"/>
                <w:snapToGrid/>
                <w:color w:val="auto"/>
                <w:kern w:val="2"/>
                <w:sz w:val="21"/>
                <w:szCs w:val="21"/>
                <w:highlight w:val="none"/>
                <w:u w:val="none"/>
                <w:lang w:eastAsia="zh-CN"/>
              </w:rPr>
              <w:t>.7 须具备自动实现加标量、标液浓度和定容体积设置的功能，并将加标量、标液浓度和定容体积信息保存并上传至广西水环境监控平台。仪器设备、集成系统具备自动平行样测定功能，并能将平行样结果独立保存。</w:t>
            </w: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F56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套</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16C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2</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675F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40000</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FB2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80000</w:t>
            </w:r>
          </w:p>
        </w:tc>
      </w:tr>
      <w:tr w14:paraId="29A7E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5" w:hRule="atLeast"/>
        </w:trPr>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879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5</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587D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留样器</w:t>
            </w:r>
          </w:p>
        </w:tc>
        <w:tc>
          <w:tcPr>
            <w:tcW w:w="4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79F6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bCs/>
                <w:i w:val="0"/>
                <w:iCs w:val="0"/>
                <w:snapToGrid/>
                <w:color w:val="auto"/>
                <w:kern w:val="2"/>
                <w:sz w:val="21"/>
                <w:szCs w:val="21"/>
                <w:highlight w:val="none"/>
                <w:u w:val="none"/>
                <w:lang w:eastAsia="zh-CN"/>
              </w:rPr>
            </w:pPr>
            <w:r>
              <w:rPr>
                <w:rFonts w:hint="eastAsia" w:ascii="宋体" w:hAnsi="宋体" w:eastAsia="宋体" w:cs="宋体"/>
                <w:b/>
                <w:bCs/>
                <w:i w:val="0"/>
                <w:iCs w:val="0"/>
                <w:snapToGrid/>
                <w:color w:val="auto"/>
                <w:kern w:val="2"/>
                <w:sz w:val="21"/>
                <w:szCs w:val="21"/>
                <w:highlight w:val="none"/>
                <w:u w:val="none"/>
                <w:lang w:eastAsia="zh-CN"/>
              </w:rPr>
              <w:t>留样单元技术要求</w:t>
            </w:r>
          </w:p>
          <w:p w14:paraId="079DCB7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1.</w:t>
            </w:r>
            <w:r>
              <w:rPr>
                <w:rFonts w:hint="eastAsia" w:ascii="宋体" w:hAnsi="宋体" w:eastAsia="宋体" w:cs="宋体"/>
                <w:i w:val="0"/>
                <w:iCs w:val="0"/>
                <w:snapToGrid/>
                <w:color w:val="auto"/>
                <w:kern w:val="2"/>
                <w:sz w:val="21"/>
                <w:szCs w:val="21"/>
                <w:highlight w:val="none"/>
                <w:u w:val="none"/>
                <w:lang w:eastAsia="zh-CN"/>
              </w:rPr>
              <w:t>具备水样冷藏功能，温度在（4±2）℃；</w:t>
            </w:r>
          </w:p>
          <w:p w14:paraId="5EFDFEE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2.</w:t>
            </w:r>
            <w:r>
              <w:rPr>
                <w:rFonts w:hint="eastAsia" w:ascii="宋体" w:hAnsi="宋体" w:eastAsia="宋体" w:cs="宋体"/>
                <w:i w:val="0"/>
                <w:iCs w:val="0"/>
                <w:snapToGrid/>
                <w:color w:val="auto"/>
                <w:kern w:val="2"/>
                <w:sz w:val="21"/>
                <w:szCs w:val="21"/>
                <w:highlight w:val="none"/>
                <w:u w:val="none"/>
                <w:lang w:eastAsia="zh-CN"/>
              </w:rPr>
              <w:t xml:space="preserve"> 留样瓶由惰性材料制成，易清洗，容量应&gt;500mL，瓶数≥12个，有密封功能；</w:t>
            </w:r>
          </w:p>
          <w:p w14:paraId="63CCFB9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 xml:space="preserve"> 具有留样前自动润洗，留样后自动排空的功能；</w:t>
            </w:r>
          </w:p>
          <w:p w14:paraId="0EAC5F3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4.</w:t>
            </w:r>
            <w:r>
              <w:rPr>
                <w:rFonts w:hint="eastAsia" w:ascii="宋体" w:hAnsi="宋体" w:eastAsia="宋体" w:cs="宋体"/>
                <w:i w:val="0"/>
                <w:iCs w:val="0"/>
                <w:snapToGrid/>
                <w:color w:val="auto"/>
                <w:kern w:val="2"/>
                <w:sz w:val="21"/>
                <w:szCs w:val="21"/>
                <w:highlight w:val="none"/>
                <w:u w:val="none"/>
                <w:lang w:eastAsia="zh-CN"/>
              </w:rPr>
              <w:t xml:space="preserve"> 具有人工留样、自动留样、超标留样和远程反控留样等功能配置门禁系统并具备开关门记录功能；</w:t>
            </w:r>
          </w:p>
          <w:p w14:paraId="66DCCB0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5. 具有留样失败报警功能；</w:t>
            </w:r>
          </w:p>
          <w:p w14:paraId="01A582D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6.</w:t>
            </w:r>
            <w:r>
              <w:rPr>
                <w:rFonts w:hint="eastAsia" w:ascii="宋体" w:hAnsi="宋体" w:eastAsia="宋体" w:cs="宋体"/>
                <w:i w:val="0"/>
                <w:iCs w:val="0"/>
                <w:snapToGrid/>
                <w:color w:val="auto"/>
                <w:kern w:val="2"/>
                <w:sz w:val="21"/>
                <w:szCs w:val="21"/>
                <w:highlight w:val="none"/>
                <w:u w:val="none"/>
                <w:lang w:eastAsia="zh-CN"/>
              </w:rPr>
              <w:t>具有全程温度记录、全时监控等功能。</w:t>
            </w: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CB4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套</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69D2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2</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C1F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30000</w:t>
            </w:r>
          </w:p>
        </w:tc>
        <w:tc>
          <w:tcPr>
            <w:tcW w:w="1101" w:type="dxa"/>
            <w:tcBorders>
              <w:top w:val="single" w:color="000000" w:sz="4" w:space="0"/>
              <w:left w:val="single" w:color="000000" w:sz="4" w:space="0"/>
              <w:bottom w:val="single" w:color="000000" w:sz="4" w:space="0"/>
              <w:right w:val="single" w:color="auto" w:sz="4" w:space="0"/>
            </w:tcBorders>
            <w:shd w:val="clear" w:color="auto" w:fill="auto"/>
            <w:vAlign w:val="center"/>
          </w:tcPr>
          <w:p w14:paraId="47DC402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60000</w:t>
            </w:r>
          </w:p>
        </w:tc>
      </w:tr>
      <w:tr w14:paraId="3DF6D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4" w:hRule="atLeast"/>
        </w:trPr>
        <w:tc>
          <w:tcPr>
            <w:tcW w:w="9271" w:type="dxa"/>
            <w:gridSpan w:val="7"/>
            <w:tcBorders>
              <w:top w:val="single" w:color="000000" w:sz="4" w:space="0"/>
              <w:left w:val="single" w:color="000000" w:sz="4" w:space="0"/>
              <w:bottom w:val="single" w:color="000000" w:sz="4" w:space="0"/>
              <w:right w:val="single" w:color="auto" w:sz="4" w:space="0"/>
            </w:tcBorders>
            <w:shd w:val="clear" w:color="auto" w:fill="auto"/>
            <w:vAlign w:val="center"/>
          </w:tcPr>
          <w:p w14:paraId="7B26F6F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b/>
                <w:bCs/>
                <w:i w:val="0"/>
                <w:iCs w:val="0"/>
                <w:snapToGrid/>
                <w:color w:val="auto"/>
                <w:kern w:val="2"/>
                <w:sz w:val="21"/>
                <w:szCs w:val="21"/>
                <w:highlight w:val="none"/>
                <w:u w:val="none"/>
                <w:lang w:eastAsia="zh-CN"/>
              </w:rPr>
              <w:t>三、</w:t>
            </w:r>
            <w:r>
              <w:rPr>
                <w:rFonts w:hint="eastAsia" w:ascii="宋体" w:hAnsi="宋体" w:eastAsia="宋体" w:cs="宋体"/>
                <w:b/>
                <w:bCs/>
                <w:snapToGrid w:val="0"/>
                <w:color w:val="auto"/>
                <w:spacing w:val="-2"/>
                <w:kern w:val="0"/>
                <w:sz w:val="24"/>
                <w:szCs w:val="24"/>
                <w:highlight w:val="none"/>
                <w:lang w:eastAsia="en-US"/>
              </w:rPr>
              <w:t>视频部分</w:t>
            </w:r>
          </w:p>
        </w:tc>
      </w:tr>
      <w:tr w14:paraId="3BFCB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047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1</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BFFE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视频监控单元</w:t>
            </w:r>
          </w:p>
        </w:tc>
        <w:tc>
          <w:tcPr>
            <w:tcW w:w="4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A310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bCs/>
                <w:i w:val="0"/>
                <w:iCs w:val="0"/>
                <w:snapToGrid/>
                <w:color w:val="auto"/>
                <w:kern w:val="2"/>
                <w:sz w:val="21"/>
                <w:szCs w:val="21"/>
                <w:highlight w:val="none"/>
                <w:u w:val="none"/>
                <w:lang w:eastAsia="zh-CN"/>
              </w:rPr>
            </w:pPr>
            <w:r>
              <w:rPr>
                <w:rFonts w:hint="eastAsia" w:ascii="宋体" w:hAnsi="宋体" w:eastAsia="宋体" w:cs="宋体"/>
                <w:b/>
                <w:bCs/>
                <w:i w:val="0"/>
                <w:iCs w:val="0"/>
                <w:snapToGrid/>
                <w:color w:val="auto"/>
                <w:kern w:val="2"/>
                <w:sz w:val="21"/>
                <w:szCs w:val="21"/>
                <w:highlight w:val="none"/>
                <w:u w:val="none"/>
                <w:lang w:val="en-US" w:eastAsia="zh-CN"/>
              </w:rPr>
              <w:t>1.</w:t>
            </w:r>
            <w:r>
              <w:rPr>
                <w:rFonts w:hint="eastAsia" w:ascii="宋体" w:hAnsi="宋体" w:eastAsia="宋体" w:cs="宋体"/>
                <w:b/>
                <w:bCs/>
                <w:i w:val="0"/>
                <w:iCs w:val="0"/>
                <w:snapToGrid/>
                <w:color w:val="auto"/>
                <w:kern w:val="2"/>
                <w:sz w:val="21"/>
                <w:szCs w:val="21"/>
                <w:highlight w:val="none"/>
                <w:u w:val="none"/>
                <w:lang w:eastAsia="zh-CN"/>
              </w:rPr>
              <w:t>智慧站房系统技术要求</w:t>
            </w:r>
          </w:p>
          <w:p w14:paraId="5BA22EA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智慧站房系统集成站房动力监控、环境监控、视频监控等设备，通过对室内温度湿度、视频、动力环境（站房电流电压）、水浸、烟雾等进行监控，实现对站房环境、仪器设备等智能操作、监控等管理。对五参数设备自动清洗、五参数自动核查、水样液位观察、纯水液位、废液液位等实时可视化视频监控。</w:t>
            </w:r>
          </w:p>
          <w:p w14:paraId="49911B3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bCs/>
                <w:i w:val="0"/>
                <w:iCs w:val="0"/>
                <w:snapToGrid/>
                <w:color w:val="auto"/>
                <w:kern w:val="2"/>
                <w:sz w:val="21"/>
                <w:szCs w:val="21"/>
                <w:highlight w:val="none"/>
                <w:u w:val="none"/>
                <w:lang w:eastAsia="zh-CN"/>
              </w:rPr>
            </w:pPr>
            <w:r>
              <w:rPr>
                <w:rFonts w:hint="eastAsia" w:ascii="宋体" w:hAnsi="宋体" w:eastAsia="宋体" w:cs="宋体"/>
                <w:b/>
                <w:bCs/>
                <w:i w:val="0"/>
                <w:iCs w:val="0"/>
                <w:snapToGrid/>
                <w:color w:val="auto"/>
                <w:kern w:val="2"/>
                <w:sz w:val="21"/>
                <w:szCs w:val="21"/>
                <w:highlight w:val="none"/>
                <w:u w:val="none"/>
                <w:lang w:val="en-US" w:eastAsia="zh-CN"/>
              </w:rPr>
              <w:t>2.</w:t>
            </w:r>
            <w:r>
              <w:rPr>
                <w:rFonts w:hint="eastAsia" w:ascii="宋体" w:hAnsi="宋体" w:eastAsia="宋体" w:cs="宋体"/>
                <w:b/>
                <w:bCs/>
                <w:i w:val="0"/>
                <w:iCs w:val="0"/>
                <w:snapToGrid/>
                <w:color w:val="auto"/>
                <w:kern w:val="2"/>
                <w:sz w:val="21"/>
                <w:szCs w:val="21"/>
                <w:highlight w:val="none"/>
                <w:u w:val="none"/>
                <w:lang w:eastAsia="zh-CN"/>
              </w:rPr>
              <w:t>便携式数据处理器实时监控，远程掌握站房情况</w:t>
            </w:r>
          </w:p>
          <w:p w14:paraId="524F74A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2</w:t>
            </w:r>
            <w:r>
              <w:rPr>
                <w:rFonts w:hint="eastAsia" w:ascii="宋体" w:hAnsi="宋体" w:eastAsia="宋体" w:cs="宋体"/>
                <w:i w:val="0"/>
                <w:iCs w:val="0"/>
                <w:snapToGrid/>
                <w:color w:val="auto"/>
                <w:kern w:val="2"/>
                <w:sz w:val="21"/>
                <w:szCs w:val="21"/>
                <w:highlight w:val="none"/>
                <w:u w:val="none"/>
                <w:lang w:eastAsia="zh-CN"/>
              </w:rPr>
              <w:t>.1每个站点配置1台便携式数据处理终端，共</w:t>
            </w:r>
            <w:r>
              <w:rPr>
                <w:rFonts w:hint="eastAsia" w:ascii="宋体" w:hAnsi="宋体" w:eastAsia="宋体" w:cs="宋体"/>
                <w:i w:val="0"/>
                <w:iCs w:val="0"/>
                <w:snapToGrid/>
                <w:color w:val="auto"/>
                <w:kern w:val="2"/>
                <w:sz w:val="21"/>
                <w:szCs w:val="21"/>
                <w:highlight w:val="none"/>
                <w:u w:val="none"/>
                <w:lang w:val="en-US" w:eastAsia="zh-CN"/>
              </w:rPr>
              <w:t>2</w:t>
            </w:r>
            <w:r>
              <w:rPr>
                <w:rFonts w:hint="eastAsia" w:ascii="宋体" w:hAnsi="宋体" w:eastAsia="宋体" w:cs="宋体"/>
                <w:i w:val="0"/>
                <w:iCs w:val="0"/>
                <w:snapToGrid/>
                <w:color w:val="auto"/>
                <w:kern w:val="2"/>
                <w:sz w:val="21"/>
                <w:szCs w:val="21"/>
                <w:highlight w:val="none"/>
                <w:u w:val="none"/>
                <w:lang w:eastAsia="zh-CN"/>
              </w:rPr>
              <w:t>台（配置便携式数据处理终端（i7处理器以上/16G内存以上/2T SSD以上/独立显卡并带独立展示屏/内置无线网卡（流量卡）插槽/具备外接多端口（USB3.0、USB2.0、HDMI、网口等）。</w:t>
            </w:r>
          </w:p>
          <w:p w14:paraId="02598D5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2</w:t>
            </w:r>
            <w:r>
              <w:rPr>
                <w:rFonts w:hint="eastAsia" w:ascii="宋体" w:hAnsi="宋体" w:eastAsia="宋体" w:cs="宋体"/>
                <w:i w:val="0"/>
                <w:iCs w:val="0"/>
                <w:snapToGrid/>
                <w:color w:val="auto"/>
                <w:kern w:val="2"/>
                <w:sz w:val="21"/>
                <w:szCs w:val="21"/>
                <w:highlight w:val="none"/>
                <w:u w:val="none"/>
                <w:lang w:eastAsia="zh-CN"/>
              </w:rPr>
              <w:t>.2通过便携式数据处理器设备，可实现对站房环境参数监测数据远程查看。当环境参数监测数据发生异常，能主动提示日志信息，显示明显告警状态。另外，现场发生异常时，触发监控摄像机实现自动拍照及录像，也可实时通过监控画面查看站房内环境详情，实时查看站点的异常情况。维护人员采用便携式数据处理器实时掌握现场情况，及时进行针对性的人工维护，有效减少异常情况对于在线监测系统正常运行的影响，有效保障水质在线监测系统的数据有效率。</w:t>
            </w:r>
          </w:p>
          <w:p w14:paraId="21CE7D6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bCs/>
                <w:i w:val="0"/>
                <w:iCs w:val="0"/>
                <w:snapToGrid/>
                <w:color w:val="auto"/>
                <w:kern w:val="2"/>
                <w:sz w:val="21"/>
                <w:szCs w:val="21"/>
                <w:highlight w:val="none"/>
                <w:u w:val="none"/>
                <w:lang w:eastAsia="zh-CN"/>
              </w:rPr>
            </w:pPr>
            <w:r>
              <w:rPr>
                <w:rFonts w:hint="eastAsia" w:ascii="宋体" w:hAnsi="宋体" w:eastAsia="宋体" w:cs="宋体"/>
                <w:b/>
                <w:bCs/>
                <w:i w:val="0"/>
                <w:iCs w:val="0"/>
                <w:snapToGrid/>
                <w:color w:val="auto"/>
                <w:kern w:val="2"/>
                <w:sz w:val="21"/>
                <w:szCs w:val="21"/>
                <w:highlight w:val="none"/>
                <w:u w:val="none"/>
                <w:lang w:val="en-US" w:eastAsia="zh-CN"/>
              </w:rPr>
              <w:t>3</w:t>
            </w:r>
            <w:r>
              <w:rPr>
                <w:rFonts w:hint="eastAsia" w:ascii="宋体" w:hAnsi="宋体" w:eastAsia="宋体" w:cs="宋体"/>
                <w:b/>
                <w:bCs/>
                <w:i w:val="0"/>
                <w:iCs w:val="0"/>
                <w:snapToGrid/>
                <w:color w:val="auto"/>
                <w:kern w:val="2"/>
                <w:sz w:val="21"/>
                <w:szCs w:val="21"/>
                <w:highlight w:val="none"/>
                <w:u w:val="none"/>
                <w:lang w:eastAsia="zh-CN"/>
              </w:rPr>
              <w:t>.视频监控</w:t>
            </w:r>
          </w:p>
          <w:p w14:paraId="4859B17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.1视频终端：</w:t>
            </w:r>
          </w:p>
          <w:p w14:paraId="5C858C1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.1.1 自动站装备站房内监控摄像机和站房进出口人脸识别摄像机等视频终端的，应统筹使用，避免重复建设。在覆盖范围上，视频监控原则上要能覆盖断面采水区域、采水口、采水管路、站房、上游≥100米河道及两边岸线、下游≥100米河道及两边岸线等所有需要重点监管的区域。电子围栏要具备7×24小时的无死角、全覆盖、可视化的监控。</w:t>
            </w:r>
          </w:p>
          <w:p w14:paraId="0115273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w:t>
            </w:r>
            <w:r>
              <w:rPr>
                <w:rFonts w:hint="eastAsia" w:ascii="宋体" w:hAnsi="宋体" w:eastAsia="宋体" w:cs="宋体"/>
                <w:i w:val="0"/>
                <w:iCs w:val="0"/>
                <w:snapToGrid/>
                <w:color w:val="auto"/>
                <w:kern w:val="2"/>
                <w:sz w:val="21"/>
                <w:szCs w:val="21"/>
                <w:highlight w:val="none"/>
                <w:u w:val="none"/>
                <w:lang w:val="en-US" w:eastAsia="zh-CN"/>
              </w:rPr>
              <w:t>1</w:t>
            </w:r>
            <w:r>
              <w:rPr>
                <w:rFonts w:hint="eastAsia" w:ascii="宋体" w:hAnsi="宋体" w:eastAsia="宋体" w:cs="宋体"/>
                <w:i w:val="0"/>
                <w:iCs w:val="0"/>
                <w:snapToGrid/>
                <w:color w:val="auto"/>
                <w:kern w:val="2"/>
                <w:sz w:val="21"/>
                <w:szCs w:val="21"/>
                <w:highlight w:val="none"/>
                <w:u w:val="none"/>
                <w:lang w:eastAsia="zh-CN"/>
              </w:rPr>
              <w:t>.2取水点摄像机功能：通过视频监控设置两级电子围栏，取水点摄像头AI图像识别应支持如下基本要求：（</w:t>
            </w:r>
            <w:r>
              <w:rPr>
                <w:rFonts w:hint="eastAsia" w:ascii="宋体" w:hAnsi="宋体" w:eastAsia="宋体" w:cs="宋体"/>
                <w:b/>
                <w:bCs/>
                <w:i w:val="0"/>
                <w:iCs w:val="0"/>
                <w:snapToGrid/>
                <w:color w:val="auto"/>
                <w:kern w:val="2"/>
                <w:sz w:val="21"/>
                <w:szCs w:val="21"/>
                <w:highlight w:val="none"/>
                <w:u w:val="none"/>
                <w:lang w:eastAsia="zh-CN"/>
              </w:rPr>
              <w:t>竞标时需提供该功能的相关证明材料，包括但不限于彩页、官网和功能截图等</w:t>
            </w:r>
            <w:r>
              <w:rPr>
                <w:rFonts w:hint="eastAsia" w:ascii="宋体" w:hAnsi="宋体" w:eastAsia="宋体" w:cs="宋体"/>
                <w:i w:val="0"/>
                <w:iCs w:val="0"/>
                <w:snapToGrid/>
                <w:color w:val="auto"/>
                <w:kern w:val="2"/>
                <w:sz w:val="21"/>
                <w:szCs w:val="21"/>
                <w:highlight w:val="none"/>
                <w:u w:val="none"/>
                <w:lang w:eastAsia="zh-CN"/>
              </w:rPr>
              <w:t>）</w:t>
            </w:r>
          </w:p>
          <w:p w14:paraId="6714EFB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①监控区域内存在人员落水；</w:t>
            </w:r>
          </w:p>
          <w:p w14:paraId="4873F56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②采水装置不在二级电子围栏区域内；</w:t>
            </w:r>
          </w:p>
          <w:p w14:paraId="0E584DF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③一级电子围栏区域内存在1分钟以上的人员/船只作业；一级电子围栏（采水装置1米）外二级电子围栏内，有船只/异物/漂浮物通过；一级电子围栏外2级电子围栏内存在人员活动</w:t>
            </w:r>
          </w:p>
          <w:p w14:paraId="0108481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④采水装置存在4小时以上被异物牵挂；</w:t>
            </w:r>
          </w:p>
          <w:p w14:paraId="1924D73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⑤采水装置搁浅；</w:t>
            </w:r>
          </w:p>
          <w:p w14:paraId="2FBF0E4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⑥一级电子围栏内存在水质颜色突变的情况；</w:t>
            </w:r>
          </w:p>
          <w:p w14:paraId="007954D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⑦监控装置存在异物遮挡；</w:t>
            </w:r>
          </w:p>
          <w:p w14:paraId="55EFA0A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⑧监控装置存在花屏、白屏、黑屏、画质模糊、视频掉线等故障情况；</w:t>
            </w:r>
          </w:p>
          <w:p w14:paraId="438EBF7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⑨采水装置存在爆气装置；</w:t>
            </w:r>
          </w:p>
          <w:p w14:paraId="5E549D4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⑩视频监控偏离预定区域，监控区域内存在暴雨；</w:t>
            </w:r>
          </w:p>
          <w:p w14:paraId="139A007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3.1</w:t>
            </w:r>
            <w:r>
              <w:rPr>
                <w:rFonts w:hint="eastAsia" w:ascii="宋体" w:hAnsi="宋体" w:eastAsia="宋体" w:cs="宋体"/>
                <w:i w:val="0"/>
                <w:iCs w:val="0"/>
                <w:snapToGrid/>
                <w:color w:val="auto"/>
                <w:kern w:val="2"/>
                <w:sz w:val="21"/>
                <w:szCs w:val="21"/>
                <w:highlight w:val="none"/>
                <w:u w:val="none"/>
                <w:lang w:eastAsia="zh-CN"/>
              </w:rPr>
              <w:t>.</w:t>
            </w: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 xml:space="preserve"> 在视频终端设备选型方面，高点监控设备主视频分辨率不低于2560×1440，可提供高清画面质量，光学变焦大于等于40倍，可实现远距离的物体放大观察；低点监控设备要求具有400万及以上像素CMOS传感器，可获得清晰的图像细节，分辨率不小于2560×1440，光学变焦大于等于40倍，满足细节监管的需求。</w:t>
            </w:r>
          </w:p>
          <w:p w14:paraId="4BCFC20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2 视频监控单元功能要求：</w:t>
            </w:r>
          </w:p>
          <w:p w14:paraId="2A820A3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2.1 实时监控功能：可实现24小时不间断监控，实时获取监控区域内清晰的监控图像。具有手机远程监控功能。</w:t>
            </w:r>
          </w:p>
          <w:p w14:paraId="739146E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2.2 云台操作功能：可实现全方位、多视角、无盲区、全天候式监控。</w:t>
            </w:r>
          </w:p>
          <w:p w14:paraId="41EADE4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2.3 录像存储功能：满足大容量多通道并发的中心存储需要，存储至少满足60天的存储能力。</w:t>
            </w:r>
          </w:p>
          <w:p w14:paraId="5000ECA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2.4 语音监听功能。</w:t>
            </w:r>
          </w:p>
          <w:p w14:paraId="50AB105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2.5 远程维护功能：可通过平台软件对前端设备进行校时、重启、修正参数、软件升级、远程维护等操作。</w:t>
            </w:r>
          </w:p>
          <w:p w14:paraId="6AE02EA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3视频监控设备布设要求：</w:t>
            </w:r>
          </w:p>
          <w:p w14:paraId="41EE6B8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至少在站房外取水口、站房外、站房仪器室三处位置安装视频监控设备。满足</w:t>
            </w: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.1视频终端技术要求的情况下，可统筹利用原有视频监控设备。</w:t>
            </w:r>
          </w:p>
          <w:p w14:paraId="6CAF6DC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3.</w:t>
            </w: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1 站房外取水口（至少1台高清球机）：安装在靠近取水口岸边，并考虑50年一遇的防洪要求，用于监控取水口及站房周边情况。监控设备可水平360度旋转。</w:t>
            </w:r>
          </w:p>
          <w:p w14:paraId="3A56807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3.</w:t>
            </w: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2 站房进门处（至少1台高清摄像头）：安装在站房进门处，用以监控站房的出入情况。监控设备应配置枪机，固定监控视角。可监控站房周围环境,视频照射距离≥200m。</w:t>
            </w:r>
          </w:p>
          <w:p w14:paraId="39AAA59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3.</w:t>
            </w: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3 站房仪表间（至少1台高清球机）：安装在仪器设备集成机柜正面墙壁上，用于监控仪表间内部设备运行情况，固定监控视角且范围可覆盖仪器室内部所有仪器设备,视频照射距离≥30m。监控设备可水平360度旋转。</w:t>
            </w:r>
          </w:p>
          <w:p w14:paraId="31576BD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3.</w:t>
            </w: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4 视频监控系统具备断电自启功能。</w:t>
            </w:r>
          </w:p>
          <w:p w14:paraId="4C5E482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3.5 高清网络摄像机应选用可接驳符合ONVIF、PSLA、RTSP标准及众多主流厂商的网络摄像机；支持不低于400万像素高清网络视频的预览、存储和回放；支持IPC集中管理；支持智能搜索、回放及备份。</w:t>
            </w: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1E03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eastAsia="zh-CN"/>
              </w:rPr>
              <w:t>套</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E316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2</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5BF8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25000</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EB3F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50000</w:t>
            </w:r>
          </w:p>
        </w:tc>
      </w:tr>
      <w:tr w14:paraId="2E3C2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927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A84001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b/>
                <w:bCs/>
                <w:i w:val="0"/>
                <w:iCs w:val="0"/>
                <w:snapToGrid/>
                <w:color w:val="auto"/>
                <w:kern w:val="2"/>
                <w:sz w:val="21"/>
                <w:szCs w:val="21"/>
                <w:highlight w:val="none"/>
                <w:u w:val="none"/>
                <w:lang w:val="en-US" w:eastAsia="zh-CN"/>
              </w:rPr>
              <w:t>四、辅助单元</w:t>
            </w:r>
          </w:p>
        </w:tc>
      </w:tr>
      <w:tr w14:paraId="712C5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59" w:hRule="atLeast"/>
        </w:trPr>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BC9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1</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B1E7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配套机柜与成套工具 、UPS/稳压电源、废液收集、试剂恒温模块、自动纯水制备装置</w:t>
            </w:r>
          </w:p>
        </w:tc>
        <w:tc>
          <w:tcPr>
            <w:tcW w:w="4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F5AB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辅助单元(试剂冰箱、废液收集单元)技术要求</w:t>
            </w:r>
          </w:p>
          <w:p w14:paraId="19721EC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1.</w:t>
            </w:r>
            <w:r>
              <w:rPr>
                <w:rFonts w:hint="eastAsia" w:ascii="宋体" w:hAnsi="宋体" w:eastAsia="宋体" w:cs="宋体"/>
                <w:i w:val="0"/>
                <w:iCs w:val="0"/>
                <w:snapToGrid/>
                <w:color w:val="auto"/>
                <w:kern w:val="2"/>
                <w:sz w:val="21"/>
                <w:szCs w:val="21"/>
                <w:highlight w:val="none"/>
                <w:u w:val="none"/>
                <w:lang w:eastAsia="zh-CN"/>
              </w:rPr>
              <w:t xml:space="preserve"> 具有维护专用成套工具、试剂冰箱；</w:t>
            </w:r>
          </w:p>
          <w:p w14:paraId="63C92DA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2.</w:t>
            </w:r>
            <w:r>
              <w:rPr>
                <w:rFonts w:hint="eastAsia" w:ascii="宋体" w:hAnsi="宋体" w:eastAsia="宋体" w:cs="宋体"/>
                <w:i w:val="0"/>
                <w:iCs w:val="0"/>
                <w:snapToGrid/>
                <w:color w:val="auto"/>
                <w:kern w:val="2"/>
                <w:sz w:val="21"/>
                <w:szCs w:val="21"/>
                <w:highlight w:val="none"/>
                <w:u w:val="none"/>
                <w:lang w:eastAsia="zh-CN"/>
              </w:rPr>
              <w:t xml:space="preserve"> 配备废液收集单元，满足不少于一个月废液量的收集；</w:t>
            </w:r>
          </w:p>
          <w:p w14:paraId="2B04A1F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3.</w:t>
            </w:r>
            <w:r>
              <w:rPr>
                <w:rFonts w:hint="eastAsia" w:ascii="宋体" w:hAnsi="宋体" w:eastAsia="宋体" w:cs="宋体"/>
                <w:i w:val="0"/>
                <w:iCs w:val="0"/>
                <w:snapToGrid/>
                <w:color w:val="auto"/>
                <w:kern w:val="2"/>
                <w:sz w:val="21"/>
                <w:szCs w:val="21"/>
                <w:highlight w:val="none"/>
                <w:u w:val="none"/>
                <w:lang w:eastAsia="zh-CN"/>
              </w:rPr>
              <w:t xml:space="preserve"> 配备UPS等应急电源设备，保证外部供电故障停电后，站房设备至少可以继续进行4小时的运行。</w:t>
            </w:r>
          </w:p>
          <w:p w14:paraId="0D15DE7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4.</w:t>
            </w:r>
            <w:r>
              <w:rPr>
                <w:rFonts w:hint="eastAsia" w:ascii="宋体" w:hAnsi="宋体" w:eastAsia="宋体" w:cs="宋体"/>
                <w:i w:val="0"/>
                <w:iCs w:val="0"/>
                <w:snapToGrid/>
                <w:color w:val="auto"/>
                <w:kern w:val="2"/>
                <w:sz w:val="21"/>
                <w:szCs w:val="21"/>
                <w:highlight w:val="none"/>
                <w:u w:val="none"/>
                <w:lang w:eastAsia="zh-CN"/>
              </w:rPr>
              <w:t>配备纯水制备装置，可实现纯水机水质水量实时监控，具备滤芯累计制水量统计功能；纯水电导率异常时告警，提醒及时更换滤芯。</w:t>
            </w:r>
          </w:p>
          <w:p w14:paraId="0CBA8BE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5.</w:t>
            </w:r>
            <w:r>
              <w:rPr>
                <w:rFonts w:hint="eastAsia" w:ascii="宋体" w:hAnsi="宋体" w:eastAsia="宋体" w:cs="宋体"/>
                <w:i w:val="0"/>
                <w:iCs w:val="0"/>
                <w:snapToGrid/>
                <w:color w:val="auto"/>
                <w:kern w:val="2"/>
                <w:sz w:val="21"/>
                <w:szCs w:val="21"/>
                <w:highlight w:val="none"/>
                <w:u w:val="none"/>
                <w:lang w:eastAsia="zh-CN"/>
              </w:rPr>
              <w:t xml:space="preserve"> 配备废液，纯水，试剂余量监控模块，可实现液位余量及报警。</w:t>
            </w:r>
          </w:p>
          <w:p w14:paraId="2A47243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6.</w:t>
            </w:r>
            <w:r>
              <w:rPr>
                <w:rFonts w:hint="eastAsia" w:ascii="宋体" w:hAnsi="宋体" w:eastAsia="宋体" w:cs="宋体"/>
                <w:i w:val="0"/>
                <w:iCs w:val="0"/>
                <w:snapToGrid/>
                <w:color w:val="auto"/>
                <w:kern w:val="2"/>
                <w:sz w:val="21"/>
                <w:szCs w:val="21"/>
                <w:highlight w:val="none"/>
                <w:u w:val="none"/>
                <w:lang w:eastAsia="zh-CN"/>
              </w:rPr>
              <w:t xml:space="preserve"> 根据</w:t>
            </w:r>
            <w:r>
              <w:rPr>
                <w:rFonts w:hint="eastAsia" w:ascii="宋体" w:hAnsi="宋体" w:eastAsia="宋体" w:cs="宋体"/>
                <w:i w:val="0"/>
                <w:iCs w:val="0"/>
                <w:snapToGrid/>
                <w:color w:val="auto"/>
                <w:kern w:val="2"/>
                <w:sz w:val="21"/>
                <w:szCs w:val="21"/>
                <w:highlight w:val="none"/>
                <w:u w:val="none"/>
                <w:lang w:val="en-US" w:eastAsia="zh-CN"/>
              </w:rPr>
              <w:t>采购</w:t>
            </w:r>
            <w:r>
              <w:rPr>
                <w:rFonts w:hint="eastAsia" w:ascii="宋体" w:hAnsi="宋体" w:eastAsia="宋体" w:cs="宋体"/>
                <w:i w:val="0"/>
                <w:iCs w:val="0"/>
                <w:snapToGrid/>
                <w:color w:val="auto"/>
                <w:kern w:val="2"/>
                <w:sz w:val="21"/>
                <w:szCs w:val="21"/>
                <w:highlight w:val="none"/>
                <w:u w:val="none"/>
                <w:lang w:eastAsia="zh-CN"/>
              </w:rPr>
              <w:t>方要求，配备废液自动快速转移模块，可实现废液的</w:t>
            </w:r>
            <w:r>
              <w:rPr>
                <w:rFonts w:hint="eastAsia" w:ascii="宋体" w:hAnsi="宋体" w:eastAsia="宋体" w:cs="宋体"/>
                <w:i w:val="0"/>
                <w:iCs w:val="0"/>
                <w:snapToGrid/>
                <w:color w:val="auto"/>
                <w:kern w:val="2"/>
                <w:sz w:val="21"/>
                <w:szCs w:val="21"/>
                <w:highlight w:val="none"/>
                <w:u w:val="none"/>
                <w:lang w:val="en-US" w:eastAsia="zh-CN"/>
              </w:rPr>
              <w:t>更省时省力安全的</w:t>
            </w:r>
            <w:r>
              <w:rPr>
                <w:rFonts w:hint="eastAsia" w:ascii="宋体" w:hAnsi="宋体" w:eastAsia="宋体" w:cs="宋体"/>
                <w:i w:val="0"/>
                <w:iCs w:val="0"/>
                <w:snapToGrid/>
                <w:color w:val="auto"/>
                <w:kern w:val="2"/>
                <w:sz w:val="21"/>
                <w:szCs w:val="21"/>
                <w:highlight w:val="none"/>
                <w:u w:val="none"/>
                <w:lang w:eastAsia="zh-CN"/>
              </w:rPr>
              <w:t>自动快速转移。</w:t>
            </w:r>
          </w:p>
          <w:p w14:paraId="72D4A59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7.</w:t>
            </w:r>
            <w:r>
              <w:rPr>
                <w:rFonts w:hint="eastAsia" w:ascii="宋体" w:hAnsi="宋体" w:eastAsia="宋体" w:cs="宋体"/>
                <w:i w:val="0"/>
                <w:iCs w:val="0"/>
                <w:snapToGrid/>
                <w:color w:val="auto"/>
                <w:kern w:val="2"/>
                <w:sz w:val="21"/>
                <w:szCs w:val="21"/>
                <w:highlight w:val="none"/>
                <w:u w:val="none"/>
                <w:lang w:eastAsia="zh-CN"/>
              </w:rPr>
              <w:t>根据</w:t>
            </w:r>
            <w:r>
              <w:rPr>
                <w:rFonts w:hint="eastAsia" w:ascii="宋体" w:hAnsi="宋体" w:eastAsia="宋体" w:cs="宋体"/>
                <w:i w:val="0"/>
                <w:iCs w:val="0"/>
                <w:snapToGrid/>
                <w:color w:val="auto"/>
                <w:kern w:val="2"/>
                <w:sz w:val="21"/>
                <w:szCs w:val="21"/>
                <w:highlight w:val="none"/>
                <w:u w:val="none"/>
                <w:lang w:val="en-US" w:eastAsia="zh-CN"/>
              </w:rPr>
              <w:t>采购</w:t>
            </w:r>
            <w:r>
              <w:rPr>
                <w:rFonts w:hint="eastAsia" w:ascii="宋体" w:hAnsi="宋体" w:eastAsia="宋体" w:cs="宋体"/>
                <w:i w:val="0"/>
                <w:iCs w:val="0"/>
                <w:snapToGrid/>
                <w:color w:val="auto"/>
                <w:kern w:val="2"/>
                <w:sz w:val="21"/>
                <w:szCs w:val="21"/>
                <w:highlight w:val="none"/>
                <w:u w:val="none"/>
                <w:lang w:eastAsia="zh-CN"/>
              </w:rPr>
              <w:t>方要求，配备纯水自动快速更换模块，可实现纯水的快速补充。</w:t>
            </w: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FEF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套</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E777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2</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229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35000</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A7A5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70000</w:t>
            </w:r>
          </w:p>
        </w:tc>
      </w:tr>
      <w:tr w14:paraId="18DD5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8" w:hRule="atLeast"/>
        </w:trPr>
        <w:tc>
          <w:tcPr>
            <w:tcW w:w="927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B320A81">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b/>
                <w:bCs/>
                <w:i w:val="0"/>
                <w:iCs w:val="0"/>
                <w:snapToGrid/>
                <w:color w:val="auto"/>
                <w:kern w:val="2"/>
                <w:sz w:val="21"/>
                <w:szCs w:val="21"/>
                <w:highlight w:val="none"/>
                <w:u w:val="none"/>
                <w:lang w:eastAsia="zh-CN"/>
              </w:rPr>
              <w:t>五、站房建设及改建单元</w:t>
            </w:r>
          </w:p>
        </w:tc>
      </w:tr>
      <w:tr w14:paraId="1C4C0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3" w:hRule="atLeast"/>
        </w:trPr>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D8D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0"/>
                <w:sz w:val="21"/>
                <w:szCs w:val="21"/>
                <w:highlight w:val="none"/>
                <w:u w:val="none"/>
                <w:lang w:val="en-US" w:eastAsia="zh-CN" w:bidi="ar"/>
              </w:rPr>
              <w:t>1</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3728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b w:val="0"/>
                <w:bCs w:val="0"/>
                <w:i w:val="0"/>
                <w:iCs w:val="0"/>
                <w:snapToGrid/>
                <w:color w:val="auto"/>
                <w:kern w:val="2"/>
                <w:sz w:val="21"/>
                <w:szCs w:val="21"/>
                <w:highlight w:val="none"/>
                <w:u w:val="none"/>
                <w:lang w:eastAsia="zh-CN"/>
              </w:rPr>
              <w:t>站房建设及改建</w:t>
            </w:r>
          </w:p>
        </w:tc>
        <w:tc>
          <w:tcPr>
            <w:tcW w:w="4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A086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bCs/>
                <w:i w:val="0"/>
                <w:iCs w:val="0"/>
                <w:snapToGrid/>
                <w:color w:val="auto"/>
                <w:kern w:val="2"/>
                <w:sz w:val="21"/>
                <w:szCs w:val="21"/>
                <w:highlight w:val="none"/>
                <w:u w:val="none"/>
                <w:lang w:eastAsia="zh-CN"/>
              </w:rPr>
            </w:pPr>
            <w:r>
              <w:rPr>
                <w:rFonts w:hint="eastAsia" w:ascii="宋体" w:hAnsi="宋体" w:eastAsia="宋体" w:cs="宋体"/>
                <w:b/>
                <w:bCs/>
                <w:i w:val="0"/>
                <w:iCs w:val="0"/>
                <w:snapToGrid/>
                <w:color w:val="auto"/>
                <w:kern w:val="2"/>
                <w:sz w:val="21"/>
                <w:szCs w:val="21"/>
                <w:highlight w:val="none"/>
                <w:u w:val="none"/>
                <w:lang w:val="en-US" w:eastAsia="zh-CN"/>
              </w:rPr>
              <w:t>1.</w:t>
            </w:r>
            <w:r>
              <w:rPr>
                <w:rFonts w:hint="eastAsia" w:ascii="宋体" w:hAnsi="宋体" w:eastAsia="宋体" w:cs="宋体"/>
                <w:b/>
                <w:bCs/>
                <w:i w:val="0"/>
                <w:iCs w:val="0"/>
                <w:snapToGrid/>
                <w:color w:val="auto"/>
                <w:kern w:val="2"/>
                <w:sz w:val="21"/>
                <w:szCs w:val="21"/>
                <w:highlight w:val="none"/>
                <w:u w:val="none"/>
                <w:lang w:eastAsia="zh-CN"/>
              </w:rPr>
              <w:t>新建站房（恭城河口水站）</w:t>
            </w:r>
          </w:p>
          <w:p w14:paraId="0E29040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1.</w:t>
            </w:r>
            <w:r>
              <w:rPr>
                <w:rFonts w:hint="eastAsia" w:ascii="宋体" w:hAnsi="宋体" w:eastAsia="宋体" w:cs="宋体"/>
                <w:i w:val="0"/>
                <w:iCs w:val="0"/>
                <w:snapToGrid/>
                <w:color w:val="auto"/>
                <w:kern w:val="2"/>
                <w:sz w:val="21"/>
                <w:szCs w:val="21"/>
                <w:highlight w:val="none"/>
                <w:u w:val="none"/>
                <w:lang w:val="en-US" w:eastAsia="zh-CN"/>
              </w:rPr>
              <w:t>1</w:t>
            </w:r>
            <w:r>
              <w:rPr>
                <w:rFonts w:hint="eastAsia" w:ascii="宋体" w:hAnsi="宋体" w:eastAsia="宋体" w:cs="宋体"/>
                <w:i w:val="0"/>
                <w:iCs w:val="0"/>
                <w:snapToGrid/>
                <w:color w:val="auto"/>
                <w:kern w:val="2"/>
                <w:sz w:val="21"/>
                <w:szCs w:val="21"/>
                <w:highlight w:val="none"/>
                <w:u w:val="none"/>
                <w:lang w:eastAsia="zh-CN"/>
              </w:rPr>
              <w:t>按采购方要求，提供站房（15-20平米），完成“四通一平”，保证水站仪器设备长期、稳定运行。站房地面有排水孔的方向有一定的坡度，可使室内积水排出。仪器间内设有专用清洁水源管道，接口总管径不小于DN20，并装有截止阀。完成防雷检测，并出具检测报告。</w:t>
            </w:r>
          </w:p>
          <w:p w14:paraId="630B605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1.</w:t>
            </w:r>
            <w:r>
              <w:rPr>
                <w:rFonts w:hint="eastAsia" w:ascii="宋体" w:hAnsi="宋体" w:eastAsia="宋体" w:cs="宋体"/>
                <w:i w:val="0"/>
                <w:iCs w:val="0"/>
                <w:snapToGrid/>
                <w:color w:val="auto"/>
                <w:kern w:val="2"/>
                <w:sz w:val="21"/>
                <w:szCs w:val="21"/>
                <w:highlight w:val="none"/>
                <w:u w:val="none"/>
                <w:lang w:eastAsia="zh-CN"/>
              </w:rPr>
              <w:t>2供电:选用三相五线制进线，安装三相交流稳压器，配电箱。照明电、机泵用电、仪器、仪表控制柜用电分相使用。</w:t>
            </w:r>
          </w:p>
          <w:p w14:paraId="5C971DB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1.3</w:t>
            </w:r>
            <w:r>
              <w:rPr>
                <w:rFonts w:hint="eastAsia" w:ascii="宋体" w:hAnsi="宋体" w:eastAsia="宋体" w:cs="宋体"/>
                <w:i w:val="0"/>
                <w:iCs w:val="0"/>
                <w:snapToGrid/>
                <w:color w:val="auto"/>
                <w:kern w:val="2"/>
                <w:sz w:val="21"/>
                <w:szCs w:val="21"/>
                <w:highlight w:val="none"/>
                <w:u w:val="none"/>
                <w:lang w:eastAsia="zh-CN"/>
              </w:rPr>
              <w:t>给水(自来水)排水:站房引入市政自来水，水质和水压满足市政用水要求。如果没有自来水可抽取井水作为给水，必须经预处理后，满足制取纯水的要求。如果不满足给水，需配置水桶，定期储水，满足水站运行用水。系统排水在墙角设置直径75毫米地漏，通往外面有足够的储水空间或返回河流。</w:t>
            </w:r>
          </w:p>
          <w:p w14:paraId="71DF038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1.4</w:t>
            </w:r>
            <w:r>
              <w:rPr>
                <w:rFonts w:hint="eastAsia" w:ascii="宋体" w:hAnsi="宋体" w:eastAsia="宋体" w:cs="宋体"/>
                <w:i w:val="0"/>
                <w:iCs w:val="0"/>
                <w:snapToGrid/>
                <w:color w:val="auto"/>
                <w:kern w:val="2"/>
                <w:sz w:val="21"/>
                <w:szCs w:val="21"/>
                <w:highlight w:val="none"/>
                <w:u w:val="none"/>
                <w:lang w:eastAsia="zh-CN"/>
              </w:rPr>
              <w:t>配备七氟丙烷灭火器，使用防火材料，加强消防安全。</w:t>
            </w:r>
          </w:p>
          <w:p w14:paraId="5A6FCA4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1.5</w:t>
            </w:r>
            <w:r>
              <w:rPr>
                <w:rFonts w:hint="eastAsia" w:ascii="宋体" w:hAnsi="宋体" w:eastAsia="宋体" w:cs="宋体"/>
                <w:i w:val="0"/>
                <w:iCs w:val="0"/>
                <w:snapToGrid/>
                <w:color w:val="auto"/>
                <w:kern w:val="2"/>
                <w:sz w:val="21"/>
                <w:szCs w:val="21"/>
                <w:highlight w:val="none"/>
                <w:u w:val="none"/>
                <w:lang w:eastAsia="zh-CN"/>
              </w:rPr>
              <w:t>配备空调，空调具备来电自启功能。</w:t>
            </w:r>
          </w:p>
          <w:p w14:paraId="203666E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1.6</w:t>
            </w:r>
            <w:r>
              <w:rPr>
                <w:rFonts w:hint="eastAsia" w:ascii="宋体" w:hAnsi="宋体" w:eastAsia="宋体" w:cs="宋体"/>
                <w:i w:val="0"/>
                <w:iCs w:val="0"/>
                <w:snapToGrid/>
                <w:color w:val="auto"/>
                <w:kern w:val="2"/>
                <w:sz w:val="21"/>
                <w:szCs w:val="21"/>
                <w:highlight w:val="none"/>
                <w:u w:val="none"/>
                <w:lang w:eastAsia="zh-CN"/>
              </w:rPr>
              <w:t>站房灯具安装以保证操作人员工作时有足够的亮度，开关位置应方便使用。</w:t>
            </w:r>
          </w:p>
          <w:p w14:paraId="23317AA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1.7</w:t>
            </w:r>
            <w:r>
              <w:rPr>
                <w:rFonts w:hint="eastAsia" w:ascii="宋体" w:hAnsi="宋体" w:eastAsia="宋体" w:cs="宋体"/>
                <w:i w:val="0"/>
                <w:iCs w:val="0"/>
                <w:snapToGrid/>
                <w:color w:val="auto"/>
                <w:kern w:val="2"/>
                <w:sz w:val="21"/>
                <w:szCs w:val="21"/>
                <w:highlight w:val="none"/>
                <w:u w:val="none"/>
                <w:lang w:eastAsia="zh-CN"/>
              </w:rPr>
              <w:t>站房应依照《民用建筑电气设计规范》(GB51348-2019)的要求制作保护地线，用于机柜、仪器外壳等的接地保护，接地电阻应小于4欧姆。</w:t>
            </w:r>
          </w:p>
          <w:p w14:paraId="758552A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1.8</w:t>
            </w:r>
            <w:r>
              <w:rPr>
                <w:rFonts w:hint="eastAsia" w:ascii="宋体" w:hAnsi="宋体" w:eastAsia="宋体" w:cs="宋体"/>
                <w:i w:val="0"/>
                <w:iCs w:val="0"/>
                <w:snapToGrid/>
                <w:color w:val="auto"/>
                <w:kern w:val="2"/>
                <w:sz w:val="21"/>
                <w:szCs w:val="21"/>
                <w:highlight w:val="none"/>
                <w:u w:val="none"/>
                <w:lang w:eastAsia="zh-CN"/>
              </w:rPr>
              <w:t>装修时管、电线布置尽量美观;站房顶部及四周需安装线槽，电线沿线槽走。</w:t>
            </w:r>
          </w:p>
          <w:p w14:paraId="290BC0A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1.9</w:t>
            </w:r>
            <w:r>
              <w:rPr>
                <w:rFonts w:hint="eastAsia" w:ascii="宋体" w:hAnsi="宋体" w:eastAsia="宋体" w:cs="宋体"/>
                <w:i w:val="0"/>
                <w:iCs w:val="0"/>
                <w:snapToGrid/>
                <w:color w:val="auto"/>
                <w:kern w:val="2"/>
                <w:sz w:val="21"/>
                <w:szCs w:val="21"/>
                <w:highlight w:val="none"/>
                <w:u w:val="none"/>
                <w:lang w:eastAsia="zh-CN"/>
              </w:rPr>
              <w:t>站房内应配置工作桌、椅，满足日常办公需要。</w:t>
            </w:r>
          </w:p>
          <w:p w14:paraId="10A91E6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bCs/>
                <w:i w:val="0"/>
                <w:iCs w:val="0"/>
                <w:snapToGrid/>
                <w:color w:val="auto"/>
                <w:kern w:val="0"/>
                <w:sz w:val="21"/>
                <w:szCs w:val="21"/>
                <w:highlight w:val="none"/>
                <w:u w:val="none"/>
                <w:lang w:val="en-US" w:eastAsia="zh-CN" w:bidi="ar"/>
              </w:rPr>
            </w:pPr>
            <w:r>
              <w:rPr>
                <w:rFonts w:hint="eastAsia" w:ascii="宋体" w:hAnsi="宋体" w:eastAsia="宋体" w:cs="宋体"/>
                <w:b/>
                <w:bCs/>
                <w:i w:val="0"/>
                <w:iCs w:val="0"/>
                <w:snapToGrid/>
                <w:color w:val="auto"/>
                <w:kern w:val="0"/>
                <w:sz w:val="21"/>
                <w:szCs w:val="21"/>
                <w:highlight w:val="none"/>
                <w:u w:val="none"/>
                <w:lang w:val="en-US" w:eastAsia="zh-CN" w:bidi="ar"/>
              </w:rPr>
              <w:t>2.翻新站房（水库出水口水站）</w:t>
            </w:r>
          </w:p>
          <w:p w14:paraId="6FEFCF3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宋体" w:hAnsi="宋体" w:eastAsia="宋体" w:cs="宋体"/>
                <w:b/>
                <w:bCs/>
                <w:i w:val="0"/>
                <w:iCs w:val="0"/>
                <w:snapToGrid/>
                <w:color w:val="auto"/>
                <w:kern w:val="0"/>
                <w:sz w:val="21"/>
                <w:szCs w:val="21"/>
                <w:highlight w:val="none"/>
                <w:u w:val="none"/>
                <w:lang w:val="en-US" w:eastAsia="zh-CN" w:bidi="ar"/>
              </w:rPr>
            </w:pPr>
            <w:r>
              <w:rPr>
                <w:rFonts w:hint="eastAsia" w:ascii="宋体" w:hAnsi="宋体" w:eastAsia="宋体" w:cs="宋体"/>
                <w:i w:val="0"/>
                <w:iCs w:val="0"/>
                <w:snapToGrid/>
                <w:color w:val="auto"/>
                <w:kern w:val="2"/>
                <w:sz w:val="21"/>
                <w:szCs w:val="21"/>
                <w:highlight w:val="none"/>
                <w:u w:val="none"/>
                <w:lang w:eastAsia="zh-CN"/>
              </w:rPr>
              <w:t>固定站房翻新要求：根据采购方要求，对固定站房进行翻新。包括但不限于内外墙补漏、刷漆；站房外部安装雨棚；水、电、网</w:t>
            </w:r>
            <w:r>
              <w:rPr>
                <w:rFonts w:hint="eastAsia" w:ascii="宋体" w:hAnsi="宋体" w:eastAsia="宋体" w:cs="宋体"/>
                <w:i w:val="0"/>
                <w:iCs w:val="0"/>
                <w:snapToGrid/>
                <w:color w:val="auto"/>
                <w:kern w:val="2"/>
                <w:sz w:val="21"/>
                <w:szCs w:val="21"/>
                <w:highlight w:val="none"/>
                <w:u w:val="none"/>
                <w:lang w:val="en-US" w:eastAsia="zh-CN"/>
              </w:rPr>
              <w:t>络</w:t>
            </w:r>
            <w:r>
              <w:rPr>
                <w:rFonts w:hint="eastAsia" w:ascii="宋体" w:hAnsi="宋体" w:eastAsia="宋体" w:cs="宋体"/>
                <w:i w:val="0"/>
                <w:iCs w:val="0"/>
                <w:snapToGrid/>
                <w:color w:val="auto"/>
                <w:kern w:val="2"/>
                <w:sz w:val="21"/>
                <w:szCs w:val="21"/>
                <w:highlight w:val="none"/>
                <w:u w:val="none"/>
                <w:lang w:eastAsia="zh-CN"/>
              </w:rPr>
              <w:t>、照明的布设；配置室内配电箱、电表；更换损坏门窗及五金等；站房内所有旧设备的搬迁；辅助设备更新(包括空调、消防设施、防雷设施等)。</w:t>
            </w: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4322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套</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B9C4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1</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7BE4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val="en-US" w:eastAsia="zh-CN"/>
              </w:rPr>
              <w:t>2</w:t>
            </w:r>
            <w:r>
              <w:rPr>
                <w:rFonts w:hint="eastAsia" w:ascii="宋体" w:hAnsi="宋体" w:eastAsia="宋体" w:cs="宋体"/>
                <w:i w:val="0"/>
                <w:iCs w:val="0"/>
                <w:snapToGrid/>
                <w:color w:val="auto"/>
                <w:kern w:val="2"/>
                <w:sz w:val="21"/>
                <w:szCs w:val="21"/>
                <w:highlight w:val="none"/>
                <w:u w:val="none"/>
                <w:lang w:eastAsia="zh-CN"/>
              </w:rPr>
              <w:t>00000</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2ED9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200000</w:t>
            </w:r>
          </w:p>
        </w:tc>
      </w:tr>
    </w:tbl>
    <w:p w14:paraId="6237C68E">
      <w:pPr>
        <w:pageBreakBefore w:val="0"/>
        <w:widowControl/>
        <w:kinsoku w:val="0"/>
        <w:overflowPunct/>
        <w:topLinePunct w:val="0"/>
        <w:autoSpaceDE w:val="0"/>
        <w:autoSpaceDN w:val="0"/>
        <w:bidi w:val="0"/>
        <w:adjustRightInd w:val="0"/>
        <w:snapToGrid w:val="0"/>
        <w:spacing w:line="400" w:lineRule="exact"/>
        <w:jc w:val="left"/>
        <w:textAlignment w:val="baseline"/>
        <w:rPr>
          <w:rFonts w:hint="eastAsia" w:ascii="宋体" w:hAnsi="宋体" w:eastAsia="宋体" w:cs="宋体"/>
          <w:b/>
          <w:bCs/>
          <w:snapToGrid w:val="0"/>
          <w:color w:val="auto"/>
          <w:kern w:val="0"/>
          <w:sz w:val="24"/>
          <w:szCs w:val="24"/>
          <w:highlight w:val="none"/>
          <w:lang w:eastAsia="zh-CN"/>
        </w:rPr>
      </w:pPr>
    </w:p>
    <w:p w14:paraId="6E54B7C7">
      <w:pPr>
        <w:pageBreakBefore w:val="0"/>
        <w:widowControl/>
        <w:kinsoku w:val="0"/>
        <w:overflowPunct/>
        <w:topLinePunct w:val="0"/>
        <w:autoSpaceDE w:val="0"/>
        <w:autoSpaceDN w:val="0"/>
        <w:bidi w:val="0"/>
        <w:adjustRightInd w:val="0"/>
        <w:snapToGrid w:val="0"/>
        <w:spacing w:line="400" w:lineRule="exact"/>
        <w:jc w:val="left"/>
        <w:textAlignment w:val="baseline"/>
        <w:rPr>
          <w:rFonts w:hint="eastAsia" w:ascii="宋体" w:hAnsi="宋体" w:eastAsia="宋体" w:cs="宋体"/>
          <w:b/>
          <w:bCs/>
          <w:snapToGrid w:val="0"/>
          <w:color w:val="auto"/>
          <w:kern w:val="0"/>
          <w:sz w:val="24"/>
          <w:szCs w:val="24"/>
          <w:highlight w:val="none"/>
          <w:lang w:eastAsia="zh-CN"/>
        </w:rPr>
      </w:pPr>
    </w:p>
    <w:p w14:paraId="53FF16A6">
      <w:pPr>
        <w:pageBreakBefore w:val="0"/>
        <w:widowControl/>
        <w:kinsoku w:val="0"/>
        <w:overflowPunct/>
        <w:topLinePunct w:val="0"/>
        <w:autoSpaceDE w:val="0"/>
        <w:autoSpaceDN w:val="0"/>
        <w:bidi w:val="0"/>
        <w:adjustRightInd w:val="0"/>
        <w:snapToGrid w:val="0"/>
        <w:spacing w:line="400" w:lineRule="exact"/>
        <w:jc w:val="left"/>
        <w:textAlignment w:val="baseline"/>
        <w:rPr>
          <w:rFonts w:hint="eastAsia" w:ascii="宋体" w:hAnsi="宋体" w:eastAsia="宋体" w:cs="宋体"/>
          <w:b/>
          <w:snapToGrid w:val="0"/>
          <w:color w:val="auto"/>
          <w:kern w:val="0"/>
          <w:sz w:val="24"/>
          <w:szCs w:val="24"/>
          <w:lang w:eastAsia="zh-CN"/>
        </w:rPr>
      </w:pPr>
      <w:r>
        <w:rPr>
          <w:rFonts w:hint="eastAsia" w:ascii="宋体" w:hAnsi="宋体" w:eastAsia="宋体" w:cs="宋体"/>
          <w:b/>
          <w:bCs/>
          <w:snapToGrid w:val="0"/>
          <w:color w:val="auto"/>
          <w:kern w:val="0"/>
          <w:sz w:val="24"/>
          <w:szCs w:val="24"/>
          <w:highlight w:val="none"/>
          <w:lang w:eastAsia="zh-CN"/>
        </w:rPr>
        <w:t>二、</w:t>
      </w:r>
      <w:r>
        <w:rPr>
          <w:rFonts w:hint="eastAsia" w:ascii="宋体" w:hAnsi="宋体" w:eastAsia="宋体" w:cs="宋体"/>
          <w:b/>
          <w:bCs/>
          <w:snapToGrid w:val="0"/>
          <w:color w:val="auto"/>
          <w:kern w:val="0"/>
          <w:sz w:val="24"/>
          <w:szCs w:val="24"/>
          <w:highlight w:val="none"/>
          <w:lang w:eastAsia="en-US"/>
        </w:rPr>
        <w:t>商务要求</w:t>
      </w:r>
      <w:r>
        <w:rPr>
          <w:rFonts w:hint="eastAsia" w:ascii="宋体" w:hAnsi="宋体" w:eastAsia="宋体" w:cs="宋体"/>
          <w:b/>
          <w:bCs/>
          <w:snapToGrid w:val="0"/>
          <w:color w:val="auto"/>
          <w:kern w:val="0"/>
          <w:sz w:val="24"/>
          <w:szCs w:val="24"/>
          <w:highlight w:val="none"/>
          <w:lang w:eastAsia="zh-CN"/>
        </w:rPr>
        <w:t>：</w:t>
      </w:r>
    </w:p>
    <w:tbl>
      <w:tblPr>
        <w:tblStyle w:val="20"/>
        <w:tblW w:w="9252" w:type="dxa"/>
        <w:tblInd w:w="0" w:type="dxa"/>
        <w:tblLayout w:type="fixed"/>
        <w:tblCellMar>
          <w:top w:w="0" w:type="dxa"/>
          <w:left w:w="108" w:type="dxa"/>
          <w:bottom w:w="0" w:type="dxa"/>
          <w:right w:w="108" w:type="dxa"/>
        </w:tblCellMar>
      </w:tblPr>
      <w:tblGrid>
        <w:gridCol w:w="2182"/>
        <w:gridCol w:w="7070"/>
      </w:tblGrid>
      <w:tr w14:paraId="33690E35">
        <w:tblPrEx>
          <w:tblCellMar>
            <w:top w:w="0" w:type="dxa"/>
            <w:left w:w="108" w:type="dxa"/>
            <w:bottom w:w="0" w:type="dxa"/>
            <w:right w:w="108" w:type="dxa"/>
          </w:tblCellMar>
        </w:tblPrEx>
        <w:trPr>
          <w:trHeight w:val="522" w:hRule="atLeast"/>
        </w:trPr>
        <w:tc>
          <w:tcPr>
            <w:tcW w:w="2182" w:type="dxa"/>
            <w:tcBorders>
              <w:top w:val="single" w:color="000000" w:sz="4" w:space="0"/>
              <w:left w:val="single" w:color="000000" w:sz="4" w:space="0"/>
              <w:bottom w:val="single" w:color="000000" w:sz="4" w:space="0"/>
              <w:right w:val="single" w:color="000000" w:sz="4" w:space="0"/>
            </w:tcBorders>
            <w:vAlign w:val="center"/>
          </w:tcPr>
          <w:p w14:paraId="15BBE4DF">
            <w:pPr>
              <w:keepNext w:val="0"/>
              <w:keepLines w:val="0"/>
              <w:pageBreakBefore w:val="0"/>
              <w:widowControl/>
              <w:kinsoku w:val="0"/>
              <w:wordWrap/>
              <w:overflowPunct/>
              <w:topLinePunct w:val="0"/>
              <w:autoSpaceDE w:val="0"/>
              <w:autoSpaceDN w:val="0"/>
              <w:bidi w:val="0"/>
              <w:adjustRightInd w:val="0"/>
              <w:snapToGrid w:val="0"/>
              <w:spacing w:before="65" w:line="400" w:lineRule="exact"/>
              <w:ind w:left="0" w:leftChars="0" w:right="0" w:rightChars="0" w:firstLine="0" w:firstLineChars="0"/>
              <w:jc w:val="center"/>
              <w:textAlignment w:val="baseline"/>
              <w:rPr>
                <w:rFonts w:hint="eastAsia" w:ascii="宋体" w:hAnsi="宋体" w:eastAsia="宋体" w:cs="宋体"/>
                <w:b w:val="0"/>
                <w:bCs w:val="0"/>
                <w:snapToGrid w:val="0"/>
                <w:color w:val="auto"/>
                <w:kern w:val="0"/>
                <w:sz w:val="21"/>
                <w:szCs w:val="21"/>
                <w:highlight w:val="none"/>
                <w:lang w:val="en-US" w:eastAsia="zh-CN" w:bidi="ar"/>
              </w:rPr>
            </w:pPr>
            <w:r>
              <w:rPr>
                <w:rFonts w:hint="eastAsia" w:ascii="宋体" w:hAnsi="宋体" w:eastAsia="宋体" w:cs="宋体"/>
                <w:b w:val="0"/>
                <w:bCs w:val="0"/>
                <w:snapToGrid w:val="0"/>
                <w:color w:val="auto"/>
                <w:sz w:val="21"/>
                <w:szCs w:val="21"/>
                <w:highlight w:val="none"/>
                <w:lang w:val="en-US" w:eastAsia="en-US" w:bidi="ar-SA"/>
              </w:rPr>
              <w:t>（一）</w:t>
            </w:r>
            <w:r>
              <w:rPr>
                <w:rFonts w:hint="eastAsia" w:ascii="宋体" w:hAnsi="宋体" w:eastAsia="宋体" w:cs="宋体"/>
                <w:b w:val="0"/>
                <w:bCs w:val="0"/>
                <w:snapToGrid w:val="0"/>
                <w:color w:val="auto"/>
                <w:sz w:val="21"/>
                <w:szCs w:val="21"/>
                <w:highlight w:val="none"/>
                <w:lang w:val="en-US" w:eastAsia="zh-CN" w:bidi="ar-SA"/>
              </w:rPr>
              <w:t>报价要求</w:t>
            </w:r>
          </w:p>
        </w:tc>
        <w:tc>
          <w:tcPr>
            <w:tcW w:w="7070" w:type="dxa"/>
            <w:tcBorders>
              <w:top w:val="single" w:color="000000" w:sz="4" w:space="0"/>
              <w:left w:val="single" w:color="000000" w:sz="4" w:space="0"/>
              <w:bottom w:val="single" w:color="000000" w:sz="4" w:space="0"/>
              <w:right w:val="single" w:color="000000" w:sz="4" w:space="0"/>
            </w:tcBorders>
            <w:vAlign w:val="top"/>
          </w:tcPr>
          <w:p w14:paraId="0D6A2489">
            <w:pPr>
              <w:keepNext w:val="0"/>
              <w:keepLines w:val="0"/>
              <w:pageBreakBefore w:val="0"/>
              <w:widowControl/>
              <w:kinsoku w:val="0"/>
              <w:wordWrap/>
              <w:overflowPunct/>
              <w:topLinePunct w:val="0"/>
              <w:autoSpaceDE w:val="0"/>
              <w:autoSpaceDN w:val="0"/>
              <w:bidi w:val="0"/>
              <w:adjustRightInd w:val="0"/>
              <w:snapToGrid w:val="0"/>
              <w:spacing w:line="400" w:lineRule="exact"/>
              <w:jc w:val="left"/>
              <w:textAlignment w:val="baseline"/>
              <w:rPr>
                <w:rFonts w:hint="eastAsia" w:ascii="宋体" w:hAnsi="宋体" w:eastAsia="宋体" w:cs="宋体"/>
                <w:b w:val="0"/>
                <w:bCs w:val="0"/>
                <w:snapToGrid w:val="0"/>
                <w:color w:val="auto"/>
                <w:sz w:val="21"/>
                <w:szCs w:val="21"/>
                <w:highlight w:val="none"/>
                <w:lang w:val="en-US" w:eastAsia="en-US" w:bidi="ar-SA"/>
              </w:rPr>
            </w:pPr>
            <w:r>
              <w:rPr>
                <w:rFonts w:hint="eastAsia" w:ascii="宋体" w:hAnsi="宋体" w:eastAsia="宋体" w:cs="宋体"/>
                <w:b w:val="0"/>
                <w:bCs w:val="0"/>
                <w:snapToGrid w:val="0"/>
                <w:color w:val="auto"/>
                <w:sz w:val="21"/>
                <w:szCs w:val="21"/>
                <w:highlight w:val="none"/>
                <w:lang w:val="en-US" w:eastAsia="en-US" w:bidi="ar-SA"/>
              </w:rPr>
              <w:t>本项目按总包报价（采购人不再支付任何费用），包括但不限于：</w:t>
            </w:r>
          </w:p>
          <w:p w14:paraId="5876F4EF">
            <w:pPr>
              <w:keepNext w:val="0"/>
              <w:keepLines w:val="0"/>
              <w:pageBreakBefore w:val="0"/>
              <w:widowControl/>
              <w:kinsoku w:val="0"/>
              <w:wordWrap/>
              <w:overflowPunct/>
              <w:topLinePunct w:val="0"/>
              <w:autoSpaceDE w:val="0"/>
              <w:autoSpaceDN w:val="0"/>
              <w:bidi w:val="0"/>
              <w:adjustRightInd w:val="0"/>
              <w:snapToGrid w:val="0"/>
              <w:spacing w:line="400" w:lineRule="exact"/>
              <w:jc w:val="left"/>
              <w:textAlignment w:val="baseline"/>
              <w:rPr>
                <w:rFonts w:hint="eastAsia" w:ascii="宋体" w:hAnsi="宋体" w:eastAsia="宋体" w:cs="宋体"/>
                <w:b w:val="0"/>
                <w:bCs w:val="0"/>
                <w:snapToGrid w:val="0"/>
                <w:color w:val="auto"/>
                <w:sz w:val="21"/>
                <w:szCs w:val="21"/>
                <w:highlight w:val="none"/>
                <w:lang w:val="en-US" w:eastAsia="en-US" w:bidi="ar-SA"/>
              </w:rPr>
            </w:pPr>
            <w:r>
              <w:rPr>
                <w:rFonts w:hint="eastAsia" w:ascii="宋体" w:hAnsi="宋体" w:eastAsia="宋体" w:cs="宋体"/>
                <w:b w:val="0"/>
                <w:bCs w:val="0"/>
                <w:snapToGrid w:val="0"/>
                <w:color w:val="auto"/>
                <w:sz w:val="21"/>
                <w:szCs w:val="21"/>
                <w:highlight w:val="none"/>
                <w:lang w:val="en-US" w:eastAsia="en-US" w:bidi="ar-SA"/>
              </w:rPr>
              <w:t>项目的价格包括站房及仪器设备更换、站房及仪器设备运输（包括旧站房及仪器设备的运输）、四通一平、安装调试费（仪器安装所需要水电气改造及实验室改造费用）、运维费用、备品备件、工具、网络费、水电费、防雷检测和整改、消防设备、站房和采水系统维护费、水站基础保障费用、仪器设备维修、配件置换和保养费、技术指导费、培训费、材料费、试剂和标准物质费、废液处置费、仪器设备按规定需要第三方检测公司检测及检定的费用、工作人员差旅费和劳务费、水站安全保障费（包括资产被偷盗、人为损毁、人为火灾等费用）、必要的保险费用和各项税费、不确定因素的风险等产生的费用及其他所有成本费等。此价格为安装调试期及售后三年服务期的价格。</w:t>
            </w:r>
          </w:p>
          <w:p w14:paraId="0F55C902">
            <w:pPr>
              <w:keepNext w:val="0"/>
              <w:keepLines w:val="0"/>
              <w:pageBreakBefore w:val="0"/>
              <w:widowControl/>
              <w:kinsoku w:val="0"/>
              <w:wordWrap/>
              <w:overflowPunct/>
              <w:topLinePunct w:val="0"/>
              <w:autoSpaceDE w:val="0"/>
              <w:autoSpaceDN w:val="0"/>
              <w:bidi w:val="0"/>
              <w:adjustRightInd w:val="0"/>
              <w:snapToGrid w:val="0"/>
              <w:spacing w:before="66" w:line="400" w:lineRule="exact"/>
              <w:jc w:val="left"/>
              <w:textAlignment w:val="baseline"/>
              <w:rPr>
                <w:rFonts w:hint="eastAsia" w:ascii="宋体" w:hAnsi="宋体" w:eastAsia="宋体" w:cs="宋体"/>
                <w:b w:val="0"/>
                <w:bCs w:val="0"/>
                <w:snapToGrid w:val="0"/>
                <w:color w:val="auto"/>
                <w:sz w:val="21"/>
                <w:szCs w:val="21"/>
                <w:highlight w:val="none"/>
                <w:lang w:val="en-US" w:eastAsia="en-US" w:bidi="ar-SA"/>
              </w:rPr>
            </w:pPr>
            <w:r>
              <w:rPr>
                <w:rFonts w:hint="eastAsia" w:ascii="宋体" w:hAnsi="宋体" w:eastAsia="宋体" w:cs="宋体"/>
                <w:b w:val="0"/>
                <w:bCs w:val="0"/>
                <w:snapToGrid w:val="0"/>
                <w:color w:val="auto"/>
                <w:sz w:val="21"/>
                <w:szCs w:val="21"/>
                <w:highlight w:val="none"/>
                <w:lang w:val="en-US" w:eastAsia="en-US" w:bidi="ar-SA"/>
              </w:rPr>
              <w:t>对于</w:t>
            </w:r>
            <w:r>
              <w:rPr>
                <w:rFonts w:hint="eastAsia" w:ascii="宋体" w:hAnsi="宋体" w:eastAsia="宋体" w:cs="宋体"/>
                <w:b w:val="0"/>
                <w:bCs w:val="0"/>
                <w:snapToGrid w:val="0"/>
                <w:color w:val="auto"/>
                <w:sz w:val="21"/>
                <w:szCs w:val="21"/>
                <w:highlight w:val="none"/>
                <w:lang w:val="en-US" w:eastAsia="zh-CN" w:bidi="ar-SA"/>
              </w:rPr>
              <w:t>竞争性谈判</w:t>
            </w:r>
            <w:r>
              <w:rPr>
                <w:rFonts w:hint="eastAsia" w:ascii="宋体" w:hAnsi="宋体" w:eastAsia="宋体" w:cs="宋体"/>
                <w:b w:val="0"/>
                <w:bCs w:val="0"/>
                <w:snapToGrid w:val="0"/>
                <w:color w:val="auto"/>
                <w:sz w:val="21"/>
                <w:szCs w:val="21"/>
                <w:highlight w:val="none"/>
                <w:lang w:val="en-US" w:eastAsia="en-US" w:bidi="ar-SA"/>
              </w:rPr>
              <w:t>文件中明确列明必须报价的货物或服务，</w:t>
            </w:r>
            <w:r>
              <w:rPr>
                <w:rFonts w:hint="eastAsia" w:ascii="宋体" w:hAnsi="宋体" w:eastAsia="宋体" w:cs="宋体"/>
                <w:b w:val="0"/>
                <w:bCs w:val="0"/>
                <w:snapToGrid w:val="0"/>
                <w:color w:val="auto"/>
                <w:sz w:val="21"/>
                <w:szCs w:val="21"/>
                <w:highlight w:val="none"/>
                <w:lang w:val="en-US" w:eastAsia="zh-CN" w:bidi="ar-SA"/>
              </w:rPr>
              <w:t>供应商</w:t>
            </w:r>
            <w:r>
              <w:rPr>
                <w:rFonts w:hint="eastAsia" w:ascii="宋体" w:hAnsi="宋体" w:eastAsia="宋体" w:cs="宋体"/>
                <w:b w:val="0"/>
                <w:bCs w:val="0"/>
                <w:snapToGrid w:val="0"/>
                <w:color w:val="auto"/>
                <w:sz w:val="21"/>
                <w:szCs w:val="21"/>
                <w:highlight w:val="none"/>
                <w:lang w:val="en-US" w:eastAsia="en-US" w:bidi="ar-SA"/>
              </w:rPr>
              <w:t>应报价；对于</w:t>
            </w:r>
            <w:r>
              <w:rPr>
                <w:rFonts w:hint="eastAsia" w:ascii="宋体" w:hAnsi="宋体" w:eastAsia="宋体" w:cs="宋体"/>
                <w:b w:val="0"/>
                <w:bCs w:val="0"/>
                <w:snapToGrid w:val="0"/>
                <w:color w:val="auto"/>
                <w:sz w:val="21"/>
                <w:szCs w:val="21"/>
                <w:highlight w:val="none"/>
                <w:lang w:val="en-US" w:eastAsia="zh-CN" w:bidi="ar-SA"/>
              </w:rPr>
              <w:t>竞争性谈判</w:t>
            </w:r>
            <w:r>
              <w:rPr>
                <w:rFonts w:hint="eastAsia" w:ascii="宋体" w:hAnsi="宋体" w:eastAsia="宋体" w:cs="宋体"/>
                <w:b w:val="0"/>
                <w:bCs w:val="0"/>
                <w:snapToGrid w:val="0"/>
                <w:color w:val="auto"/>
                <w:sz w:val="21"/>
                <w:szCs w:val="21"/>
                <w:highlight w:val="none"/>
                <w:lang w:val="en-US" w:eastAsia="en-US" w:bidi="ar-SA"/>
              </w:rPr>
              <w:t>文件中未列明，而</w:t>
            </w:r>
            <w:r>
              <w:rPr>
                <w:rFonts w:hint="eastAsia" w:ascii="宋体" w:hAnsi="宋体" w:eastAsia="宋体" w:cs="宋体"/>
                <w:b w:val="0"/>
                <w:bCs w:val="0"/>
                <w:snapToGrid w:val="0"/>
                <w:color w:val="auto"/>
                <w:sz w:val="21"/>
                <w:szCs w:val="21"/>
                <w:highlight w:val="none"/>
                <w:lang w:val="en-US" w:eastAsia="zh-CN" w:bidi="ar-SA"/>
              </w:rPr>
              <w:t>供应商</w:t>
            </w:r>
            <w:r>
              <w:rPr>
                <w:rFonts w:hint="eastAsia" w:ascii="宋体" w:hAnsi="宋体" w:eastAsia="宋体" w:cs="宋体"/>
                <w:b w:val="0"/>
                <w:bCs w:val="0"/>
                <w:snapToGrid w:val="0"/>
                <w:color w:val="auto"/>
                <w:sz w:val="21"/>
                <w:szCs w:val="21"/>
                <w:highlight w:val="none"/>
                <w:lang w:val="en-US" w:eastAsia="en-US" w:bidi="ar-SA"/>
              </w:rPr>
              <w:t>认为必需的费用也需列入总报价；在合同实施时，采购方将不予支付</w:t>
            </w:r>
            <w:r>
              <w:rPr>
                <w:rFonts w:hint="eastAsia" w:ascii="宋体" w:hAnsi="宋体" w:eastAsia="宋体" w:cs="宋体"/>
                <w:b w:val="0"/>
                <w:bCs w:val="0"/>
                <w:snapToGrid w:val="0"/>
                <w:color w:val="auto"/>
                <w:sz w:val="21"/>
                <w:szCs w:val="21"/>
                <w:highlight w:val="none"/>
                <w:lang w:val="en-US" w:eastAsia="zh-CN" w:bidi="ar-SA"/>
              </w:rPr>
              <w:t>成交供应商</w:t>
            </w:r>
            <w:r>
              <w:rPr>
                <w:rFonts w:hint="eastAsia" w:ascii="宋体" w:hAnsi="宋体" w:eastAsia="宋体" w:cs="宋体"/>
                <w:b w:val="0"/>
                <w:bCs w:val="0"/>
                <w:snapToGrid w:val="0"/>
                <w:color w:val="auto"/>
                <w:sz w:val="21"/>
                <w:szCs w:val="21"/>
                <w:highlight w:val="none"/>
                <w:lang w:val="en-US" w:eastAsia="en-US" w:bidi="ar-SA"/>
              </w:rPr>
              <w:t>没有列入的项目费用，并认为此项目的费用已包括在合同总价中。</w:t>
            </w:r>
          </w:p>
        </w:tc>
      </w:tr>
      <w:tr w14:paraId="16AE67E0">
        <w:tblPrEx>
          <w:tblCellMar>
            <w:top w:w="0" w:type="dxa"/>
            <w:left w:w="108" w:type="dxa"/>
            <w:bottom w:w="0" w:type="dxa"/>
            <w:right w:w="108" w:type="dxa"/>
          </w:tblCellMar>
        </w:tblPrEx>
        <w:trPr>
          <w:trHeight w:val="90" w:hRule="atLeast"/>
        </w:trPr>
        <w:tc>
          <w:tcPr>
            <w:tcW w:w="2182" w:type="dxa"/>
            <w:tcBorders>
              <w:top w:val="single" w:color="000000" w:sz="4" w:space="0"/>
              <w:left w:val="single" w:color="000000" w:sz="4" w:space="0"/>
              <w:bottom w:val="single" w:color="000000" w:sz="4" w:space="0"/>
              <w:right w:val="single" w:color="000000" w:sz="4" w:space="0"/>
            </w:tcBorders>
            <w:vAlign w:val="center"/>
          </w:tcPr>
          <w:p w14:paraId="2B32D64F">
            <w:pPr>
              <w:keepNext w:val="0"/>
              <w:keepLines w:val="0"/>
              <w:pageBreakBefore w:val="0"/>
              <w:widowControl/>
              <w:kinsoku w:val="0"/>
              <w:wordWrap/>
              <w:overflowPunct/>
              <w:topLinePunct w:val="0"/>
              <w:autoSpaceDE w:val="0"/>
              <w:autoSpaceDN w:val="0"/>
              <w:bidi w:val="0"/>
              <w:adjustRightInd w:val="0"/>
              <w:snapToGrid w:val="0"/>
              <w:spacing w:before="95" w:line="400" w:lineRule="exact"/>
              <w:ind w:left="0" w:leftChars="0" w:right="0" w:rightChars="0" w:firstLine="0" w:firstLineChars="0"/>
              <w:jc w:val="center"/>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sz w:val="21"/>
                <w:szCs w:val="21"/>
                <w:highlight w:val="none"/>
                <w:lang w:val="en-US" w:eastAsia="en-US" w:bidi="ar-SA"/>
              </w:rPr>
              <w:t>（二）</w:t>
            </w:r>
            <w:r>
              <w:rPr>
                <w:rFonts w:hint="eastAsia" w:ascii="宋体" w:hAnsi="宋体" w:eastAsia="宋体" w:cs="宋体"/>
                <w:b w:val="0"/>
                <w:bCs w:val="0"/>
                <w:snapToGrid w:val="0"/>
                <w:color w:val="auto"/>
                <w:sz w:val="21"/>
                <w:szCs w:val="21"/>
                <w:highlight w:val="none"/>
                <w:lang w:val="en-US" w:eastAsia="zh-CN" w:bidi="ar-SA"/>
              </w:rPr>
              <w:t>规范标准</w:t>
            </w:r>
          </w:p>
        </w:tc>
        <w:tc>
          <w:tcPr>
            <w:tcW w:w="7070" w:type="dxa"/>
            <w:tcBorders>
              <w:top w:val="single" w:color="000000" w:sz="4" w:space="0"/>
              <w:left w:val="single" w:color="000000" w:sz="4" w:space="0"/>
              <w:bottom w:val="single" w:color="000000" w:sz="4" w:space="0"/>
              <w:right w:val="single" w:color="000000" w:sz="4" w:space="0"/>
            </w:tcBorders>
            <w:vAlign w:val="top"/>
          </w:tcPr>
          <w:p w14:paraId="6D271402">
            <w:pPr>
              <w:keepNext w:val="0"/>
              <w:keepLines w:val="0"/>
              <w:pageBreakBefore w:val="0"/>
              <w:widowControl/>
              <w:kinsoku w:val="0"/>
              <w:wordWrap/>
              <w:overflowPunct/>
              <w:topLinePunct w:val="0"/>
              <w:autoSpaceDE w:val="0"/>
              <w:autoSpaceDN w:val="0"/>
              <w:bidi w:val="0"/>
              <w:adjustRightInd w:val="0"/>
              <w:snapToGrid w:val="0"/>
              <w:spacing w:before="94" w:line="400" w:lineRule="exact"/>
              <w:jc w:val="left"/>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本项目如有国家相关标准、行业标准、地方标准或者其他标准、规范的，应执行相应的标准、规范。如具体采购需求与标准、规范不一致的，高于标准、规范的按具体采购需求执行，低于标准、规范的按标准、规范执行。</w:t>
            </w:r>
          </w:p>
        </w:tc>
      </w:tr>
      <w:tr w14:paraId="56555233">
        <w:tblPrEx>
          <w:tblCellMar>
            <w:top w:w="0" w:type="dxa"/>
            <w:left w:w="108" w:type="dxa"/>
            <w:bottom w:w="0" w:type="dxa"/>
            <w:right w:w="108" w:type="dxa"/>
          </w:tblCellMar>
        </w:tblPrEx>
        <w:trPr>
          <w:trHeight w:val="90" w:hRule="atLeast"/>
        </w:trPr>
        <w:tc>
          <w:tcPr>
            <w:tcW w:w="2182" w:type="dxa"/>
            <w:tcBorders>
              <w:top w:val="single" w:color="000000" w:sz="4" w:space="0"/>
              <w:left w:val="single" w:color="000000" w:sz="4" w:space="0"/>
              <w:bottom w:val="single" w:color="000000" w:sz="4" w:space="0"/>
              <w:right w:val="single" w:color="000000" w:sz="4" w:space="0"/>
            </w:tcBorders>
            <w:vAlign w:val="center"/>
          </w:tcPr>
          <w:p w14:paraId="1B056AAE">
            <w:pPr>
              <w:keepNext w:val="0"/>
              <w:keepLines w:val="0"/>
              <w:pageBreakBefore w:val="0"/>
              <w:widowControl/>
              <w:kinsoku w:val="0"/>
              <w:wordWrap/>
              <w:overflowPunct/>
              <w:topLinePunct w:val="0"/>
              <w:autoSpaceDE w:val="0"/>
              <w:autoSpaceDN w:val="0"/>
              <w:bidi w:val="0"/>
              <w:adjustRightInd w:val="0"/>
              <w:snapToGrid w:val="0"/>
              <w:spacing w:before="95" w:line="400" w:lineRule="exact"/>
              <w:ind w:left="0" w:leftChars="0" w:right="0" w:rightChars="0" w:firstLine="0" w:firstLineChars="0"/>
              <w:jc w:val="center"/>
              <w:textAlignment w:val="baseline"/>
              <w:rPr>
                <w:rFonts w:hint="eastAsia" w:ascii="宋体" w:hAnsi="宋体" w:eastAsia="宋体" w:cs="宋体"/>
                <w:b w:val="0"/>
                <w:bCs w:val="0"/>
                <w:snapToGrid w:val="0"/>
                <w:color w:val="auto"/>
                <w:sz w:val="21"/>
                <w:szCs w:val="21"/>
                <w:highlight w:val="none"/>
                <w:lang w:val="en-US" w:eastAsia="zh-CN" w:bidi="ar-SA"/>
              </w:rPr>
            </w:pPr>
            <w:r>
              <w:rPr>
                <w:rFonts w:hint="eastAsia" w:ascii="宋体" w:hAnsi="宋体" w:eastAsia="宋体" w:cs="宋体"/>
                <w:b w:val="0"/>
                <w:bCs w:val="0"/>
                <w:snapToGrid w:val="0"/>
                <w:color w:val="auto"/>
                <w:sz w:val="21"/>
                <w:szCs w:val="21"/>
                <w:highlight w:val="none"/>
                <w:lang w:val="en-US" w:eastAsia="zh-CN" w:bidi="ar-SA"/>
              </w:rPr>
              <w:t>（三）</w:t>
            </w:r>
            <w:r>
              <w:rPr>
                <w:rFonts w:hint="eastAsia" w:ascii="宋体" w:hAnsi="宋体" w:eastAsia="宋体" w:cs="宋体"/>
                <w:b w:val="0"/>
                <w:bCs w:val="0"/>
                <w:snapToGrid w:val="0"/>
                <w:color w:val="auto"/>
                <w:sz w:val="21"/>
                <w:szCs w:val="21"/>
                <w:highlight w:val="none"/>
                <w:lang w:val="en-US" w:eastAsia="en-US" w:bidi="ar-SA"/>
              </w:rPr>
              <w:t>2个水站的运维服务</w:t>
            </w:r>
            <w:r>
              <w:rPr>
                <w:rFonts w:hint="eastAsia" w:ascii="宋体" w:hAnsi="宋体" w:eastAsia="宋体" w:cs="宋体"/>
                <w:b w:val="0"/>
                <w:bCs w:val="0"/>
                <w:snapToGrid w:val="0"/>
                <w:color w:val="auto"/>
                <w:sz w:val="21"/>
                <w:szCs w:val="21"/>
                <w:highlight w:val="none"/>
                <w:lang w:val="en-US" w:eastAsia="zh-CN" w:bidi="ar-SA"/>
              </w:rPr>
              <w:t>要求</w:t>
            </w:r>
          </w:p>
        </w:tc>
        <w:tc>
          <w:tcPr>
            <w:tcW w:w="7070" w:type="dxa"/>
            <w:tcBorders>
              <w:top w:val="single" w:color="000000" w:sz="4" w:space="0"/>
              <w:left w:val="single" w:color="000000" w:sz="4" w:space="0"/>
              <w:bottom w:val="single" w:color="000000" w:sz="4" w:space="0"/>
              <w:right w:val="single" w:color="000000" w:sz="4" w:space="0"/>
            </w:tcBorders>
            <w:vAlign w:val="top"/>
          </w:tcPr>
          <w:p w14:paraId="523DCA8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bCs/>
                <w:i w:val="0"/>
                <w:iCs w:val="0"/>
                <w:snapToGrid/>
                <w:color w:val="auto"/>
                <w:kern w:val="2"/>
                <w:sz w:val="21"/>
                <w:szCs w:val="21"/>
                <w:highlight w:val="none"/>
                <w:u w:val="none"/>
                <w:lang w:val="en-US" w:eastAsia="zh-CN"/>
              </w:rPr>
            </w:pPr>
            <w:r>
              <w:rPr>
                <w:rFonts w:hint="eastAsia" w:ascii="宋体" w:hAnsi="宋体" w:eastAsia="宋体" w:cs="宋体"/>
                <w:b/>
                <w:bCs/>
                <w:i w:val="0"/>
                <w:iCs w:val="0"/>
                <w:snapToGrid/>
                <w:color w:val="auto"/>
                <w:kern w:val="2"/>
                <w:sz w:val="21"/>
                <w:szCs w:val="21"/>
                <w:highlight w:val="none"/>
                <w:u w:val="none"/>
                <w:lang w:val="en-US" w:eastAsia="zh-CN"/>
              </w:rPr>
              <w:t>1.技术指导服务</w:t>
            </w:r>
          </w:p>
          <w:p w14:paraId="372D27C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对采购人自行运维水站提供技术指导：</w:t>
            </w:r>
          </w:p>
          <w:p w14:paraId="6904041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1.1按要求对采购人的技术人员进行水站日常运维理论及实操培训。</w:t>
            </w:r>
          </w:p>
          <w:p w14:paraId="3E1AD90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1.2按要求现场指导采购人的技术人员在技术规范规定时限内完成辖区范围内所有水站仪器设备异常和故障的维修维护。</w:t>
            </w:r>
          </w:p>
          <w:p w14:paraId="471C12A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bCs/>
                <w:i w:val="0"/>
                <w:iCs w:val="0"/>
                <w:snapToGrid/>
                <w:color w:val="auto"/>
                <w:kern w:val="2"/>
                <w:sz w:val="21"/>
                <w:szCs w:val="21"/>
                <w:highlight w:val="none"/>
                <w:u w:val="none"/>
                <w:lang w:val="en-US" w:eastAsia="zh-CN"/>
              </w:rPr>
            </w:pPr>
            <w:r>
              <w:rPr>
                <w:rFonts w:hint="eastAsia" w:ascii="宋体" w:hAnsi="宋体" w:eastAsia="宋体" w:cs="宋体"/>
                <w:b/>
                <w:bCs/>
                <w:i w:val="0"/>
                <w:iCs w:val="0"/>
                <w:snapToGrid/>
                <w:color w:val="auto"/>
                <w:kern w:val="2"/>
                <w:sz w:val="21"/>
                <w:szCs w:val="21"/>
                <w:highlight w:val="none"/>
                <w:u w:val="none"/>
                <w:lang w:val="en-US" w:eastAsia="zh-CN"/>
              </w:rPr>
              <w:t>2.售后服务要求</w:t>
            </w:r>
          </w:p>
          <w:p w14:paraId="3BEE289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改造验收合格后，负责运行维护不低于36个月，质保不低于36个月。</w:t>
            </w:r>
          </w:p>
          <w:p w14:paraId="3D290E2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bCs/>
                <w:i w:val="0"/>
                <w:iCs w:val="0"/>
                <w:snapToGrid/>
                <w:color w:val="auto"/>
                <w:kern w:val="2"/>
                <w:sz w:val="21"/>
                <w:szCs w:val="21"/>
                <w:highlight w:val="none"/>
                <w:u w:val="none"/>
                <w:lang w:val="en-US" w:eastAsia="zh-CN"/>
              </w:rPr>
            </w:pPr>
            <w:r>
              <w:rPr>
                <w:rFonts w:hint="eastAsia" w:ascii="宋体" w:hAnsi="宋体" w:eastAsia="宋体" w:cs="宋体"/>
                <w:b/>
                <w:bCs/>
                <w:i w:val="0"/>
                <w:iCs w:val="0"/>
                <w:snapToGrid/>
                <w:color w:val="auto"/>
                <w:kern w:val="2"/>
                <w:sz w:val="21"/>
                <w:szCs w:val="21"/>
                <w:highlight w:val="none"/>
                <w:u w:val="none"/>
                <w:lang w:val="en-US" w:eastAsia="zh-CN"/>
              </w:rPr>
              <w:t>3.项目人员</w:t>
            </w:r>
          </w:p>
          <w:p w14:paraId="4023CFC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3.1项目负责人</w:t>
            </w:r>
          </w:p>
          <w:p w14:paraId="5846342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3.1.1 配备项目负责人1人，需具备5年以上地表水水站项目建设、运维管理等相关工作经验，全面负责项目各项事务，严格按照合同约定，完成相关工作目标。项目负责人如不能按照采购方要求推进工作开展，采购人有权要求更换项目负责人。</w:t>
            </w:r>
          </w:p>
          <w:p w14:paraId="17F1E61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3.2 负责统筹解决本项目涉及水站的技术问题。</w:t>
            </w:r>
          </w:p>
          <w:p w14:paraId="58196D9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3.3 负责项目质量、进度、施工、组织协调等工作。</w:t>
            </w:r>
          </w:p>
          <w:p w14:paraId="0FB03A9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3.4 负责组织项目的日常管理工作，协调安排项目成员的各项工作任务。</w:t>
            </w:r>
          </w:p>
          <w:p w14:paraId="6C1EB00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3.5 负责组织项目安装调试、试运行及验收，形成验收报告提交采购人。</w:t>
            </w:r>
          </w:p>
          <w:p w14:paraId="0B093BF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val="0"/>
                <w:bCs w:val="0"/>
                <w:i w:val="0"/>
                <w:iCs w:val="0"/>
                <w:snapToGrid/>
                <w:color w:val="auto"/>
                <w:kern w:val="2"/>
                <w:sz w:val="21"/>
                <w:szCs w:val="21"/>
                <w:highlight w:val="none"/>
                <w:u w:val="none"/>
                <w:lang w:val="en-US" w:eastAsia="zh-CN"/>
              </w:rPr>
            </w:pPr>
            <w:r>
              <w:rPr>
                <w:rFonts w:hint="eastAsia" w:ascii="宋体" w:hAnsi="宋体" w:eastAsia="宋体" w:cs="宋体"/>
                <w:b w:val="0"/>
                <w:bCs w:val="0"/>
                <w:i w:val="0"/>
                <w:iCs w:val="0"/>
                <w:snapToGrid/>
                <w:color w:val="auto"/>
                <w:kern w:val="2"/>
                <w:sz w:val="21"/>
                <w:szCs w:val="21"/>
                <w:highlight w:val="none"/>
                <w:u w:val="none"/>
                <w:lang w:val="en-US" w:eastAsia="zh-CN"/>
              </w:rPr>
              <w:t>3.2实施人员</w:t>
            </w:r>
          </w:p>
          <w:p w14:paraId="68911F0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b w:val="0"/>
                <w:bCs w:val="0"/>
                <w:i w:val="0"/>
                <w:iCs w:val="0"/>
                <w:snapToGrid/>
                <w:color w:val="auto"/>
                <w:kern w:val="2"/>
                <w:sz w:val="21"/>
                <w:szCs w:val="21"/>
                <w:highlight w:val="none"/>
                <w:u w:val="none"/>
                <w:lang w:val="en-US" w:eastAsia="zh-CN"/>
              </w:rPr>
              <w:t>3.2.</w:t>
            </w:r>
            <w:r>
              <w:rPr>
                <w:rFonts w:hint="eastAsia" w:ascii="宋体" w:hAnsi="宋体" w:eastAsia="宋体" w:cs="宋体"/>
                <w:i w:val="0"/>
                <w:iCs w:val="0"/>
                <w:snapToGrid/>
                <w:color w:val="auto"/>
                <w:kern w:val="2"/>
                <w:sz w:val="21"/>
                <w:szCs w:val="21"/>
                <w:highlight w:val="none"/>
                <w:u w:val="none"/>
                <w:lang w:val="en-US" w:eastAsia="zh-CN"/>
              </w:rPr>
              <w:t>1 配备项目实施人员不少于2人。进行本项目的水站运维工作，按照规范做好水站的检查维护、质量保证和质量控制等工作，按照管理需求记录水站运行情况和维护情况。</w:t>
            </w:r>
          </w:p>
          <w:p w14:paraId="58BEF84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b w:val="0"/>
                <w:bCs w:val="0"/>
                <w:i w:val="0"/>
                <w:iCs w:val="0"/>
                <w:snapToGrid/>
                <w:color w:val="auto"/>
                <w:kern w:val="2"/>
                <w:sz w:val="21"/>
                <w:szCs w:val="21"/>
                <w:highlight w:val="none"/>
                <w:u w:val="none"/>
                <w:lang w:val="en-US" w:eastAsia="zh-CN"/>
              </w:rPr>
              <w:t>3.2</w:t>
            </w:r>
            <w:r>
              <w:rPr>
                <w:rFonts w:hint="eastAsia" w:ascii="宋体" w:hAnsi="宋体" w:eastAsia="宋体" w:cs="宋体"/>
                <w:i w:val="0"/>
                <w:iCs w:val="0"/>
                <w:snapToGrid/>
                <w:color w:val="auto"/>
                <w:kern w:val="2"/>
                <w:sz w:val="21"/>
                <w:szCs w:val="21"/>
                <w:highlight w:val="none"/>
                <w:u w:val="none"/>
                <w:lang w:val="en-US" w:eastAsia="zh-CN"/>
              </w:rPr>
              <w:t>.2 仪器状态异常或仪器故障时，实施人员应及时响应（响应时间不超过4小时），24小时内到达现场检修，并在48小时内解决所有故障；若48小时内无法排除仪器故障，应在72小时内更换备机，并保证后续的正常控量和数据正常传输。</w:t>
            </w:r>
          </w:p>
          <w:p w14:paraId="3669416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b w:val="0"/>
                <w:bCs w:val="0"/>
                <w:i w:val="0"/>
                <w:iCs w:val="0"/>
                <w:snapToGrid/>
                <w:color w:val="auto"/>
                <w:kern w:val="2"/>
                <w:sz w:val="21"/>
                <w:szCs w:val="21"/>
                <w:highlight w:val="none"/>
                <w:u w:val="none"/>
                <w:lang w:val="en-US" w:eastAsia="zh-CN"/>
              </w:rPr>
              <w:t>3.2</w:t>
            </w:r>
            <w:r>
              <w:rPr>
                <w:rFonts w:hint="eastAsia" w:ascii="宋体" w:hAnsi="宋体" w:eastAsia="宋体" w:cs="宋体"/>
                <w:i w:val="0"/>
                <w:iCs w:val="0"/>
                <w:snapToGrid/>
                <w:color w:val="auto"/>
                <w:kern w:val="2"/>
                <w:sz w:val="21"/>
                <w:szCs w:val="21"/>
                <w:highlight w:val="none"/>
                <w:u w:val="none"/>
                <w:lang w:val="en-US" w:eastAsia="zh-CN"/>
              </w:rPr>
              <w:t>.3 水站原则上应连续运行，因电力故障、采水故障、水位过低、自然断流等不可抗力因素导致停运的，应及时向采购人报告。</w:t>
            </w:r>
          </w:p>
          <w:p w14:paraId="0C9A52F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b w:val="0"/>
                <w:bCs w:val="0"/>
                <w:i w:val="0"/>
                <w:iCs w:val="0"/>
                <w:snapToGrid/>
                <w:color w:val="auto"/>
                <w:kern w:val="2"/>
                <w:sz w:val="21"/>
                <w:szCs w:val="21"/>
                <w:highlight w:val="none"/>
                <w:u w:val="none"/>
                <w:lang w:val="en-US" w:eastAsia="zh-CN"/>
              </w:rPr>
              <w:t>3.2</w:t>
            </w:r>
            <w:r>
              <w:rPr>
                <w:rFonts w:hint="eastAsia" w:ascii="宋体" w:hAnsi="宋体" w:eastAsia="宋体" w:cs="宋体"/>
                <w:i w:val="0"/>
                <w:iCs w:val="0"/>
                <w:snapToGrid/>
                <w:color w:val="auto"/>
                <w:kern w:val="2"/>
                <w:sz w:val="21"/>
                <w:szCs w:val="21"/>
                <w:highlight w:val="none"/>
                <w:u w:val="none"/>
                <w:lang w:val="en-US" w:eastAsia="zh-CN"/>
              </w:rPr>
              <w:t>.4 安排专人专职负责管理和监控数据，每日对数据进行审核并标记、核实异常和无效数据，超标数据必须核实原因并及时汇报。</w:t>
            </w:r>
          </w:p>
          <w:p w14:paraId="1EA5249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val="0"/>
                <w:bCs w:val="0"/>
                <w:i w:val="0"/>
                <w:iCs w:val="0"/>
                <w:snapToGrid/>
                <w:color w:val="auto"/>
                <w:kern w:val="2"/>
                <w:sz w:val="21"/>
                <w:szCs w:val="21"/>
                <w:highlight w:val="none"/>
                <w:u w:val="none"/>
                <w:lang w:val="en-US" w:eastAsia="zh-CN"/>
              </w:rPr>
            </w:pPr>
            <w:r>
              <w:rPr>
                <w:rFonts w:hint="eastAsia" w:ascii="宋体" w:hAnsi="宋体" w:eastAsia="宋体" w:cs="宋体"/>
                <w:b w:val="0"/>
                <w:bCs w:val="0"/>
                <w:i w:val="0"/>
                <w:iCs w:val="0"/>
                <w:snapToGrid/>
                <w:color w:val="auto"/>
                <w:kern w:val="2"/>
                <w:sz w:val="21"/>
                <w:szCs w:val="21"/>
                <w:highlight w:val="none"/>
                <w:u w:val="none"/>
                <w:lang w:val="en-US" w:eastAsia="zh-CN"/>
              </w:rPr>
              <w:t>3.3驻点人员</w:t>
            </w:r>
          </w:p>
          <w:p w14:paraId="77BBE28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配备驻点人员1名，在采购人指定的地点开展工作，期限为自项目验收之日起3年。驻点人员应做好与采购人沟通协调具体工作，定期汇报项目进度及问题，并为采购人辖区内所有区控水站提供维修维护技术指导服务，要求每三个月提供技术指导不少于12次。</w:t>
            </w:r>
          </w:p>
          <w:p w14:paraId="6F0B2AD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bCs/>
                <w:i w:val="0"/>
                <w:iCs w:val="0"/>
                <w:snapToGrid/>
                <w:color w:val="auto"/>
                <w:kern w:val="2"/>
                <w:sz w:val="21"/>
                <w:szCs w:val="21"/>
                <w:highlight w:val="none"/>
                <w:u w:val="none"/>
                <w:lang w:val="en-US" w:eastAsia="zh-CN"/>
              </w:rPr>
            </w:pPr>
            <w:r>
              <w:rPr>
                <w:rFonts w:hint="eastAsia" w:ascii="宋体" w:hAnsi="宋体" w:eastAsia="宋体" w:cs="宋体"/>
                <w:b/>
                <w:bCs/>
                <w:i w:val="0"/>
                <w:iCs w:val="0"/>
                <w:snapToGrid/>
                <w:color w:val="auto"/>
                <w:kern w:val="2"/>
                <w:sz w:val="21"/>
                <w:szCs w:val="21"/>
                <w:highlight w:val="none"/>
                <w:u w:val="none"/>
                <w:lang w:val="en-US" w:eastAsia="zh-CN"/>
              </w:rPr>
              <w:t>注：上述需提供项目人员实施一览表，项目人员须为供应商在职在岗正式员工，同时提供项目人员与供应商签订的劳动合同或其他在职在岗相关证明材料并加盖供应商公章。</w:t>
            </w:r>
          </w:p>
          <w:p w14:paraId="2BC0D45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bCs/>
                <w:i w:val="0"/>
                <w:iCs w:val="0"/>
                <w:snapToGrid/>
                <w:color w:val="auto"/>
                <w:kern w:val="2"/>
                <w:sz w:val="21"/>
                <w:szCs w:val="21"/>
                <w:highlight w:val="none"/>
                <w:u w:val="none"/>
                <w:lang w:val="en-US" w:eastAsia="zh-CN"/>
              </w:rPr>
            </w:pPr>
            <w:r>
              <w:rPr>
                <w:rFonts w:hint="eastAsia" w:ascii="宋体" w:hAnsi="宋体" w:eastAsia="宋体" w:cs="宋体"/>
                <w:b/>
                <w:bCs/>
                <w:i w:val="0"/>
                <w:iCs w:val="0"/>
                <w:snapToGrid/>
                <w:color w:val="auto"/>
                <w:kern w:val="2"/>
                <w:sz w:val="21"/>
                <w:szCs w:val="21"/>
                <w:highlight w:val="none"/>
                <w:u w:val="none"/>
                <w:lang w:val="en-US" w:eastAsia="zh-CN"/>
              </w:rPr>
              <w:t>4.备品备件</w:t>
            </w:r>
          </w:p>
          <w:p w14:paraId="5E31C6DC">
            <w:pPr>
              <w:keepNext w:val="0"/>
              <w:keepLines w:val="0"/>
              <w:pageBreakBefore w:val="0"/>
              <w:widowControl/>
              <w:suppressLineNumbers w:val="0"/>
              <w:kinsoku/>
              <w:wordWrap/>
              <w:overflowPunct/>
              <w:topLinePunct w:val="0"/>
              <w:autoSpaceDE/>
              <w:autoSpaceDN/>
              <w:bidi w:val="0"/>
              <w:adjustRightInd/>
              <w:snapToGrid/>
              <w:spacing w:line="400" w:lineRule="exact"/>
              <w:ind w:firstLine="210" w:firstLineChars="100"/>
              <w:jc w:val="left"/>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做好本项目的水站的基础保障，仓库必须储备有充足的常用试剂、耗材、备品备件并规范管理。</w:t>
            </w:r>
          </w:p>
          <w:p w14:paraId="65B5D2F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bCs/>
                <w:i w:val="0"/>
                <w:iCs w:val="0"/>
                <w:snapToGrid/>
                <w:color w:val="auto"/>
                <w:kern w:val="2"/>
                <w:sz w:val="21"/>
                <w:szCs w:val="21"/>
                <w:highlight w:val="none"/>
                <w:u w:val="none"/>
                <w:lang w:val="en-US" w:eastAsia="zh-CN"/>
              </w:rPr>
            </w:pPr>
            <w:r>
              <w:rPr>
                <w:rFonts w:hint="eastAsia" w:ascii="宋体" w:hAnsi="宋体" w:eastAsia="宋体" w:cs="宋体"/>
                <w:b/>
                <w:bCs/>
                <w:i w:val="0"/>
                <w:iCs w:val="0"/>
                <w:snapToGrid/>
                <w:color w:val="auto"/>
                <w:kern w:val="2"/>
                <w:sz w:val="21"/>
                <w:szCs w:val="21"/>
                <w:highlight w:val="none"/>
                <w:u w:val="none"/>
                <w:lang w:val="en-US" w:eastAsia="zh-CN"/>
              </w:rPr>
              <w:t>5.车辆保障</w:t>
            </w:r>
          </w:p>
          <w:p w14:paraId="7863F71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 xml:space="preserve">  运维车辆的数量及性能满足运维人员工作需求，至少保证1辆运维专用车辆。</w:t>
            </w:r>
          </w:p>
          <w:p w14:paraId="1FD4667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bCs/>
                <w:i w:val="0"/>
                <w:iCs w:val="0"/>
                <w:snapToGrid/>
                <w:color w:val="auto"/>
                <w:kern w:val="2"/>
                <w:sz w:val="21"/>
                <w:szCs w:val="21"/>
                <w:highlight w:val="none"/>
                <w:u w:val="none"/>
                <w:lang w:val="en-US" w:eastAsia="zh-CN"/>
              </w:rPr>
            </w:pPr>
            <w:r>
              <w:rPr>
                <w:rFonts w:hint="eastAsia" w:ascii="宋体" w:hAnsi="宋体" w:eastAsia="宋体" w:cs="宋体"/>
                <w:b/>
                <w:bCs/>
                <w:i w:val="0"/>
                <w:iCs w:val="0"/>
                <w:snapToGrid/>
                <w:color w:val="auto"/>
                <w:kern w:val="2"/>
                <w:sz w:val="21"/>
                <w:szCs w:val="21"/>
                <w:highlight w:val="none"/>
                <w:u w:val="none"/>
                <w:lang w:val="en-US" w:eastAsia="zh-CN"/>
              </w:rPr>
              <w:t>6.运维考核要求采购人自验收正式通过后开始每三个月对成交方开展一次运维工作考核，具体考核内容见附件1。考核分满分为100分，根据所有站点的平均分情况支付运维服务费，方式如下：</w:t>
            </w:r>
          </w:p>
          <w:p w14:paraId="7696CBC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6.1所有站点考核平均分：得分≥93分为合格，全额支付合同款5%的运维费用。</w:t>
            </w:r>
          </w:p>
          <w:p w14:paraId="785F21B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6.2所有站点考核平均分：85分≤得分＜93分，为初级警告，支付合同款3%的运维费用，并责令整改。</w:t>
            </w:r>
          </w:p>
          <w:p w14:paraId="7271CD4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6.3所有站点考核平均分：得分＜85分，为二级警告，不予支付当期运维费用，并责令整改。</w:t>
            </w:r>
          </w:p>
          <w:p w14:paraId="668F596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6.4运维方拒不整改的，采购人有权终止运营合同，且保留向运维方追究责任和赔偿的权利。</w:t>
            </w:r>
          </w:p>
          <w:p w14:paraId="2BFAC38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6.5运行维护考核要求详见附件1《区控水站服务考核表》。</w:t>
            </w:r>
          </w:p>
          <w:p w14:paraId="73BA52C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6.6运维方须维护采集的数据必须真实客观，如有弄虚作假的，采购人有权终止合同，同时运维方须按当期维护费的双倍支付违约金。</w:t>
            </w:r>
          </w:p>
          <w:p w14:paraId="049F620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6.7运维方有下列情形之一的，也将视情况扣除合同总额的5%：被中国环境监测总站、自治区生态环境监测中心书面通报批评的；拖延、阻碍、拒绝质量检查或飞行检查的；发现采样、分析、数据采集和传输等过程人为干扰，未按要求及时向桂林监测中心报告的；因工作疏漏，未发现采样、分析、数据采集和传输等过程人为干扰的；其他不履行规定职责的情形。</w:t>
            </w:r>
          </w:p>
          <w:p w14:paraId="63F5E21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auto"/>
                <w:kern w:val="2"/>
                <w:sz w:val="21"/>
                <w:szCs w:val="21"/>
                <w:highlight w:val="none"/>
                <w:u w:val="none"/>
                <w:lang w:val="en-US" w:eastAsia="zh-CN"/>
              </w:rPr>
            </w:pPr>
            <w:r>
              <w:rPr>
                <w:rFonts w:hint="eastAsia" w:ascii="宋体" w:hAnsi="宋体" w:eastAsia="宋体" w:cs="宋体"/>
                <w:i w:val="0"/>
                <w:iCs w:val="0"/>
                <w:snapToGrid/>
                <w:color w:val="auto"/>
                <w:kern w:val="2"/>
                <w:sz w:val="21"/>
                <w:szCs w:val="21"/>
                <w:highlight w:val="none"/>
                <w:u w:val="none"/>
                <w:lang w:val="en-US" w:eastAsia="zh-CN"/>
              </w:rPr>
              <w:t>6.8因运维不当或者管理不到位，导致仪器设备等损毁造成损失的，运维方应依照运维合同的约定，给予等价赔偿。</w:t>
            </w:r>
          </w:p>
          <w:p w14:paraId="1280D08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i w:val="0"/>
                <w:iCs w:val="0"/>
                <w:snapToGrid/>
                <w:color w:val="auto"/>
                <w:kern w:val="2"/>
                <w:sz w:val="21"/>
                <w:szCs w:val="21"/>
                <w:highlight w:val="none"/>
                <w:u w:val="none"/>
                <w:lang w:val="en-US" w:eastAsia="zh-CN"/>
              </w:rPr>
              <w:t>6.9采购人有权根据相关规定对扣除的运维费进行重新支配，用于开展与区控水站自动监测运维管理相关的工作。</w:t>
            </w:r>
          </w:p>
        </w:tc>
      </w:tr>
      <w:tr w14:paraId="1D8216F0">
        <w:tblPrEx>
          <w:tblCellMar>
            <w:top w:w="0" w:type="dxa"/>
            <w:left w:w="108" w:type="dxa"/>
            <w:bottom w:w="0" w:type="dxa"/>
            <w:right w:w="108" w:type="dxa"/>
          </w:tblCellMar>
        </w:tblPrEx>
        <w:trPr>
          <w:trHeight w:val="4068" w:hRule="atLeast"/>
        </w:trPr>
        <w:tc>
          <w:tcPr>
            <w:tcW w:w="2182" w:type="dxa"/>
            <w:tcBorders>
              <w:top w:val="single" w:color="000000" w:sz="4" w:space="0"/>
              <w:left w:val="single" w:color="000000" w:sz="4" w:space="0"/>
              <w:bottom w:val="single" w:color="000000" w:sz="4" w:space="0"/>
              <w:right w:val="single" w:color="000000" w:sz="4" w:space="0"/>
            </w:tcBorders>
            <w:vAlign w:val="center"/>
          </w:tcPr>
          <w:p w14:paraId="7B18E697">
            <w:pPr>
              <w:keepNext w:val="0"/>
              <w:keepLines w:val="0"/>
              <w:pageBreakBefore w:val="0"/>
              <w:widowControl/>
              <w:kinsoku w:val="0"/>
              <w:wordWrap/>
              <w:overflowPunct/>
              <w:topLinePunct w:val="0"/>
              <w:autoSpaceDE w:val="0"/>
              <w:autoSpaceDN w:val="0"/>
              <w:bidi w:val="0"/>
              <w:adjustRightInd w:val="0"/>
              <w:snapToGrid w:val="0"/>
              <w:spacing w:before="65" w:line="400" w:lineRule="exact"/>
              <w:ind w:left="0" w:leftChars="0" w:right="0" w:rightChars="0" w:firstLine="0" w:firstLineChars="0"/>
              <w:jc w:val="center"/>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spacing w:val="-1"/>
                <w:sz w:val="21"/>
                <w:szCs w:val="21"/>
                <w:highlight w:val="none"/>
                <w:lang w:val="en-US" w:eastAsia="en-US" w:bidi="ar-SA"/>
              </w:rPr>
              <w:t>（</w:t>
            </w:r>
            <w:r>
              <w:rPr>
                <w:rFonts w:hint="eastAsia" w:ascii="宋体" w:hAnsi="宋体" w:eastAsia="宋体" w:cs="宋体"/>
                <w:b w:val="0"/>
                <w:bCs w:val="0"/>
                <w:snapToGrid w:val="0"/>
                <w:color w:val="auto"/>
                <w:spacing w:val="-1"/>
                <w:sz w:val="21"/>
                <w:szCs w:val="21"/>
                <w:highlight w:val="none"/>
                <w:lang w:val="en-US" w:eastAsia="zh-CN" w:bidi="ar-SA"/>
              </w:rPr>
              <w:t>四</w:t>
            </w:r>
            <w:r>
              <w:rPr>
                <w:rFonts w:hint="eastAsia" w:ascii="宋体" w:hAnsi="宋体" w:eastAsia="宋体" w:cs="宋体"/>
                <w:b w:val="0"/>
                <w:bCs w:val="0"/>
                <w:snapToGrid w:val="0"/>
                <w:color w:val="auto"/>
                <w:spacing w:val="-1"/>
                <w:sz w:val="21"/>
                <w:szCs w:val="21"/>
                <w:highlight w:val="none"/>
                <w:lang w:val="en-US" w:eastAsia="en-US" w:bidi="ar-SA"/>
              </w:rPr>
              <w:t>）交付使用时间及地点</w:t>
            </w:r>
          </w:p>
        </w:tc>
        <w:tc>
          <w:tcPr>
            <w:tcW w:w="7070" w:type="dxa"/>
            <w:tcBorders>
              <w:top w:val="single" w:color="000000" w:sz="4" w:space="0"/>
              <w:left w:val="single" w:color="000000" w:sz="4" w:space="0"/>
              <w:bottom w:val="single" w:color="000000" w:sz="4" w:space="0"/>
              <w:right w:val="single" w:color="000000" w:sz="4" w:space="0"/>
            </w:tcBorders>
            <w:vAlign w:val="top"/>
          </w:tcPr>
          <w:p w14:paraId="7ABFA0B1">
            <w:pPr>
              <w:keepNext w:val="0"/>
              <w:keepLines w:val="0"/>
              <w:pageBreakBefore w:val="0"/>
              <w:widowControl/>
              <w:kinsoku w:val="0"/>
              <w:wordWrap/>
              <w:overflowPunct/>
              <w:topLinePunct w:val="0"/>
              <w:autoSpaceDE w:val="0"/>
              <w:autoSpaceDN w:val="0"/>
              <w:bidi w:val="0"/>
              <w:adjustRightInd w:val="0"/>
              <w:snapToGrid w:val="0"/>
              <w:spacing w:line="400" w:lineRule="exact"/>
              <w:ind w:left="108" w:right="108" w:firstLine="6"/>
              <w:jc w:val="left"/>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1.交付使用时间：</w:t>
            </w:r>
          </w:p>
          <w:p w14:paraId="43F193C5">
            <w:pPr>
              <w:keepNext w:val="0"/>
              <w:keepLines w:val="0"/>
              <w:pageBreakBefore w:val="0"/>
              <w:widowControl/>
              <w:kinsoku w:val="0"/>
              <w:wordWrap/>
              <w:overflowPunct/>
              <w:topLinePunct w:val="0"/>
              <w:autoSpaceDE w:val="0"/>
              <w:autoSpaceDN w:val="0"/>
              <w:bidi w:val="0"/>
              <w:adjustRightInd w:val="0"/>
              <w:snapToGrid w:val="0"/>
              <w:spacing w:line="400" w:lineRule="exact"/>
              <w:ind w:left="108" w:right="108" w:firstLine="6"/>
              <w:jc w:val="left"/>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1.1签订合同后，设备安装前，成交供应商向采购人针对每站点提供改造方案，方案内容包括但不限于，每个站房的设备拆旧，站房布置，人员安排，运行管理，进度安排等，并经采购人确认。</w:t>
            </w:r>
          </w:p>
          <w:p w14:paraId="6AF51B28">
            <w:pPr>
              <w:keepNext w:val="0"/>
              <w:keepLines w:val="0"/>
              <w:pageBreakBefore w:val="0"/>
              <w:widowControl/>
              <w:kinsoku w:val="0"/>
              <w:wordWrap/>
              <w:overflowPunct/>
              <w:topLinePunct w:val="0"/>
              <w:autoSpaceDE w:val="0"/>
              <w:autoSpaceDN w:val="0"/>
              <w:bidi w:val="0"/>
              <w:adjustRightInd w:val="0"/>
              <w:snapToGrid w:val="0"/>
              <w:spacing w:line="400" w:lineRule="exact"/>
              <w:ind w:left="108" w:right="108" w:firstLine="6"/>
              <w:jc w:val="left"/>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1.2自签订合同后，采购人通知之日起，两个月内完成安装调试、试运行、验收。</w:t>
            </w:r>
          </w:p>
          <w:p w14:paraId="455DC8E7">
            <w:pPr>
              <w:keepNext w:val="0"/>
              <w:keepLines w:val="0"/>
              <w:pageBreakBefore w:val="0"/>
              <w:widowControl/>
              <w:kinsoku w:val="0"/>
              <w:wordWrap/>
              <w:overflowPunct/>
              <w:topLinePunct w:val="0"/>
              <w:autoSpaceDE w:val="0"/>
              <w:autoSpaceDN w:val="0"/>
              <w:bidi w:val="0"/>
              <w:adjustRightInd w:val="0"/>
              <w:snapToGrid w:val="0"/>
              <w:spacing w:line="400" w:lineRule="exact"/>
              <w:ind w:left="108" w:right="108" w:firstLine="6"/>
              <w:jc w:val="left"/>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2.交货地点：广西区内采购人指定地点。成交供应商必须承担设备运输、安装调试、验收检测和提供设备操作说明书、图纸等其他类似的义务。送货前，成交供应商需电话通知采购人，确定送货时间、送货方式和送货地点。</w:t>
            </w:r>
          </w:p>
        </w:tc>
      </w:tr>
      <w:tr w14:paraId="6700EA65">
        <w:tblPrEx>
          <w:tblCellMar>
            <w:top w:w="0" w:type="dxa"/>
            <w:left w:w="108" w:type="dxa"/>
            <w:bottom w:w="0" w:type="dxa"/>
            <w:right w:w="108" w:type="dxa"/>
          </w:tblCellMar>
        </w:tblPrEx>
        <w:trPr>
          <w:trHeight w:val="487" w:hRule="atLeast"/>
        </w:trPr>
        <w:tc>
          <w:tcPr>
            <w:tcW w:w="2182" w:type="dxa"/>
            <w:tcBorders>
              <w:top w:val="single" w:color="000000" w:sz="4" w:space="0"/>
              <w:left w:val="single" w:color="000000" w:sz="4" w:space="0"/>
              <w:bottom w:val="single" w:color="000000" w:sz="4" w:space="0"/>
              <w:right w:val="single" w:color="000000" w:sz="4" w:space="0"/>
            </w:tcBorders>
            <w:vAlign w:val="center"/>
          </w:tcPr>
          <w:p w14:paraId="7E3D01CB">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b w:val="0"/>
                <w:bCs w:val="0"/>
                <w:snapToGrid w:val="0"/>
                <w:color w:val="auto"/>
                <w:kern w:val="0"/>
                <w:sz w:val="21"/>
                <w:szCs w:val="21"/>
                <w:highlight w:val="none"/>
                <w:lang w:eastAsia="en-US"/>
              </w:rPr>
            </w:pPr>
          </w:p>
          <w:p w14:paraId="5FF07E68">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b w:val="0"/>
                <w:bCs w:val="0"/>
                <w:snapToGrid w:val="0"/>
                <w:color w:val="auto"/>
                <w:kern w:val="0"/>
                <w:sz w:val="21"/>
                <w:szCs w:val="21"/>
                <w:highlight w:val="none"/>
                <w:lang w:eastAsia="en-US"/>
              </w:rPr>
            </w:pPr>
          </w:p>
          <w:p w14:paraId="4E389014">
            <w:pPr>
              <w:keepNext w:val="0"/>
              <w:keepLines w:val="0"/>
              <w:pageBreakBefore w:val="0"/>
              <w:widowControl/>
              <w:kinsoku w:val="0"/>
              <w:wordWrap/>
              <w:overflowPunct/>
              <w:topLinePunct w:val="0"/>
              <w:autoSpaceDE w:val="0"/>
              <w:autoSpaceDN w:val="0"/>
              <w:bidi w:val="0"/>
              <w:adjustRightInd w:val="0"/>
              <w:snapToGrid w:val="0"/>
              <w:spacing w:before="65" w:line="400" w:lineRule="exact"/>
              <w:ind w:left="0" w:leftChars="0" w:right="0" w:rightChars="0" w:firstLine="0" w:firstLineChars="0"/>
              <w:jc w:val="center"/>
              <w:textAlignment w:val="baseline"/>
              <w:rPr>
                <w:rFonts w:hint="eastAsia" w:ascii="宋体" w:hAnsi="宋体" w:eastAsia="宋体" w:cs="宋体"/>
                <w:b w:val="0"/>
                <w:bCs w:val="0"/>
                <w:snapToGrid w:val="0"/>
                <w:color w:val="auto"/>
                <w:spacing w:val="-1"/>
                <w:sz w:val="21"/>
                <w:szCs w:val="21"/>
                <w:highlight w:val="none"/>
                <w:lang w:val="en-US" w:eastAsia="en-US" w:bidi="ar-SA"/>
              </w:rPr>
            </w:pPr>
            <w:r>
              <w:rPr>
                <w:rFonts w:hint="eastAsia" w:ascii="宋体" w:hAnsi="宋体" w:eastAsia="宋体" w:cs="宋体"/>
                <w:b w:val="0"/>
                <w:bCs w:val="0"/>
                <w:snapToGrid w:val="0"/>
                <w:color w:val="auto"/>
                <w:sz w:val="21"/>
                <w:szCs w:val="21"/>
                <w:highlight w:val="none"/>
                <w:lang w:val="en-US" w:eastAsia="en-US" w:bidi="ar-SA"/>
              </w:rPr>
              <w:t>（</w:t>
            </w:r>
            <w:r>
              <w:rPr>
                <w:rFonts w:hint="eastAsia" w:ascii="宋体" w:hAnsi="宋体" w:eastAsia="宋体" w:cs="宋体"/>
                <w:b w:val="0"/>
                <w:bCs w:val="0"/>
                <w:snapToGrid w:val="0"/>
                <w:color w:val="auto"/>
                <w:sz w:val="21"/>
                <w:szCs w:val="21"/>
                <w:highlight w:val="none"/>
                <w:lang w:val="en-US" w:eastAsia="zh-CN" w:bidi="ar-SA"/>
              </w:rPr>
              <w:t>五</w:t>
            </w:r>
            <w:r>
              <w:rPr>
                <w:rFonts w:hint="eastAsia" w:ascii="宋体" w:hAnsi="宋体" w:eastAsia="宋体" w:cs="宋体"/>
                <w:b w:val="0"/>
                <w:bCs w:val="0"/>
                <w:snapToGrid w:val="0"/>
                <w:color w:val="auto"/>
                <w:sz w:val="21"/>
                <w:szCs w:val="21"/>
                <w:highlight w:val="none"/>
                <w:lang w:val="en-US" w:eastAsia="en-US" w:bidi="ar-SA"/>
              </w:rPr>
              <w:t>）质量保证期</w:t>
            </w:r>
          </w:p>
        </w:tc>
        <w:tc>
          <w:tcPr>
            <w:tcW w:w="7070" w:type="dxa"/>
            <w:tcBorders>
              <w:top w:val="single" w:color="000000" w:sz="4" w:space="0"/>
              <w:left w:val="single" w:color="000000" w:sz="4" w:space="0"/>
              <w:bottom w:val="single" w:color="000000" w:sz="4" w:space="0"/>
              <w:right w:val="single" w:color="000000" w:sz="4" w:space="0"/>
            </w:tcBorders>
            <w:vAlign w:val="center"/>
          </w:tcPr>
          <w:p w14:paraId="3ABD3B26">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1.成交供应商向采购人提供的货物必须是全新的原装产品，禁止提供组装设备，出厂日期不超过10个月，产品质量须符合国家相关标准及安全规范。</w:t>
            </w:r>
          </w:p>
          <w:p w14:paraId="336C7231">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2.质保期及整站保障性运行从采购人验收合格之日起计算，质保期至少3年，整站保障性运行3年（保障性运行要求见附表），实际时间以成交供应商承诺的时间为准（详见合同承诺书）。技术参数要求表中有特别要求的则以技术参数要求表为准。质保期（非保障性运行期）内免费提供上门维修、更换零部件等服务。</w:t>
            </w:r>
          </w:p>
          <w:p w14:paraId="36E3CC1F">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3.属于国家规定“三包”范围的，其质量保证期不得低于“三包”规定。成交供应商承诺质量保证期优于国家“三包”规定的，或优于竞争性谈判文件规定的，按成交供应商实际承诺执行。</w:t>
            </w:r>
          </w:p>
          <w:p w14:paraId="008BC912">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4.合同产品或服务由制造商（指产品生产制造商或服务实际提供人）负责标准售后服务的，应当在响应文件中予以明确说明。</w:t>
            </w:r>
          </w:p>
        </w:tc>
      </w:tr>
      <w:tr w14:paraId="4452DDD4">
        <w:tblPrEx>
          <w:tblCellMar>
            <w:top w:w="0" w:type="dxa"/>
            <w:left w:w="108" w:type="dxa"/>
            <w:bottom w:w="0" w:type="dxa"/>
            <w:right w:w="108" w:type="dxa"/>
          </w:tblCellMar>
        </w:tblPrEx>
        <w:trPr>
          <w:trHeight w:val="286" w:hRule="atLeast"/>
        </w:trPr>
        <w:tc>
          <w:tcPr>
            <w:tcW w:w="2182" w:type="dxa"/>
            <w:tcBorders>
              <w:top w:val="single" w:color="000000" w:sz="4" w:space="0"/>
              <w:left w:val="single" w:color="000000" w:sz="4" w:space="0"/>
              <w:bottom w:val="single" w:color="000000" w:sz="4" w:space="0"/>
              <w:right w:val="single" w:color="000000" w:sz="4" w:space="0"/>
            </w:tcBorders>
            <w:vAlign w:val="center"/>
          </w:tcPr>
          <w:p w14:paraId="0AACFAA5">
            <w:pPr>
              <w:keepNext w:val="0"/>
              <w:keepLines w:val="0"/>
              <w:pageBreakBefore w:val="0"/>
              <w:widowControl/>
              <w:kinsoku w:val="0"/>
              <w:wordWrap/>
              <w:overflowPunct/>
              <w:topLinePunct w:val="0"/>
              <w:autoSpaceDE w:val="0"/>
              <w:autoSpaceDN w:val="0"/>
              <w:bidi w:val="0"/>
              <w:adjustRightInd w:val="0"/>
              <w:snapToGrid w:val="0"/>
              <w:spacing w:before="65" w:line="400" w:lineRule="exact"/>
              <w:ind w:left="0" w:leftChars="0" w:right="0" w:rightChars="0" w:firstLine="0" w:firstLineChars="0"/>
              <w:jc w:val="center"/>
              <w:textAlignment w:val="baseline"/>
              <w:rPr>
                <w:rFonts w:hint="eastAsia" w:ascii="宋体" w:hAnsi="宋体" w:eastAsia="宋体" w:cs="宋体"/>
                <w:b w:val="0"/>
                <w:bCs w:val="0"/>
                <w:snapToGrid w:val="0"/>
                <w:color w:val="auto"/>
                <w:sz w:val="21"/>
                <w:szCs w:val="21"/>
                <w:highlight w:val="none"/>
                <w:lang w:val="en-US" w:eastAsia="zh-CN" w:bidi="ar-SA"/>
              </w:rPr>
            </w:pPr>
            <w:r>
              <w:rPr>
                <w:rFonts w:hint="eastAsia" w:ascii="宋体" w:hAnsi="宋体" w:eastAsia="宋体" w:cs="宋体"/>
                <w:b w:val="0"/>
                <w:bCs w:val="0"/>
                <w:snapToGrid w:val="0"/>
                <w:color w:val="auto"/>
                <w:sz w:val="21"/>
                <w:szCs w:val="21"/>
                <w:highlight w:val="none"/>
                <w:lang w:val="en-US" w:eastAsia="en-US" w:bidi="ar-SA"/>
              </w:rPr>
              <w:t>（</w:t>
            </w:r>
            <w:r>
              <w:rPr>
                <w:rFonts w:hint="eastAsia" w:ascii="宋体" w:hAnsi="宋体" w:eastAsia="宋体" w:cs="宋体"/>
                <w:b w:val="0"/>
                <w:bCs w:val="0"/>
                <w:snapToGrid w:val="0"/>
                <w:color w:val="auto"/>
                <w:sz w:val="21"/>
                <w:szCs w:val="21"/>
                <w:highlight w:val="none"/>
                <w:lang w:val="en-US" w:eastAsia="zh-CN" w:bidi="ar-SA"/>
              </w:rPr>
              <w:t>六</w:t>
            </w:r>
            <w:r>
              <w:rPr>
                <w:rFonts w:hint="eastAsia" w:ascii="宋体" w:hAnsi="宋体" w:eastAsia="宋体" w:cs="宋体"/>
                <w:b w:val="0"/>
                <w:bCs w:val="0"/>
                <w:snapToGrid w:val="0"/>
                <w:color w:val="auto"/>
                <w:sz w:val="21"/>
                <w:szCs w:val="21"/>
                <w:highlight w:val="none"/>
                <w:lang w:val="en-US" w:eastAsia="en-US" w:bidi="ar-SA"/>
              </w:rPr>
              <w:t>）付款条件</w:t>
            </w:r>
          </w:p>
        </w:tc>
        <w:tc>
          <w:tcPr>
            <w:tcW w:w="7070" w:type="dxa"/>
            <w:tcBorders>
              <w:top w:val="single" w:color="000000" w:sz="4" w:space="0"/>
              <w:left w:val="single" w:color="000000" w:sz="4" w:space="0"/>
              <w:bottom w:val="single" w:color="auto" w:sz="4" w:space="0"/>
              <w:right w:val="single" w:color="000000" w:sz="4" w:space="0"/>
            </w:tcBorders>
            <w:vAlign w:val="center"/>
          </w:tcPr>
          <w:p w14:paraId="5C66149C">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1.付款方式</w:t>
            </w:r>
          </w:p>
          <w:p w14:paraId="483FAADF">
            <w:pPr>
              <w:pStyle w:val="8"/>
              <w:keepNext w:val="0"/>
              <w:keepLines w:val="0"/>
              <w:pageBreakBefore w:val="0"/>
              <w:shd w:val="clear" w:fill="FFFFFF" w:themeFill="background1"/>
              <w:kinsoku w:val="0"/>
              <w:wordWrap/>
              <w:overflowPunct/>
              <w:topLinePunct w:val="0"/>
              <w:autoSpaceDE w:val="0"/>
              <w:autoSpaceDN w:val="0"/>
              <w:bidi w:val="0"/>
              <w:adjustRightInd w:val="0"/>
              <w:snapToGrid w:val="0"/>
              <w:spacing w:line="400" w:lineRule="exact"/>
              <w:ind w:firstLine="228" w:firstLineChars="100"/>
              <w:textAlignment w:val="baseline"/>
              <w:outlineLvl w:val="9"/>
              <w:rPr>
                <w:rFonts w:hint="eastAsia" w:ascii="宋体" w:hAnsi="宋体" w:eastAsia="宋体" w:cs="宋体"/>
                <w:color w:val="auto"/>
                <w:spacing w:val="9"/>
                <w:sz w:val="21"/>
                <w:szCs w:val="21"/>
                <w:highlight w:val="none"/>
              </w:rPr>
            </w:pPr>
            <w:r>
              <w:rPr>
                <w:rFonts w:hint="eastAsia" w:ascii="宋体" w:hAnsi="宋体" w:eastAsia="宋体" w:cs="宋体"/>
                <w:color w:val="auto"/>
                <w:spacing w:val="9"/>
                <w:sz w:val="21"/>
                <w:szCs w:val="21"/>
                <w:highlight w:val="none"/>
              </w:rPr>
              <w:t>1.1</w:t>
            </w:r>
            <w:r>
              <w:rPr>
                <w:rFonts w:hint="eastAsia" w:ascii="宋体" w:hAnsi="宋体" w:eastAsia="宋体" w:cs="宋体"/>
                <w:color w:val="auto"/>
                <w:spacing w:val="9"/>
                <w:sz w:val="21"/>
                <w:szCs w:val="21"/>
                <w:highlight w:val="none"/>
                <w:lang w:eastAsia="zh-CN"/>
              </w:rPr>
              <w:t>成交供应商提交全部改造方案并经采购人书面确认后10个工作日内，采购人向成交供应商预付40%合同款，成交供应商在收到采购人预付款5个工作日内开具合同总额40%的发票。货物到达采购人指定地点，采购人对货物初步验收合格，成交供应商委托银行托管60%合同款的运维经费后，应将银行凭证及合同总额60%的发票提交采购人，采购人据此拨付60%合同款给成交供应商。采购人将银行代管60%合同款的运维经费以运维服务期限分期结算，并根据实际运维的考核结果计算实际应付的运维费，经采购人书面确认后，由银行每三个月代为拨付实际运维经费（最高为合同总额的5%）。每个运维考核周期考核不合格的，采购人有权扣除对应周期运维经费；连续两个考核周期考核不合格的，采购人有权单方解除运维服务相关约定，并要求成交供应商退还剩余未履约部分的运维经费。采购人、成交供应商、银行需同时签署三方协议。采购人对成交供应商的运维考核结果拥有最终解释权，考核结果需经采购人书面确认方作为付款依据。成交供应商对考核结果有异议的，应在收到考核结果之日起7日内以书面形式向采购人提出；逾期未提出的，视为成交供应商认可该考核结果</w:t>
            </w:r>
            <w:r>
              <w:rPr>
                <w:rFonts w:hint="eastAsia" w:ascii="宋体" w:hAnsi="宋体" w:eastAsia="宋体" w:cs="宋体"/>
                <w:color w:val="auto"/>
                <w:spacing w:val="9"/>
                <w:sz w:val="21"/>
                <w:szCs w:val="21"/>
                <w:highlight w:val="none"/>
              </w:rPr>
              <w:t>。</w:t>
            </w:r>
          </w:p>
          <w:p w14:paraId="5671EFFB">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auto"/>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1.2如成交供应商无法履行竞标时对运行期限和质保期限的承诺，采购人有权要求成交供应商按合同金额退回相应的费用。</w:t>
            </w:r>
          </w:p>
        </w:tc>
      </w:tr>
      <w:tr w14:paraId="26ED34EF">
        <w:tblPrEx>
          <w:tblCellMar>
            <w:top w:w="0" w:type="dxa"/>
            <w:left w:w="108" w:type="dxa"/>
            <w:bottom w:w="0" w:type="dxa"/>
            <w:right w:w="108" w:type="dxa"/>
          </w:tblCellMar>
        </w:tblPrEx>
        <w:trPr>
          <w:trHeight w:val="522" w:hRule="atLeast"/>
        </w:trPr>
        <w:tc>
          <w:tcPr>
            <w:tcW w:w="2182" w:type="dxa"/>
            <w:tcBorders>
              <w:top w:val="single" w:color="000000" w:sz="4" w:space="0"/>
              <w:left w:val="single" w:color="000000" w:sz="4" w:space="0"/>
              <w:bottom w:val="single" w:color="000000" w:sz="4" w:space="0"/>
              <w:right w:val="single" w:color="auto" w:sz="4" w:space="0"/>
            </w:tcBorders>
            <w:vAlign w:val="center"/>
          </w:tcPr>
          <w:p w14:paraId="7411724B">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b w:val="0"/>
                <w:bCs w:val="0"/>
                <w:snapToGrid w:val="0"/>
                <w:color w:val="auto"/>
                <w:kern w:val="0"/>
                <w:sz w:val="21"/>
                <w:szCs w:val="21"/>
                <w:highlight w:val="none"/>
                <w:lang w:eastAsia="en-US"/>
              </w:rPr>
            </w:pPr>
          </w:p>
          <w:p w14:paraId="488B61AB">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b w:val="0"/>
                <w:bCs w:val="0"/>
                <w:snapToGrid w:val="0"/>
                <w:color w:val="auto"/>
                <w:kern w:val="0"/>
                <w:sz w:val="21"/>
                <w:szCs w:val="21"/>
                <w:highlight w:val="none"/>
                <w:lang w:eastAsia="en-US"/>
              </w:rPr>
            </w:pPr>
          </w:p>
          <w:p w14:paraId="2BE01277">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b w:val="0"/>
                <w:bCs w:val="0"/>
                <w:snapToGrid w:val="0"/>
                <w:color w:val="auto"/>
                <w:kern w:val="0"/>
                <w:sz w:val="21"/>
                <w:szCs w:val="21"/>
                <w:highlight w:val="none"/>
                <w:lang w:eastAsia="en-US"/>
              </w:rPr>
            </w:pPr>
          </w:p>
          <w:p w14:paraId="463F4F80">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b w:val="0"/>
                <w:bCs w:val="0"/>
                <w:snapToGrid w:val="0"/>
                <w:color w:val="auto"/>
                <w:kern w:val="0"/>
                <w:sz w:val="21"/>
                <w:szCs w:val="21"/>
                <w:highlight w:val="none"/>
                <w:lang w:eastAsia="zh-CN"/>
              </w:rPr>
            </w:pPr>
            <w:r>
              <w:rPr>
                <w:rFonts w:hint="eastAsia" w:ascii="宋体" w:hAnsi="宋体" w:eastAsia="宋体" w:cs="宋体"/>
                <w:b w:val="0"/>
                <w:bCs w:val="0"/>
                <w:snapToGrid w:val="0"/>
                <w:color w:val="auto"/>
                <w:kern w:val="0"/>
                <w:sz w:val="21"/>
                <w:szCs w:val="21"/>
                <w:highlight w:val="none"/>
                <w:lang w:eastAsia="en-US"/>
              </w:rPr>
              <w:t>（</w:t>
            </w:r>
            <w:r>
              <w:rPr>
                <w:rFonts w:hint="eastAsia" w:ascii="宋体" w:hAnsi="宋体" w:eastAsia="宋体" w:cs="宋体"/>
                <w:b w:val="0"/>
                <w:bCs w:val="0"/>
                <w:snapToGrid w:val="0"/>
                <w:color w:val="auto"/>
                <w:kern w:val="0"/>
                <w:sz w:val="21"/>
                <w:szCs w:val="21"/>
                <w:highlight w:val="none"/>
                <w:lang w:eastAsia="zh-CN"/>
              </w:rPr>
              <w:t>七</w:t>
            </w:r>
            <w:r>
              <w:rPr>
                <w:rFonts w:hint="eastAsia" w:ascii="宋体" w:hAnsi="宋体" w:eastAsia="宋体" w:cs="宋体"/>
                <w:b w:val="0"/>
                <w:bCs w:val="0"/>
                <w:snapToGrid w:val="0"/>
                <w:color w:val="auto"/>
                <w:kern w:val="0"/>
                <w:sz w:val="21"/>
                <w:szCs w:val="21"/>
                <w:highlight w:val="none"/>
                <w:lang w:eastAsia="en-US"/>
              </w:rPr>
              <w:t>）</w:t>
            </w:r>
            <w:r>
              <w:rPr>
                <w:rFonts w:hint="eastAsia" w:ascii="宋体" w:hAnsi="宋体" w:eastAsia="宋体" w:cs="宋体"/>
                <w:b w:val="0"/>
                <w:bCs w:val="0"/>
                <w:snapToGrid w:val="0"/>
                <w:color w:val="auto"/>
                <w:kern w:val="0"/>
                <w:sz w:val="21"/>
                <w:szCs w:val="21"/>
                <w:highlight w:val="none"/>
                <w:lang w:eastAsia="zh-CN"/>
              </w:rPr>
              <w:t>其他要求</w:t>
            </w:r>
          </w:p>
          <w:p w14:paraId="3A0025A9">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b w:val="0"/>
                <w:bCs w:val="0"/>
                <w:snapToGrid w:val="0"/>
                <w:color w:val="auto"/>
                <w:kern w:val="0"/>
                <w:sz w:val="21"/>
                <w:szCs w:val="21"/>
                <w:highlight w:val="none"/>
                <w:lang w:eastAsia="en-US"/>
              </w:rPr>
            </w:pPr>
          </w:p>
          <w:p w14:paraId="0B2D7119">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b w:val="0"/>
                <w:bCs w:val="0"/>
                <w:snapToGrid w:val="0"/>
                <w:color w:val="auto"/>
                <w:kern w:val="0"/>
                <w:sz w:val="21"/>
                <w:szCs w:val="21"/>
                <w:highlight w:val="none"/>
                <w:lang w:eastAsia="en-US"/>
              </w:rPr>
            </w:pPr>
          </w:p>
          <w:p w14:paraId="25106D69">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b w:val="0"/>
                <w:bCs w:val="0"/>
                <w:snapToGrid w:val="0"/>
                <w:color w:val="auto"/>
                <w:kern w:val="0"/>
                <w:sz w:val="21"/>
                <w:szCs w:val="21"/>
                <w:highlight w:val="none"/>
                <w:lang w:eastAsia="en-US"/>
              </w:rPr>
            </w:pPr>
          </w:p>
          <w:p w14:paraId="6752B544">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b w:val="0"/>
                <w:bCs w:val="0"/>
                <w:snapToGrid w:val="0"/>
                <w:color w:val="auto"/>
                <w:kern w:val="0"/>
                <w:sz w:val="21"/>
                <w:szCs w:val="21"/>
                <w:highlight w:val="none"/>
                <w:lang w:eastAsia="en-US"/>
              </w:rPr>
            </w:pPr>
          </w:p>
          <w:p w14:paraId="346C7A10">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b w:val="0"/>
                <w:bCs w:val="0"/>
                <w:snapToGrid w:val="0"/>
                <w:color w:val="auto"/>
                <w:kern w:val="0"/>
                <w:sz w:val="21"/>
                <w:szCs w:val="21"/>
                <w:highlight w:val="none"/>
                <w:lang w:eastAsia="en-US"/>
              </w:rPr>
            </w:pPr>
          </w:p>
          <w:p w14:paraId="573C7A58">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b w:val="0"/>
                <w:bCs w:val="0"/>
                <w:snapToGrid w:val="0"/>
                <w:color w:val="auto"/>
                <w:kern w:val="0"/>
                <w:sz w:val="21"/>
                <w:szCs w:val="21"/>
                <w:highlight w:val="none"/>
                <w:lang w:eastAsia="en-US"/>
              </w:rPr>
            </w:pPr>
          </w:p>
          <w:p w14:paraId="04057897">
            <w:pPr>
              <w:keepNext w:val="0"/>
              <w:keepLines w:val="0"/>
              <w:pageBreakBefore w:val="0"/>
              <w:widowControl/>
              <w:kinsoku w:val="0"/>
              <w:wordWrap/>
              <w:overflowPunct/>
              <w:topLinePunct w:val="0"/>
              <w:autoSpaceDE w:val="0"/>
              <w:autoSpaceDN w:val="0"/>
              <w:bidi w:val="0"/>
              <w:adjustRightInd w:val="0"/>
              <w:snapToGrid w:val="0"/>
              <w:spacing w:before="65" w:line="400" w:lineRule="exact"/>
              <w:ind w:left="0" w:leftChars="0" w:right="0" w:rightChars="0" w:firstLine="0" w:firstLineChars="0"/>
              <w:jc w:val="center"/>
              <w:textAlignment w:val="baseline"/>
              <w:rPr>
                <w:rFonts w:hint="eastAsia" w:ascii="宋体" w:hAnsi="宋体" w:eastAsia="宋体" w:cs="宋体"/>
                <w:b w:val="0"/>
                <w:bCs w:val="0"/>
                <w:snapToGrid w:val="0"/>
                <w:color w:val="auto"/>
                <w:kern w:val="2"/>
                <w:sz w:val="21"/>
                <w:szCs w:val="21"/>
                <w:highlight w:val="none"/>
                <w:lang w:val="en-US" w:eastAsia="zh-CN" w:bidi="ar-SA"/>
              </w:rPr>
            </w:pPr>
          </w:p>
        </w:tc>
        <w:tc>
          <w:tcPr>
            <w:tcW w:w="7070" w:type="dxa"/>
            <w:tcBorders>
              <w:top w:val="single" w:color="auto" w:sz="4" w:space="0"/>
              <w:left w:val="single" w:color="auto" w:sz="4" w:space="0"/>
              <w:bottom w:val="single" w:color="auto" w:sz="4" w:space="0"/>
              <w:right w:val="single" w:color="auto" w:sz="4" w:space="0"/>
            </w:tcBorders>
            <w:vAlign w:val="center"/>
          </w:tcPr>
          <w:p w14:paraId="6D100877">
            <w:pPr>
              <w:keepNext w:val="0"/>
              <w:keepLines w:val="0"/>
              <w:pageBreakBefore w:val="0"/>
              <w:widowControl/>
              <w:numPr>
                <w:ilvl w:val="0"/>
                <w:numId w:val="2"/>
              </w:numPr>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总体要求</w:t>
            </w:r>
          </w:p>
          <w:p w14:paraId="0FFFC59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Chars="0" w:right="0" w:rightChars="0" w:firstLine="420" w:firstLineChars="200"/>
              <w:jc w:val="left"/>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本项目中的货物，技术参数中标记为“▲”的参数应提供相关证明材料，包括但不限于彩页、官网和功能截图等。当响应文件提供的设备性能参数与该设备生产商提供的性能参数不符合时，以后者为准。</w:t>
            </w:r>
          </w:p>
          <w:p w14:paraId="142088D8">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二、售后及其它要求</w:t>
            </w:r>
          </w:p>
          <w:p w14:paraId="7C21384A">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1.成交供应商和制造商在质量保证期内应当为采购人提供以下技术支持和服务：</w:t>
            </w:r>
          </w:p>
          <w:p w14:paraId="6EE25861">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1.1免费送货上门，免费安装调试合格，按国家有关规定实行“三包”，免费定期回访及维护。</w:t>
            </w:r>
          </w:p>
          <w:p w14:paraId="63796E41">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1.2仪器设备故障或采购人有服务需求的，须立即赶赴现场进行维修维护。</w:t>
            </w:r>
          </w:p>
          <w:p w14:paraId="10FEAA9F">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1.3技术升级</w:t>
            </w:r>
          </w:p>
          <w:p w14:paraId="115CB915">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成交供应商须提供货物操作软件终身免费升级服务。</w:t>
            </w:r>
          </w:p>
          <w:p w14:paraId="353C1601">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2.质保期外服务要求</w:t>
            </w:r>
          </w:p>
          <w:p w14:paraId="502DDEEA">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 xml:space="preserve">   质量保证期过后，成交供应商和制造商应同样提供免费电话咨询服务，并应承诺提供产品或服务上门维护。</w:t>
            </w:r>
          </w:p>
          <w:p w14:paraId="0F215759">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3.备品备件及易损件</w:t>
            </w:r>
          </w:p>
          <w:p w14:paraId="4352976D">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成交供应商和制造商售后服务中，维修使用的备品备件及易损件应为原厂配件，未经采购人同意不得使用非原厂配件，常用的、容易损坏的备品备件及易损件的价格清单须在投标文件中列出。</w:t>
            </w:r>
          </w:p>
          <w:p w14:paraId="481557F6">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4.成交供应商应在设备安装调试完毕和系统建成后，免费对采购人的操作人员现场进行基本的使用及维护培训，培训内容为如何进行设备调试、维护、排除故障进行指导和演示（以上培训内容包括仪器的原理、操作、日常维护、故障排除、软件使用等）。成交供应商免费提供仪器现场3-5天的技术培训。培训后采购人仍未熟练掌握仪器的使用方法，则再继续进行培训，直至采购人熟练掌握为止。仪器验收后6个月内回访并免费培训一次。培训期间所产生的消耗品、技术资料和培训费均由成交供应商承担，培训时间由采购人确定，采购人确定培训时间并提前通知成交供应商，成交供应商在规定时间内到场培训。</w:t>
            </w:r>
          </w:p>
          <w:p w14:paraId="7521E5BA">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5.在正常安装、使用过程中，凡是因产品质量问题所造成采购人损失的，成交供应商负责赔偿采购人的一切经济损失。</w:t>
            </w:r>
          </w:p>
          <w:p w14:paraId="46DFE12A">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6.知识产权：采购人在中华人民共和国境内使用供应商提供的产品及服务时免受第三方提出的侵犯其专利权或其它知识产权的起诉。如果第三方提出侵权指控，成交供应商应承担由此而引起的一切法律责任和费用。</w:t>
            </w:r>
          </w:p>
          <w:p w14:paraId="0A008523">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7.供应商竞标时请在响应文件中提供具体的项目实施方案、售后服务承诺。</w:t>
            </w:r>
          </w:p>
        </w:tc>
      </w:tr>
      <w:tr w14:paraId="14A4D676">
        <w:tblPrEx>
          <w:tblCellMar>
            <w:top w:w="0" w:type="dxa"/>
            <w:left w:w="108" w:type="dxa"/>
            <w:bottom w:w="0" w:type="dxa"/>
            <w:right w:w="108" w:type="dxa"/>
          </w:tblCellMar>
        </w:tblPrEx>
        <w:trPr>
          <w:trHeight w:val="90" w:hRule="atLeast"/>
        </w:trPr>
        <w:tc>
          <w:tcPr>
            <w:tcW w:w="2182" w:type="dxa"/>
            <w:tcBorders>
              <w:top w:val="single" w:color="000000" w:sz="4" w:space="0"/>
              <w:left w:val="single" w:color="000000" w:sz="4" w:space="0"/>
              <w:bottom w:val="single" w:color="000000" w:sz="4" w:space="0"/>
              <w:right w:val="single" w:color="auto" w:sz="4" w:space="0"/>
            </w:tcBorders>
            <w:vAlign w:val="center"/>
          </w:tcPr>
          <w:p w14:paraId="76896BA8">
            <w:pPr>
              <w:keepNext w:val="0"/>
              <w:keepLines w:val="0"/>
              <w:pageBreakBefore w:val="0"/>
              <w:widowControl/>
              <w:kinsoku w:val="0"/>
              <w:wordWrap/>
              <w:overflowPunct/>
              <w:topLinePunct w:val="0"/>
              <w:autoSpaceDE w:val="0"/>
              <w:autoSpaceDN w:val="0"/>
              <w:bidi w:val="0"/>
              <w:adjustRightInd w:val="0"/>
              <w:snapToGrid w:val="0"/>
              <w:spacing w:before="176" w:line="400" w:lineRule="exact"/>
              <w:ind w:left="0" w:leftChars="0" w:right="0" w:rightChars="0" w:firstLine="0" w:firstLineChars="0"/>
              <w:jc w:val="center"/>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sz w:val="21"/>
                <w:szCs w:val="21"/>
                <w:highlight w:val="none"/>
                <w:lang w:val="en-US" w:eastAsia="en-US" w:bidi="ar-SA"/>
              </w:rPr>
              <w:t>（</w:t>
            </w:r>
            <w:r>
              <w:rPr>
                <w:rFonts w:hint="eastAsia" w:ascii="宋体" w:hAnsi="宋体" w:eastAsia="宋体" w:cs="宋体"/>
                <w:b w:val="0"/>
                <w:bCs w:val="0"/>
                <w:snapToGrid w:val="0"/>
                <w:color w:val="auto"/>
                <w:sz w:val="21"/>
                <w:szCs w:val="21"/>
                <w:highlight w:val="none"/>
                <w:lang w:val="en-US" w:eastAsia="zh-CN" w:bidi="ar-SA"/>
              </w:rPr>
              <w:t>八</w:t>
            </w:r>
            <w:r>
              <w:rPr>
                <w:rFonts w:hint="eastAsia" w:ascii="宋体" w:hAnsi="宋体" w:eastAsia="宋体" w:cs="宋体"/>
                <w:b w:val="0"/>
                <w:bCs w:val="0"/>
                <w:snapToGrid w:val="0"/>
                <w:color w:val="auto"/>
                <w:sz w:val="21"/>
                <w:szCs w:val="21"/>
                <w:highlight w:val="none"/>
                <w:lang w:val="en-US" w:eastAsia="en-US" w:bidi="ar-SA"/>
              </w:rPr>
              <w:t>）采购标的验收标准</w:t>
            </w:r>
          </w:p>
        </w:tc>
        <w:tc>
          <w:tcPr>
            <w:tcW w:w="7070" w:type="dxa"/>
            <w:tcBorders>
              <w:top w:val="single" w:color="auto" w:sz="4" w:space="0"/>
              <w:left w:val="single" w:color="auto" w:sz="4" w:space="0"/>
              <w:bottom w:val="single" w:color="auto" w:sz="4" w:space="0"/>
              <w:right w:val="single" w:color="auto" w:sz="4" w:space="0"/>
            </w:tcBorders>
            <w:vAlign w:val="top"/>
          </w:tcPr>
          <w:p w14:paraId="0107973D">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1.货物数量、外观由成交供应商、原厂仪器商与采购人共同开箱验收。采购人监视、协助货物的安装、调试。</w:t>
            </w:r>
          </w:p>
          <w:p w14:paraId="4442AD82">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2.技术指标按竞争性谈判文件要求验收。验收方法以中华人民共和国计量检定规程为准。对没有检定规程的，按制造商提供的验收方法验收，该验收应溯源到标准物质。</w:t>
            </w:r>
          </w:p>
          <w:p w14:paraId="2777A396">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3.对无法在用户场地验收的技术指标，成交供应商提供该参数的出厂验收报告及验收方法文本（须有中文版本1份）。</w:t>
            </w:r>
          </w:p>
          <w:p w14:paraId="0DC60218">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4.采用分析标准物质的方式验收的，标准物质由成交供应商负责提供，其费用包括在报价内。</w:t>
            </w:r>
          </w:p>
          <w:p w14:paraId="00EB3A4A">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5.仪器设备验收时间：两个月内完成安装调试、试运行、验收，附验收报告，特殊原因不能在规定时间内供货或验收，采购人、成交供应商双方应明确供货或验收时间，验收时间不超过2026年12月31日。如因成交供应商原因，超期未验收，采购人有权解除合同并追究成交供应商的法律责任。</w:t>
            </w:r>
          </w:p>
          <w:p w14:paraId="7FB000F9">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6.仪器设备不满足竞争性谈判文件要求，验收不合格的，采购人有权解除合同并追究成交供应商的法律责任。</w:t>
            </w:r>
          </w:p>
          <w:p w14:paraId="5B136F84">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7.关于验收：</w:t>
            </w:r>
          </w:p>
          <w:p w14:paraId="287A859D">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7.1根据采购人提供的验收方案开展验收。</w:t>
            </w:r>
          </w:p>
          <w:p w14:paraId="49D1420F">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7.2产品保修期自验收合格之日起算，由成交供应商提供产品保修文件。</w:t>
            </w:r>
          </w:p>
          <w:p w14:paraId="2491542F">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7.3成交供应商应提供完备的技术或服务资料、装箱单和合格证等，并派遣专业人员进行现场安装调试。验收合格条件如下：</w:t>
            </w:r>
          </w:p>
          <w:p w14:paraId="6B13A489">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7.3.1货物或服务技术参数与采购合同一致，性能或指标达到规定的标准。</w:t>
            </w:r>
          </w:p>
          <w:p w14:paraId="723F3783">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7.3.2技术或资料、装箱单、合格证等资料齐全。</w:t>
            </w:r>
          </w:p>
          <w:p w14:paraId="75ABB3F1">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7.3.3 在规定时间内完成交货及验收，并经采购人确认。</w:t>
            </w:r>
          </w:p>
          <w:p w14:paraId="3E6D358A">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8.产品或服务在安装调试并试运行符合要求后，才作为最终验收。</w:t>
            </w:r>
          </w:p>
          <w:p w14:paraId="09EBA4BB">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9.采购人需要制造商对成交供应商交付的产品或服务（包括质量、参数等）进行确认的，制造商应予以配合，并出具书面意见。</w:t>
            </w:r>
          </w:p>
          <w:p w14:paraId="4D66FA3F">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10.成交供应商按相关要求自行开展所有参数实际水样验收比对，成交供应商实验室可自行开展或委托具备资质并经业主认可的第三方监测机构开展验收比对工作。</w:t>
            </w:r>
          </w:p>
          <w:p w14:paraId="758596E1">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11.产品包装材料归采购人所有。</w:t>
            </w:r>
          </w:p>
          <w:p w14:paraId="4EB52F7A">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12.验收过程中所产生的一切费用均由成交供应商承担。</w:t>
            </w:r>
          </w:p>
          <w:p w14:paraId="4BEB0642">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13.验收未尽事宜按照《关于印发广西壮族自治区政府采购项目履约验收管理办法的通知》（桂财采〔2015〕22号）以及《财政部关于进一步加强政府采购需求和履约验收管理的指导意见》（财库〔2016〕205号）规定执行。</w:t>
            </w:r>
          </w:p>
          <w:p w14:paraId="5EAD6CE3">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kern w:val="2"/>
                <w:sz w:val="21"/>
                <w:szCs w:val="21"/>
                <w:highlight w:val="none"/>
                <w:lang w:val="en-US" w:eastAsia="zh-CN" w:bidi="ar-SA"/>
              </w:rPr>
              <w:t>14.服务期间，成交供应商不能以任何形式外包合同规定的运行维护服务。</w:t>
            </w:r>
          </w:p>
        </w:tc>
      </w:tr>
      <w:tr w14:paraId="779537B1">
        <w:tblPrEx>
          <w:tblCellMar>
            <w:top w:w="0" w:type="dxa"/>
            <w:left w:w="108" w:type="dxa"/>
            <w:bottom w:w="0" w:type="dxa"/>
            <w:right w:w="108" w:type="dxa"/>
          </w:tblCellMar>
        </w:tblPrEx>
        <w:trPr>
          <w:trHeight w:val="522" w:hRule="atLeast"/>
        </w:trPr>
        <w:tc>
          <w:tcPr>
            <w:tcW w:w="2182" w:type="dxa"/>
            <w:tcBorders>
              <w:top w:val="single" w:color="000000" w:sz="4" w:space="0"/>
              <w:left w:val="single" w:color="000000" w:sz="4" w:space="0"/>
              <w:bottom w:val="single" w:color="000000" w:sz="4" w:space="0"/>
              <w:right w:val="single" w:color="auto" w:sz="4" w:space="0"/>
            </w:tcBorders>
            <w:vAlign w:val="top"/>
          </w:tcPr>
          <w:p w14:paraId="26DCC2ED">
            <w:pPr>
              <w:keepNext w:val="0"/>
              <w:keepLines w:val="0"/>
              <w:pageBreakBefore w:val="0"/>
              <w:widowControl/>
              <w:kinsoku w:val="0"/>
              <w:wordWrap/>
              <w:overflowPunct/>
              <w:topLinePunct w:val="0"/>
              <w:autoSpaceDE w:val="0"/>
              <w:autoSpaceDN w:val="0"/>
              <w:bidi w:val="0"/>
              <w:adjustRightInd w:val="0"/>
              <w:snapToGrid w:val="0"/>
              <w:spacing w:before="267" w:line="400" w:lineRule="exact"/>
              <w:ind w:left="118"/>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sz w:val="21"/>
                <w:szCs w:val="21"/>
                <w:highlight w:val="none"/>
                <w:lang w:val="en-US" w:eastAsia="en-US" w:bidi="ar-SA"/>
              </w:rPr>
              <w:t>（</w:t>
            </w:r>
            <w:r>
              <w:rPr>
                <w:rFonts w:hint="eastAsia" w:ascii="宋体" w:hAnsi="宋体" w:eastAsia="宋体" w:cs="宋体"/>
                <w:b w:val="0"/>
                <w:bCs w:val="0"/>
                <w:snapToGrid w:val="0"/>
                <w:color w:val="auto"/>
                <w:sz w:val="21"/>
                <w:szCs w:val="21"/>
                <w:highlight w:val="none"/>
                <w:lang w:val="en-US" w:eastAsia="zh-CN" w:bidi="ar-SA"/>
              </w:rPr>
              <w:t>九</w:t>
            </w:r>
            <w:r>
              <w:rPr>
                <w:rFonts w:hint="eastAsia" w:ascii="宋体" w:hAnsi="宋体" w:eastAsia="宋体" w:cs="宋体"/>
                <w:b w:val="0"/>
                <w:bCs w:val="0"/>
                <w:snapToGrid w:val="0"/>
                <w:color w:val="auto"/>
                <w:sz w:val="21"/>
                <w:szCs w:val="21"/>
                <w:highlight w:val="none"/>
                <w:lang w:val="en-US" w:eastAsia="en-US" w:bidi="ar-SA"/>
              </w:rPr>
              <w:t>）采购预</w:t>
            </w:r>
            <w:r>
              <w:rPr>
                <w:rFonts w:hint="eastAsia" w:ascii="宋体" w:hAnsi="宋体" w:eastAsia="宋体" w:cs="宋体"/>
                <w:b w:val="0"/>
                <w:bCs w:val="0"/>
                <w:snapToGrid w:val="0"/>
                <w:color w:val="auto"/>
                <w:spacing w:val="7"/>
                <w:sz w:val="21"/>
                <w:szCs w:val="21"/>
                <w:highlight w:val="none"/>
                <w:lang w:val="en-US" w:eastAsia="en-US" w:bidi="ar-SA"/>
              </w:rPr>
              <w:t>算金额及单价</w:t>
            </w:r>
            <w:r>
              <w:rPr>
                <w:rFonts w:hint="eastAsia" w:ascii="宋体" w:hAnsi="宋体" w:eastAsia="宋体" w:cs="宋体"/>
                <w:b w:val="0"/>
                <w:bCs w:val="0"/>
                <w:snapToGrid w:val="0"/>
                <w:color w:val="auto"/>
                <w:spacing w:val="5"/>
                <w:sz w:val="21"/>
                <w:szCs w:val="21"/>
                <w:highlight w:val="none"/>
                <w:lang w:val="en-US" w:eastAsia="en-US" w:bidi="ar-SA"/>
              </w:rPr>
              <w:t>最高限价</w:t>
            </w:r>
          </w:p>
        </w:tc>
        <w:tc>
          <w:tcPr>
            <w:tcW w:w="7070" w:type="dxa"/>
            <w:tcBorders>
              <w:top w:val="single" w:color="auto" w:sz="4" w:space="0"/>
              <w:left w:val="single" w:color="auto" w:sz="4" w:space="0"/>
              <w:bottom w:val="single" w:color="auto" w:sz="4" w:space="0"/>
              <w:right w:val="single" w:color="auto" w:sz="4" w:space="0"/>
            </w:tcBorders>
            <w:vAlign w:val="top"/>
          </w:tcPr>
          <w:p w14:paraId="7DEEDCBD">
            <w:pPr>
              <w:keepNext w:val="0"/>
              <w:keepLines w:val="0"/>
              <w:pageBreakBefore w:val="0"/>
              <w:widowControl/>
              <w:kinsoku w:val="0"/>
              <w:wordWrap/>
              <w:overflowPunct/>
              <w:topLinePunct w:val="0"/>
              <w:autoSpaceDE w:val="0"/>
              <w:autoSpaceDN w:val="0"/>
              <w:bidi w:val="0"/>
              <w:adjustRightInd w:val="0"/>
              <w:snapToGrid w:val="0"/>
              <w:spacing w:line="380" w:lineRule="exact"/>
              <w:ind w:right="115"/>
              <w:textAlignment w:val="baseline"/>
              <w:rPr>
                <w:rFonts w:hint="eastAsia" w:ascii="宋体" w:hAnsi="宋体" w:eastAsia="宋体" w:cs="宋体"/>
                <w:b w:val="0"/>
                <w:bCs w:val="0"/>
                <w:snapToGrid w:val="0"/>
                <w:color w:val="auto"/>
                <w:sz w:val="21"/>
                <w:szCs w:val="21"/>
                <w:highlight w:val="none"/>
                <w:lang w:val="en-US" w:eastAsia="en-US" w:bidi="ar-SA"/>
              </w:rPr>
            </w:pPr>
            <w:r>
              <w:rPr>
                <w:rFonts w:hint="eastAsia" w:ascii="宋体" w:hAnsi="宋体" w:eastAsia="宋体" w:cs="宋体"/>
                <w:b w:val="0"/>
                <w:bCs w:val="0"/>
                <w:snapToGrid w:val="0"/>
                <w:color w:val="auto"/>
                <w:spacing w:val="6"/>
                <w:sz w:val="21"/>
                <w:szCs w:val="21"/>
                <w:highlight w:val="none"/>
                <w:lang w:val="en-US" w:eastAsia="en-US" w:bidi="ar-SA"/>
              </w:rPr>
              <w:t>1.本</w:t>
            </w:r>
            <w:r>
              <w:rPr>
                <w:rFonts w:hint="eastAsia" w:ascii="宋体" w:hAnsi="宋体" w:eastAsia="宋体" w:cs="宋体"/>
                <w:b w:val="0"/>
                <w:bCs w:val="0"/>
                <w:snapToGrid w:val="0"/>
                <w:color w:val="auto"/>
                <w:spacing w:val="6"/>
                <w:sz w:val="21"/>
                <w:szCs w:val="21"/>
                <w:highlight w:val="none"/>
                <w:lang w:val="en-US" w:eastAsia="zh-CN" w:bidi="ar-SA"/>
              </w:rPr>
              <w:t>项目</w:t>
            </w:r>
            <w:r>
              <w:rPr>
                <w:rFonts w:hint="eastAsia" w:ascii="宋体" w:hAnsi="宋体" w:eastAsia="宋体" w:cs="宋体"/>
                <w:b w:val="0"/>
                <w:bCs w:val="0"/>
                <w:snapToGrid w:val="0"/>
                <w:color w:val="auto"/>
                <w:spacing w:val="6"/>
                <w:sz w:val="21"/>
                <w:szCs w:val="21"/>
                <w:highlight w:val="none"/>
                <w:lang w:val="en-US" w:eastAsia="en-US" w:bidi="ar-SA"/>
              </w:rPr>
              <w:t>政府采购预算金额为人民币</w:t>
            </w:r>
            <w:r>
              <w:rPr>
                <w:rFonts w:hint="eastAsia" w:ascii="宋体" w:hAnsi="宋体" w:eastAsia="宋体" w:cs="宋体"/>
                <w:b/>
                <w:bCs/>
                <w:snapToGrid w:val="0"/>
                <w:color w:val="auto"/>
                <w:spacing w:val="6"/>
                <w:sz w:val="21"/>
                <w:szCs w:val="21"/>
                <w:highlight w:val="none"/>
                <w:lang w:val="en-US" w:eastAsia="zh-CN" w:bidi="ar-SA"/>
              </w:rPr>
              <w:t>壹佰叁拾万元整</w:t>
            </w:r>
            <w:r>
              <w:rPr>
                <w:rFonts w:hint="eastAsia" w:ascii="宋体" w:hAnsi="宋体" w:eastAsia="宋体" w:cs="宋体"/>
                <w:b/>
                <w:bCs/>
                <w:snapToGrid w:val="0"/>
                <w:color w:val="auto"/>
                <w:spacing w:val="6"/>
                <w:sz w:val="21"/>
                <w:szCs w:val="21"/>
                <w:highlight w:val="none"/>
                <w:lang w:val="en-US" w:eastAsia="en-US" w:bidi="ar-SA"/>
              </w:rPr>
              <w:t>(¥</w:t>
            </w:r>
            <w:r>
              <w:rPr>
                <w:rFonts w:hint="eastAsia" w:ascii="宋体" w:hAnsi="宋体" w:eastAsia="宋体" w:cs="宋体"/>
                <w:b/>
                <w:bCs/>
                <w:snapToGrid w:val="0"/>
                <w:color w:val="auto"/>
                <w:spacing w:val="6"/>
                <w:sz w:val="21"/>
                <w:szCs w:val="21"/>
                <w:highlight w:val="none"/>
                <w:lang w:val="en-US" w:eastAsia="zh-CN" w:bidi="ar-SA"/>
              </w:rPr>
              <w:t>1300000.00</w:t>
            </w:r>
            <w:r>
              <w:rPr>
                <w:rFonts w:hint="eastAsia" w:ascii="宋体" w:hAnsi="宋体" w:eastAsia="宋体" w:cs="宋体"/>
                <w:b/>
                <w:bCs/>
                <w:snapToGrid w:val="0"/>
                <w:color w:val="auto"/>
                <w:spacing w:val="22"/>
                <w:sz w:val="21"/>
                <w:szCs w:val="21"/>
                <w:highlight w:val="none"/>
                <w:lang w:val="en-US" w:eastAsia="en-US" w:bidi="ar-SA"/>
              </w:rPr>
              <w:t>）</w:t>
            </w:r>
            <w:r>
              <w:rPr>
                <w:rFonts w:hint="eastAsia" w:ascii="宋体" w:hAnsi="宋体" w:eastAsia="宋体" w:cs="宋体"/>
                <w:b w:val="0"/>
                <w:bCs w:val="0"/>
                <w:snapToGrid w:val="0"/>
                <w:color w:val="auto"/>
                <w:spacing w:val="22"/>
                <w:sz w:val="21"/>
                <w:szCs w:val="21"/>
                <w:highlight w:val="none"/>
                <w:lang w:val="en-US" w:eastAsia="en-US" w:bidi="ar-SA"/>
              </w:rPr>
              <w:t>，</w:t>
            </w:r>
            <w:r>
              <w:rPr>
                <w:rFonts w:hint="eastAsia" w:ascii="宋体" w:hAnsi="宋体" w:eastAsia="宋体" w:cs="宋体"/>
                <w:b w:val="0"/>
                <w:bCs w:val="0"/>
                <w:snapToGrid w:val="0"/>
                <w:color w:val="auto"/>
                <w:spacing w:val="6"/>
                <w:sz w:val="21"/>
                <w:szCs w:val="21"/>
                <w:highlight w:val="none"/>
                <w:lang w:val="en-US" w:eastAsia="zh-CN" w:bidi="ar-SA"/>
              </w:rPr>
              <w:t>谈判</w:t>
            </w:r>
            <w:r>
              <w:rPr>
                <w:rFonts w:hint="eastAsia" w:ascii="宋体" w:hAnsi="宋体" w:eastAsia="宋体" w:cs="宋体"/>
                <w:b w:val="0"/>
                <w:bCs w:val="0"/>
                <w:snapToGrid w:val="0"/>
                <w:color w:val="auto"/>
                <w:spacing w:val="6"/>
                <w:sz w:val="21"/>
                <w:szCs w:val="21"/>
                <w:highlight w:val="none"/>
                <w:lang w:val="en-US" w:eastAsia="en-US" w:bidi="ar-SA"/>
              </w:rPr>
              <w:t>报价超出采购预算</w:t>
            </w:r>
            <w:r>
              <w:rPr>
                <w:rFonts w:hint="eastAsia" w:ascii="宋体" w:hAnsi="宋体" w:eastAsia="宋体" w:cs="宋体"/>
                <w:b w:val="0"/>
                <w:bCs w:val="0"/>
                <w:snapToGrid w:val="0"/>
                <w:color w:val="auto"/>
                <w:spacing w:val="7"/>
                <w:sz w:val="21"/>
                <w:szCs w:val="21"/>
                <w:highlight w:val="none"/>
                <w:lang w:val="en-US" w:eastAsia="en-US" w:bidi="ar-SA"/>
              </w:rPr>
              <w:t>金额的，</w:t>
            </w:r>
            <w:r>
              <w:rPr>
                <w:rFonts w:hint="eastAsia" w:ascii="宋体" w:hAnsi="宋体" w:eastAsia="宋体" w:cs="宋体"/>
                <w:b w:val="0"/>
                <w:bCs w:val="0"/>
                <w:snapToGrid w:val="0"/>
                <w:color w:val="auto"/>
                <w:spacing w:val="7"/>
                <w:sz w:val="21"/>
                <w:szCs w:val="21"/>
                <w:highlight w:val="none"/>
                <w:lang w:val="en-US" w:eastAsia="zh-CN" w:bidi="ar-SA"/>
              </w:rPr>
              <w:t>响应</w:t>
            </w:r>
            <w:r>
              <w:rPr>
                <w:rFonts w:hint="eastAsia" w:ascii="宋体" w:hAnsi="宋体" w:eastAsia="宋体" w:cs="宋体"/>
                <w:b w:val="0"/>
                <w:bCs w:val="0"/>
                <w:snapToGrid w:val="0"/>
                <w:color w:val="auto"/>
                <w:spacing w:val="7"/>
                <w:sz w:val="21"/>
                <w:szCs w:val="21"/>
                <w:highlight w:val="none"/>
                <w:lang w:val="en-US" w:eastAsia="en-US" w:bidi="ar-SA"/>
              </w:rPr>
              <w:t>文件按无效处理。</w:t>
            </w:r>
          </w:p>
          <w:p w14:paraId="7546C29C">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auto"/>
                <w:kern w:val="2"/>
                <w:sz w:val="21"/>
                <w:szCs w:val="21"/>
                <w:highlight w:val="none"/>
                <w:lang w:val="en-US" w:eastAsia="zh-CN" w:bidi="ar-SA"/>
              </w:rPr>
            </w:pPr>
            <w:r>
              <w:rPr>
                <w:rFonts w:hint="eastAsia" w:ascii="宋体" w:hAnsi="宋体" w:eastAsia="宋体" w:cs="宋体"/>
                <w:b w:val="0"/>
                <w:bCs w:val="0"/>
                <w:snapToGrid w:val="0"/>
                <w:color w:val="auto"/>
                <w:spacing w:val="8"/>
                <w:sz w:val="21"/>
                <w:szCs w:val="21"/>
                <w:highlight w:val="none"/>
                <w:lang w:val="en-US" w:eastAsia="en-US" w:bidi="ar-SA"/>
              </w:rPr>
              <w:t>2.各采购标的的单价报价不得超相应标的的单价最高限价，否则，</w:t>
            </w:r>
            <w:r>
              <w:rPr>
                <w:rFonts w:hint="eastAsia" w:ascii="宋体" w:hAnsi="宋体" w:eastAsia="宋体" w:cs="宋体"/>
                <w:b w:val="0"/>
                <w:bCs w:val="0"/>
                <w:snapToGrid w:val="0"/>
                <w:color w:val="auto"/>
                <w:spacing w:val="8"/>
                <w:sz w:val="21"/>
                <w:szCs w:val="21"/>
                <w:highlight w:val="none"/>
                <w:lang w:val="en-US" w:eastAsia="zh-CN" w:bidi="ar-SA"/>
              </w:rPr>
              <w:t>响应</w:t>
            </w:r>
            <w:r>
              <w:rPr>
                <w:rFonts w:hint="eastAsia" w:ascii="宋体" w:hAnsi="宋体" w:eastAsia="宋体" w:cs="宋体"/>
                <w:b w:val="0"/>
                <w:bCs w:val="0"/>
                <w:snapToGrid w:val="0"/>
                <w:color w:val="auto"/>
                <w:spacing w:val="8"/>
                <w:sz w:val="21"/>
                <w:szCs w:val="21"/>
                <w:highlight w:val="none"/>
                <w:lang w:val="en-US" w:eastAsia="en-US" w:bidi="ar-SA"/>
              </w:rPr>
              <w:t>文件按无效</w:t>
            </w:r>
            <w:r>
              <w:rPr>
                <w:rFonts w:hint="eastAsia" w:ascii="宋体" w:hAnsi="宋体" w:eastAsia="宋体" w:cs="宋体"/>
                <w:b w:val="0"/>
                <w:bCs w:val="0"/>
                <w:snapToGrid w:val="0"/>
                <w:color w:val="auto"/>
                <w:sz w:val="21"/>
                <w:szCs w:val="21"/>
                <w:highlight w:val="none"/>
                <w:lang w:val="en-US" w:eastAsia="en-US" w:bidi="ar-SA"/>
              </w:rPr>
              <w:t>处理。</w:t>
            </w:r>
          </w:p>
        </w:tc>
      </w:tr>
      <w:tr w14:paraId="1759D654">
        <w:tblPrEx>
          <w:tblCellMar>
            <w:top w:w="0" w:type="dxa"/>
            <w:left w:w="108" w:type="dxa"/>
            <w:bottom w:w="0" w:type="dxa"/>
            <w:right w:w="108" w:type="dxa"/>
          </w:tblCellMar>
        </w:tblPrEx>
        <w:trPr>
          <w:trHeight w:val="522" w:hRule="atLeast"/>
        </w:trPr>
        <w:tc>
          <w:tcPr>
            <w:tcW w:w="2182" w:type="dxa"/>
            <w:tcBorders>
              <w:top w:val="single" w:color="000000" w:sz="4" w:space="0"/>
              <w:left w:val="single" w:color="000000" w:sz="4" w:space="0"/>
              <w:bottom w:val="single" w:color="000000" w:sz="4" w:space="0"/>
              <w:right w:val="single" w:color="auto" w:sz="4" w:space="0"/>
            </w:tcBorders>
            <w:vAlign w:val="center"/>
          </w:tcPr>
          <w:p w14:paraId="4C92C1E5">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b w:val="0"/>
                <w:bCs w:val="0"/>
                <w:snapToGrid w:val="0"/>
                <w:color w:val="auto"/>
                <w:kern w:val="0"/>
                <w:sz w:val="21"/>
                <w:szCs w:val="21"/>
                <w:highlight w:val="none"/>
                <w:lang w:eastAsia="en-US" w:bidi="ar"/>
              </w:rPr>
            </w:pPr>
            <w:r>
              <w:rPr>
                <w:rFonts w:hint="eastAsia" w:ascii="宋体" w:hAnsi="宋体" w:eastAsia="宋体" w:cs="宋体"/>
                <w:b w:val="0"/>
                <w:bCs w:val="0"/>
                <w:snapToGrid w:val="0"/>
                <w:color w:val="auto"/>
                <w:kern w:val="0"/>
                <w:sz w:val="21"/>
                <w:szCs w:val="21"/>
                <w:highlight w:val="none"/>
                <w:lang w:eastAsia="zh-CN"/>
              </w:rPr>
              <w:t>（十）售后服务/运行要求</w:t>
            </w:r>
          </w:p>
        </w:tc>
        <w:tc>
          <w:tcPr>
            <w:tcW w:w="7070" w:type="dxa"/>
            <w:tcBorders>
              <w:top w:val="single" w:color="auto" w:sz="4" w:space="0"/>
              <w:left w:val="single" w:color="auto" w:sz="4" w:space="0"/>
              <w:bottom w:val="single" w:color="auto" w:sz="4" w:space="0"/>
              <w:right w:val="single" w:color="auto" w:sz="4" w:space="0"/>
            </w:tcBorders>
            <w:vAlign w:val="center"/>
          </w:tcPr>
          <w:p w14:paraId="6947989B">
            <w:pPr>
              <w:keepNext w:val="0"/>
              <w:keepLines w:val="0"/>
              <w:pageBreakBefore w:val="0"/>
              <w:widowControl/>
              <w:kinsoku w:val="0"/>
              <w:wordWrap/>
              <w:overflowPunct/>
              <w:topLinePunct w:val="0"/>
              <w:autoSpaceDE w:val="0"/>
              <w:autoSpaceDN w:val="0"/>
              <w:bidi w:val="0"/>
              <w:adjustRightInd w:val="0"/>
              <w:snapToGrid w:val="0"/>
              <w:spacing w:line="380" w:lineRule="exact"/>
              <w:jc w:val="left"/>
              <w:textAlignment w:val="baseline"/>
              <w:rPr>
                <w:rFonts w:hint="eastAsia" w:ascii="宋体" w:hAnsi="宋体" w:eastAsia="宋体" w:cs="宋体"/>
                <w:b w:val="0"/>
                <w:bCs w:val="0"/>
                <w:snapToGrid w:val="0"/>
                <w:color w:val="auto"/>
                <w:kern w:val="0"/>
                <w:sz w:val="21"/>
                <w:szCs w:val="21"/>
                <w:highlight w:val="none"/>
                <w:lang w:eastAsia="en-US"/>
              </w:rPr>
            </w:pPr>
            <w:r>
              <w:rPr>
                <w:rFonts w:hint="eastAsia" w:ascii="宋体" w:hAnsi="宋体" w:eastAsia="宋体" w:cs="宋体"/>
                <w:b w:val="0"/>
                <w:bCs w:val="0"/>
                <w:snapToGrid w:val="0"/>
                <w:color w:val="auto"/>
                <w:kern w:val="0"/>
                <w:sz w:val="21"/>
                <w:szCs w:val="21"/>
                <w:highlight w:val="none"/>
                <w:lang w:eastAsia="en-US"/>
              </w:rPr>
              <w:t>1</w:t>
            </w:r>
            <w:r>
              <w:rPr>
                <w:rFonts w:hint="eastAsia" w:ascii="宋体" w:hAnsi="宋体" w:eastAsia="宋体" w:cs="宋体"/>
                <w:b w:val="0"/>
                <w:bCs w:val="0"/>
                <w:snapToGrid w:val="0"/>
                <w:color w:val="auto"/>
                <w:kern w:val="0"/>
                <w:sz w:val="21"/>
                <w:szCs w:val="21"/>
                <w:highlight w:val="none"/>
                <w:lang w:eastAsia="zh-CN"/>
              </w:rPr>
              <w:t>.</w:t>
            </w:r>
            <w:r>
              <w:rPr>
                <w:rFonts w:hint="eastAsia" w:ascii="宋体" w:hAnsi="宋体" w:eastAsia="宋体" w:cs="宋体"/>
                <w:b w:val="0"/>
                <w:bCs w:val="0"/>
                <w:snapToGrid w:val="0"/>
                <w:color w:val="auto"/>
                <w:kern w:val="0"/>
                <w:sz w:val="21"/>
                <w:szCs w:val="21"/>
                <w:highlight w:val="none"/>
                <w:lang w:eastAsia="en-US"/>
              </w:rPr>
              <w:t>运行要求见附表及国家相关标准、行业标准、地方标准或者其他标准、规范。</w:t>
            </w:r>
          </w:p>
          <w:p w14:paraId="5504BBCD">
            <w:pPr>
              <w:keepNext w:val="0"/>
              <w:keepLines w:val="0"/>
              <w:pageBreakBefore w:val="0"/>
              <w:widowControl/>
              <w:kinsoku w:val="0"/>
              <w:wordWrap/>
              <w:overflowPunct/>
              <w:topLinePunct w:val="0"/>
              <w:autoSpaceDE w:val="0"/>
              <w:autoSpaceDN w:val="0"/>
              <w:bidi w:val="0"/>
              <w:adjustRightInd w:val="0"/>
              <w:snapToGrid w:val="0"/>
              <w:spacing w:line="380" w:lineRule="exact"/>
              <w:jc w:val="left"/>
              <w:textAlignment w:val="baseline"/>
              <w:rPr>
                <w:rFonts w:hint="eastAsia" w:ascii="宋体" w:hAnsi="宋体" w:eastAsia="宋体" w:cs="宋体"/>
                <w:b w:val="0"/>
                <w:bCs w:val="0"/>
                <w:snapToGrid w:val="0"/>
                <w:color w:val="auto"/>
                <w:kern w:val="0"/>
                <w:sz w:val="21"/>
                <w:szCs w:val="21"/>
                <w:highlight w:val="none"/>
                <w:lang w:eastAsia="en-US"/>
              </w:rPr>
            </w:pPr>
            <w:r>
              <w:rPr>
                <w:rFonts w:hint="eastAsia" w:ascii="宋体" w:hAnsi="宋体" w:eastAsia="宋体" w:cs="宋体"/>
                <w:b w:val="0"/>
                <w:bCs w:val="0"/>
                <w:snapToGrid w:val="0"/>
                <w:color w:val="auto"/>
                <w:kern w:val="0"/>
                <w:sz w:val="21"/>
                <w:szCs w:val="21"/>
                <w:highlight w:val="none"/>
                <w:lang w:eastAsia="en-US"/>
              </w:rPr>
              <w:t>2</w:t>
            </w:r>
            <w:r>
              <w:rPr>
                <w:rFonts w:hint="eastAsia" w:ascii="宋体" w:hAnsi="宋体" w:eastAsia="宋体" w:cs="宋体"/>
                <w:b w:val="0"/>
                <w:bCs w:val="0"/>
                <w:snapToGrid w:val="0"/>
                <w:color w:val="auto"/>
                <w:kern w:val="0"/>
                <w:sz w:val="21"/>
                <w:szCs w:val="21"/>
                <w:highlight w:val="none"/>
                <w:lang w:eastAsia="zh-CN"/>
              </w:rPr>
              <w:t>.成交供应商</w:t>
            </w:r>
            <w:r>
              <w:rPr>
                <w:rFonts w:hint="eastAsia" w:ascii="宋体" w:hAnsi="宋体" w:eastAsia="宋体" w:cs="宋体"/>
                <w:b w:val="0"/>
                <w:bCs w:val="0"/>
                <w:snapToGrid w:val="0"/>
                <w:color w:val="auto"/>
                <w:kern w:val="0"/>
                <w:sz w:val="21"/>
                <w:szCs w:val="21"/>
                <w:highlight w:val="none"/>
                <w:lang w:eastAsia="en-US"/>
              </w:rPr>
              <w:t>应当提供每周7天、每天24小时的电话支持服务。</w:t>
            </w:r>
            <w:r>
              <w:rPr>
                <w:rFonts w:hint="eastAsia" w:ascii="宋体" w:hAnsi="宋体" w:eastAsia="宋体" w:cs="宋体"/>
                <w:b w:val="0"/>
                <w:bCs w:val="0"/>
                <w:snapToGrid w:val="0"/>
                <w:color w:val="auto"/>
                <w:kern w:val="0"/>
                <w:sz w:val="21"/>
                <w:szCs w:val="21"/>
                <w:highlight w:val="none"/>
                <w:lang w:eastAsia="zh-CN"/>
              </w:rPr>
              <w:t>成交供应商</w:t>
            </w:r>
            <w:r>
              <w:rPr>
                <w:rFonts w:hint="eastAsia" w:ascii="宋体" w:hAnsi="宋体" w:eastAsia="宋体" w:cs="宋体"/>
                <w:b w:val="0"/>
                <w:bCs w:val="0"/>
                <w:snapToGrid w:val="0"/>
                <w:color w:val="auto"/>
                <w:kern w:val="0"/>
                <w:sz w:val="21"/>
                <w:szCs w:val="21"/>
                <w:highlight w:val="none"/>
                <w:lang w:eastAsia="en-US"/>
              </w:rPr>
              <w:t>接到</w:t>
            </w:r>
            <w:r>
              <w:rPr>
                <w:rFonts w:hint="eastAsia" w:ascii="宋体" w:hAnsi="宋体" w:eastAsia="宋体" w:cs="宋体"/>
                <w:b w:val="0"/>
                <w:bCs w:val="0"/>
                <w:snapToGrid w:val="0"/>
                <w:color w:val="auto"/>
                <w:kern w:val="0"/>
                <w:sz w:val="21"/>
                <w:szCs w:val="21"/>
                <w:highlight w:val="none"/>
                <w:lang w:eastAsia="zh-CN"/>
              </w:rPr>
              <w:t>采购人</w:t>
            </w:r>
            <w:r>
              <w:rPr>
                <w:rFonts w:hint="eastAsia" w:ascii="宋体" w:hAnsi="宋体" w:eastAsia="宋体" w:cs="宋体"/>
                <w:b w:val="0"/>
                <w:bCs w:val="0"/>
                <w:snapToGrid w:val="0"/>
                <w:color w:val="auto"/>
                <w:kern w:val="0"/>
                <w:sz w:val="21"/>
                <w:szCs w:val="21"/>
                <w:highlight w:val="none"/>
                <w:lang w:eastAsia="en-US"/>
              </w:rPr>
              <w:t>保修通知后2个小时内响应，12个小时内排除故障。货物出现重大故障或维修时限超过2日的，</w:t>
            </w:r>
            <w:r>
              <w:rPr>
                <w:rFonts w:hint="eastAsia" w:ascii="宋体" w:hAnsi="宋体" w:eastAsia="宋体" w:cs="宋体"/>
                <w:b w:val="0"/>
                <w:bCs w:val="0"/>
                <w:snapToGrid w:val="0"/>
                <w:color w:val="auto"/>
                <w:kern w:val="0"/>
                <w:sz w:val="21"/>
                <w:szCs w:val="21"/>
                <w:highlight w:val="none"/>
                <w:lang w:eastAsia="zh-CN"/>
              </w:rPr>
              <w:t>成交供应商</w:t>
            </w:r>
            <w:r>
              <w:rPr>
                <w:rFonts w:hint="eastAsia" w:ascii="宋体" w:hAnsi="宋体" w:eastAsia="宋体" w:cs="宋体"/>
                <w:b w:val="0"/>
                <w:bCs w:val="0"/>
                <w:snapToGrid w:val="0"/>
                <w:color w:val="auto"/>
                <w:kern w:val="0"/>
                <w:sz w:val="21"/>
                <w:szCs w:val="21"/>
                <w:highlight w:val="none"/>
                <w:lang w:eastAsia="en-US"/>
              </w:rPr>
              <w:t>应在24个小时内免费更换备品备件。并保证后续的正常测量和数据正常传输，所涉及备机须由</w:t>
            </w:r>
            <w:r>
              <w:rPr>
                <w:rFonts w:hint="eastAsia" w:ascii="宋体" w:hAnsi="宋体" w:eastAsia="宋体" w:cs="宋体"/>
                <w:b w:val="0"/>
                <w:bCs w:val="0"/>
                <w:snapToGrid w:val="0"/>
                <w:color w:val="auto"/>
                <w:kern w:val="0"/>
                <w:sz w:val="21"/>
                <w:szCs w:val="21"/>
                <w:highlight w:val="none"/>
                <w:lang w:eastAsia="zh-CN"/>
              </w:rPr>
              <w:t>成交供应商</w:t>
            </w:r>
            <w:r>
              <w:rPr>
                <w:rFonts w:hint="eastAsia" w:ascii="宋体" w:hAnsi="宋体" w:eastAsia="宋体" w:cs="宋体"/>
                <w:b w:val="0"/>
                <w:bCs w:val="0"/>
                <w:snapToGrid w:val="0"/>
                <w:color w:val="auto"/>
                <w:kern w:val="0"/>
                <w:sz w:val="21"/>
                <w:szCs w:val="21"/>
                <w:highlight w:val="none"/>
                <w:lang w:eastAsia="en-US"/>
              </w:rPr>
              <w:t>自行提供。</w:t>
            </w:r>
          </w:p>
          <w:p w14:paraId="7689062E">
            <w:pPr>
              <w:keepNext w:val="0"/>
              <w:keepLines w:val="0"/>
              <w:pageBreakBefore w:val="0"/>
              <w:widowControl/>
              <w:kinsoku w:val="0"/>
              <w:wordWrap/>
              <w:overflowPunct/>
              <w:topLinePunct w:val="0"/>
              <w:autoSpaceDE w:val="0"/>
              <w:autoSpaceDN w:val="0"/>
              <w:bidi w:val="0"/>
              <w:adjustRightInd w:val="0"/>
              <w:snapToGrid w:val="0"/>
              <w:spacing w:line="380" w:lineRule="exact"/>
              <w:jc w:val="left"/>
              <w:textAlignment w:val="baseline"/>
              <w:rPr>
                <w:rFonts w:hint="eastAsia" w:ascii="宋体" w:hAnsi="宋体" w:eastAsia="宋体" w:cs="宋体"/>
                <w:b w:val="0"/>
                <w:bCs w:val="0"/>
                <w:snapToGrid w:val="0"/>
                <w:color w:val="auto"/>
                <w:kern w:val="0"/>
                <w:sz w:val="21"/>
                <w:szCs w:val="21"/>
                <w:highlight w:val="none"/>
                <w:lang w:eastAsia="zh-CN"/>
              </w:rPr>
            </w:pPr>
            <w:r>
              <w:rPr>
                <w:rFonts w:hint="eastAsia" w:ascii="宋体" w:hAnsi="宋体" w:eastAsia="宋体" w:cs="宋体"/>
                <w:b w:val="0"/>
                <w:bCs w:val="0"/>
                <w:snapToGrid w:val="0"/>
                <w:color w:val="auto"/>
                <w:kern w:val="0"/>
                <w:sz w:val="21"/>
                <w:szCs w:val="21"/>
                <w:highlight w:val="none"/>
                <w:lang w:eastAsia="en-US"/>
              </w:rPr>
              <w:t>3</w:t>
            </w:r>
            <w:r>
              <w:rPr>
                <w:rFonts w:hint="eastAsia" w:ascii="宋体" w:hAnsi="宋体" w:eastAsia="宋体" w:cs="宋体"/>
                <w:b w:val="0"/>
                <w:bCs w:val="0"/>
                <w:snapToGrid w:val="0"/>
                <w:color w:val="auto"/>
                <w:kern w:val="0"/>
                <w:sz w:val="21"/>
                <w:szCs w:val="21"/>
                <w:highlight w:val="none"/>
                <w:lang w:eastAsia="zh-CN"/>
              </w:rPr>
              <w:t>.</w:t>
            </w:r>
            <w:r>
              <w:rPr>
                <w:rFonts w:hint="eastAsia" w:ascii="宋体" w:hAnsi="宋体" w:eastAsia="宋体" w:cs="宋体"/>
                <w:b w:val="0"/>
                <w:bCs w:val="0"/>
                <w:snapToGrid w:val="0"/>
                <w:color w:val="auto"/>
                <w:kern w:val="0"/>
                <w:sz w:val="21"/>
                <w:szCs w:val="21"/>
                <w:highlight w:val="none"/>
                <w:lang w:eastAsia="en-US"/>
              </w:rPr>
              <w:t>对于质保期内同一站点同一设备连续故障时长≥72小时次数达到2次（含2次）的，</w:t>
            </w:r>
            <w:r>
              <w:rPr>
                <w:rFonts w:hint="eastAsia" w:ascii="宋体" w:hAnsi="宋体" w:eastAsia="宋体" w:cs="宋体"/>
                <w:b w:val="0"/>
                <w:bCs w:val="0"/>
                <w:snapToGrid w:val="0"/>
                <w:color w:val="auto"/>
                <w:kern w:val="0"/>
                <w:sz w:val="21"/>
                <w:szCs w:val="21"/>
                <w:highlight w:val="none"/>
                <w:lang w:eastAsia="zh-CN"/>
              </w:rPr>
              <w:t>成交供应商</w:t>
            </w:r>
            <w:r>
              <w:rPr>
                <w:rFonts w:hint="eastAsia" w:ascii="宋体" w:hAnsi="宋体" w:eastAsia="宋体" w:cs="宋体"/>
                <w:b w:val="0"/>
                <w:bCs w:val="0"/>
                <w:snapToGrid w:val="0"/>
                <w:color w:val="auto"/>
                <w:kern w:val="0"/>
                <w:sz w:val="21"/>
                <w:szCs w:val="21"/>
                <w:highlight w:val="none"/>
                <w:lang w:eastAsia="en-US"/>
              </w:rPr>
              <w:t>需直接更换相应设备。</w:t>
            </w:r>
          </w:p>
          <w:p w14:paraId="7E65040F">
            <w:pPr>
              <w:keepNext w:val="0"/>
              <w:keepLines w:val="0"/>
              <w:pageBreakBefore w:val="0"/>
              <w:widowControl/>
              <w:kinsoku w:val="0"/>
              <w:wordWrap/>
              <w:overflowPunct/>
              <w:topLinePunct w:val="0"/>
              <w:autoSpaceDE w:val="0"/>
              <w:autoSpaceDN w:val="0"/>
              <w:bidi w:val="0"/>
              <w:adjustRightInd w:val="0"/>
              <w:snapToGrid w:val="0"/>
              <w:spacing w:line="380" w:lineRule="exact"/>
              <w:jc w:val="left"/>
              <w:textAlignment w:val="baseline"/>
              <w:rPr>
                <w:rFonts w:hint="eastAsia" w:ascii="宋体" w:hAnsi="宋体" w:eastAsia="宋体" w:cs="宋体"/>
                <w:b w:val="0"/>
                <w:bCs w:val="0"/>
                <w:snapToGrid w:val="0"/>
                <w:color w:val="auto"/>
                <w:kern w:val="0"/>
                <w:sz w:val="21"/>
                <w:szCs w:val="21"/>
                <w:highlight w:val="none"/>
                <w:lang w:eastAsia="en-US"/>
              </w:rPr>
            </w:pPr>
            <w:r>
              <w:rPr>
                <w:rFonts w:hint="eastAsia" w:ascii="宋体" w:hAnsi="宋体" w:eastAsia="宋体" w:cs="宋体"/>
                <w:b w:val="0"/>
                <w:bCs w:val="0"/>
                <w:snapToGrid w:val="0"/>
                <w:color w:val="auto"/>
                <w:kern w:val="0"/>
                <w:sz w:val="21"/>
                <w:szCs w:val="21"/>
                <w:highlight w:val="none"/>
                <w:lang w:eastAsia="en-US"/>
              </w:rPr>
              <w:t>4</w:t>
            </w:r>
            <w:r>
              <w:rPr>
                <w:rFonts w:hint="eastAsia" w:ascii="宋体" w:hAnsi="宋体" w:eastAsia="宋体" w:cs="宋体"/>
                <w:b w:val="0"/>
                <w:bCs w:val="0"/>
                <w:snapToGrid w:val="0"/>
                <w:color w:val="auto"/>
                <w:kern w:val="0"/>
                <w:sz w:val="21"/>
                <w:szCs w:val="21"/>
                <w:highlight w:val="none"/>
                <w:lang w:eastAsia="zh-CN"/>
              </w:rPr>
              <w:t>.</w:t>
            </w:r>
            <w:r>
              <w:rPr>
                <w:rFonts w:hint="eastAsia" w:ascii="宋体" w:hAnsi="宋体" w:eastAsia="宋体" w:cs="宋体"/>
                <w:b w:val="0"/>
                <w:bCs w:val="0"/>
                <w:snapToGrid w:val="0"/>
                <w:color w:val="auto"/>
                <w:kern w:val="0"/>
                <w:sz w:val="21"/>
                <w:szCs w:val="21"/>
                <w:highlight w:val="none"/>
                <w:lang w:eastAsia="en-US"/>
              </w:rPr>
              <w:t>质保期结束后，采购人将组织对所有更新改造设备进行仪器性能测试，测试不合格的设备，</w:t>
            </w:r>
            <w:r>
              <w:rPr>
                <w:rFonts w:hint="eastAsia" w:ascii="宋体" w:hAnsi="宋体" w:eastAsia="宋体" w:cs="宋体"/>
                <w:b w:val="0"/>
                <w:bCs w:val="0"/>
                <w:snapToGrid w:val="0"/>
                <w:color w:val="auto"/>
                <w:kern w:val="0"/>
                <w:sz w:val="21"/>
                <w:szCs w:val="21"/>
                <w:highlight w:val="none"/>
                <w:lang w:eastAsia="zh-CN"/>
              </w:rPr>
              <w:t>成交供应商</w:t>
            </w:r>
            <w:r>
              <w:rPr>
                <w:rFonts w:hint="eastAsia" w:ascii="宋体" w:hAnsi="宋体" w:eastAsia="宋体" w:cs="宋体"/>
                <w:b w:val="0"/>
                <w:bCs w:val="0"/>
                <w:snapToGrid w:val="0"/>
                <w:color w:val="auto"/>
                <w:kern w:val="0"/>
                <w:sz w:val="21"/>
                <w:szCs w:val="21"/>
                <w:highlight w:val="none"/>
                <w:lang w:eastAsia="en-US"/>
              </w:rPr>
              <w:t>需更换新设备，并满足性能测试要求。性能测试依据采购人提供的相关文件要求开展。所有测试合格后交付仪器给采购人。</w:t>
            </w:r>
          </w:p>
        </w:tc>
      </w:tr>
    </w:tbl>
    <w:p w14:paraId="1B00233A">
      <w:pPr>
        <w:pageBreakBefore w:val="0"/>
        <w:widowControl w:val="0"/>
        <w:overflowPunct/>
        <w:topLinePunct w:val="0"/>
        <w:bidi w:val="0"/>
        <w:spacing w:line="400" w:lineRule="exact"/>
        <w:ind w:firstLine="480" w:firstLineChars="200"/>
        <w:rPr>
          <w:rFonts w:hint="eastAsia" w:ascii="宋体" w:hAnsi="宋体" w:eastAsia="宋体" w:cs="宋体"/>
          <w:color w:val="auto"/>
          <w:sz w:val="24"/>
          <w:szCs w:val="24"/>
          <w:highlight w:val="none"/>
        </w:rPr>
        <w:sectPr>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p w14:paraId="05C8B45A">
      <w:pPr>
        <w:shd w:val="clear" w:color="auto" w:fill="FFFFFF"/>
        <w:kinsoku/>
        <w:autoSpaceDE/>
        <w:autoSpaceDN/>
        <w:adjustRightInd/>
        <w:snapToGrid/>
        <w:spacing w:line="600" w:lineRule="exact"/>
        <w:ind w:firstLine="640" w:firstLineChars="200"/>
        <w:jc w:val="left"/>
        <w:textAlignment w:val="auto"/>
        <w:rPr>
          <w:rFonts w:hint="default" w:ascii="Times New Roman" w:hAnsi="Times New Roman" w:eastAsia="宋体" w:cs="Times New Roman"/>
          <w:snapToGrid/>
          <w:color w:val="auto"/>
          <w:sz w:val="32"/>
          <w:szCs w:val="32"/>
          <w:lang w:val="en-US" w:eastAsia="zh-CN"/>
        </w:rPr>
      </w:pPr>
      <w:bookmarkStart w:id="11" w:name="bookmark4"/>
      <w:bookmarkEnd w:id="11"/>
      <w:bookmarkStart w:id="12" w:name="_Toc25408"/>
      <w:r>
        <w:rPr>
          <w:rFonts w:hint="default" w:ascii="Times New Roman" w:hAnsi="Times New Roman" w:eastAsia="宋体" w:cs="Times New Roman"/>
          <w:snapToGrid/>
          <w:color w:val="auto"/>
          <w:sz w:val="32"/>
          <w:szCs w:val="32"/>
          <w:lang w:val="en-US" w:eastAsia="zh-CN"/>
        </w:rPr>
        <w:t>附件1</w:t>
      </w:r>
    </w:p>
    <w:p w14:paraId="7878C06D">
      <w:pPr>
        <w:keepNext w:val="0"/>
        <w:keepLines w:val="0"/>
        <w:pageBreakBefore w:val="0"/>
        <w:widowControl w:val="0"/>
        <w:shd w:val="clear" w:color="auto" w:fill="FFFFFF"/>
        <w:kinsoku/>
        <w:wordWrap/>
        <w:overflowPunct/>
        <w:topLinePunct w:val="0"/>
        <w:autoSpaceDE/>
        <w:autoSpaceDN/>
        <w:bidi w:val="0"/>
        <w:adjustRightInd/>
        <w:snapToGrid/>
        <w:spacing w:line="592" w:lineRule="exact"/>
        <w:ind w:firstLine="640" w:firstLineChars="200"/>
        <w:jc w:val="center"/>
        <w:textAlignment w:val="auto"/>
        <w:rPr>
          <w:rFonts w:hint="default" w:ascii="Times New Roman" w:hAnsi="Times New Roman" w:eastAsia="宋体" w:cs="Times New Roman"/>
          <w:snapToGrid/>
          <w:color w:val="auto"/>
          <w:sz w:val="32"/>
          <w:szCs w:val="32"/>
          <w:lang w:val="en-US" w:eastAsia="zh-CN"/>
        </w:rPr>
      </w:pPr>
      <w:r>
        <w:rPr>
          <w:rFonts w:hint="default" w:ascii="Times New Roman" w:hAnsi="Times New Roman" w:eastAsia="宋体" w:cs="Times New Roman"/>
          <w:snapToGrid/>
          <w:color w:val="auto"/>
          <w:sz w:val="32"/>
          <w:szCs w:val="32"/>
          <w:lang w:val="en-US" w:eastAsia="zh-CN"/>
        </w:rPr>
        <w:t>附表1.0 区控水站服务考核表</w:t>
      </w:r>
    </w:p>
    <w:tbl>
      <w:tblPr>
        <w:tblStyle w:val="20"/>
        <w:tblW w:w="13973" w:type="dxa"/>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10"/>
        <w:gridCol w:w="1950"/>
        <w:gridCol w:w="8441"/>
        <w:gridCol w:w="701"/>
        <w:gridCol w:w="607"/>
        <w:gridCol w:w="1164"/>
      </w:tblGrid>
      <w:tr w14:paraId="47F56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blHeader/>
          <w:jc w:val="right"/>
        </w:trPr>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7613B0">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1" w:firstLineChars="200"/>
              <w:jc w:val="center"/>
              <w:textAlignment w:val="center"/>
              <w:rPr>
                <w:rFonts w:hint="default" w:ascii="Times New Roman" w:hAnsi="Times New Roman" w:eastAsia="宋体" w:cs="Times New Roman"/>
                <w:b/>
                <w:bCs/>
                <w:i w:val="0"/>
                <w:iCs w:val="0"/>
                <w:snapToGrid/>
                <w:color w:val="auto"/>
                <w:sz w:val="18"/>
                <w:szCs w:val="18"/>
                <w:u w:val="none"/>
                <w:lang w:eastAsia="zh-CN"/>
              </w:rPr>
            </w:pPr>
            <w:r>
              <w:rPr>
                <w:rFonts w:hint="default" w:ascii="Times New Roman" w:hAnsi="Times New Roman" w:eastAsia="宋体" w:cs="Times New Roman"/>
                <w:b/>
                <w:bCs/>
                <w:i w:val="0"/>
                <w:iCs w:val="0"/>
                <w:snapToGrid/>
                <w:color w:val="auto"/>
                <w:kern w:val="0"/>
                <w:sz w:val="18"/>
                <w:szCs w:val="18"/>
                <w:u w:val="none"/>
                <w:lang w:val="en-US" w:eastAsia="zh-CN" w:bidi="ar"/>
              </w:rPr>
              <w:t>考核内容</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9B6D1">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1" w:firstLineChars="200"/>
              <w:jc w:val="center"/>
              <w:textAlignment w:val="center"/>
              <w:rPr>
                <w:rFonts w:hint="default" w:ascii="Times New Roman" w:hAnsi="Times New Roman" w:eastAsia="宋体" w:cs="Times New Roman"/>
                <w:b/>
                <w:bCs/>
                <w:i w:val="0"/>
                <w:iCs w:val="0"/>
                <w:snapToGrid/>
                <w:color w:val="auto"/>
                <w:sz w:val="18"/>
                <w:szCs w:val="18"/>
                <w:u w:val="none"/>
                <w:lang w:eastAsia="zh-CN"/>
              </w:rPr>
            </w:pPr>
            <w:r>
              <w:rPr>
                <w:rFonts w:hint="default" w:ascii="Times New Roman" w:hAnsi="Times New Roman" w:eastAsia="宋体" w:cs="Times New Roman"/>
                <w:b/>
                <w:bCs/>
                <w:i w:val="0"/>
                <w:iCs w:val="0"/>
                <w:snapToGrid/>
                <w:color w:val="auto"/>
                <w:kern w:val="0"/>
                <w:sz w:val="18"/>
                <w:szCs w:val="18"/>
                <w:u w:val="none"/>
                <w:lang w:val="en-US" w:eastAsia="zh-CN" w:bidi="ar"/>
              </w:rPr>
              <w:t>考核要求及扣分条件</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7549C">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auto"/>
                <w:sz w:val="18"/>
                <w:szCs w:val="18"/>
                <w:u w:val="none"/>
                <w:lang w:eastAsia="zh-CN"/>
              </w:rPr>
            </w:pPr>
            <w:r>
              <w:rPr>
                <w:rFonts w:hint="default" w:ascii="Times New Roman" w:hAnsi="Times New Roman" w:eastAsia="宋体" w:cs="Times New Roman"/>
                <w:b/>
                <w:bCs/>
                <w:i w:val="0"/>
                <w:iCs w:val="0"/>
                <w:snapToGrid/>
                <w:color w:val="auto"/>
                <w:kern w:val="0"/>
                <w:sz w:val="18"/>
                <w:szCs w:val="18"/>
                <w:u w:val="none"/>
                <w:lang w:val="en-US" w:eastAsia="zh-CN" w:bidi="ar"/>
              </w:rPr>
              <w:t>分值</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1F796">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auto"/>
                <w:sz w:val="18"/>
                <w:szCs w:val="18"/>
                <w:u w:val="none"/>
                <w:lang w:eastAsia="zh-CN"/>
              </w:rPr>
            </w:pPr>
            <w:r>
              <w:rPr>
                <w:rFonts w:hint="default" w:ascii="Times New Roman" w:hAnsi="Times New Roman" w:eastAsia="宋体" w:cs="Times New Roman"/>
                <w:b/>
                <w:bCs/>
                <w:i w:val="0"/>
                <w:iCs w:val="0"/>
                <w:snapToGrid/>
                <w:color w:val="auto"/>
                <w:kern w:val="0"/>
                <w:sz w:val="18"/>
                <w:szCs w:val="18"/>
                <w:u w:val="none"/>
                <w:lang w:val="en-US" w:eastAsia="zh-CN" w:bidi="ar"/>
              </w:rPr>
              <w:t>得分</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E3DE9">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auto"/>
                <w:sz w:val="18"/>
                <w:szCs w:val="18"/>
                <w:u w:val="none"/>
                <w:lang w:eastAsia="zh-CN"/>
              </w:rPr>
            </w:pPr>
            <w:r>
              <w:rPr>
                <w:rFonts w:hint="default" w:ascii="Times New Roman" w:hAnsi="Times New Roman" w:eastAsia="宋体" w:cs="Times New Roman"/>
                <w:b/>
                <w:bCs/>
                <w:i w:val="0"/>
                <w:iCs w:val="0"/>
                <w:snapToGrid/>
                <w:color w:val="auto"/>
                <w:kern w:val="0"/>
                <w:sz w:val="18"/>
                <w:szCs w:val="18"/>
                <w:u w:val="none"/>
                <w:lang w:val="en-US" w:eastAsia="zh-CN" w:bidi="ar"/>
              </w:rPr>
              <w:t>备注</w:t>
            </w:r>
          </w:p>
        </w:tc>
      </w:tr>
      <w:tr w14:paraId="54186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right"/>
        </w:trPr>
        <w:tc>
          <w:tcPr>
            <w:tcW w:w="1110" w:type="dxa"/>
            <w:vMerge w:val="restart"/>
            <w:tcBorders>
              <w:top w:val="single" w:color="000000" w:sz="4" w:space="0"/>
              <w:left w:val="single" w:color="000000" w:sz="4" w:space="0"/>
              <w:right w:val="single" w:color="000000" w:sz="4" w:space="0"/>
            </w:tcBorders>
            <w:shd w:val="clear" w:color="auto" w:fill="auto"/>
            <w:vAlign w:val="center"/>
          </w:tcPr>
          <w:p w14:paraId="6472874F">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auto"/>
                <w:sz w:val="18"/>
                <w:szCs w:val="18"/>
                <w:u w:val="none"/>
                <w:lang w:eastAsia="zh-CN"/>
              </w:rPr>
            </w:pPr>
            <w:r>
              <w:rPr>
                <w:rFonts w:hint="default" w:ascii="Times New Roman" w:hAnsi="Times New Roman" w:eastAsia="宋体" w:cs="Times New Roman"/>
                <w:i w:val="0"/>
                <w:iCs w:val="0"/>
                <w:snapToGrid/>
                <w:color w:val="auto"/>
                <w:kern w:val="0"/>
                <w:sz w:val="18"/>
                <w:szCs w:val="18"/>
                <w:u w:val="none"/>
                <w:lang w:val="en-US" w:eastAsia="zh-CN" w:bidi="ar"/>
              </w:rPr>
              <w:t>质量保证和质量控制</w:t>
            </w:r>
            <w:r>
              <w:rPr>
                <w:rFonts w:hint="default" w:ascii="Times New Roman" w:hAnsi="Times New Roman" w:eastAsia="宋体" w:cs="Times New Roman"/>
                <w:b/>
                <w:bCs/>
                <w:i w:val="0"/>
                <w:iCs w:val="0"/>
                <w:snapToGrid/>
                <w:color w:val="auto"/>
                <w:kern w:val="0"/>
                <w:sz w:val="18"/>
                <w:szCs w:val="18"/>
                <w:u w:val="none"/>
                <w:lang w:val="en-US" w:eastAsia="zh-CN" w:bidi="ar"/>
              </w:rPr>
              <w:t>（60分）</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B6DAA">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auto"/>
                <w:sz w:val="18"/>
                <w:szCs w:val="18"/>
                <w:u w:val="none"/>
                <w:lang w:eastAsia="zh-CN"/>
              </w:rPr>
            </w:pPr>
            <w:r>
              <w:rPr>
                <w:rFonts w:hint="default" w:ascii="Times New Roman" w:hAnsi="Times New Roman" w:eastAsia="宋体" w:cs="Times New Roman"/>
                <w:i w:val="0"/>
                <w:iCs w:val="0"/>
                <w:snapToGrid/>
                <w:color w:val="auto"/>
                <w:kern w:val="0"/>
                <w:sz w:val="18"/>
                <w:szCs w:val="18"/>
                <w:u w:val="none"/>
                <w:lang w:val="en-US" w:eastAsia="zh-CN" w:bidi="ar"/>
              </w:rPr>
              <w:t>数据有效率</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000B6">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auto"/>
                <w:sz w:val="18"/>
                <w:szCs w:val="18"/>
                <w:u w:val="none"/>
                <w:lang w:eastAsia="zh-CN"/>
              </w:rPr>
            </w:pPr>
            <w:r>
              <w:rPr>
                <w:rFonts w:hint="default" w:ascii="Times New Roman" w:hAnsi="Times New Roman" w:eastAsia="宋体" w:cs="Times New Roman"/>
                <w:i w:val="0"/>
                <w:iCs w:val="0"/>
                <w:snapToGrid/>
                <w:color w:val="auto"/>
                <w:kern w:val="0"/>
                <w:sz w:val="18"/>
                <w:szCs w:val="18"/>
                <w:u w:val="none"/>
                <w:lang w:val="en-US" w:eastAsia="zh-CN" w:bidi="ar"/>
              </w:rPr>
              <w:t>每月所有参数数据有效率≥80%（除去断流、停电、不可抗力因素引起的故障或停运，以及采购方认为可以扣除的时间段），有效率每降低1%（四舍五入），扣2.5分，扣完为止。注：考核参数最低的有效率，不考核平均有效率。</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CF3C6">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auto"/>
                <w:sz w:val="18"/>
                <w:szCs w:val="18"/>
                <w:u w:val="none"/>
                <w:lang w:val="en-US" w:eastAsia="zh-CN"/>
              </w:rPr>
            </w:pPr>
            <w:r>
              <w:rPr>
                <w:rFonts w:hint="default" w:ascii="Times New Roman" w:hAnsi="Times New Roman" w:eastAsia="宋体" w:cs="Times New Roman"/>
                <w:b/>
                <w:bCs/>
                <w:i w:val="0"/>
                <w:iCs w:val="0"/>
                <w:snapToGrid/>
                <w:color w:val="auto"/>
                <w:sz w:val="18"/>
                <w:szCs w:val="18"/>
                <w:u w:val="none"/>
                <w:lang w:val="en-US" w:eastAsia="zh-CN"/>
              </w:rPr>
              <w:t>40</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EFF39">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c>
          <w:tcPr>
            <w:tcW w:w="1164" w:type="dxa"/>
            <w:tcBorders>
              <w:top w:val="nil"/>
              <w:left w:val="single" w:color="000000" w:sz="4" w:space="0"/>
              <w:bottom w:val="single" w:color="000000" w:sz="4" w:space="0"/>
              <w:right w:val="single" w:color="000000" w:sz="4" w:space="0"/>
            </w:tcBorders>
            <w:shd w:val="clear" w:color="auto" w:fill="auto"/>
            <w:vAlign w:val="center"/>
          </w:tcPr>
          <w:p w14:paraId="27696B31">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r>
      <w:tr w14:paraId="741D4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jc w:val="right"/>
        </w:trPr>
        <w:tc>
          <w:tcPr>
            <w:tcW w:w="1110" w:type="dxa"/>
            <w:vMerge w:val="continue"/>
            <w:tcBorders>
              <w:left w:val="single" w:color="000000" w:sz="4" w:space="0"/>
              <w:right w:val="single" w:color="000000" w:sz="4" w:space="0"/>
            </w:tcBorders>
            <w:shd w:val="clear" w:color="auto" w:fill="auto"/>
            <w:vAlign w:val="center"/>
          </w:tcPr>
          <w:p w14:paraId="4B253398">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4BF79">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auto"/>
                <w:sz w:val="18"/>
                <w:szCs w:val="18"/>
                <w:u w:val="none"/>
                <w:lang w:eastAsia="zh-CN"/>
              </w:rPr>
            </w:pPr>
            <w:r>
              <w:rPr>
                <w:rFonts w:hint="default" w:ascii="Times New Roman" w:hAnsi="Times New Roman" w:eastAsia="宋体" w:cs="Times New Roman"/>
                <w:i w:val="0"/>
                <w:iCs w:val="0"/>
                <w:snapToGrid/>
                <w:color w:val="auto"/>
                <w:kern w:val="0"/>
                <w:sz w:val="18"/>
                <w:szCs w:val="18"/>
                <w:u w:val="none"/>
                <w:lang w:val="en-US" w:eastAsia="zh-CN" w:bidi="ar"/>
              </w:rPr>
              <w:t>每周标样核查</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8A1B7">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auto"/>
                <w:sz w:val="18"/>
                <w:szCs w:val="18"/>
                <w:u w:val="none"/>
                <w:lang w:eastAsia="zh-CN"/>
              </w:rPr>
            </w:pPr>
            <w:r>
              <w:rPr>
                <w:rFonts w:hint="default" w:ascii="Times New Roman" w:hAnsi="Times New Roman" w:eastAsia="宋体" w:cs="Times New Roman"/>
                <w:i w:val="0"/>
                <w:iCs w:val="0"/>
                <w:snapToGrid/>
                <w:color w:val="auto"/>
                <w:kern w:val="0"/>
                <w:sz w:val="18"/>
                <w:szCs w:val="18"/>
                <w:u w:val="none"/>
                <w:lang w:val="en-US" w:eastAsia="zh-CN" w:bidi="ar"/>
              </w:rPr>
              <w:t>每周对五参数进行标样核查，两次核查时间间隔不能超过9天，核查结果满足HJ915.3-2024标准规范要求，如未能满足核查时间间隔的1次扣1分。如有核查参数未达到要求，按一个指标1次扣1分，如当月存在未开展周核查的1次扣2分，扣完为止。</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20809">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auto"/>
                <w:sz w:val="18"/>
                <w:szCs w:val="18"/>
                <w:u w:val="none"/>
                <w:lang w:val="en-US" w:eastAsia="zh-CN"/>
              </w:rPr>
            </w:pPr>
            <w:r>
              <w:rPr>
                <w:rFonts w:hint="default" w:ascii="Times New Roman" w:hAnsi="Times New Roman" w:eastAsia="宋体" w:cs="Times New Roman"/>
                <w:b/>
                <w:bCs/>
                <w:i w:val="0"/>
                <w:iCs w:val="0"/>
                <w:snapToGrid/>
                <w:color w:val="auto"/>
                <w:sz w:val="18"/>
                <w:szCs w:val="18"/>
                <w:u w:val="none"/>
                <w:lang w:val="en-US" w:eastAsia="zh-CN"/>
              </w:rPr>
              <w:t>6</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A0B28">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062D3">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r>
      <w:tr w14:paraId="3D4D2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right"/>
        </w:trPr>
        <w:tc>
          <w:tcPr>
            <w:tcW w:w="1110" w:type="dxa"/>
            <w:vMerge w:val="continue"/>
            <w:tcBorders>
              <w:left w:val="single" w:color="000000" w:sz="4" w:space="0"/>
              <w:right w:val="single" w:color="000000" w:sz="4" w:space="0"/>
            </w:tcBorders>
            <w:shd w:val="clear" w:color="auto" w:fill="auto"/>
            <w:vAlign w:val="center"/>
          </w:tcPr>
          <w:p w14:paraId="259551D2">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5AFAE">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auto"/>
                <w:sz w:val="18"/>
                <w:szCs w:val="18"/>
                <w:u w:val="none"/>
                <w:lang w:eastAsia="zh-CN"/>
              </w:rPr>
            </w:pPr>
            <w:r>
              <w:rPr>
                <w:rFonts w:hint="default" w:ascii="Times New Roman" w:hAnsi="Times New Roman" w:eastAsia="宋体" w:cs="Times New Roman"/>
                <w:i w:val="0"/>
                <w:iCs w:val="0"/>
                <w:snapToGrid/>
                <w:color w:val="auto"/>
                <w:kern w:val="0"/>
                <w:sz w:val="18"/>
                <w:szCs w:val="18"/>
                <w:u w:val="none"/>
                <w:lang w:val="en-US" w:eastAsia="zh-CN" w:bidi="ar"/>
              </w:rPr>
              <w:t>每季度实际水样比对</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1C994">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auto"/>
                <w:sz w:val="18"/>
                <w:szCs w:val="18"/>
                <w:u w:val="none"/>
                <w:lang w:eastAsia="zh-CN"/>
              </w:rPr>
            </w:pPr>
            <w:r>
              <w:rPr>
                <w:rFonts w:hint="default" w:ascii="Times New Roman" w:hAnsi="Times New Roman" w:eastAsia="宋体" w:cs="Times New Roman"/>
                <w:i w:val="0"/>
                <w:iCs w:val="0"/>
                <w:snapToGrid/>
                <w:color w:val="auto"/>
                <w:kern w:val="0"/>
                <w:sz w:val="18"/>
                <w:szCs w:val="18"/>
                <w:u w:val="none"/>
                <w:lang w:val="en-US" w:eastAsia="zh-CN" w:bidi="ar"/>
              </w:rPr>
              <w:t>每季度开展一次所有参数（除藻密度和叶绿素a外）实际水样比对，并出具比对报告上传至广西水环境监控平台。比对结果满足HJ915.3-2024标准规范要求。如不按时开展比对监测，一次扣完4分。开展比对监测结果，如有比对结果未达到要求，按照一项指标一次扣1分方式统计，扣完为止。</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C674B">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auto"/>
                <w:sz w:val="18"/>
                <w:szCs w:val="18"/>
                <w:u w:val="none"/>
                <w:lang w:val="en-US" w:eastAsia="zh-CN"/>
              </w:rPr>
            </w:pPr>
            <w:r>
              <w:rPr>
                <w:rFonts w:hint="default" w:ascii="Times New Roman" w:hAnsi="Times New Roman" w:eastAsia="宋体" w:cs="Times New Roman"/>
                <w:b/>
                <w:bCs/>
                <w:i w:val="0"/>
                <w:iCs w:val="0"/>
                <w:snapToGrid/>
                <w:color w:val="auto"/>
                <w:sz w:val="18"/>
                <w:szCs w:val="18"/>
                <w:u w:val="none"/>
                <w:lang w:val="en-US" w:eastAsia="zh-CN"/>
              </w:rPr>
              <w:t>4</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6FA14">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E0D8D">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r>
      <w:tr w14:paraId="486F6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right"/>
        </w:trPr>
        <w:tc>
          <w:tcPr>
            <w:tcW w:w="1110" w:type="dxa"/>
            <w:vMerge w:val="continue"/>
            <w:tcBorders>
              <w:left w:val="single" w:color="000000" w:sz="4" w:space="0"/>
              <w:right w:val="single" w:color="000000" w:sz="4" w:space="0"/>
            </w:tcBorders>
            <w:shd w:val="clear" w:color="auto" w:fill="auto"/>
            <w:vAlign w:val="center"/>
          </w:tcPr>
          <w:p w14:paraId="17A246F3">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7F156">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auto"/>
                <w:kern w:val="0"/>
                <w:sz w:val="18"/>
                <w:szCs w:val="18"/>
                <w:u w:val="none"/>
                <w:lang w:val="en-US" w:eastAsia="zh-CN" w:bidi="ar"/>
              </w:rPr>
            </w:pPr>
            <w:r>
              <w:rPr>
                <w:rFonts w:hint="default" w:ascii="Times New Roman" w:hAnsi="Times New Roman" w:eastAsia="宋体" w:cs="Times New Roman"/>
                <w:i w:val="0"/>
                <w:iCs w:val="0"/>
                <w:snapToGrid/>
                <w:color w:val="auto"/>
                <w:kern w:val="0"/>
                <w:sz w:val="18"/>
                <w:szCs w:val="18"/>
                <w:u w:val="none"/>
                <w:lang w:val="en-US" w:eastAsia="zh-CN" w:bidi="ar"/>
              </w:rPr>
              <w:t>每月多点线性核查</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58E2D">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auto"/>
                <w:kern w:val="0"/>
                <w:sz w:val="18"/>
                <w:szCs w:val="18"/>
                <w:u w:val="none"/>
                <w:lang w:val="en-US" w:eastAsia="zh-CN" w:bidi="ar"/>
              </w:rPr>
            </w:pPr>
            <w:r>
              <w:rPr>
                <w:rFonts w:hint="default" w:ascii="Times New Roman" w:hAnsi="Times New Roman" w:eastAsia="宋体" w:cs="Times New Roman"/>
                <w:i w:val="0"/>
                <w:iCs w:val="0"/>
                <w:snapToGrid/>
                <w:color w:val="auto"/>
                <w:kern w:val="0"/>
                <w:sz w:val="18"/>
                <w:szCs w:val="18"/>
                <w:u w:val="none"/>
                <w:lang w:val="en-US" w:eastAsia="zh-CN" w:bidi="ar"/>
              </w:rPr>
              <w:t>每月对所有参数（除五参数外）开展多点线性核查，核查结果满足HJ915.3-2024标准规范要求。如果不开展该项工作，一次扣完4分，如果核查未达到要求，按照一项指标一次扣1分方式统计，扣完为止。</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84B79">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auto"/>
                <w:kern w:val="0"/>
                <w:sz w:val="18"/>
                <w:szCs w:val="18"/>
                <w:u w:val="none"/>
                <w:lang w:val="en-US" w:eastAsia="zh-CN" w:bidi="ar"/>
              </w:rPr>
            </w:pPr>
            <w:r>
              <w:rPr>
                <w:rFonts w:hint="default" w:ascii="Times New Roman" w:hAnsi="Times New Roman" w:eastAsia="宋体" w:cs="Times New Roman"/>
                <w:b/>
                <w:bCs/>
                <w:i w:val="0"/>
                <w:iCs w:val="0"/>
                <w:snapToGrid/>
                <w:color w:val="auto"/>
                <w:kern w:val="0"/>
                <w:sz w:val="18"/>
                <w:szCs w:val="18"/>
                <w:u w:val="none"/>
                <w:lang w:val="en-US" w:eastAsia="zh-CN" w:bidi="ar"/>
              </w:rPr>
              <w:t>4</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EC94A">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0025D">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r>
      <w:tr w14:paraId="4B00B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right"/>
        </w:trPr>
        <w:tc>
          <w:tcPr>
            <w:tcW w:w="1110" w:type="dxa"/>
            <w:vMerge w:val="continue"/>
            <w:tcBorders>
              <w:left w:val="single" w:color="000000" w:sz="4" w:space="0"/>
              <w:right w:val="single" w:color="000000" w:sz="4" w:space="0"/>
            </w:tcBorders>
            <w:shd w:val="clear" w:color="auto" w:fill="auto"/>
            <w:vAlign w:val="center"/>
          </w:tcPr>
          <w:p w14:paraId="6CBC82CA">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35114">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auto"/>
                <w:sz w:val="18"/>
                <w:szCs w:val="18"/>
                <w:u w:val="none"/>
                <w:lang w:eastAsia="zh-CN"/>
              </w:rPr>
            </w:pPr>
            <w:r>
              <w:rPr>
                <w:rFonts w:hint="default" w:ascii="Times New Roman" w:hAnsi="Times New Roman" w:eastAsia="宋体" w:cs="Times New Roman"/>
                <w:i w:val="0"/>
                <w:iCs w:val="0"/>
                <w:snapToGrid/>
                <w:color w:val="auto"/>
                <w:kern w:val="0"/>
                <w:sz w:val="18"/>
                <w:szCs w:val="18"/>
                <w:u w:val="none"/>
                <w:lang w:val="en-US" w:eastAsia="zh-CN" w:bidi="ar"/>
              </w:rPr>
              <w:t>每月加标回收测试</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CC36D">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auto"/>
                <w:sz w:val="18"/>
                <w:szCs w:val="18"/>
                <w:u w:val="none"/>
                <w:lang w:eastAsia="zh-CN"/>
              </w:rPr>
            </w:pPr>
            <w:r>
              <w:rPr>
                <w:rFonts w:hint="default" w:ascii="Times New Roman" w:hAnsi="Times New Roman" w:eastAsia="宋体" w:cs="Times New Roman"/>
                <w:i w:val="0"/>
                <w:iCs w:val="0"/>
                <w:snapToGrid/>
                <w:color w:val="auto"/>
                <w:kern w:val="0"/>
                <w:sz w:val="18"/>
                <w:szCs w:val="18"/>
                <w:u w:val="none"/>
                <w:lang w:val="en-US" w:eastAsia="zh-CN" w:bidi="ar"/>
              </w:rPr>
              <w:t>每月对所有参数（除五参数、藻密度和叶绿素a外）开展加标回收测试，测试结果满足HJ915.3-2024标准规范要求。如果不开展该项工作，一次扣完2分，如果测试未达到要求，按照一项指标一次扣0.5分方式统计，扣完为止。</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2C56A">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auto"/>
                <w:sz w:val="18"/>
                <w:szCs w:val="18"/>
                <w:u w:val="none"/>
                <w:lang w:eastAsia="zh-CN"/>
              </w:rPr>
            </w:pPr>
            <w:r>
              <w:rPr>
                <w:rFonts w:hint="default" w:ascii="Times New Roman" w:hAnsi="Times New Roman" w:eastAsia="宋体" w:cs="Times New Roman"/>
                <w:b/>
                <w:bCs/>
                <w:i w:val="0"/>
                <w:iCs w:val="0"/>
                <w:snapToGrid/>
                <w:color w:val="auto"/>
                <w:kern w:val="0"/>
                <w:sz w:val="18"/>
                <w:szCs w:val="18"/>
                <w:u w:val="none"/>
                <w:lang w:val="en-US" w:eastAsia="zh-CN" w:bidi="ar"/>
              </w:rPr>
              <w:t>2</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13589">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021B0">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r>
      <w:tr w14:paraId="13AF1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right"/>
        </w:trPr>
        <w:tc>
          <w:tcPr>
            <w:tcW w:w="1110" w:type="dxa"/>
            <w:vMerge w:val="continue"/>
            <w:tcBorders>
              <w:left w:val="single" w:color="000000" w:sz="4" w:space="0"/>
              <w:right w:val="single" w:color="000000" w:sz="4" w:space="0"/>
            </w:tcBorders>
            <w:shd w:val="clear" w:color="auto" w:fill="auto"/>
            <w:vAlign w:val="center"/>
          </w:tcPr>
          <w:p w14:paraId="6DEDFF43">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04D1B">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auto"/>
                <w:sz w:val="18"/>
                <w:szCs w:val="18"/>
                <w:u w:val="none"/>
                <w:lang w:eastAsia="zh-CN"/>
              </w:rPr>
            </w:pPr>
            <w:r>
              <w:rPr>
                <w:rFonts w:hint="default" w:ascii="Times New Roman" w:hAnsi="Times New Roman" w:eastAsia="宋体" w:cs="Times New Roman"/>
                <w:i w:val="0"/>
                <w:iCs w:val="0"/>
                <w:snapToGrid/>
                <w:color w:val="auto"/>
                <w:kern w:val="0"/>
                <w:sz w:val="18"/>
                <w:szCs w:val="18"/>
                <w:u w:val="none"/>
                <w:lang w:val="en-US" w:eastAsia="zh-CN" w:bidi="ar"/>
              </w:rPr>
              <w:t>每月集成干预检查</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B7CB1">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auto"/>
                <w:sz w:val="18"/>
                <w:szCs w:val="18"/>
                <w:u w:val="none"/>
                <w:lang w:eastAsia="zh-CN"/>
              </w:rPr>
            </w:pPr>
            <w:r>
              <w:rPr>
                <w:rFonts w:hint="default" w:ascii="Times New Roman" w:hAnsi="Times New Roman" w:eastAsia="宋体" w:cs="Times New Roman"/>
                <w:i w:val="0"/>
                <w:iCs w:val="0"/>
                <w:snapToGrid/>
                <w:color w:val="auto"/>
                <w:kern w:val="0"/>
                <w:sz w:val="18"/>
                <w:szCs w:val="18"/>
                <w:u w:val="none"/>
                <w:lang w:val="en-US" w:eastAsia="zh-CN" w:bidi="ar"/>
              </w:rPr>
              <w:t>每月对所有参数（除五参数、藻密度和叶绿素a外）开展集成干预检查，检查结果满足HJ915.3-2024标准规范要求。依据HJ915.3-2024标准要求当需要开展此项工作时，如未开展，一次扣完2分，如果检查未达到要求，按照一项指标一次扣0.5分方式统计，扣完为止。</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147F7">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auto"/>
                <w:sz w:val="18"/>
                <w:szCs w:val="18"/>
                <w:u w:val="none"/>
                <w:lang w:eastAsia="zh-CN"/>
              </w:rPr>
            </w:pPr>
            <w:r>
              <w:rPr>
                <w:rFonts w:hint="default" w:ascii="Times New Roman" w:hAnsi="Times New Roman" w:eastAsia="宋体" w:cs="Times New Roman"/>
                <w:b/>
                <w:bCs/>
                <w:i w:val="0"/>
                <w:iCs w:val="0"/>
                <w:snapToGrid/>
                <w:color w:val="auto"/>
                <w:kern w:val="0"/>
                <w:sz w:val="18"/>
                <w:szCs w:val="18"/>
                <w:u w:val="none"/>
                <w:lang w:val="en-US" w:eastAsia="zh-CN" w:bidi="ar"/>
              </w:rPr>
              <w:t>2</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7D9B9">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0A7E9">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r>
      <w:tr w14:paraId="118C2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right"/>
        </w:trPr>
        <w:tc>
          <w:tcPr>
            <w:tcW w:w="1110" w:type="dxa"/>
            <w:vMerge w:val="continue"/>
            <w:tcBorders>
              <w:left w:val="single" w:color="000000" w:sz="4" w:space="0"/>
              <w:bottom w:val="single" w:color="000000" w:sz="4" w:space="0"/>
              <w:right w:val="single" w:color="000000" w:sz="4" w:space="0"/>
            </w:tcBorders>
            <w:shd w:val="clear" w:color="auto" w:fill="auto"/>
            <w:vAlign w:val="center"/>
          </w:tcPr>
          <w:p w14:paraId="2950E406">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5C7F9">
            <w:pPr>
              <w:shd w:val="clear" w:color="auto" w:fill="FFFFFF"/>
              <w:kinsoku/>
              <w:autoSpaceDE/>
              <w:autoSpaceDN/>
              <w:adjustRightInd/>
              <w:snapToGrid/>
              <w:spacing w:line="240" w:lineRule="exact"/>
              <w:ind w:firstLine="360" w:firstLineChars="200"/>
              <w:jc w:val="left"/>
              <w:textAlignment w:val="auto"/>
              <w:rPr>
                <w:rFonts w:hint="default" w:ascii="Times New Roman" w:hAnsi="Times New Roman" w:eastAsia="宋体" w:cs="Times New Roman"/>
                <w:i w:val="0"/>
                <w:iCs w:val="0"/>
                <w:snapToGrid/>
                <w:color w:val="auto"/>
                <w:kern w:val="0"/>
                <w:sz w:val="18"/>
                <w:szCs w:val="18"/>
                <w:u w:val="none"/>
                <w:lang w:val="en-US" w:eastAsia="zh-CN" w:bidi="ar"/>
              </w:rPr>
            </w:pPr>
            <w:r>
              <w:rPr>
                <w:rFonts w:hint="default" w:ascii="Times New Roman" w:hAnsi="Times New Roman" w:eastAsia="宋体" w:cs="Times New Roman"/>
                <w:snapToGrid/>
                <w:color w:val="auto"/>
                <w:sz w:val="18"/>
                <w:szCs w:val="18"/>
                <w:highlight w:val="none"/>
                <w:lang w:eastAsia="zh-CN"/>
              </w:rPr>
              <w:t>季度盲样测试</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0F442">
            <w:pPr>
              <w:shd w:val="clear" w:color="auto" w:fill="FFFFFF"/>
              <w:kinsoku/>
              <w:autoSpaceDE/>
              <w:autoSpaceDN/>
              <w:adjustRightInd/>
              <w:snapToGrid/>
              <w:spacing w:line="240" w:lineRule="exact"/>
              <w:ind w:firstLine="360" w:firstLineChars="200"/>
              <w:textAlignment w:val="auto"/>
              <w:rPr>
                <w:rFonts w:hint="default" w:ascii="Times New Roman" w:hAnsi="Times New Roman" w:eastAsia="宋体" w:cs="Times New Roman"/>
                <w:i w:val="0"/>
                <w:iCs w:val="0"/>
                <w:snapToGrid/>
                <w:color w:val="auto"/>
                <w:kern w:val="0"/>
                <w:sz w:val="18"/>
                <w:szCs w:val="18"/>
                <w:u w:val="none"/>
                <w:lang w:val="en-US" w:eastAsia="zh-CN" w:bidi="ar"/>
              </w:rPr>
            </w:pPr>
            <w:r>
              <w:rPr>
                <w:rFonts w:hint="default" w:ascii="Times New Roman" w:hAnsi="Times New Roman" w:eastAsia="宋体" w:cs="Times New Roman"/>
                <w:snapToGrid/>
                <w:color w:val="auto"/>
                <w:sz w:val="18"/>
                <w:szCs w:val="18"/>
                <w:highlight w:val="none"/>
                <w:lang w:val="en-US" w:eastAsia="zh-CN"/>
              </w:rPr>
              <w:t>每季度</w:t>
            </w:r>
            <w:r>
              <w:rPr>
                <w:rFonts w:hint="default" w:ascii="Times New Roman" w:hAnsi="Times New Roman" w:eastAsia="宋体" w:cs="Times New Roman"/>
                <w:snapToGrid/>
                <w:color w:val="auto"/>
                <w:sz w:val="18"/>
                <w:szCs w:val="18"/>
                <w:highlight w:val="none"/>
                <w:lang w:eastAsia="zh-CN"/>
              </w:rPr>
              <w:t>按监测方案要求开展季度盲样测试，并上传测试结果，未按要求开展或测试不合格，每个指标扣1分，扣完为止。</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73FBF">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auto"/>
                <w:kern w:val="0"/>
                <w:sz w:val="18"/>
                <w:szCs w:val="18"/>
                <w:u w:val="none"/>
                <w:lang w:val="en-US" w:eastAsia="zh-CN" w:bidi="ar"/>
              </w:rPr>
            </w:pPr>
            <w:r>
              <w:rPr>
                <w:rFonts w:hint="default" w:ascii="Times New Roman" w:hAnsi="Times New Roman" w:eastAsia="宋体" w:cs="Times New Roman"/>
                <w:b/>
                <w:bCs/>
                <w:i w:val="0"/>
                <w:iCs w:val="0"/>
                <w:snapToGrid/>
                <w:color w:val="auto"/>
                <w:kern w:val="0"/>
                <w:sz w:val="18"/>
                <w:szCs w:val="18"/>
                <w:u w:val="none"/>
                <w:lang w:val="en-US" w:eastAsia="zh-CN" w:bidi="ar"/>
              </w:rPr>
              <w:t>2</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617FD">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356EC">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r>
      <w:tr w14:paraId="5CC95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 w:hRule="atLeast"/>
          <w:jc w:val="right"/>
        </w:trPr>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040A41">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auto"/>
                <w:sz w:val="18"/>
                <w:szCs w:val="18"/>
                <w:u w:val="none"/>
                <w:lang w:eastAsia="zh-CN"/>
              </w:rPr>
            </w:pPr>
            <w:r>
              <w:rPr>
                <w:rFonts w:hint="default" w:ascii="Times New Roman" w:hAnsi="Times New Roman" w:eastAsia="宋体" w:cs="Times New Roman"/>
                <w:i w:val="0"/>
                <w:iCs w:val="0"/>
                <w:snapToGrid/>
                <w:color w:val="auto"/>
                <w:kern w:val="0"/>
                <w:sz w:val="18"/>
                <w:szCs w:val="18"/>
                <w:u w:val="none"/>
                <w:lang w:val="en-US" w:eastAsia="zh-CN" w:bidi="ar"/>
              </w:rPr>
              <w:t>运行与日常维护（14分）</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462FB">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auto"/>
                <w:sz w:val="18"/>
                <w:szCs w:val="18"/>
                <w:u w:val="none"/>
                <w:lang w:eastAsia="zh-CN"/>
              </w:rPr>
            </w:pPr>
            <w:r>
              <w:rPr>
                <w:rFonts w:hint="default" w:ascii="Times New Roman" w:hAnsi="Times New Roman" w:eastAsia="宋体" w:cs="Times New Roman"/>
                <w:i w:val="0"/>
                <w:iCs w:val="0"/>
                <w:snapToGrid/>
                <w:color w:val="auto"/>
                <w:kern w:val="0"/>
                <w:sz w:val="18"/>
                <w:szCs w:val="18"/>
                <w:u w:val="none"/>
                <w:lang w:val="en-US" w:eastAsia="zh-CN" w:bidi="ar"/>
              </w:rPr>
              <w:t>站房、辅助设备</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C3189">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auto"/>
                <w:sz w:val="18"/>
                <w:szCs w:val="18"/>
                <w:u w:val="none"/>
                <w:lang w:eastAsia="zh-CN"/>
              </w:rPr>
            </w:pPr>
            <w:r>
              <w:rPr>
                <w:rFonts w:hint="default" w:ascii="Times New Roman" w:hAnsi="Times New Roman" w:eastAsia="宋体" w:cs="Times New Roman"/>
                <w:i w:val="0"/>
                <w:iCs w:val="0"/>
                <w:snapToGrid/>
                <w:color w:val="auto"/>
                <w:kern w:val="0"/>
                <w:sz w:val="18"/>
                <w:szCs w:val="18"/>
                <w:u w:val="none"/>
                <w:lang w:val="en-US" w:eastAsia="zh-CN" w:bidi="ar"/>
              </w:rPr>
              <w:t>保持站房周围防护设施安全完整，内外环境卫生干净整齐，防虫防蚁，无杂物堆积，站房所有辅助设备、安防设备工作正常，标识牌清晰，摄像头监控位置正确无遮挡，视频正常上传。分数视现场检查情况打0-3分。有安全隐患不得分。</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71D55">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auto"/>
                <w:sz w:val="18"/>
                <w:szCs w:val="18"/>
                <w:u w:val="none"/>
                <w:lang w:eastAsia="zh-CN"/>
              </w:rPr>
            </w:pPr>
            <w:r>
              <w:rPr>
                <w:rFonts w:hint="default" w:ascii="Times New Roman" w:hAnsi="Times New Roman" w:eastAsia="宋体" w:cs="Times New Roman"/>
                <w:b/>
                <w:bCs/>
                <w:i w:val="0"/>
                <w:iCs w:val="0"/>
                <w:snapToGrid/>
                <w:color w:val="auto"/>
                <w:kern w:val="0"/>
                <w:sz w:val="18"/>
                <w:szCs w:val="18"/>
                <w:u w:val="none"/>
                <w:lang w:val="en-US" w:eastAsia="zh-CN" w:bidi="ar"/>
              </w:rPr>
              <w:t>3</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A2500">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both"/>
              <w:textAlignment w:val="auto"/>
              <w:rPr>
                <w:rFonts w:hint="default" w:ascii="Times New Roman" w:hAnsi="Times New Roman" w:eastAsia="宋体" w:cs="Times New Roman"/>
                <w:i w:val="0"/>
                <w:iCs w:val="0"/>
                <w:snapToGrid/>
                <w:color w:val="auto"/>
                <w:sz w:val="18"/>
                <w:szCs w:val="18"/>
                <w:u w:val="none"/>
                <w:lang w:eastAsia="zh-CN"/>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3605E">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r>
      <w:tr w14:paraId="368AC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 w:hRule="atLeast"/>
          <w:jc w:val="righ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61186">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02CE2">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auto"/>
                <w:sz w:val="18"/>
                <w:szCs w:val="18"/>
                <w:u w:val="none"/>
                <w:lang w:eastAsia="zh-CN"/>
              </w:rPr>
            </w:pPr>
            <w:r>
              <w:rPr>
                <w:rFonts w:hint="default" w:ascii="Times New Roman" w:hAnsi="Times New Roman" w:eastAsia="宋体" w:cs="Times New Roman"/>
                <w:i w:val="0"/>
                <w:iCs w:val="0"/>
                <w:snapToGrid/>
                <w:color w:val="auto"/>
                <w:kern w:val="0"/>
                <w:sz w:val="18"/>
                <w:szCs w:val="18"/>
                <w:u w:val="none"/>
                <w:lang w:val="en-US" w:eastAsia="zh-CN" w:bidi="ar"/>
              </w:rPr>
              <w:t>采水、排水及内部管路</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98164">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auto"/>
                <w:sz w:val="18"/>
                <w:szCs w:val="18"/>
                <w:u w:val="none"/>
                <w:lang w:eastAsia="zh-CN"/>
              </w:rPr>
            </w:pPr>
            <w:r>
              <w:rPr>
                <w:rFonts w:hint="default" w:ascii="Times New Roman" w:hAnsi="Times New Roman" w:eastAsia="宋体" w:cs="Times New Roman"/>
                <w:i w:val="0"/>
                <w:iCs w:val="0"/>
                <w:snapToGrid/>
                <w:color w:val="auto"/>
                <w:kern w:val="0"/>
                <w:sz w:val="18"/>
                <w:szCs w:val="18"/>
                <w:u w:val="none"/>
                <w:lang w:val="en-US" w:eastAsia="zh-CN" w:bidi="ar"/>
              </w:rPr>
              <w:t>取水口位置根据水位调整，现场可以实现切换采水泵采水管路，定期检查和维护采水浮筒固定情况（须有明显标识）和水泵运行情况，定期维护和清洁采配水系统（包括浮筒、吊桶、泵体、沉砂池、过滤头、水样杯、阀门、管路等），保证内部管路通畅，防止堵塞和泄漏。分数视现场检查情况打0-2分。</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BFA81">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auto"/>
                <w:sz w:val="18"/>
                <w:szCs w:val="18"/>
                <w:u w:val="none"/>
                <w:lang w:eastAsia="zh-CN"/>
              </w:rPr>
            </w:pPr>
            <w:r>
              <w:rPr>
                <w:rFonts w:hint="default" w:ascii="Times New Roman" w:hAnsi="Times New Roman" w:eastAsia="宋体" w:cs="Times New Roman"/>
                <w:b/>
                <w:bCs/>
                <w:i w:val="0"/>
                <w:iCs w:val="0"/>
                <w:snapToGrid/>
                <w:color w:val="auto"/>
                <w:kern w:val="0"/>
                <w:sz w:val="18"/>
                <w:szCs w:val="18"/>
                <w:u w:val="none"/>
                <w:lang w:val="en-US" w:eastAsia="zh-CN" w:bidi="ar"/>
              </w:rPr>
              <w:t>2</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1734C">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62153">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440" w:firstLineChars="200"/>
              <w:jc w:val="center"/>
              <w:textAlignment w:val="auto"/>
              <w:rPr>
                <w:rFonts w:hint="default" w:ascii="Times New Roman" w:hAnsi="Times New Roman" w:eastAsia="宋体" w:cs="Times New Roman"/>
                <w:i w:val="0"/>
                <w:iCs w:val="0"/>
                <w:snapToGrid/>
                <w:color w:val="auto"/>
                <w:sz w:val="22"/>
                <w:szCs w:val="22"/>
                <w:u w:val="none"/>
                <w:lang w:eastAsia="zh-CN"/>
              </w:rPr>
            </w:pPr>
          </w:p>
        </w:tc>
      </w:tr>
      <w:tr w14:paraId="68E0D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righ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4FFB5">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D990E">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auto"/>
                <w:sz w:val="18"/>
                <w:szCs w:val="18"/>
                <w:u w:val="none"/>
                <w:lang w:eastAsia="zh-CN"/>
              </w:rPr>
            </w:pPr>
            <w:r>
              <w:rPr>
                <w:rFonts w:hint="default" w:ascii="Times New Roman" w:hAnsi="Times New Roman" w:eastAsia="宋体" w:cs="Times New Roman"/>
                <w:i w:val="0"/>
                <w:iCs w:val="0"/>
                <w:snapToGrid/>
                <w:color w:val="auto"/>
                <w:kern w:val="0"/>
                <w:sz w:val="18"/>
                <w:szCs w:val="18"/>
                <w:u w:val="none"/>
                <w:lang w:val="en-US" w:eastAsia="zh-CN" w:bidi="ar"/>
              </w:rPr>
              <w:t>取水点代表性</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86D5C">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auto"/>
                <w:sz w:val="18"/>
                <w:szCs w:val="18"/>
                <w:u w:val="none"/>
                <w:lang w:eastAsia="zh-CN"/>
              </w:rPr>
            </w:pPr>
            <w:r>
              <w:rPr>
                <w:rFonts w:hint="default" w:ascii="Times New Roman" w:hAnsi="Times New Roman" w:eastAsia="宋体" w:cs="Times New Roman"/>
                <w:i w:val="0"/>
                <w:iCs w:val="0"/>
                <w:snapToGrid/>
                <w:color w:val="auto"/>
                <w:kern w:val="0"/>
                <w:sz w:val="18"/>
                <w:szCs w:val="18"/>
                <w:u w:val="none"/>
                <w:lang w:val="en-US" w:eastAsia="zh-CN" w:bidi="ar"/>
              </w:rPr>
              <w:t>浮筒取水口位置不具备代表性（包括采水口受干扰、采水泵靠岸不处理等）的，分数视现场检查情况打0-2分。</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ED8A8">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auto"/>
                <w:sz w:val="18"/>
                <w:szCs w:val="18"/>
                <w:u w:val="none"/>
                <w:lang w:eastAsia="zh-CN"/>
              </w:rPr>
            </w:pPr>
            <w:r>
              <w:rPr>
                <w:rFonts w:hint="default" w:ascii="Times New Roman" w:hAnsi="Times New Roman" w:eastAsia="宋体" w:cs="Times New Roman"/>
                <w:b/>
                <w:bCs/>
                <w:i w:val="0"/>
                <w:iCs w:val="0"/>
                <w:snapToGrid/>
                <w:color w:val="auto"/>
                <w:kern w:val="0"/>
                <w:sz w:val="18"/>
                <w:szCs w:val="18"/>
                <w:u w:val="none"/>
                <w:lang w:val="en-US" w:eastAsia="zh-CN" w:bidi="ar"/>
              </w:rPr>
              <w:t>2</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B1432">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1CD32">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r>
      <w:tr w14:paraId="133DA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1" w:hRule="atLeast"/>
          <w:jc w:val="righ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9BBCD">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20252">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auto"/>
                <w:sz w:val="18"/>
                <w:szCs w:val="18"/>
                <w:u w:val="none"/>
                <w:lang w:eastAsia="zh-CN"/>
              </w:rPr>
            </w:pPr>
            <w:r>
              <w:rPr>
                <w:rFonts w:hint="default" w:ascii="Times New Roman" w:hAnsi="Times New Roman" w:eastAsia="宋体" w:cs="Times New Roman"/>
                <w:i w:val="0"/>
                <w:iCs w:val="0"/>
                <w:snapToGrid/>
                <w:color w:val="auto"/>
                <w:kern w:val="0"/>
                <w:sz w:val="18"/>
                <w:szCs w:val="18"/>
                <w:u w:val="none"/>
                <w:lang w:val="en-US" w:eastAsia="zh-CN" w:bidi="ar"/>
              </w:rPr>
              <w:t>自动分析仪</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8198C">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auto"/>
                <w:sz w:val="18"/>
                <w:szCs w:val="18"/>
                <w:u w:val="none"/>
                <w:lang w:eastAsia="zh-CN"/>
              </w:rPr>
            </w:pPr>
            <w:r>
              <w:rPr>
                <w:rFonts w:hint="default" w:ascii="Times New Roman" w:hAnsi="Times New Roman" w:eastAsia="宋体" w:cs="Times New Roman"/>
                <w:i w:val="0"/>
                <w:iCs w:val="0"/>
                <w:snapToGrid/>
                <w:color w:val="auto"/>
                <w:kern w:val="0"/>
                <w:sz w:val="18"/>
                <w:szCs w:val="18"/>
                <w:u w:val="none"/>
                <w:lang w:val="en-US" w:eastAsia="zh-CN" w:bidi="ar"/>
              </w:rPr>
              <w:t>查看仪器的运行状态和主要技术参数，判断运行是否正常；定期清洗和更换试剂（标签清晰内容完整），更换易耗品，定期校准仪器。要求留样器正常工作。分数视现场检查情况打0-2分。试剂过期0分。</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FF91B">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auto"/>
                <w:sz w:val="18"/>
                <w:szCs w:val="18"/>
                <w:u w:val="none"/>
                <w:lang w:eastAsia="zh-CN"/>
              </w:rPr>
            </w:pPr>
            <w:r>
              <w:rPr>
                <w:rFonts w:hint="default" w:ascii="Times New Roman" w:hAnsi="Times New Roman" w:eastAsia="宋体" w:cs="Times New Roman"/>
                <w:b/>
                <w:bCs/>
                <w:i w:val="0"/>
                <w:iCs w:val="0"/>
                <w:snapToGrid/>
                <w:color w:val="auto"/>
                <w:kern w:val="0"/>
                <w:sz w:val="18"/>
                <w:szCs w:val="18"/>
                <w:u w:val="none"/>
                <w:lang w:val="en-US" w:eastAsia="zh-CN" w:bidi="ar"/>
              </w:rPr>
              <w:t>2</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C52C4">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CE23E">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r>
      <w:tr w14:paraId="3AA2E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righ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0403A">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05228">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auto"/>
                <w:sz w:val="18"/>
                <w:szCs w:val="18"/>
                <w:u w:val="none"/>
                <w:lang w:eastAsia="zh-CN"/>
              </w:rPr>
            </w:pPr>
            <w:r>
              <w:rPr>
                <w:rFonts w:hint="default" w:ascii="Times New Roman" w:hAnsi="Times New Roman" w:eastAsia="宋体" w:cs="Times New Roman"/>
                <w:i w:val="0"/>
                <w:iCs w:val="0"/>
                <w:snapToGrid/>
                <w:color w:val="auto"/>
                <w:kern w:val="0"/>
                <w:sz w:val="18"/>
                <w:szCs w:val="18"/>
                <w:u w:val="none"/>
                <w:lang w:val="en-US" w:eastAsia="zh-CN" w:bidi="ar"/>
              </w:rPr>
              <w:t>电路、仪器传输</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1378D">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auto"/>
                <w:sz w:val="18"/>
                <w:szCs w:val="18"/>
                <w:u w:val="none"/>
                <w:lang w:eastAsia="zh-CN"/>
              </w:rPr>
            </w:pPr>
            <w:r>
              <w:rPr>
                <w:rFonts w:hint="default" w:ascii="Times New Roman" w:hAnsi="Times New Roman" w:eastAsia="宋体" w:cs="Times New Roman"/>
                <w:i w:val="0"/>
                <w:iCs w:val="0"/>
                <w:snapToGrid/>
                <w:color w:val="auto"/>
                <w:kern w:val="0"/>
                <w:sz w:val="18"/>
                <w:szCs w:val="18"/>
                <w:u w:val="none"/>
                <w:lang w:val="en-US" w:eastAsia="zh-CN" w:bidi="ar"/>
              </w:rPr>
              <w:t>保持电路、仪器联网传输系统正常工作，定期检查上传至平台数据和现场监测仪器数据的一致性。数据传输率≥90%的得</w:t>
            </w:r>
            <w:r>
              <w:rPr>
                <w:rFonts w:hint="eastAsia" w:ascii="Times New Roman" w:hAnsi="Times New Roman" w:eastAsia="宋体" w:cs="Times New Roman"/>
                <w:i w:val="0"/>
                <w:iCs w:val="0"/>
                <w:snapToGrid/>
                <w:color w:val="auto"/>
                <w:kern w:val="0"/>
                <w:sz w:val="18"/>
                <w:szCs w:val="18"/>
                <w:u w:val="none"/>
                <w:lang w:val="en-US" w:eastAsia="zh-CN" w:bidi="ar"/>
              </w:rPr>
              <w:t>1</w:t>
            </w:r>
            <w:r>
              <w:rPr>
                <w:rFonts w:hint="default" w:ascii="Times New Roman" w:hAnsi="Times New Roman" w:eastAsia="宋体" w:cs="Times New Roman"/>
                <w:i w:val="0"/>
                <w:iCs w:val="0"/>
                <w:snapToGrid/>
                <w:color w:val="auto"/>
                <w:kern w:val="0"/>
                <w:sz w:val="18"/>
                <w:szCs w:val="18"/>
                <w:u w:val="none"/>
                <w:lang w:val="en-US" w:eastAsia="zh-CN" w:bidi="ar"/>
              </w:rPr>
              <w:t>分，数据传输率＜90%的，视实际情况打0-1分。</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659D4">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auto"/>
                <w:sz w:val="18"/>
                <w:szCs w:val="18"/>
                <w:u w:val="none"/>
                <w:lang w:val="en-US" w:eastAsia="zh-CN"/>
              </w:rPr>
            </w:pPr>
            <w:r>
              <w:rPr>
                <w:rFonts w:hint="default" w:ascii="Times New Roman" w:hAnsi="Times New Roman" w:eastAsia="宋体" w:cs="Times New Roman"/>
                <w:b/>
                <w:bCs/>
                <w:i w:val="0"/>
                <w:iCs w:val="0"/>
                <w:snapToGrid/>
                <w:color w:val="auto"/>
                <w:sz w:val="18"/>
                <w:szCs w:val="18"/>
                <w:u w:val="none"/>
                <w:lang w:val="en-US" w:eastAsia="zh-CN"/>
              </w:rPr>
              <w:t>1</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B31B4">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B1A7C">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r>
      <w:tr w14:paraId="3082F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 w:hRule="atLeast"/>
          <w:jc w:val="righ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5BBF5">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C04C4">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center"/>
              <w:textAlignment w:val="center"/>
              <w:rPr>
                <w:rFonts w:hint="default" w:ascii="Times New Roman" w:hAnsi="Times New Roman" w:eastAsia="宋体" w:cs="Times New Roman"/>
                <w:i w:val="0"/>
                <w:iCs w:val="0"/>
                <w:snapToGrid/>
                <w:color w:val="auto"/>
                <w:sz w:val="18"/>
                <w:szCs w:val="18"/>
                <w:u w:val="none"/>
                <w:lang w:eastAsia="zh-CN"/>
              </w:rPr>
            </w:pPr>
            <w:r>
              <w:rPr>
                <w:rFonts w:hint="default" w:ascii="Times New Roman" w:hAnsi="Times New Roman" w:eastAsia="宋体" w:cs="Times New Roman"/>
                <w:i w:val="0"/>
                <w:iCs w:val="0"/>
                <w:snapToGrid/>
                <w:color w:val="auto"/>
                <w:kern w:val="0"/>
                <w:sz w:val="18"/>
                <w:szCs w:val="18"/>
                <w:u w:val="none"/>
                <w:lang w:val="en-US" w:eastAsia="zh-CN" w:bidi="ar"/>
              </w:rPr>
              <w:t>废液处理</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C184A">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auto"/>
                <w:sz w:val="18"/>
                <w:szCs w:val="18"/>
                <w:u w:val="none"/>
                <w:lang w:eastAsia="zh-CN"/>
              </w:rPr>
            </w:pPr>
            <w:r>
              <w:rPr>
                <w:rFonts w:hint="default" w:ascii="Times New Roman" w:hAnsi="Times New Roman" w:eastAsia="宋体" w:cs="Times New Roman"/>
                <w:i w:val="0"/>
                <w:iCs w:val="0"/>
                <w:snapToGrid/>
                <w:color w:val="auto"/>
                <w:kern w:val="0"/>
                <w:sz w:val="18"/>
                <w:szCs w:val="18"/>
                <w:u w:val="none"/>
                <w:lang w:val="en-US" w:eastAsia="zh-CN" w:bidi="ar"/>
              </w:rPr>
              <w:t>做好废液收集并妥善处理处置废液，废液桶标识清晰，分数视现场检查情况打0-4分。废液放置站房外长期存放打0分。</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052DB">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auto"/>
                <w:sz w:val="18"/>
                <w:szCs w:val="18"/>
                <w:u w:val="none"/>
                <w:lang w:eastAsia="zh-CN"/>
              </w:rPr>
            </w:pPr>
            <w:r>
              <w:rPr>
                <w:rFonts w:hint="default" w:ascii="Times New Roman" w:hAnsi="Times New Roman" w:eastAsia="宋体" w:cs="Times New Roman"/>
                <w:b/>
                <w:bCs/>
                <w:i w:val="0"/>
                <w:iCs w:val="0"/>
                <w:snapToGrid/>
                <w:color w:val="auto"/>
                <w:kern w:val="0"/>
                <w:sz w:val="18"/>
                <w:szCs w:val="18"/>
                <w:u w:val="none"/>
                <w:lang w:val="en-US" w:eastAsia="zh-CN" w:bidi="ar"/>
              </w:rPr>
              <w:t>4</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916E5">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97F63">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r>
      <w:tr w14:paraId="0E0D8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right"/>
        </w:trPr>
        <w:tc>
          <w:tcPr>
            <w:tcW w:w="1110" w:type="dxa"/>
            <w:vMerge w:val="restart"/>
            <w:tcBorders>
              <w:top w:val="single" w:color="000000" w:sz="4" w:space="0"/>
              <w:left w:val="single" w:color="000000" w:sz="4" w:space="0"/>
              <w:right w:val="single" w:color="000000" w:sz="4" w:space="0"/>
            </w:tcBorders>
            <w:shd w:val="clear" w:color="auto" w:fill="auto"/>
            <w:vAlign w:val="center"/>
          </w:tcPr>
          <w:p w14:paraId="316D6438">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auto"/>
                <w:sz w:val="18"/>
                <w:szCs w:val="18"/>
                <w:u w:val="none"/>
                <w:lang w:eastAsia="zh-CN"/>
              </w:rPr>
            </w:pPr>
            <w:r>
              <w:rPr>
                <w:rFonts w:hint="default" w:ascii="Times New Roman" w:hAnsi="Times New Roman" w:eastAsia="宋体" w:cs="Times New Roman"/>
                <w:i w:val="0"/>
                <w:iCs w:val="0"/>
                <w:snapToGrid/>
                <w:color w:val="auto"/>
                <w:kern w:val="0"/>
                <w:sz w:val="18"/>
                <w:szCs w:val="18"/>
                <w:u w:val="none"/>
                <w:lang w:val="en-US" w:eastAsia="zh-CN" w:bidi="ar"/>
              </w:rPr>
              <w:t>运行与日常维护（10</w:t>
            </w:r>
            <w:r>
              <w:rPr>
                <w:rFonts w:hint="default" w:ascii="Times New Roman" w:hAnsi="Times New Roman" w:eastAsia="宋体" w:cs="Times New Roman"/>
                <w:b/>
                <w:bCs/>
                <w:i w:val="0"/>
                <w:iCs w:val="0"/>
                <w:snapToGrid/>
                <w:color w:val="auto"/>
                <w:kern w:val="0"/>
                <w:sz w:val="18"/>
                <w:szCs w:val="18"/>
                <w:u w:val="none"/>
                <w:lang w:val="en-US" w:eastAsia="zh-CN" w:bidi="ar"/>
              </w:rPr>
              <w:t>分</w:t>
            </w:r>
            <w:r>
              <w:rPr>
                <w:rFonts w:hint="default" w:ascii="Times New Roman" w:hAnsi="Times New Roman" w:eastAsia="宋体" w:cs="Times New Roman"/>
                <w:i w:val="0"/>
                <w:iCs w:val="0"/>
                <w:snapToGrid/>
                <w:color w:val="auto"/>
                <w:kern w:val="0"/>
                <w:sz w:val="18"/>
                <w:szCs w:val="18"/>
                <w:u w:val="none"/>
                <w:lang w:val="en-US" w:eastAsia="zh-CN" w:bidi="ar"/>
              </w:rPr>
              <w:t>）</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07F64">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auto"/>
                <w:sz w:val="18"/>
                <w:szCs w:val="18"/>
                <w:u w:val="none"/>
                <w:lang w:eastAsia="zh-CN"/>
              </w:rPr>
            </w:pPr>
            <w:r>
              <w:rPr>
                <w:rFonts w:hint="default" w:ascii="Times New Roman" w:hAnsi="Times New Roman" w:eastAsia="宋体" w:cs="Times New Roman"/>
                <w:i w:val="0"/>
                <w:iCs w:val="0"/>
                <w:snapToGrid/>
                <w:color w:val="auto"/>
                <w:kern w:val="0"/>
                <w:sz w:val="18"/>
                <w:szCs w:val="18"/>
                <w:u w:val="none"/>
                <w:lang w:val="en-US" w:eastAsia="zh-CN" w:bidi="ar"/>
              </w:rPr>
              <w:t>监测数据审核和管理</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7B2DD">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auto"/>
                <w:sz w:val="18"/>
                <w:szCs w:val="18"/>
                <w:u w:val="none"/>
                <w:lang w:eastAsia="zh-CN"/>
              </w:rPr>
            </w:pPr>
            <w:r>
              <w:rPr>
                <w:rFonts w:hint="default" w:ascii="Times New Roman" w:hAnsi="Times New Roman" w:eastAsia="宋体" w:cs="Times New Roman"/>
                <w:i w:val="0"/>
                <w:iCs w:val="0"/>
                <w:snapToGrid/>
                <w:color w:val="auto"/>
                <w:kern w:val="0"/>
                <w:sz w:val="18"/>
                <w:szCs w:val="18"/>
                <w:u w:val="none"/>
                <w:lang w:val="en-US" w:eastAsia="zh-CN" w:bidi="ar"/>
              </w:rPr>
              <w:t>安排专人专职负责管理和监控数据，每日对数据进行审核并标记核实异常和无效数据，超标数据必须核实原因并及时汇报。分数视现场检查情况打0-2分。</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3647E">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auto"/>
                <w:sz w:val="18"/>
                <w:szCs w:val="18"/>
                <w:u w:val="none"/>
                <w:lang w:eastAsia="zh-CN"/>
              </w:rPr>
            </w:pPr>
            <w:r>
              <w:rPr>
                <w:rFonts w:hint="default" w:ascii="Times New Roman" w:hAnsi="Times New Roman" w:eastAsia="宋体" w:cs="Times New Roman"/>
                <w:b/>
                <w:bCs/>
                <w:i w:val="0"/>
                <w:iCs w:val="0"/>
                <w:snapToGrid/>
                <w:color w:val="auto"/>
                <w:kern w:val="0"/>
                <w:sz w:val="18"/>
                <w:szCs w:val="18"/>
                <w:u w:val="none"/>
                <w:lang w:val="en-US" w:eastAsia="zh-CN" w:bidi="ar"/>
              </w:rPr>
              <w:t>2</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55EF7">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6A21D">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r>
      <w:tr w14:paraId="78E92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right"/>
        </w:trPr>
        <w:tc>
          <w:tcPr>
            <w:tcW w:w="1110" w:type="dxa"/>
            <w:vMerge w:val="continue"/>
            <w:tcBorders>
              <w:left w:val="single" w:color="000000" w:sz="4" w:space="0"/>
              <w:right w:val="single" w:color="000000" w:sz="4" w:space="0"/>
            </w:tcBorders>
            <w:shd w:val="clear" w:color="auto" w:fill="auto"/>
            <w:vAlign w:val="center"/>
          </w:tcPr>
          <w:p w14:paraId="03C8A2CD">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D8C8D">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auto"/>
                <w:sz w:val="18"/>
                <w:szCs w:val="18"/>
                <w:u w:val="none"/>
                <w:lang w:eastAsia="zh-CN"/>
              </w:rPr>
            </w:pPr>
            <w:r>
              <w:rPr>
                <w:rFonts w:hint="default" w:ascii="Times New Roman" w:hAnsi="Times New Roman" w:eastAsia="宋体" w:cs="Times New Roman"/>
                <w:i w:val="0"/>
                <w:iCs w:val="0"/>
                <w:snapToGrid/>
                <w:color w:val="auto"/>
                <w:kern w:val="0"/>
                <w:sz w:val="18"/>
                <w:szCs w:val="18"/>
                <w:u w:val="none"/>
                <w:lang w:val="en-US" w:eastAsia="zh-CN" w:bidi="ar"/>
              </w:rPr>
              <w:t>人员配备</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4C639">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b w:val="0"/>
                <w:bCs w:val="0"/>
                <w:i w:val="0"/>
                <w:iCs w:val="0"/>
                <w:snapToGrid/>
                <w:color w:val="auto"/>
                <w:sz w:val="18"/>
                <w:szCs w:val="18"/>
                <w:u w:val="none"/>
                <w:lang w:eastAsia="zh-CN"/>
              </w:rPr>
            </w:pPr>
            <w:r>
              <w:rPr>
                <w:rFonts w:hint="default" w:ascii="Times New Roman" w:hAnsi="Times New Roman" w:eastAsia="宋体" w:cs="Times New Roman"/>
                <w:b w:val="0"/>
                <w:bCs w:val="0"/>
                <w:i w:val="0"/>
                <w:iCs w:val="0"/>
                <w:snapToGrid/>
                <w:color w:val="auto"/>
                <w:kern w:val="0"/>
                <w:sz w:val="18"/>
                <w:szCs w:val="18"/>
                <w:u w:val="none"/>
                <w:lang w:val="en-US" w:eastAsia="zh-CN" w:bidi="ar"/>
              </w:rPr>
              <w:t>每2个水站至少指定1人专职负责运维工作，视实际情况打0-1分。</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441F3">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auto"/>
                <w:sz w:val="18"/>
                <w:szCs w:val="18"/>
                <w:u w:val="none"/>
                <w:lang w:eastAsia="zh-CN"/>
              </w:rPr>
            </w:pPr>
            <w:r>
              <w:rPr>
                <w:rFonts w:hint="default" w:ascii="Times New Roman" w:hAnsi="Times New Roman" w:eastAsia="宋体" w:cs="Times New Roman"/>
                <w:b/>
                <w:bCs/>
                <w:i w:val="0"/>
                <w:iCs w:val="0"/>
                <w:snapToGrid/>
                <w:color w:val="auto"/>
                <w:kern w:val="0"/>
                <w:sz w:val="18"/>
                <w:szCs w:val="18"/>
                <w:u w:val="none"/>
                <w:lang w:val="en-US" w:eastAsia="zh-CN" w:bidi="ar"/>
              </w:rPr>
              <w:t>1</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EF0D7">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0E785">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r>
      <w:tr w14:paraId="0F33D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right"/>
        </w:trPr>
        <w:tc>
          <w:tcPr>
            <w:tcW w:w="1110" w:type="dxa"/>
            <w:vMerge w:val="continue"/>
            <w:tcBorders>
              <w:left w:val="single" w:color="000000" w:sz="4" w:space="0"/>
              <w:right w:val="single" w:color="000000" w:sz="4" w:space="0"/>
            </w:tcBorders>
            <w:shd w:val="clear" w:color="auto" w:fill="auto"/>
            <w:vAlign w:val="center"/>
          </w:tcPr>
          <w:p w14:paraId="16BFFBBB">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52595">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auto"/>
                <w:sz w:val="18"/>
                <w:szCs w:val="18"/>
                <w:u w:val="none"/>
                <w:lang w:eastAsia="zh-CN"/>
              </w:rPr>
            </w:pPr>
            <w:r>
              <w:rPr>
                <w:rFonts w:hint="default" w:ascii="Times New Roman" w:hAnsi="Times New Roman" w:eastAsia="宋体" w:cs="Times New Roman"/>
                <w:i w:val="0"/>
                <w:iCs w:val="0"/>
                <w:snapToGrid/>
                <w:color w:val="auto"/>
                <w:kern w:val="0"/>
                <w:sz w:val="18"/>
                <w:szCs w:val="18"/>
                <w:u w:val="none"/>
                <w:lang w:val="en-US" w:eastAsia="zh-CN" w:bidi="ar"/>
              </w:rPr>
              <w:t>车辆、备机</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DF955">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b w:val="0"/>
                <w:bCs w:val="0"/>
                <w:i w:val="0"/>
                <w:iCs w:val="0"/>
                <w:snapToGrid/>
                <w:color w:val="auto"/>
                <w:sz w:val="18"/>
                <w:szCs w:val="18"/>
                <w:u w:val="none"/>
                <w:lang w:val="en-US" w:eastAsia="zh-CN"/>
              </w:rPr>
            </w:pPr>
            <w:r>
              <w:rPr>
                <w:rFonts w:hint="default" w:ascii="Times New Roman" w:hAnsi="Times New Roman" w:eastAsia="宋体" w:cs="Times New Roman"/>
                <w:b w:val="0"/>
                <w:bCs w:val="0"/>
                <w:i w:val="0"/>
                <w:iCs w:val="0"/>
                <w:snapToGrid/>
                <w:color w:val="auto"/>
                <w:kern w:val="0"/>
                <w:sz w:val="18"/>
                <w:szCs w:val="18"/>
                <w:u w:val="none"/>
                <w:lang w:val="en-US" w:eastAsia="zh-CN" w:bidi="ar"/>
              </w:rPr>
              <w:t>配备1辆运维专用车辆，配备1套备机，视实际情况打0-2分。</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45F9C">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auto"/>
                <w:sz w:val="18"/>
                <w:szCs w:val="18"/>
                <w:u w:val="none"/>
                <w:lang w:val="en-US" w:eastAsia="zh-CN"/>
              </w:rPr>
            </w:pPr>
            <w:r>
              <w:rPr>
                <w:rFonts w:hint="default" w:ascii="Times New Roman" w:hAnsi="Times New Roman" w:eastAsia="宋体" w:cs="Times New Roman"/>
                <w:b/>
                <w:bCs/>
                <w:i w:val="0"/>
                <w:iCs w:val="0"/>
                <w:snapToGrid/>
                <w:color w:val="auto"/>
                <w:sz w:val="18"/>
                <w:szCs w:val="18"/>
                <w:u w:val="none"/>
                <w:lang w:val="en-US" w:eastAsia="zh-CN"/>
              </w:rPr>
              <w:t>2</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BF946">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F7EEF">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r>
      <w:tr w14:paraId="3D866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 w:hRule="atLeast"/>
          <w:jc w:val="right"/>
        </w:trPr>
        <w:tc>
          <w:tcPr>
            <w:tcW w:w="1110" w:type="dxa"/>
            <w:vMerge w:val="continue"/>
            <w:tcBorders>
              <w:left w:val="single" w:color="000000" w:sz="4" w:space="0"/>
              <w:right w:val="single" w:color="000000" w:sz="4" w:space="0"/>
            </w:tcBorders>
            <w:shd w:val="clear" w:color="auto" w:fill="auto"/>
            <w:vAlign w:val="center"/>
          </w:tcPr>
          <w:p w14:paraId="25AE4D29">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E664E">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auto"/>
                <w:kern w:val="2"/>
                <w:sz w:val="18"/>
                <w:szCs w:val="18"/>
                <w:u w:val="none"/>
                <w:lang w:val="en-US" w:eastAsia="zh-CN" w:bidi="ar-SA"/>
              </w:rPr>
            </w:pPr>
            <w:r>
              <w:rPr>
                <w:rFonts w:hint="default" w:ascii="Times New Roman" w:hAnsi="Times New Roman" w:eastAsia="宋体" w:cs="Times New Roman"/>
                <w:i w:val="0"/>
                <w:iCs w:val="0"/>
                <w:snapToGrid/>
                <w:color w:val="auto"/>
                <w:kern w:val="0"/>
                <w:sz w:val="18"/>
                <w:szCs w:val="18"/>
                <w:u w:val="none"/>
                <w:lang w:val="en-US" w:eastAsia="zh-CN" w:bidi="ar"/>
              </w:rPr>
              <w:t>基础保障、耗材、备品备件</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79253">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b w:val="0"/>
                <w:bCs w:val="0"/>
                <w:i w:val="0"/>
                <w:iCs w:val="0"/>
                <w:snapToGrid/>
                <w:color w:val="auto"/>
                <w:kern w:val="2"/>
                <w:sz w:val="18"/>
                <w:szCs w:val="18"/>
                <w:u w:val="none"/>
                <w:lang w:val="en-US" w:eastAsia="zh-CN" w:bidi="ar-SA"/>
              </w:rPr>
            </w:pPr>
            <w:r>
              <w:rPr>
                <w:rFonts w:hint="default" w:ascii="Times New Roman" w:hAnsi="Times New Roman" w:eastAsia="宋体" w:cs="Times New Roman"/>
                <w:b w:val="0"/>
                <w:bCs w:val="0"/>
                <w:i w:val="0"/>
                <w:iCs w:val="0"/>
                <w:snapToGrid/>
                <w:color w:val="auto"/>
                <w:kern w:val="0"/>
                <w:sz w:val="18"/>
                <w:szCs w:val="18"/>
                <w:u w:val="none"/>
                <w:lang w:val="en-US" w:eastAsia="zh-CN" w:bidi="ar"/>
              </w:rPr>
              <w:t>做好水站基础保障，仓库必须储备有充足的常用试剂、耗材、备品备件并规范管理，分数视现场检查情况打0-</w:t>
            </w:r>
            <w:r>
              <w:rPr>
                <w:rFonts w:hint="eastAsia" w:ascii="Times New Roman" w:hAnsi="Times New Roman" w:eastAsia="宋体" w:cs="Times New Roman"/>
                <w:b w:val="0"/>
                <w:bCs w:val="0"/>
                <w:i w:val="0"/>
                <w:iCs w:val="0"/>
                <w:snapToGrid/>
                <w:color w:val="auto"/>
                <w:kern w:val="0"/>
                <w:sz w:val="18"/>
                <w:szCs w:val="18"/>
                <w:u w:val="none"/>
                <w:lang w:val="en-US" w:eastAsia="zh-CN" w:bidi="ar"/>
              </w:rPr>
              <w:t>1</w:t>
            </w:r>
            <w:r>
              <w:rPr>
                <w:rFonts w:hint="default" w:ascii="Times New Roman" w:hAnsi="Times New Roman" w:eastAsia="宋体" w:cs="Times New Roman"/>
                <w:b w:val="0"/>
                <w:bCs w:val="0"/>
                <w:i w:val="0"/>
                <w:iCs w:val="0"/>
                <w:snapToGrid/>
                <w:color w:val="auto"/>
                <w:kern w:val="0"/>
                <w:sz w:val="18"/>
                <w:szCs w:val="18"/>
                <w:u w:val="none"/>
                <w:lang w:val="en-US" w:eastAsia="zh-CN" w:bidi="ar"/>
              </w:rPr>
              <w:t>分，故障更换备品备件时间超过2天或管路污染严重的情况都打0分。</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69143">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auto"/>
                <w:sz w:val="18"/>
                <w:szCs w:val="18"/>
                <w:u w:val="none"/>
                <w:lang w:val="en-US" w:eastAsia="zh-CN"/>
              </w:rPr>
            </w:pPr>
            <w:r>
              <w:rPr>
                <w:rFonts w:hint="default" w:ascii="Times New Roman" w:hAnsi="Times New Roman" w:eastAsia="宋体" w:cs="Times New Roman"/>
                <w:b/>
                <w:bCs/>
                <w:i w:val="0"/>
                <w:iCs w:val="0"/>
                <w:snapToGrid/>
                <w:color w:val="auto"/>
                <w:sz w:val="18"/>
                <w:szCs w:val="18"/>
                <w:u w:val="none"/>
                <w:lang w:val="en-US" w:eastAsia="zh-CN"/>
              </w:rPr>
              <w:t>1</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412B0">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1FD1F">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r>
      <w:tr w14:paraId="64132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jc w:val="right"/>
        </w:trPr>
        <w:tc>
          <w:tcPr>
            <w:tcW w:w="1110" w:type="dxa"/>
            <w:vMerge w:val="continue"/>
            <w:tcBorders>
              <w:left w:val="single" w:color="000000" w:sz="4" w:space="0"/>
              <w:bottom w:val="single" w:color="000000" w:sz="4" w:space="0"/>
              <w:right w:val="single" w:color="000000" w:sz="4" w:space="0"/>
            </w:tcBorders>
            <w:shd w:val="clear" w:color="auto" w:fill="auto"/>
            <w:vAlign w:val="center"/>
          </w:tcPr>
          <w:p w14:paraId="50BCBB65">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73EC3">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auto"/>
                <w:kern w:val="2"/>
                <w:sz w:val="18"/>
                <w:szCs w:val="18"/>
                <w:u w:val="none"/>
                <w:lang w:val="en-US" w:eastAsia="zh-CN" w:bidi="ar-SA"/>
              </w:rPr>
            </w:pPr>
            <w:r>
              <w:rPr>
                <w:rFonts w:hint="default" w:ascii="Times New Roman" w:hAnsi="Times New Roman" w:eastAsia="宋体" w:cs="Times New Roman"/>
                <w:i w:val="0"/>
                <w:iCs w:val="0"/>
                <w:snapToGrid/>
                <w:color w:val="auto"/>
                <w:kern w:val="0"/>
                <w:sz w:val="18"/>
                <w:szCs w:val="18"/>
                <w:u w:val="none"/>
                <w:lang w:val="en-US" w:eastAsia="zh-CN" w:bidi="ar"/>
              </w:rPr>
              <w:t>异常情况响应速度</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62149">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b w:val="0"/>
                <w:bCs w:val="0"/>
                <w:i w:val="0"/>
                <w:iCs w:val="0"/>
                <w:snapToGrid/>
                <w:color w:val="auto"/>
                <w:kern w:val="2"/>
                <w:sz w:val="18"/>
                <w:szCs w:val="18"/>
                <w:u w:val="none"/>
                <w:lang w:val="en-US" w:eastAsia="zh-CN" w:bidi="ar-SA"/>
              </w:rPr>
            </w:pPr>
            <w:r>
              <w:rPr>
                <w:rFonts w:hint="default" w:ascii="Times New Roman" w:hAnsi="Times New Roman" w:eastAsia="宋体" w:cs="Times New Roman"/>
                <w:b w:val="0"/>
                <w:bCs w:val="0"/>
                <w:i w:val="0"/>
                <w:iCs w:val="0"/>
                <w:snapToGrid/>
                <w:color w:val="auto"/>
                <w:kern w:val="0"/>
                <w:sz w:val="18"/>
                <w:szCs w:val="18"/>
                <w:u w:val="none"/>
                <w:lang w:val="en-US" w:eastAsia="zh-CN" w:bidi="ar"/>
              </w:rPr>
              <w:t>仪器设备出现异常或故障时须在4小时内响应，立即向采购方汇报，并在24小时内解决，且更换设备或修复后的仪器在运行之前按规定进行必要的检测和校准，各项指标达到要求。分数视现场检查情况打0-4分。有异常、超标、故障或紧急情况未汇报至少扣3分。</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5E52D">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auto"/>
                <w:kern w:val="0"/>
                <w:sz w:val="18"/>
                <w:szCs w:val="18"/>
                <w:u w:val="none"/>
                <w:lang w:val="en-US" w:eastAsia="zh-CN" w:bidi="ar"/>
              </w:rPr>
            </w:pPr>
            <w:r>
              <w:rPr>
                <w:rFonts w:hint="default" w:ascii="Times New Roman" w:hAnsi="Times New Roman" w:eastAsia="宋体" w:cs="Times New Roman"/>
                <w:b/>
                <w:bCs/>
                <w:i w:val="0"/>
                <w:iCs w:val="0"/>
                <w:snapToGrid/>
                <w:color w:val="auto"/>
                <w:kern w:val="0"/>
                <w:sz w:val="18"/>
                <w:szCs w:val="18"/>
                <w:u w:val="none"/>
                <w:lang w:val="en-US" w:eastAsia="zh-CN" w:bidi="ar"/>
              </w:rPr>
              <w:t>4</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26775">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40DEE">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r>
      <w:tr w14:paraId="53537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right"/>
        </w:trPr>
        <w:tc>
          <w:tcPr>
            <w:tcW w:w="1110" w:type="dxa"/>
            <w:vMerge w:val="restart"/>
            <w:tcBorders>
              <w:top w:val="single" w:color="000000" w:sz="4" w:space="0"/>
              <w:left w:val="single" w:color="000000" w:sz="4" w:space="0"/>
              <w:right w:val="single" w:color="000000" w:sz="4" w:space="0"/>
            </w:tcBorders>
            <w:shd w:val="clear" w:color="auto" w:fill="auto"/>
            <w:vAlign w:val="center"/>
          </w:tcPr>
          <w:p w14:paraId="4D40CB69">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auto"/>
                <w:sz w:val="18"/>
                <w:szCs w:val="18"/>
                <w:u w:val="none"/>
                <w:lang w:eastAsia="zh-CN"/>
              </w:rPr>
            </w:pPr>
            <w:r>
              <w:rPr>
                <w:rFonts w:hint="default" w:ascii="Times New Roman" w:hAnsi="Times New Roman" w:eastAsia="宋体" w:cs="Times New Roman"/>
                <w:i w:val="0"/>
                <w:iCs w:val="0"/>
                <w:snapToGrid/>
                <w:color w:val="auto"/>
                <w:kern w:val="0"/>
                <w:sz w:val="18"/>
                <w:szCs w:val="18"/>
                <w:u w:val="none"/>
                <w:lang w:val="en-US" w:eastAsia="zh-CN" w:bidi="ar"/>
              </w:rPr>
              <w:t>仪器技术档案（6分）</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0C1D0">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auto"/>
                <w:sz w:val="18"/>
                <w:szCs w:val="18"/>
                <w:u w:val="none"/>
                <w:lang w:eastAsia="zh-CN"/>
              </w:rPr>
            </w:pPr>
            <w:r>
              <w:rPr>
                <w:rFonts w:hint="default" w:ascii="Times New Roman" w:hAnsi="Times New Roman" w:eastAsia="宋体" w:cs="Times New Roman"/>
                <w:i w:val="0"/>
                <w:iCs w:val="0"/>
                <w:snapToGrid/>
                <w:color w:val="auto"/>
                <w:kern w:val="0"/>
                <w:sz w:val="18"/>
                <w:szCs w:val="18"/>
                <w:u w:val="none"/>
                <w:lang w:val="en-US" w:eastAsia="zh-CN" w:bidi="ar"/>
              </w:rPr>
              <w:t>每周运维记录</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1AE1A">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auto"/>
                <w:sz w:val="18"/>
                <w:szCs w:val="18"/>
                <w:u w:val="none"/>
                <w:lang w:eastAsia="zh-CN"/>
              </w:rPr>
            </w:pPr>
            <w:r>
              <w:rPr>
                <w:rFonts w:hint="default" w:ascii="Times New Roman" w:hAnsi="Times New Roman" w:eastAsia="宋体" w:cs="Times New Roman"/>
                <w:i w:val="0"/>
                <w:iCs w:val="0"/>
                <w:snapToGrid/>
                <w:color w:val="auto"/>
                <w:kern w:val="0"/>
                <w:sz w:val="18"/>
                <w:szCs w:val="18"/>
                <w:u w:val="none"/>
                <w:lang w:val="en-US" w:eastAsia="zh-CN" w:bidi="ar"/>
              </w:rPr>
              <w:t>按要求在广西水环境监控平台填写记录清单、巡检汇总表、巡检表、校准核查表，并且记录清晰、完整，视现场情况打0-</w:t>
            </w:r>
            <w:r>
              <w:rPr>
                <w:rFonts w:hint="eastAsia" w:ascii="Times New Roman" w:hAnsi="Times New Roman" w:eastAsia="宋体" w:cs="Times New Roman"/>
                <w:i w:val="0"/>
                <w:iCs w:val="0"/>
                <w:snapToGrid/>
                <w:color w:val="auto"/>
                <w:kern w:val="0"/>
                <w:sz w:val="18"/>
                <w:szCs w:val="18"/>
                <w:u w:val="none"/>
                <w:lang w:val="en-US" w:eastAsia="zh-CN" w:bidi="ar"/>
              </w:rPr>
              <w:t>2</w:t>
            </w:r>
            <w:r>
              <w:rPr>
                <w:rFonts w:hint="default" w:ascii="Times New Roman" w:hAnsi="Times New Roman" w:eastAsia="宋体" w:cs="Times New Roman"/>
                <w:i w:val="0"/>
                <w:iCs w:val="0"/>
                <w:snapToGrid/>
                <w:color w:val="auto"/>
                <w:kern w:val="0"/>
                <w:sz w:val="18"/>
                <w:szCs w:val="18"/>
                <w:u w:val="none"/>
                <w:lang w:val="en-US" w:eastAsia="zh-CN" w:bidi="ar"/>
              </w:rPr>
              <w:t>分。</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0EDAC">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auto"/>
                <w:sz w:val="18"/>
                <w:szCs w:val="18"/>
                <w:u w:val="none"/>
                <w:lang w:val="en-US" w:eastAsia="zh-CN"/>
              </w:rPr>
            </w:pPr>
            <w:r>
              <w:rPr>
                <w:rFonts w:hint="default" w:ascii="Times New Roman" w:hAnsi="Times New Roman" w:eastAsia="宋体" w:cs="Times New Roman"/>
                <w:b/>
                <w:bCs/>
                <w:i w:val="0"/>
                <w:iCs w:val="0"/>
                <w:snapToGrid/>
                <w:color w:val="auto"/>
                <w:sz w:val="18"/>
                <w:szCs w:val="18"/>
                <w:u w:val="none"/>
                <w:lang w:val="en-US" w:eastAsia="zh-CN"/>
              </w:rPr>
              <w:t>2</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6BF6E">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AC7DA">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r>
      <w:tr w14:paraId="65107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right"/>
        </w:trPr>
        <w:tc>
          <w:tcPr>
            <w:tcW w:w="1110" w:type="dxa"/>
            <w:vMerge w:val="continue"/>
            <w:tcBorders>
              <w:left w:val="single" w:color="000000" w:sz="4" w:space="0"/>
              <w:right w:val="single" w:color="000000" w:sz="4" w:space="0"/>
            </w:tcBorders>
            <w:shd w:val="clear" w:color="auto" w:fill="auto"/>
            <w:vAlign w:val="center"/>
          </w:tcPr>
          <w:p w14:paraId="2432B370">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594D3">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auto"/>
                <w:sz w:val="18"/>
                <w:szCs w:val="18"/>
                <w:u w:val="none"/>
                <w:lang w:eastAsia="zh-CN"/>
              </w:rPr>
            </w:pPr>
            <w:r>
              <w:rPr>
                <w:rFonts w:hint="default" w:ascii="Times New Roman" w:hAnsi="Times New Roman" w:eastAsia="宋体" w:cs="Times New Roman"/>
                <w:i w:val="0"/>
                <w:iCs w:val="0"/>
                <w:snapToGrid/>
                <w:color w:val="auto"/>
                <w:kern w:val="0"/>
                <w:sz w:val="18"/>
                <w:szCs w:val="18"/>
                <w:u w:val="none"/>
                <w:lang w:val="en-US" w:eastAsia="zh-CN" w:bidi="ar"/>
              </w:rPr>
              <w:t>每月运维记录</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FF7AF">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auto"/>
                <w:sz w:val="18"/>
                <w:szCs w:val="18"/>
                <w:u w:val="none"/>
                <w:lang w:eastAsia="zh-CN"/>
              </w:rPr>
            </w:pPr>
            <w:r>
              <w:rPr>
                <w:rFonts w:hint="default" w:ascii="Times New Roman" w:hAnsi="Times New Roman" w:eastAsia="宋体" w:cs="Times New Roman"/>
                <w:i w:val="0"/>
                <w:iCs w:val="0"/>
                <w:snapToGrid/>
                <w:color w:val="auto"/>
                <w:kern w:val="0"/>
                <w:sz w:val="18"/>
                <w:szCs w:val="18"/>
                <w:u w:val="none"/>
                <w:lang w:val="en-US" w:eastAsia="zh-CN" w:bidi="ar"/>
              </w:rPr>
              <w:t>按要求在广西水环境监控平台填写设备检修、人员来访、参数设置、更换试剂、废液处置、耗材更换、多点线性、集成干扰、加标回收、试剂水样比对和月运维报告，并且记录清晰、完整，则视现场检查情况打0-</w:t>
            </w:r>
            <w:r>
              <w:rPr>
                <w:rFonts w:hint="eastAsia" w:ascii="Times New Roman" w:hAnsi="Times New Roman" w:eastAsia="宋体" w:cs="Times New Roman"/>
                <w:i w:val="0"/>
                <w:iCs w:val="0"/>
                <w:snapToGrid/>
                <w:color w:val="auto"/>
                <w:kern w:val="0"/>
                <w:sz w:val="18"/>
                <w:szCs w:val="18"/>
                <w:u w:val="none"/>
                <w:lang w:val="en-US" w:eastAsia="zh-CN" w:bidi="ar"/>
              </w:rPr>
              <w:t>2</w:t>
            </w:r>
            <w:r>
              <w:rPr>
                <w:rFonts w:hint="default" w:ascii="Times New Roman" w:hAnsi="Times New Roman" w:eastAsia="宋体" w:cs="Times New Roman"/>
                <w:i w:val="0"/>
                <w:iCs w:val="0"/>
                <w:snapToGrid/>
                <w:color w:val="auto"/>
                <w:kern w:val="0"/>
                <w:sz w:val="18"/>
                <w:szCs w:val="18"/>
                <w:u w:val="none"/>
                <w:lang w:val="en-US" w:eastAsia="zh-CN" w:bidi="ar"/>
              </w:rPr>
              <w:t>分。</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3CB0B">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auto"/>
                <w:sz w:val="18"/>
                <w:szCs w:val="18"/>
                <w:u w:val="none"/>
                <w:lang w:val="en-US" w:eastAsia="zh-CN"/>
              </w:rPr>
            </w:pPr>
            <w:r>
              <w:rPr>
                <w:rFonts w:hint="default" w:ascii="Times New Roman" w:hAnsi="Times New Roman" w:eastAsia="宋体" w:cs="Times New Roman"/>
                <w:b/>
                <w:bCs/>
                <w:i w:val="0"/>
                <w:iCs w:val="0"/>
                <w:snapToGrid/>
                <w:color w:val="auto"/>
                <w:sz w:val="18"/>
                <w:szCs w:val="18"/>
                <w:u w:val="none"/>
                <w:lang w:val="en-US" w:eastAsia="zh-CN"/>
              </w:rPr>
              <w:t>2</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30549">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EA839">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r>
      <w:tr w14:paraId="1B097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right"/>
        </w:trPr>
        <w:tc>
          <w:tcPr>
            <w:tcW w:w="1110" w:type="dxa"/>
            <w:vMerge w:val="continue"/>
            <w:tcBorders>
              <w:left w:val="single" w:color="000000" w:sz="4" w:space="0"/>
              <w:bottom w:val="single" w:color="000000" w:sz="4" w:space="0"/>
              <w:right w:val="single" w:color="000000" w:sz="4" w:space="0"/>
            </w:tcBorders>
            <w:shd w:val="clear" w:color="auto" w:fill="auto"/>
            <w:vAlign w:val="center"/>
          </w:tcPr>
          <w:p w14:paraId="53A741EB">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auto"/>
                <w:kern w:val="0"/>
                <w:sz w:val="18"/>
                <w:szCs w:val="18"/>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CA086">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auto"/>
                <w:kern w:val="0"/>
                <w:sz w:val="18"/>
                <w:szCs w:val="18"/>
                <w:u w:val="none"/>
                <w:lang w:val="en-US" w:eastAsia="zh-CN" w:bidi="ar"/>
              </w:rPr>
            </w:pPr>
            <w:r>
              <w:rPr>
                <w:rFonts w:hint="default" w:ascii="Times New Roman" w:hAnsi="Times New Roman" w:eastAsia="宋体" w:cs="Times New Roman"/>
                <w:snapToGrid/>
                <w:color w:val="auto"/>
                <w:kern w:val="2"/>
                <w:sz w:val="18"/>
                <w:szCs w:val="18"/>
                <w:lang w:val="en-US" w:eastAsia="zh-CN" w:bidi="ar"/>
              </w:rPr>
              <w:t>关键记录</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C72BC">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auto"/>
                <w:kern w:val="0"/>
                <w:sz w:val="18"/>
                <w:szCs w:val="18"/>
                <w:u w:val="none"/>
                <w:lang w:val="en-US" w:eastAsia="zh-CN" w:bidi="ar"/>
              </w:rPr>
            </w:pPr>
            <w:r>
              <w:rPr>
                <w:rFonts w:hint="default" w:ascii="Times New Roman" w:hAnsi="Times New Roman" w:eastAsia="宋体" w:cs="Times New Roman"/>
                <w:snapToGrid/>
                <w:color w:val="auto"/>
                <w:kern w:val="2"/>
                <w:sz w:val="18"/>
                <w:szCs w:val="18"/>
                <w:lang w:val="en-US" w:eastAsia="zh-CN" w:bidi="ar"/>
              </w:rPr>
              <w:t>检查仪器关键参数设置与平台备案（更改）记录，发现关键参数记录不一致的情况，无主观恶意篡改且对站点运行及数据质量没有影响的，扣2分。注：平台无关键参数备案记录，考核现场备案不扣分。</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0DBA5">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auto"/>
                <w:kern w:val="0"/>
                <w:sz w:val="18"/>
                <w:szCs w:val="18"/>
                <w:u w:val="none"/>
                <w:lang w:val="en-US" w:eastAsia="zh-CN" w:bidi="ar"/>
              </w:rPr>
            </w:pPr>
            <w:r>
              <w:rPr>
                <w:rFonts w:hint="default" w:ascii="Times New Roman" w:hAnsi="Times New Roman" w:eastAsia="宋体" w:cs="Times New Roman"/>
                <w:b/>
                <w:bCs/>
                <w:i w:val="0"/>
                <w:iCs w:val="0"/>
                <w:snapToGrid/>
                <w:color w:val="auto"/>
                <w:kern w:val="0"/>
                <w:sz w:val="18"/>
                <w:szCs w:val="18"/>
                <w:u w:val="none"/>
                <w:lang w:val="en-US" w:eastAsia="zh-CN" w:bidi="ar"/>
              </w:rPr>
              <w:t>2</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5D509">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904C6">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r>
      <w:tr w14:paraId="67530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right"/>
        </w:trPr>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004145">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auto"/>
                <w:kern w:val="0"/>
                <w:sz w:val="18"/>
                <w:szCs w:val="18"/>
                <w:u w:val="none"/>
                <w:lang w:val="en-US" w:eastAsia="zh-CN" w:bidi="ar"/>
              </w:rPr>
            </w:pPr>
            <w:r>
              <w:rPr>
                <w:rFonts w:hint="default" w:ascii="Times New Roman" w:hAnsi="Times New Roman" w:eastAsia="宋体" w:cs="Times New Roman"/>
                <w:i w:val="0"/>
                <w:iCs w:val="0"/>
                <w:snapToGrid/>
                <w:color w:val="auto"/>
                <w:kern w:val="0"/>
                <w:sz w:val="18"/>
                <w:szCs w:val="18"/>
                <w:u w:val="none"/>
                <w:lang w:val="en-US" w:eastAsia="zh-CN" w:bidi="ar"/>
              </w:rPr>
              <w:t>应急监测（4分）</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AC19F">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auto"/>
                <w:kern w:val="0"/>
                <w:sz w:val="18"/>
                <w:szCs w:val="18"/>
                <w:u w:val="none"/>
                <w:lang w:val="en-US" w:eastAsia="zh-CN" w:bidi="ar"/>
              </w:rPr>
            </w:pPr>
            <w:r>
              <w:rPr>
                <w:rFonts w:hint="default" w:ascii="Times New Roman" w:hAnsi="Times New Roman" w:eastAsia="宋体" w:cs="Times New Roman"/>
                <w:i w:val="0"/>
                <w:iCs w:val="0"/>
                <w:snapToGrid/>
                <w:color w:val="auto"/>
                <w:kern w:val="0"/>
                <w:sz w:val="18"/>
                <w:szCs w:val="18"/>
                <w:u w:val="none"/>
                <w:lang w:val="en-US" w:eastAsia="zh-CN" w:bidi="ar"/>
              </w:rPr>
              <w:t>异常数据</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3132C">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auto"/>
                <w:kern w:val="0"/>
                <w:sz w:val="18"/>
                <w:szCs w:val="18"/>
                <w:u w:val="none"/>
                <w:lang w:val="en-US" w:eastAsia="zh-CN" w:bidi="ar"/>
              </w:rPr>
            </w:pPr>
            <w:r>
              <w:rPr>
                <w:rFonts w:hint="default" w:ascii="Times New Roman" w:hAnsi="Times New Roman" w:eastAsia="宋体" w:cs="Times New Roman"/>
                <w:i w:val="0"/>
                <w:iCs w:val="0"/>
                <w:snapToGrid/>
                <w:color w:val="auto"/>
                <w:kern w:val="0"/>
                <w:sz w:val="18"/>
                <w:szCs w:val="18"/>
                <w:u w:val="none"/>
                <w:lang w:val="en-US" w:eastAsia="zh-CN" w:bidi="ar"/>
              </w:rPr>
              <w:t>配合桂林监测中心做好地表水水质自动站的水质异常应急监测工作，视情况打0-2分，不配合0分。</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53428">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auto"/>
                <w:kern w:val="0"/>
                <w:sz w:val="18"/>
                <w:szCs w:val="18"/>
                <w:u w:val="none"/>
                <w:lang w:val="en-US" w:eastAsia="zh-CN" w:bidi="ar"/>
              </w:rPr>
            </w:pPr>
            <w:r>
              <w:rPr>
                <w:rFonts w:hint="default" w:ascii="Times New Roman" w:hAnsi="Times New Roman" w:eastAsia="宋体" w:cs="Times New Roman"/>
                <w:b/>
                <w:bCs/>
                <w:i w:val="0"/>
                <w:iCs w:val="0"/>
                <w:snapToGrid/>
                <w:color w:val="auto"/>
                <w:kern w:val="0"/>
                <w:sz w:val="18"/>
                <w:szCs w:val="18"/>
                <w:u w:val="none"/>
                <w:lang w:val="en-US" w:eastAsia="zh-CN" w:bidi="ar"/>
              </w:rPr>
              <w:t>2</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363FE">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117B2">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r>
      <w:tr w14:paraId="2A697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right"/>
        </w:trPr>
        <w:tc>
          <w:tcPr>
            <w:tcW w:w="1110"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4F2A0DD4">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kern w:val="0"/>
                <w:sz w:val="18"/>
                <w:szCs w:val="18"/>
                <w:u w:val="none"/>
                <w:lang w:val="en-US" w:eastAsia="zh-CN" w:bidi="ar"/>
              </w:rPr>
            </w:pPr>
          </w:p>
        </w:tc>
        <w:tc>
          <w:tcPr>
            <w:tcW w:w="1950" w:type="dxa"/>
            <w:tcBorders>
              <w:top w:val="single" w:color="000000" w:sz="4" w:space="0"/>
              <w:left w:val="single" w:color="000000" w:sz="4" w:space="0"/>
              <w:bottom w:val="single" w:color="auto" w:sz="4" w:space="0"/>
              <w:right w:val="single" w:color="000000" w:sz="4" w:space="0"/>
            </w:tcBorders>
            <w:shd w:val="clear" w:color="auto" w:fill="auto"/>
            <w:vAlign w:val="center"/>
          </w:tcPr>
          <w:p w14:paraId="7EAB9DEE">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auto"/>
                <w:kern w:val="0"/>
                <w:sz w:val="18"/>
                <w:szCs w:val="18"/>
                <w:u w:val="none"/>
                <w:lang w:val="en-US" w:eastAsia="zh-CN" w:bidi="ar"/>
              </w:rPr>
            </w:pPr>
            <w:r>
              <w:rPr>
                <w:rFonts w:hint="default" w:ascii="Times New Roman" w:hAnsi="Times New Roman" w:eastAsia="宋体" w:cs="Times New Roman"/>
                <w:i w:val="0"/>
                <w:iCs w:val="0"/>
                <w:snapToGrid/>
                <w:color w:val="auto"/>
                <w:kern w:val="0"/>
                <w:sz w:val="18"/>
                <w:szCs w:val="18"/>
                <w:u w:val="none"/>
                <w:lang w:val="en-US" w:eastAsia="zh-CN" w:bidi="ar"/>
              </w:rPr>
              <w:t>超标比对</w:t>
            </w:r>
          </w:p>
        </w:tc>
        <w:tc>
          <w:tcPr>
            <w:tcW w:w="8441" w:type="dxa"/>
            <w:tcBorders>
              <w:top w:val="single" w:color="000000" w:sz="4" w:space="0"/>
              <w:left w:val="single" w:color="000000" w:sz="4" w:space="0"/>
              <w:bottom w:val="single" w:color="auto" w:sz="4" w:space="0"/>
              <w:right w:val="single" w:color="000000" w:sz="4" w:space="0"/>
            </w:tcBorders>
            <w:shd w:val="clear" w:color="auto" w:fill="auto"/>
            <w:vAlign w:val="center"/>
          </w:tcPr>
          <w:p w14:paraId="1DB03B54">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auto"/>
                <w:kern w:val="0"/>
                <w:sz w:val="18"/>
                <w:szCs w:val="18"/>
                <w:u w:val="none"/>
                <w:lang w:val="en-US" w:eastAsia="zh-CN" w:bidi="ar"/>
              </w:rPr>
            </w:pPr>
            <w:r>
              <w:rPr>
                <w:rFonts w:hint="default" w:ascii="Times New Roman" w:hAnsi="Times New Roman" w:eastAsia="宋体" w:cs="Times New Roman"/>
                <w:i w:val="0"/>
                <w:iCs w:val="0"/>
                <w:snapToGrid/>
                <w:color w:val="auto"/>
                <w:kern w:val="0"/>
                <w:sz w:val="18"/>
                <w:szCs w:val="18"/>
                <w:u w:val="none"/>
                <w:lang w:val="en-US" w:eastAsia="zh-CN" w:bidi="ar"/>
              </w:rPr>
              <w:t>及时响应做好地表水水质自动站数据异常超标比对工作，视情况打0-2分，不配合0分。</w:t>
            </w:r>
          </w:p>
        </w:tc>
        <w:tc>
          <w:tcPr>
            <w:tcW w:w="701" w:type="dxa"/>
            <w:tcBorders>
              <w:top w:val="single" w:color="000000" w:sz="4" w:space="0"/>
              <w:left w:val="single" w:color="000000" w:sz="4" w:space="0"/>
              <w:bottom w:val="single" w:color="auto" w:sz="4" w:space="0"/>
              <w:right w:val="single" w:color="000000" w:sz="4" w:space="0"/>
            </w:tcBorders>
            <w:shd w:val="clear" w:color="auto" w:fill="auto"/>
            <w:vAlign w:val="center"/>
          </w:tcPr>
          <w:p w14:paraId="2ECAFFD0">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auto"/>
                <w:kern w:val="0"/>
                <w:sz w:val="18"/>
                <w:szCs w:val="18"/>
                <w:u w:val="none"/>
                <w:lang w:val="en-US" w:eastAsia="zh-CN" w:bidi="ar"/>
              </w:rPr>
            </w:pPr>
            <w:r>
              <w:rPr>
                <w:rFonts w:hint="default" w:ascii="Times New Roman" w:hAnsi="Times New Roman" w:eastAsia="宋体" w:cs="Times New Roman"/>
                <w:b/>
                <w:bCs/>
                <w:i w:val="0"/>
                <w:iCs w:val="0"/>
                <w:snapToGrid/>
                <w:color w:val="auto"/>
                <w:kern w:val="0"/>
                <w:sz w:val="18"/>
                <w:szCs w:val="18"/>
                <w:u w:val="none"/>
                <w:lang w:val="en-US" w:eastAsia="zh-CN" w:bidi="ar"/>
              </w:rPr>
              <w:t>2</w:t>
            </w:r>
          </w:p>
        </w:tc>
        <w:tc>
          <w:tcPr>
            <w:tcW w:w="607" w:type="dxa"/>
            <w:tcBorders>
              <w:top w:val="single" w:color="000000" w:sz="4" w:space="0"/>
              <w:left w:val="single" w:color="000000" w:sz="4" w:space="0"/>
              <w:bottom w:val="single" w:color="auto" w:sz="4" w:space="0"/>
              <w:right w:val="single" w:color="000000" w:sz="4" w:space="0"/>
            </w:tcBorders>
            <w:shd w:val="clear" w:color="auto" w:fill="auto"/>
            <w:vAlign w:val="center"/>
          </w:tcPr>
          <w:p w14:paraId="57C854EF">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c>
          <w:tcPr>
            <w:tcW w:w="1164" w:type="dxa"/>
            <w:tcBorders>
              <w:top w:val="single" w:color="000000" w:sz="4" w:space="0"/>
              <w:left w:val="single" w:color="000000" w:sz="4" w:space="0"/>
              <w:bottom w:val="single" w:color="auto" w:sz="4" w:space="0"/>
              <w:right w:val="single" w:color="000000" w:sz="4" w:space="0"/>
            </w:tcBorders>
            <w:shd w:val="clear" w:color="auto" w:fill="auto"/>
            <w:vAlign w:val="center"/>
          </w:tcPr>
          <w:p w14:paraId="19D5AD50">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r>
      <w:tr w14:paraId="0DC72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right"/>
        </w:trPr>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14:paraId="6B851521">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i w:val="0"/>
                <w:iCs w:val="0"/>
                <w:snapToGrid/>
                <w:color w:val="auto"/>
                <w:kern w:val="0"/>
                <w:sz w:val="18"/>
                <w:szCs w:val="18"/>
                <w:u w:val="none"/>
                <w:lang w:val="en-US" w:eastAsia="zh-CN" w:bidi="ar"/>
              </w:rPr>
            </w:pPr>
            <w:r>
              <w:rPr>
                <w:rFonts w:hint="default" w:ascii="Times New Roman" w:hAnsi="Times New Roman" w:eastAsia="宋体" w:cs="Times New Roman"/>
                <w:i w:val="0"/>
                <w:iCs w:val="0"/>
                <w:snapToGrid/>
                <w:color w:val="auto"/>
                <w:kern w:val="0"/>
                <w:sz w:val="18"/>
                <w:szCs w:val="18"/>
                <w:u w:val="none"/>
                <w:lang w:val="en-US" w:eastAsia="zh-CN" w:bidi="ar"/>
              </w:rPr>
              <w:t>技术指导（6分）</w:t>
            </w:r>
          </w:p>
        </w:tc>
        <w:tc>
          <w:tcPr>
            <w:tcW w:w="1950" w:type="dxa"/>
            <w:tcBorders>
              <w:top w:val="single" w:color="auto" w:sz="4" w:space="0"/>
              <w:left w:val="single" w:color="auto" w:sz="4" w:space="0"/>
              <w:bottom w:val="single" w:color="auto" w:sz="4" w:space="0"/>
              <w:right w:val="single" w:color="auto" w:sz="4" w:space="0"/>
            </w:tcBorders>
            <w:shd w:val="clear" w:color="auto" w:fill="auto"/>
            <w:vAlign w:val="center"/>
          </w:tcPr>
          <w:p w14:paraId="25EF7F30">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auto"/>
                <w:kern w:val="0"/>
                <w:sz w:val="18"/>
                <w:szCs w:val="18"/>
                <w:u w:val="none"/>
                <w:lang w:val="en-US" w:eastAsia="zh-CN" w:bidi="ar"/>
              </w:rPr>
            </w:pPr>
            <w:r>
              <w:rPr>
                <w:rFonts w:hint="default" w:ascii="Times New Roman" w:hAnsi="Times New Roman" w:eastAsia="宋体" w:cs="Times New Roman"/>
                <w:i w:val="0"/>
                <w:iCs w:val="0"/>
                <w:snapToGrid/>
                <w:color w:val="auto"/>
                <w:kern w:val="0"/>
                <w:sz w:val="18"/>
                <w:szCs w:val="18"/>
                <w:u w:val="none"/>
                <w:lang w:val="en-US" w:eastAsia="zh-CN" w:bidi="ar"/>
              </w:rPr>
              <w:t>现场技术指导</w:t>
            </w:r>
          </w:p>
        </w:tc>
        <w:tc>
          <w:tcPr>
            <w:tcW w:w="8441" w:type="dxa"/>
            <w:tcBorders>
              <w:top w:val="single" w:color="auto" w:sz="4" w:space="0"/>
              <w:left w:val="single" w:color="auto" w:sz="4" w:space="0"/>
              <w:bottom w:val="single" w:color="auto" w:sz="4" w:space="0"/>
              <w:right w:val="single" w:color="auto" w:sz="4" w:space="0"/>
            </w:tcBorders>
            <w:shd w:val="clear" w:color="auto" w:fill="auto"/>
            <w:vAlign w:val="center"/>
          </w:tcPr>
          <w:p w14:paraId="0C23BF7F">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auto"/>
                <w:kern w:val="0"/>
                <w:sz w:val="18"/>
                <w:szCs w:val="18"/>
                <w:u w:val="none"/>
                <w:lang w:val="en-US" w:eastAsia="zh-CN" w:bidi="ar"/>
              </w:rPr>
            </w:pPr>
            <w:r>
              <w:rPr>
                <w:rFonts w:hint="default" w:ascii="Times New Roman" w:hAnsi="Times New Roman" w:eastAsia="宋体" w:cs="Times New Roman"/>
                <w:i w:val="0"/>
                <w:iCs w:val="0"/>
                <w:snapToGrid/>
                <w:color w:val="auto"/>
                <w:kern w:val="0"/>
                <w:sz w:val="18"/>
                <w:szCs w:val="18"/>
                <w:u w:val="none"/>
                <w:lang w:val="en-US" w:eastAsia="zh-CN" w:bidi="ar"/>
              </w:rPr>
              <w:t>按要求现场技术指导桂林监测中心技术人员在规范规定时限内维修维护好水站仪器设备各类异常和故障，每季度不少于12次，少于1次扣0.5分，扣完为止。</w:t>
            </w:r>
          </w:p>
        </w:tc>
        <w:tc>
          <w:tcPr>
            <w:tcW w:w="701" w:type="dxa"/>
            <w:tcBorders>
              <w:top w:val="single" w:color="auto" w:sz="4" w:space="0"/>
              <w:left w:val="single" w:color="auto" w:sz="4" w:space="0"/>
              <w:bottom w:val="single" w:color="auto" w:sz="4" w:space="0"/>
              <w:right w:val="single" w:color="auto" w:sz="4" w:space="0"/>
            </w:tcBorders>
            <w:shd w:val="clear" w:color="auto" w:fill="auto"/>
            <w:vAlign w:val="center"/>
          </w:tcPr>
          <w:p w14:paraId="45BE973A">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auto"/>
                <w:kern w:val="0"/>
                <w:sz w:val="18"/>
                <w:szCs w:val="18"/>
                <w:u w:val="none"/>
                <w:lang w:val="en-US" w:eastAsia="zh-CN" w:bidi="ar"/>
              </w:rPr>
            </w:pPr>
            <w:r>
              <w:rPr>
                <w:rFonts w:hint="default" w:ascii="Times New Roman" w:hAnsi="Times New Roman" w:eastAsia="宋体" w:cs="Times New Roman"/>
                <w:b/>
                <w:bCs/>
                <w:i w:val="0"/>
                <w:iCs w:val="0"/>
                <w:snapToGrid/>
                <w:color w:val="auto"/>
                <w:kern w:val="0"/>
                <w:sz w:val="18"/>
                <w:szCs w:val="18"/>
                <w:u w:val="none"/>
                <w:lang w:val="en-US" w:eastAsia="zh-CN" w:bidi="ar"/>
              </w:rPr>
              <w:t>6</w:t>
            </w:r>
          </w:p>
        </w:tc>
        <w:tc>
          <w:tcPr>
            <w:tcW w:w="607" w:type="dxa"/>
            <w:tcBorders>
              <w:top w:val="single" w:color="auto" w:sz="4" w:space="0"/>
              <w:left w:val="single" w:color="auto" w:sz="4" w:space="0"/>
              <w:bottom w:val="single" w:color="auto" w:sz="4" w:space="0"/>
              <w:right w:val="single" w:color="auto" w:sz="4" w:space="0"/>
            </w:tcBorders>
            <w:shd w:val="clear" w:color="auto" w:fill="auto"/>
            <w:vAlign w:val="center"/>
          </w:tcPr>
          <w:p w14:paraId="27623C3D">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c>
          <w:tcPr>
            <w:tcW w:w="1164" w:type="dxa"/>
            <w:tcBorders>
              <w:top w:val="single" w:color="auto" w:sz="4" w:space="0"/>
              <w:left w:val="single" w:color="auto" w:sz="4" w:space="0"/>
              <w:bottom w:val="single" w:color="auto" w:sz="4" w:space="0"/>
              <w:right w:val="single" w:color="auto" w:sz="4" w:space="0"/>
            </w:tcBorders>
            <w:shd w:val="clear" w:color="auto" w:fill="auto"/>
            <w:vAlign w:val="center"/>
          </w:tcPr>
          <w:p w14:paraId="663BB88C">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r>
      <w:tr w14:paraId="43699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right"/>
        </w:trPr>
        <w:tc>
          <w:tcPr>
            <w:tcW w:w="1150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0B09F33">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center"/>
              <w:textAlignment w:val="center"/>
              <w:rPr>
                <w:rFonts w:hint="default" w:ascii="Times New Roman" w:hAnsi="Times New Roman" w:eastAsia="宋体" w:cs="Times New Roman"/>
                <w:i w:val="0"/>
                <w:iCs w:val="0"/>
                <w:snapToGrid/>
                <w:color w:val="auto"/>
                <w:sz w:val="18"/>
                <w:szCs w:val="18"/>
                <w:u w:val="none"/>
                <w:lang w:eastAsia="zh-CN"/>
              </w:rPr>
            </w:pPr>
            <w:r>
              <w:rPr>
                <w:rFonts w:hint="default" w:ascii="Times New Roman" w:hAnsi="Times New Roman" w:eastAsia="宋体" w:cs="Times New Roman"/>
                <w:i w:val="0"/>
                <w:iCs w:val="0"/>
                <w:snapToGrid/>
                <w:color w:val="auto"/>
                <w:kern w:val="0"/>
                <w:sz w:val="18"/>
                <w:szCs w:val="18"/>
                <w:u w:val="none"/>
                <w:lang w:val="en-US" w:eastAsia="zh-CN" w:bidi="ar"/>
              </w:rPr>
              <w:t>合计</w:t>
            </w:r>
          </w:p>
        </w:tc>
        <w:tc>
          <w:tcPr>
            <w:tcW w:w="701" w:type="dxa"/>
            <w:tcBorders>
              <w:top w:val="single" w:color="auto" w:sz="4" w:space="0"/>
              <w:left w:val="single" w:color="auto" w:sz="4" w:space="0"/>
              <w:bottom w:val="single" w:color="auto" w:sz="4" w:space="0"/>
              <w:right w:val="single" w:color="auto" w:sz="4" w:space="0"/>
            </w:tcBorders>
            <w:shd w:val="clear" w:color="auto" w:fill="auto"/>
            <w:vAlign w:val="center"/>
          </w:tcPr>
          <w:p w14:paraId="559A5948">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i w:val="0"/>
                <w:iCs w:val="0"/>
                <w:snapToGrid/>
                <w:color w:val="auto"/>
                <w:sz w:val="18"/>
                <w:szCs w:val="18"/>
                <w:u w:val="none"/>
                <w:lang w:val="en-US" w:eastAsia="zh-CN"/>
              </w:rPr>
            </w:pPr>
            <w:r>
              <w:rPr>
                <w:rFonts w:hint="default" w:ascii="Times New Roman" w:hAnsi="Times New Roman" w:eastAsia="宋体" w:cs="Times New Roman"/>
                <w:b/>
                <w:bCs/>
                <w:i w:val="0"/>
                <w:iCs w:val="0"/>
                <w:snapToGrid/>
                <w:color w:val="auto"/>
                <w:sz w:val="18"/>
                <w:szCs w:val="18"/>
                <w:u w:val="none"/>
                <w:lang w:val="en-US" w:eastAsia="zh-CN"/>
              </w:rPr>
              <w:t>100</w:t>
            </w:r>
          </w:p>
        </w:tc>
        <w:tc>
          <w:tcPr>
            <w:tcW w:w="607" w:type="dxa"/>
            <w:tcBorders>
              <w:top w:val="single" w:color="auto" w:sz="4" w:space="0"/>
              <w:left w:val="single" w:color="auto" w:sz="4" w:space="0"/>
              <w:bottom w:val="single" w:color="auto" w:sz="4" w:space="0"/>
              <w:right w:val="single" w:color="auto" w:sz="4" w:space="0"/>
            </w:tcBorders>
            <w:shd w:val="clear" w:color="auto" w:fill="auto"/>
            <w:vAlign w:val="center"/>
          </w:tcPr>
          <w:p w14:paraId="27F074C2">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c>
          <w:tcPr>
            <w:tcW w:w="1164" w:type="dxa"/>
            <w:tcBorders>
              <w:top w:val="single" w:color="auto" w:sz="4" w:space="0"/>
              <w:left w:val="single" w:color="auto" w:sz="4" w:space="0"/>
              <w:bottom w:val="single" w:color="auto" w:sz="4" w:space="0"/>
              <w:right w:val="single" w:color="auto" w:sz="4" w:space="0"/>
            </w:tcBorders>
            <w:shd w:val="clear" w:color="auto" w:fill="auto"/>
            <w:vAlign w:val="center"/>
          </w:tcPr>
          <w:p w14:paraId="0CC5014C">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auto"/>
                <w:sz w:val="18"/>
                <w:szCs w:val="18"/>
                <w:u w:val="none"/>
                <w:lang w:eastAsia="zh-CN"/>
              </w:rPr>
            </w:pPr>
          </w:p>
        </w:tc>
      </w:tr>
      <w:tr w14:paraId="58239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jc w:val="right"/>
        </w:trPr>
        <w:tc>
          <w:tcPr>
            <w:tcW w:w="13973" w:type="dxa"/>
            <w:gridSpan w:val="6"/>
            <w:tcBorders>
              <w:top w:val="single" w:color="auto" w:sz="4" w:space="0"/>
              <w:left w:val="single" w:color="000000" w:sz="4" w:space="0"/>
              <w:bottom w:val="single" w:color="000000" w:sz="4" w:space="0"/>
              <w:right w:val="single" w:color="000000" w:sz="4" w:space="0"/>
            </w:tcBorders>
            <w:shd w:val="clear" w:color="auto" w:fill="auto"/>
            <w:vAlign w:val="center"/>
          </w:tcPr>
          <w:p w14:paraId="69EFAA18">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auto"/>
                <w:kern w:val="0"/>
                <w:sz w:val="18"/>
                <w:szCs w:val="18"/>
                <w:u w:val="none"/>
                <w:lang w:val="en-US" w:eastAsia="zh-CN" w:bidi="ar"/>
              </w:rPr>
            </w:pPr>
            <w:r>
              <w:rPr>
                <w:rFonts w:hint="default" w:ascii="Times New Roman" w:hAnsi="Times New Roman" w:eastAsia="宋体" w:cs="Times New Roman"/>
                <w:i w:val="0"/>
                <w:iCs w:val="0"/>
                <w:snapToGrid/>
                <w:color w:val="auto"/>
                <w:kern w:val="0"/>
                <w:sz w:val="18"/>
                <w:szCs w:val="18"/>
                <w:u w:val="none"/>
                <w:lang w:val="en-US" w:eastAsia="zh-CN" w:bidi="ar"/>
              </w:rPr>
              <w:t>备注：</w:t>
            </w:r>
          </w:p>
          <w:p w14:paraId="6E3ADEA0">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jc w:val="left"/>
              <w:textAlignment w:val="center"/>
              <w:rPr>
                <w:rFonts w:hint="default" w:ascii="Times New Roman" w:hAnsi="Times New Roman" w:eastAsia="宋体" w:cs="Times New Roman"/>
                <w:i w:val="0"/>
                <w:iCs w:val="0"/>
                <w:snapToGrid/>
                <w:color w:val="auto"/>
                <w:kern w:val="0"/>
                <w:sz w:val="18"/>
                <w:szCs w:val="18"/>
                <w:u w:val="none"/>
                <w:lang w:val="en-US" w:eastAsia="zh-CN" w:bidi="ar"/>
              </w:rPr>
            </w:pPr>
          </w:p>
          <w:p w14:paraId="472BE498">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auto"/>
                <w:kern w:val="0"/>
                <w:sz w:val="18"/>
                <w:szCs w:val="18"/>
                <w:u w:val="none"/>
                <w:lang w:val="en-US" w:eastAsia="zh-CN" w:bidi="ar"/>
              </w:rPr>
            </w:pPr>
          </w:p>
        </w:tc>
      </w:tr>
      <w:tr w14:paraId="2CF8C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right"/>
        </w:trPr>
        <w:tc>
          <w:tcPr>
            <w:tcW w:w="1397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5F8ED20">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440" w:firstLineChars="200"/>
              <w:jc w:val="left"/>
              <w:textAlignment w:val="center"/>
              <w:rPr>
                <w:rFonts w:hint="default" w:ascii="Times New Roman" w:hAnsi="Times New Roman" w:eastAsia="宋体" w:cs="Times New Roman"/>
                <w:i w:val="0"/>
                <w:iCs w:val="0"/>
                <w:snapToGrid/>
                <w:color w:val="auto"/>
                <w:sz w:val="22"/>
                <w:szCs w:val="22"/>
                <w:u w:val="none"/>
                <w:lang w:eastAsia="zh-CN"/>
              </w:rPr>
            </w:pPr>
            <w:r>
              <w:rPr>
                <w:rFonts w:hint="default" w:ascii="Times New Roman" w:hAnsi="Times New Roman" w:eastAsia="宋体" w:cs="Times New Roman"/>
                <w:i w:val="0"/>
                <w:iCs w:val="0"/>
                <w:snapToGrid/>
                <w:color w:val="auto"/>
                <w:kern w:val="0"/>
                <w:sz w:val="22"/>
                <w:szCs w:val="22"/>
                <w:u w:val="none"/>
                <w:lang w:val="en-US" w:eastAsia="zh-CN" w:bidi="ar"/>
              </w:rPr>
              <w:t xml:space="preserve"> 考核日期：                                检查人员：                           运维公司代表（电话）:                      </w:t>
            </w:r>
          </w:p>
        </w:tc>
      </w:tr>
    </w:tbl>
    <w:p w14:paraId="5BFC9E31">
      <w:pPr>
        <w:shd w:val="clear" w:color="auto" w:fill="FFFFFF"/>
        <w:kinsoku/>
        <w:autoSpaceDE/>
        <w:autoSpaceDN/>
        <w:adjustRightInd/>
        <w:snapToGrid/>
        <w:spacing w:line="600" w:lineRule="exact"/>
        <w:ind w:firstLine="640" w:firstLineChars="200"/>
        <w:jc w:val="left"/>
        <w:textAlignment w:val="auto"/>
        <w:rPr>
          <w:rFonts w:hint="eastAsia" w:ascii="宋体" w:hAnsi="宋体" w:eastAsia="宋体" w:cs="宋体"/>
          <w:snapToGrid/>
          <w:color w:val="auto"/>
          <w:sz w:val="32"/>
          <w:szCs w:val="32"/>
          <w:lang w:val="en-US" w:eastAsia="zh-CN"/>
        </w:rPr>
      </w:pPr>
      <w:r>
        <w:rPr>
          <w:rFonts w:hint="eastAsia" w:ascii="宋体" w:hAnsi="宋体" w:eastAsia="宋体" w:cs="宋体"/>
          <w:snapToGrid/>
          <w:color w:val="auto"/>
          <w:sz w:val="32"/>
          <w:szCs w:val="32"/>
          <w:lang w:val="en-US" w:eastAsia="zh-CN"/>
        </w:rPr>
        <w:t>附件2</w:t>
      </w:r>
    </w:p>
    <w:p w14:paraId="3802EAC6">
      <w:pPr>
        <w:keepNext w:val="0"/>
        <w:keepLines w:val="0"/>
        <w:pageBreakBefore w:val="0"/>
        <w:widowControl/>
        <w:shd w:val="clear" w:color="auto" w:fill="FFFFFF"/>
        <w:kinsoku/>
        <w:wordWrap/>
        <w:overflowPunct w:val="0"/>
        <w:topLinePunct w:val="0"/>
        <w:autoSpaceDE/>
        <w:autoSpaceDN/>
        <w:bidi w:val="0"/>
        <w:adjustRightInd/>
        <w:snapToGrid/>
        <w:spacing w:line="586" w:lineRule="exact"/>
        <w:ind w:left="0" w:leftChars="0" w:right="0" w:rightChars="0" w:firstLine="0" w:firstLineChars="0"/>
        <w:textAlignment w:val="auto"/>
        <w:outlineLvl w:val="9"/>
        <w:rPr>
          <w:rFonts w:hint="eastAsia" w:ascii="宋体" w:hAnsi="宋体" w:eastAsia="宋体" w:cs="宋体"/>
          <w:snapToGrid/>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drawing>
          <wp:anchor distT="0" distB="0" distL="114300" distR="114300" simplePos="0" relativeHeight="251661312" behindDoc="1" locked="0" layoutInCell="1" allowOverlap="1">
            <wp:simplePos x="0" y="0"/>
            <wp:positionH relativeFrom="column">
              <wp:posOffset>1177290</wp:posOffset>
            </wp:positionH>
            <wp:positionV relativeFrom="paragraph">
              <wp:posOffset>31115</wp:posOffset>
            </wp:positionV>
            <wp:extent cx="5753735" cy="4876800"/>
            <wp:effectExtent l="0" t="0" r="18415" b="0"/>
            <wp:wrapTight wrapText="bothSides">
              <wp:wrapPolygon>
                <wp:start x="0" y="0"/>
                <wp:lineTo x="0" y="21516"/>
                <wp:lineTo x="21526" y="21516"/>
                <wp:lineTo x="21526" y="0"/>
                <wp:lineTo x="0" y="0"/>
              </wp:wrapPolygon>
            </wp:wrapTight>
            <wp:docPr id="4" name="图片 4" descr="微信图片_2026-09-09_115953_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6-09-09_115953_746"/>
                    <pic:cNvPicPr>
                      <a:picLocks noChangeAspect="1"/>
                    </pic:cNvPicPr>
                  </pic:nvPicPr>
                  <pic:blipFill>
                    <a:blip r:embed="rId21"/>
                    <a:stretch>
                      <a:fillRect/>
                    </a:stretch>
                  </pic:blipFill>
                  <pic:spPr>
                    <a:xfrm>
                      <a:off x="0" y="0"/>
                      <a:ext cx="5753735" cy="4876800"/>
                    </a:xfrm>
                    <a:prstGeom prst="rect">
                      <a:avLst/>
                    </a:prstGeom>
                  </pic:spPr>
                </pic:pic>
              </a:graphicData>
            </a:graphic>
          </wp:anchor>
        </w:drawing>
      </w:r>
    </w:p>
    <w:p w14:paraId="18D7E5DA">
      <w:pPr>
        <w:keepNext w:val="0"/>
        <w:keepLines w:val="0"/>
        <w:pageBreakBefore w:val="0"/>
        <w:widowControl/>
        <w:kinsoku/>
        <w:wordWrap/>
        <w:overflowPunct w:val="0"/>
        <w:topLinePunct w:val="0"/>
        <w:bidi w:val="0"/>
        <w:spacing w:line="240" w:lineRule="auto"/>
        <w:ind w:left="0" w:leftChars="0" w:right="0" w:rightChars="0" w:firstLine="0" w:firstLineChars="0"/>
        <w:jc w:val="center"/>
        <w:textAlignment w:val="auto"/>
        <w:outlineLvl w:val="9"/>
        <w:rPr>
          <w:rFonts w:hint="eastAsia" w:ascii="宋体" w:hAnsi="宋体" w:eastAsia="宋体" w:cs="宋体"/>
          <w:color w:val="auto"/>
          <w:sz w:val="32"/>
          <w:szCs w:val="32"/>
          <w:highlight w:val="none"/>
          <w:lang w:val="en-US" w:eastAsia="zh-CN"/>
        </w:rPr>
        <w:sectPr>
          <w:footerReference r:id="rId9" w:type="default"/>
          <w:pgSz w:w="16838" w:h="11906" w:orient="landscape"/>
          <w:pgMar w:top="1304" w:right="2098" w:bottom="1191" w:left="1304" w:header="851" w:footer="992" w:gutter="0"/>
          <w:pgBorders>
            <w:top w:val="none" w:sz="0" w:space="0"/>
            <w:left w:val="none" w:sz="0" w:space="0"/>
            <w:bottom w:val="none" w:sz="0" w:space="0"/>
            <w:right w:val="none" w:sz="0" w:space="0"/>
          </w:pgBorders>
          <w:cols w:space="0" w:num="1"/>
          <w:rtlGutter w:val="0"/>
          <w:docGrid w:type="lines" w:linePitch="447" w:charSpace="0"/>
        </w:sectPr>
      </w:pPr>
    </w:p>
    <w:p w14:paraId="7B8E2D55">
      <w:pPr>
        <w:shd w:val="clear" w:color="auto" w:fill="FFFFFF"/>
        <w:kinsoku/>
        <w:autoSpaceDE/>
        <w:autoSpaceDN/>
        <w:adjustRightInd/>
        <w:snapToGrid/>
        <w:spacing w:line="600" w:lineRule="exact"/>
        <w:ind w:firstLine="640" w:firstLineChars="200"/>
        <w:jc w:val="left"/>
        <w:textAlignment w:val="auto"/>
        <w:rPr>
          <w:rFonts w:hint="eastAsia" w:ascii="宋体" w:hAnsi="宋体" w:eastAsia="宋体" w:cs="宋体"/>
          <w:snapToGrid/>
          <w:color w:val="auto"/>
          <w:sz w:val="32"/>
          <w:szCs w:val="32"/>
          <w:lang w:val="en-US" w:eastAsia="zh-CN"/>
        </w:rPr>
      </w:pPr>
      <w:r>
        <w:rPr>
          <w:rFonts w:hint="eastAsia" w:ascii="宋体" w:hAnsi="宋体" w:eastAsia="宋体" w:cs="宋体"/>
          <w:snapToGrid/>
          <w:color w:val="auto"/>
          <w:sz w:val="32"/>
          <w:szCs w:val="32"/>
          <w:lang w:val="en-US" w:eastAsia="zh-CN"/>
        </w:rPr>
        <w:t>附件3</w:t>
      </w:r>
    </w:p>
    <w:p w14:paraId="371F85F4">
      <w:pPr>
        <w:keepNext w:val="0"/>
        <w:keepLines w:val="0"/>
        <w:pageBreakBefore w:val="0"/>
        <w:widowControl/>
        <w:shd w:val="clear" w:color="auto" w:fill="FFFFFF"/>
        <w:kinsoku/>
        <w:wordWrap/>
        <w:overflowPunct w:val="0"/>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宋体" w:hAnsi="宋体" w:eastAsia="宋体" w:cs="宋体"/>
          <w:snapToGrid/>
          <w:color w:val="auto"/>
          <w:sz w:val="32"/>
          <w:szCs w:val="32"/>
          <w:highlight w:val="none"/>
          <w:lang w:val="en-US" w:eastAsia="zh-CN"/>
        </w:rPr>
      </w:pPr>
      <w:r>
        <w:rPr>
          <w:rFonts w:hint="eastAsia" w:ascii="宋体" w:hAnsi="宋体" w:eastAsia="宋体" w:cs="宋体"/>
          <w:snapToGrid/>
          <w:color w:val="auto"/>
          <w:sz w:val="32"/>
          <w:szCs w:val="32"/>
          <w:highlight w:val="none"/>
          <w:lang w:val="en-US" w:eastAsia="zh-CN"/>
        </w:rPr>
        <w:drawing>
          <wp:inline distT="0" distB="0" distL="114300" distR="114300">
            <wp:extent cx="4638040" cy="7181215"/>
            <wp:effectExtent l="0" t="0" r="10160" b="635"/>
            <wp:docPr id="2" name="图片 2" descr="微信图片_2026-09-09_120533_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6-09-09_120533_422"/>
                    <pic:cNvPicPr>
                      <a:picLocks noChangeAspect="1"/>
                    </pic:cNvPicPr>
                  </pic:nvPicPr>
                  <pic:blipFill>
                    <a:blip r:embed="rId22"/>
                    <a:stretch>
                      <a:fillRect/>
                    </a:stretch>
                  </pic:blipFill>
                  <pic:spPr>
                    <a:xfrm>
                      <a:off x="0" y="0"/>
                      <a:ext cx="4638040" cy="7181215"/>
                    </a:xfrm>
                    <a:prstGeom prst="rect">
                      <a:avLst/>
                    </a:prstGeom>
                  </pic:spPr>
                </pic:pic>
              </a:graphicData>
            </a:graphic>
          </wp:inline>
        </w:drawing>
      </w:r>
    </w:p>
    <w:p w14:paraId="02DA1FC8">
      <w:pPr>
        <w:pStyle w:val="2"/>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b/>
          <w:bCs/>
          <w:snapToGrid w:val="0"/>
          <w:color w:val="auto"/>
          <w:kern w:val="44"/>
          <w:sz w:val="31"/>
          <w:szCs w:val="31"/>
          <w:lang w:val="en-US" w:eastAsia="en-US" w:bidi="ar-SA"/>
        </w:rPr>
        <w:sectPr>
          <w:footerReference r:id="rId10" w:type="default"/>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p w14:paraId="780B24FC">
      <w:pPr>
        <w:pStyle w:val="2"/>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b/>
          <w:bCs/>
          <w:snapToGrid w:val="0"/>
          <w:color w:val="auto"/>
          <w:kern w:val="44"/>
          <w:sz w:val="31"/>
          <w:szCs w:val="31"/>
          <w:lang w:val="en-US" w:eastAsia="en-US" w:bidi="ar-SA"/>
        </w:rPr>
        <w:sectPr>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r>
        <w:rPr>
          <w:rFonts w:hint="eastAsia" w:ascii="宋体" w:hAnsi="宋体" w:eastAsia="宋体" w:cs="宋体"/>
          <w:snapToGrid/>
          <w:color w:val="auto"/>
          <w:sz w:val="32"/>
          <w:szCs w:val="32"/>
          <w:highlight w:val="none"/>
          <w:lang w:val="en-US" w:eastAsia="zh-CN"/>
        </w:rPr>
        <w:drawing>
          <wp:anchor distT="0" distB="0" distL="114300" distR="114300" simplePos="0" relativeHeight="251662336" behindDoc="1" locked="0" layoutInCell="1" allowOverlap="1">
            <wp:simplePos x="0" y="0"/>
            <wp:positionH relativeFrom="column">
              <wp:posOffset>578485</wp:posOffset>
            </wp:positionH>
            <wp:positionV relativeFrom="paragraph">
              <wp:posOffset>1308735</wp:posOffset>
            </wp:positionV>
            <wp:extent cx="4599940" cy="2933065"/>
            <wp:effectExtent l="0" t="0" r="10160" b="635"/>
            <wp:wrapTight wrapText="bothSides">
              <wp:wrapPolygon>
                <wp:start x="0" y="0"/>
                <wp:lineTo x="0" y="21464"/>
                <wp:lineTo x="21469" y="21464"/>
                <wp:lineTo x="21469" y="0"/>
                <wp:lineTo x="0" y="0"/>
              </wp:wrapPolygon>
            </wp:wrapTight>
            <wp:docPr id="1" name="图片 1" descr="微信图片_2026-09-09_120609_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6-09-09_120609_959"/>
                    <pic:cNvPicPr>
                      <a:picLocks noChangeAspect="1"/>
                    </pic:cNvPicPr>
                  </pic:nvPicPr>
                  <pic:blipFill>
                    <a:blip r:embed="rId23"/>
                    <a:stretch>
                      <a:fillRect/>
                    </a:stretch>
                  </pic:blipFill>
                  <pic:spPr>
                    <a:xfrm>
                      <a:off x="0" y="0"/>
                      <a:ext cx="4599940" cy="2933065"/>
                    </a:xfrm>
                    <a:prstGeom prst="rect">
                      <a:avLst/>
                    </a:prstGeom>
                  </pic:spPr>
                </pic:pic>
              </a:graphicData>
            </a:graphic>
          </wp:anchor>
        </w:drawing>
      </w:r>
    </w:p>
    <w:p w14:paraId="66AD0732">
      <w:pPr>
        <w:pStyle w:val="2"/>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bCs/>
          <w:color w:val="auto"/>
          <w:sz w:val="31"/>
          <w:szCs w:val="31"/>
          <w:highlight w:val="none"/>
        </w:rPr>
      </w:pPr>
      <w:r>
        <w:rPr>
          <w:rFonts w:hint="eastAsia" w:ascii="宋体" w:hAnsi="宋体" w:eastAsia="宋体" w:cs="宋体"/>
          <w:b/>
          <w:bCs/>
          <w:snapToGrid w:val="0"/>
          <w:color w:val="auto"/>
          <w:kern w:val="44"/>
          <w:sz w:val="31"/>
          <w:szCs w:val="31"/>
          <w:lang w:val="en-US" w:eastAsia="en-US" w:bidi="ar-SA"/>
        </w:rPr>
        <w:t>第四章</w:t>
      </w:r>
      <w:r>
        <w:rPr>
          <w:rFonts w:hint="eastAsia" w:ascii="宋体" w:hAnsi="宋体" w:eastAsia="宋体" w:cs="宋体"/>
          <w:b/>
          <w:bCs/>
          <w:snapToGrid w:val="0"/>
          <w:color w:val="auto"/>
          <w:kern w:val="44"/>
          <w:sz w:val="31"/>
          <w:szCs w:val="31"/>
          <w:lang w:val="en-US" w:eastAsia="zh-CN" w:bidi="ar-SA"/>
        </w:rPr>
        <w:t xml:space="preserve"> </w:t>
      </w:r>
      <w:r>
        <w:rPr>
          <w:rFonts w:hint="eastAsia" w:ascii="宋体" w:hAnsi="宋体" w:eastAsia="宋体" w:cs="宋体"/>
          <w:bCs/>
          <w:color w:val="auto"/>
          <w:sz w:val="31"/>
          <w:szCs w:val="31"/>
          <w:highlight w:val="none"/>
        </w:rPr>
        <w:t>评审办法</w:t>
      </w:r>
      <w:bookmarkEnd w:id="12"/>
    </w:p>
    <w:p w14:paraId="3E6CAE16">
      <w:pPr>
        <w:pageBreakBefore w:val="0"/>
        <w:widowControl w:val="0"/>
        <w:kinsoku/>
        <w:wordWrap/>
        <w:overflowPunct/>
        <w:topLinePunct w:val="0"/>
        <w:autoSpaceDE/>
        <w:autoSpaceDN/>
        <w:bidi w:val="0"/>
        <w:adjustRightInd/>
        <w:snapToGrid/>
        <w:spacing w:line="400" w:lineRule="exact"/>
        <w:ind w:firstLine="422" w:firstLineChars="200"/>
        <w:jc w:val="both"/>
        <w:textAlignment w:val="auto"/>
        <w:rPr>
          <w:rFonts w:hint="eastAsia" w:ascii="宋体" w:hAnsi="宋体" w:eastAsia="宋体" w:cs="宋体"/>
          <w:b/>
          <w:bCs/>
          <w:snapToGrid/>
          <w:color w:val="auto"/>
          <w:kern w:val="2"/>
          <w:szCs w:val="24"/>
          <w:highlight w:val="none"/>
          <w:lang w:eastAsia="zh-CN"/>
        </w:rPr>
      </w:pPr>
      <w:r>
        <w:rPr>
          <w:rFonts w:hint="eastAsia" w:ascii="宋体" w:hAnsi="宋体" w:eastAsia="宋体" w:cs="宋体"/>
          <w:b/>
          <w:bCs/>
          <w:snapToGrid/>
          <w:color w:val="auto"/>
          <w:kern w:val="2"/>
          <w:szCs w:val="24"/>
          <w:highlight w:val="none"/>
          <w:lang w:eastAsia="zh-CN"/>
        </w:rPr>
        <w:t>一、评审依据</w:t>
      </w:r>
    </w:p>
    <w:p w14:paraId="248E84B3">
      <w:pPr>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snapToGrid/>
          <w:color w:val="auto"/>
          <w:kern w:val="2"/>
          <w:szCs w:val="21"/>
          <w:highlight w:val="none"/>
          <w:lang w:eastAsia="zh-CN"/>
        </w:rPr>
      </w:pPr>
      <w:r>
        <w:rPr>
          <w:rFonts w:hint="eastAsia" w:ascii="宋体" w:hAnsi="宋体" w:eastAsia="宋体" w:cs="宋体"/>
          <w:snapToGrid/>
          <w:color w:val="auto"/>
          <w:kern w:val="2"/>
          <w:szCs w:val="21"/>
          <w:highlight w:val="none"/>
          <w:lang w:eastAsia="zh-CN"/>
        </w:rPr>
        <w:t>1. 评审依据：谈判小组以谈判文件和响应文件为评审依据。</w:t>
      </w:r>
    </w:p>
    <w:p w14:paraId="5E8B977D">
      <w:pPr>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snapToGrid/>
          <w:color w:val="auto"/>
          <w:kern w:val="2"/>
          <w:szCs w:val="21"/>
          <w:highlight w:val="none"/>
          <w:lang w:eastAsia="zh-CN"/>
        </w:rPr>
      </w:pPr>
      <w:r>
        <w:rPr>
          <w:rFonts w:hint="eastAsia" w:ascii="宋体" w:hAnsi="宋体" w:eastAsia="宋体" w:cs="宋体"/>
          <w:snapToGrid/>
          <w:color w:val="auto"/>
          <w:kern w:val="2"/>
          <w:szCs w:val="21"/>
          <w:highlight w:val="none"/>
          <w:lang w:eastAsia="zh-CN"/>
        </w:rPr>
        <w:t>2. 采购人和采购代理机构、竞争性谈判小组成员要严格遵守政府采购相关法律制度，依法履行各自职责，公正、客观、审慎地组织和参与评审工作。</w:t>
      </w:r>
    </w:p>
    <w:p w14:paraId="68DB15FC">
      <w:pPr>
        <w:pageBreakBefore w:val="0"/>
        <w:widowControl w:val="0"/>
        <w:kinsoku/>
        <w:wordWrap/>
        <w:overflowPunct/>
        <w:topLinePunct w:val="0"/>
        <w:autoSpaceDE/>
        <w:autoSpaceDN/>
        <w:bidi w:val="0"/>
        <w:adjustRightInd/>
        <w:snapToGrid/>
        <w:spacing w:line="400" w:lineRule="exact"/>
        <w:ind w:firstLine="422" w:firstLineChars="200"/>
        <w:jc w:val="both"/>
        <w:textAlignment w:val="auto"/>
        <w:rPr>
          <w:rFonts w:hint="eastAsia" w:ascii="宋体" w:hAnsi="宋体" w:eastAsia="宋体" w:cs="宋体"/>
          <w:b/>
          <w:bCs/>
          <w:snapToGrid/>
          <w:color w:val="auto"/>
          <w:kern w:val="2"/>
          <w:szCs w:val="24"/>
          <w:highlight w:val="none"/>
          <w:lang w:eastAsia="zh-CN"/>
        </w:rPr>
      </w:pPr>
      <w:r>
        <w:rPr>
          <w:rFonts w:hint="eastAsia" w:ascii="宋体" w:hAnsi="宋体" w:eastAsia="宋体" w:cs="宋体"/>
          <w:b/>
          <w:bCs/>
          <w:snapToGrid/>
          <w:color w:val="auto"/>
          <w:kern w:val="2"/>
          <w:szCs w:val="24"/>
          <w:highlight w:val="none"/>
          <w:lang w:eastAsia="zh-CN"/>
        </w:rPr>
        <w:t>二、评审办法</w:t>
      </w:r>
    </w:p>
    <w:p w14:paraId="4E4ED950">
      <w:pPr>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snapToGrid/>
          <w:color w:val="auto"/>
          <w:kern w:val="2"/>
          <w:szCs w:val="21"/>
          <w:highlight w:val="none"/>
          <w:lang w:eastAsia="zh-CN"/>
        </w:rPr>
      </w:pPr>
      <w:r>
        <w:rPr>
          <w:rFonts w:hint="eastAsia" w:ascii="宋体" w:hAnsi="宋体" w:eastAsia="宋体" w:cs="宋体"/>
          <w:snapToGrid/>
          <w:color w:val="auto"/>
          <w:kern w:val="2"/>
          <w:szCs w:val="21"/>
          <w:highlight w:val="none"/>
          <w:lang w:eastAsia="zh-CN"/>
        </w:rPr>
        <w:t>1. 谈判小组应当从质量和服务均能满足竞争性谈判文件全部实质性响应要求的供应商中，按照评审报价由低到高顺序提出3名以上（含3名）成交候选供应商。</w:t>
      </w:r>
    </w:p>
    <w:p w14:paraId="7AA7B493">
      <w:pPr>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snapToGrid/>
          <w:color w:val="auto"/>
          <w:kern w:val="2"/>
          <w:szCs w:val="21"/>
          <w:highlight w:val="none"/>
          <w:lang w:eastAsia="zh-CN"/>
        </w:rPr>
      </w:pPr>
      <w:r>
        <w:rPr>
          <w:rFonts w:hint="eastAsia" w:ascii="宋体" w:hAnsi="宋体" w:eastAsia="宋体" w:cs="宋体"/>
          <w:snapToGrid/>
          <w:color w:val="auto"/>
          <w:kern w:val="2"/>
          <w:szCs w:val="21"/>
          <w:highlight w:val="none"/>
          <w:lang w:eastAsia="zh-CN"/>
        </w:rPr>
        <w:t>2. 根据</w:t>
      </w:r>
      <w:r>
        <w:rPr>
          <w:rFonts w:hint="eastAsia" w:ascii="宋体" w:hAnsi="宋体" w:eastAsia="宋体" w:cs="宋体"/>
          <w:bCs w:val="0"/>
          <w:snapToGrid/>
          <w:color w:val="auto"/>
          <w:kern w:val="2"/>
          <w:szCs w:val="21"/>
          <w:highlight w:val="none"/>
          <w:lang w:eastAsia="zh-CN"/>
        </w:rPr>
        <w:t>《广西壮族自治区财政厅关于持续优化政府采购营商环境推动高质量发展的通知》（桂财采〔2024〕55号）</w:t>
      </w:r>
      <w:r>
        <w:rPr>
          <w:rFonts w:hint="eastAsia" w:ascii="宋体" w:hAnsi="宋体" w:eastAsia="宋体" w:cs="宋体"/>
          <w:snapToGrid/>
          <w:color w:val="auto"/>
          <w:kern w:val="2"/>
          <w:szCs w:val="21"/>
          <w:highlight w:val="none"/>
          <w:lang w:eastAsia="zh-CN"/>
        </w:rPr>
        <w:t>，凡符合《政府采购促进中小企业发展管理办法》（财库〔2020〕46号）规定条件且按该办法中规定的格式提供了《中小企业声明函》的小型和微型企业，对其最后报价给予</w:t>
      </w:r>
      <w:r>
        <w:rPr>
          <w:rFonts w:hint="eastAsia" w:ascii="宋体" w:hAnsi="宋体" w:eastAsia="宋体" w:cs="宋体"/>
          <w:snapToGrid/>
          <w:color w:val="auto"/>
          <w:kern w:val="2"/>
          <w:szCs w:val="21"/>
          <w:highlight w:val="none"/>
          <w:lang w:val="en-US" w:eastAsia="zh-CN"/>
        </w:rPr>
        <w:t>10</w:t>
      </w:r>
      <w:r>
        <w:rPr>
          <w:rFonts w:hint="eastAsia" w:ascii="宋体" w:hAnsi="宋体" w:eastAsia="宋体" w:cs="宋体"/>
          <w:snapToGrid/>
          <w:color w:val="auto"/>
          <w:kern w:val="2"/>
          <w:szCs w:val="21"/>
          <w:highlight w:val="none"/>
          <w:lang w:eastAsia="zh-CN"/>
        </w:rPr>
        <w:t>%的扣除，扣除后的价格为评审报价，即评审报价=最后报价×（1-</w:t>
      </w:r>
      <w:r>
        <w:rPr>
          <w:rFonts w:hint="eastAsia" w:ascii="宋体" w:hAnsi="宋体" w:eastAsia="宋体" w:cs="宋体"/>
          <w:snapToGrid/>
          <w:color w:val="auto"/>
          <w:kern w:val="2"/>
          <w:szCs w:val="21"/>
          <w:highlight w:val="none"/>
          <w:lang w:val="en-US" w:eastAsia="zh-CN"/>
        </w:rPr>
        <w:t>1</w:t>
      </w:r>
      <w:r>
        <w:rPr>
          <w:rFonts w:hint="eastAsia" w:ascii="宋体" w:hAnsi="宋体" w:eastAsia="宋体" w:cs="宋体"/>
          <w:snapToGrid/>
          <w:color w:val="auto"/>
          <w:kern w:val="2"/>
          <w:szCs w:val="21"/>
          <w:highlight w:val="none"/>
          <w:lang w:eastAsia="zh-CN"/>
        </w:rPr>
        <w:t>0%）。</w:t>
      </w:r>
    </w:p>
    <w:p w14:paraId="2819B70D">
      <w:pPr>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snapToGrid/>
          <w:color w:val="auto"/>
          <w:kern w:val="2"/>
          <w:szCs w:val="21"/>
          <w:highlight w:val="none"/>
          <w:lang w:eastAsia="zh-CN"/>
        </w:rPr>
      </w:pPr>
      <w:r>
        <w:rPr>
          <w:rFonts w:hint="eastAsia" w:ascii="宋体" w:hAnsi="宋体" w:eastAsia="宋体" w:cs="宋体"/>
          <w:snapToGrid/>
          <w:color w:val="auto"/>
          <w:kern w:val="2"/>
          <w:szCs w:val="21"/>
          <w:highlight w:val="none"/>
          <w:lang w:eastAsia="zh-CN"/>
        </w:rPr>
        <w:t>除上述情况外，评审报价=最后报价。</w:t>
      </w:r>
    </w:p>
    <w:p w14:paraId="79BFAABC">
      <w:pPr>
        <w:pageBreakBefore w:val="0"/>
        <w:widowControl w:val="0"/>
        <w:wordWrap/>
        <w:overflowPunct/>
        <w:topLinePunct w:val="0"/>
        <w:bidi w:val="0"/>
        <w:spacing w:line="400" w:lineRule="exact"/>
        <w:ind w:firstLine="422" w:firstLineChars="200"/>
        <w:jc w:val="both"/>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注：①谈判小组应当按扣除后的报价由低到高进行排序，该扣除后报价仅作为评审报价排序，不作为合同签订报价，合同将按实际最后报价签订。</w:t>
      </w:r>
    </w:p>
    <w:p w14:paraId="0EE117AB">
      <w:pPr>
        <w:pageBreakBefore w:val="0"/>
        <w:widowControl w:val="0"/>
        <w:wordWrap/>
        <w:overflowPunct/>
        <w:topLinePunct w:val="0"/>
        <w:bidi w:val="0"/>
        <w:spacing w:line="400" w:lineRule="exact"/>
        <w:ind w:firstLine="422" w:firstLineChars="200"/>
        <w:jc w:val="both"/>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②中小微型企业划分标准按照《国家统计局关于印发&lt;统计上大中小微型企业划分办法〔2017〕&gt;的通知》（国统字〔2017〕213号）执行，具体划分标准见附表《统计上大中小微型企业划分标准》。</w:t>
      </w:r>
    </w:p>
    <w:p w14:paraId="2509E452">
      <w:pPr>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snapToGrid/>
          <w:color w:val="auto"/>
          <w:kern w:val="2"/>
          <w:szCs w:val="24"/>
          <w:highlight w:val="none"/>
          <w:lang w:eastAsia="zh-CN"/>
        </w:rPr>
      </w:pPr>
      <w:r>
        <w:rPr>
          <w:rFonts w:hint="eastAsia" w:ascii="宋体" w:hAnsi="宋体" w:eastAsia="宋体" w:cs="宋体"/>
          <w:snapToGrid/>
          <w:color w:val="auto"/>
          <w:kern w:val="2"/>
          <w:szCs w:val="21"/>
          <w:highlight w:val="none"/>
          <w:lang w:eastAsia="zh-CN"/>
        </w:rPr>
        <w:t>3. 根据按《关于政府采购支持监狱企业发展有关问题的通知》(财库〔2014〕68号)和《关于促进残疾人就业政府采购政策的通知》（财库〔2017〕141号）监狱企业和符合条件的残疾人福利性单位视同小型、微型企业，享受小型、微型企业评审中价格扣除的政府采购政策。残疾人福利性单位属于小型、微型企业的，不重复享受政策。监狱企业参加政府采购活动时，应当提供由省级以上监狱管理局、戒毒管理局(含新疆生产建设兵团)出具的属于监狱企业的证明文件；符合条件的残疾人福利性单位在参加政府采购活动时，应当提供本通知规定的《残疾人福利性单位声明函》，并对声明的真实性负责。</w:t>
      </w:r>
    </w:p>
    <w:p w14:paraId="2A6D1FDE">
      <w:pPr>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b/>
          <w:bCs/>
          <w:snapToGrid/>
          <w:color w:val="auto"/>
          <w:kern w:val="2"/>
          <w:szCs w:val="21"/>
          <w:highlight w:val="none"/>
          <w:lang w:eastAsia="zh-CN"/>
        </w:rPr>
      </w:pPr>
      <w:r>
        <w:rPr>
          <w:rFonts w:hint="eastAsia" w:ascii="宋体" w:hAnsi="宋体" w:eastAsia="宋体" w:cs="宋体"/>
          <w:snapToGrid/>
          <w:color w:val="auto"/>
          <w:kern w:val="2"/>
          <w:szCs w:val="21"/>
          <w:highlight w:val="none"/>
          <w:lang w:val="en-US" w:eastAsia="zh-CN"/>
        </w:rPr>
        <w:t>4</w:t>
      </w:r>
      <w:r>
        <w:rPr>
          <w:rFonts w:hint="eastAsia" w:ascii="宋体" w:hAnsi="宋体" w:eastAsia="宋体" w:cs="宋体"/>
          <w:snapToGrid/>
          <w:color w:val="auto"/>
          <w:kern w:val="2"/>
          <w:szCs w:val="21"/>
          <w:highlight w:val="none"/>
          <w:lang w:eastAsia="zh-CN"/>
        </w:rPr>
        <w:t>.评审时，应当将通过资格性审查和符合性审查各供应商的评审报价，按照由低到高顺序排序，当评审报价相同时，</w:t>
      </w:r>
      <w:r>
        <w:rPr>
          <w:rFonts w:hint="eastAsia" w:ascii="宋体" w:hAnsi="宋体" w:eastAsia="宋体" w:cs="宋体"/>
          <w:snapToGrid/>
          <w:color w:val="auto"/>
          <w:kern w:val="2"/>
          <w:szCs w:val="21"/>
          <w:lang w:eastAsia="zh-CN"/>
        </w:rPr>
        <w:t>按照故障响应时间由短到长</w:t>
      </w:r>
      <w:r>
        <w:rPr>
          <w:rFonts w:hint="eastAsia" w:ascii="宋体" w:hAnsi="宋体" w:eastAsia="宋体" w:cs="宋体"/>
          <w:snapToGrid/>
          <w:color w:val="auto"/>
          <w:kern w:val="2"/>
          <w:szCs w:val="21"/>
          <w:highlight w:val="none"/>
          <w:lang w:eastAsia="zh-CN"/>
        </w:rPr>
        <w:t>顺序排序</w:t>
      </w:r>
      <w:r>
        <w:rPr>
          <w:rFonts w:hint="eastAsia" w:ascii="宋体" w:hAnsi="宋体" w:eastAsia="宋体" w:cs="宋体"/>
          <w:snapToGrid/>
          <w:color w:val="auto"/>
          <w:kern w:val="2"/>
          <w:szCs w:val="21"/>
          <w:lang w:eastAsia="zh-CN"/>
        </w:rPr>
        <w:t>，当故障响应时间相同时，由</w:t>
      </w:r>
      <w:r>
        <w:rPr>
          <w:rFonts w:hint="eastAsia" w:ascii="宋体" w:hAnsi="宋体" w:eastAsia="宋体" w:cs="宋体"/>
          <w:snapToGrid/>
          <w:color w:val="auto"/>
          <w:kern w:val="2"/>
          <w:szCs w:val="21"/>
          <w:highlight w:val="none"/>
          <w:lang w:eastAsia="zh-CN"/>
        </w:rPr>
        <w:t>谈判小组</w:t>
      </w:r>
      <w:r>
        <w:rPr>
          <w:rFonts w:hint="eastAsia" w:ascii="宋体" w:hAnsi="宋体" w:eastAsia="宋体" w:cs="宋体"/>
          <w:snapToGrid/>
          <w:color w:val="auto"/>
          <w:kern w:val="2"/>
          <w:szCs w:val="21"/>
          <w:lang w:eastAsia="zh-CN"/>
        </w:rPr>
        <w:t>按照抽签的方式决定排名次序</w:t>
      </w:r>
      <w:r>
        <w:rPr>
          <w:rFonts w:hint="eastAsia" w:ascii="宋体" w:hAnsi="宋体" w:eastAsia="宋体" w:cs="宋体"/>
          <w:snapToGrid/>
          <w:color w:val="auto"/>
          <w:kern w:val="2"/>
          <w:szCs w:val="21"/>
          <w:highlight w:val="none"/>
          <w:lang w:eastAsia="zh-CN"/>
        </w:rPr>
        <w:t>。</w:t>
      </w:r>
    </w:p>
    <w:p w14:paraId="37840DAD">
      <w:pPr>
        <w:pageBreakBefore w:val="0"/>
        <w:widowControl w:val="0"/>
        <w:kinsoku/>
        <w:wordWrap/>
        <w:overflowPunct/>
        <w:topLinePunct w:val="0"/>
        <w:autoSpaceDE/>
        <w:autoSpaceDN/>
        <w:bidi w:val="0"/>
        <w:adjustRightInd/>
        <w:snapToGrid/>
        <w:spacing w:line="400" w:lineRule="exact"/>
        <w:ind w:firstLine="422" w:firstLineChars="200"/>
        <w:jc w:val="both"/>
        <w:textAlignment w:val="auto"/>
        <w:rPr>
          <w:rFonts w:hint="eastAsia" w:ascii="宋体" w:hAnsi="宋体" w:eastAsia="宋体" w:cs="宋体"/>
          <w:b/>
          <w:bCs/>
          <w:snapToGrid/>
          <w:color w:val="auto"/>
          <w:kern w:val="2"/>
          <w:szCs w:val="24"/>
          <w:highlight w:val="none"/>
          <w:lang w:eastAsia="zh-CN"/>
        </w:rPr>
      </w:pPr>
      <w:r>
        <w:rPr>
          <w:rFonts w:hint="eastAsia" w:ascii="宋体" w:hAnsi="宋体" w:eastAsia="宋体" w:cs="宋体"/>
          <w:b/>
          <w:bCs/>
          <w:snapToGrid/>
          <w:color w:val="auto"/>
          <w:kern w:val="2"/>
          <w:szCs w:val="24"/>
          <w:highlight w:val="none"/>
          <w:lang w:eastAsia="zh-CN"/>
        </w:rPr>
        <w:t>三、成交候选人推荐原则</w:t>
      </w:r>
    </w:p>
    <w:p w14:paraId="60824186">
      <w:pPr>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snapToGrid/>
          <w:color w:val="auto"/>
          <w:kern w:val="2"/>
          <w:szCs w:val="21"/>
          <w:highlight w:val="none"/>
          <w:lang w:eastAsia="zh-CN"/>
        </w:rPr>
      </w:pPr>
      <w:r>
        <w:rPr>
          <w:rFonts w:hint="eastAsia" w:ascii="宋体" w:hAnsi="宋体" w:eastAsia="宋体" w:cs="宋体"/>
          <w:snapToGrid/>
          <w:color w:val="auto"/>
          <w:kern w:val="2"/>
          <w:szCs w:val="21"/>
          <w:highlight w:val="none"/>
          <w:lang w:eastAsia="zh-CN"/>
        </w:rPr>
        <w:t>（1）采购单位应当确定谈判小组推荐排名第一的成交候选人为成交供应商。若评审报价相同的，由谈判小组按照采购文件中的技术指标、售后服务承诺书、项目实施方案优劣确定一个供应商获得成交推荐资格，如上诉均相同，则由谈判小组现场抽签决定排序。</w:t>
      </w:r>
    </w:p>
    <w:p w14:paraId="5B98306F">
      <w:pPr>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snapToGrid/>
          <w:color w:val="auto"/>
          <w:kern w:val="2"/>
          <w:szCs w:val="21"/>
          <w:highlight w:val="none"/>
          <w:lang w:eastAsia="zh-CN"/>
        </w:rPr>
      </w:pPr>
      <w:r>
        <w:rPr>
          <w:rFonts w:hint="eastAsia" w:ascii="宋体" w:hAnsi="宋体" w:eastAsia="宋体" w:cs="宋体"/>
          <w:snapToGrid/>
          <w:color w:val="auto"/>
          <w:kern w:val="2"/>
          <w:szCs w:val="21"/>
          <w:highlight w:val="none"/>
          <w:lang w:eastAsia="zh-CN"/>
        </w:rPr>
        <w:t>（2）排名第一的成交候选人放弃成交、因不可抗力提出不能履行合同，或者竞争性谈判文件规定应当提交履约保证金而在规定的期限内未能提交的，或因失信行为被取消成交候选人资格的，采购单位可以确定排名第二的成交候选人为成交供应商。</w:t>
      </w:r>
    </w:p>
    <w:p w14:paraId="70447A0A">
      <w:pPr>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snapToGrid/>
          <w:color w:val="auto"/>
          <w:kern w:val="2"/>
          <w:szCs w:val="21"/>
          <w:highlight w:val="none"/>
          <w:lang w:eastAsia="zh-CN"/>
        </w:rPr>
      </w:pPr>
      <w:r>
        <w:rPr>
          <w:rFonts w:hint="eastAsia" w:ascii="宋体" w:hAnsi="宋体" w:eastAsia="宋体" w:cs="宋体"/>
          <w:snapToGrid/>
          <w:color w:val="auto"/>
          <w:kern w:val="2"/>
          <w:szCs w:val="21"/>
          <w:highlight w:val="none"/>
          <w:lang w:eastAsia="zh-CN"/>
        </w:rPr>
        <w:t>（3）排名第二的成交候选人因前款规定的同样原因不能签订合同的，采购单位可以确定排名第三的成交候选人为成交供应商。</w:t>
      </w:r>
    </w:p>
    <w:p w14:paraId="15A795F3">
      <w:pPr>
        <w:pageBreakBefore w:val="0"/>
        <w:widowControl w:val="0"/>
        <w:kinsoku/>
        <w:wordWrap/>
        <w:overflowPunct/>
        <w:topLinePunct w:val="0"/>
        <w:autoSpaceDE/>
        <w:autoSpaceDN/>
        <w:bidi w:val="0"/>
        <w:adjustRightInd/>
        <w:snapToGrid/>
        <w:spacing w:line="400" w:lineRule="exact"/>
        <w:ind w:firstLine="422" w:firstLineChars="200"/>
        <w:jc w:val="both"/>
        <w:textAlignment w:val="auto"/>
        <w:rPr>
          <w:rFonts w:hint="eastAsia" w:ascii="宋体" w:hAnsi="宋体" w:eastAsia="宋体" w:cs="宋体"/>
          <w:b/>
          <w:bCs/>
          <w:snapToGrid/>
          <w:color w:val="auto"/>
          <w:kern w:val="2"/>
          <w:szCs w:val="21"/>
          <w:highlight w:val="none"/>
          <w:lang w:eastAsia="zh-CN"/>
        </w:rPr>
      </w:pPr>
      <w:r>
        <w:rPr>
          <w:rFonts w:hint="eastAsia" w:ascii="宋体" w:hAnsi="宋体" w:eastAsia="宋体" w:cs="宋体"/>
          <w:b/>
          <w:bCs/>
          <w:snapToGrid/>
          <w:color w:val="auto"/>
          <w:kern w:val="2"/>
          <w:szCs w:val="21"/>
          <w:highlight w:val="none"/>
          <w:lang w:eastAsia="zh-CN"/>
        </w:rPr>
        <w:t>四、特别说明</w:t>
      </w:r>
    </w:p>
    <w:p w14:paraId="307642F8">
      <w:pPr>
        <w:pageBreakBefore w:val="0"/>
        <w:widowControl w:val="0"/>
        <w:kinsoku/>
        <w:wordWrap/>
        <w:overflowPunct/>
        <w:topLinePunct w:val="0"/>
        <w:autoSpaceDE/>
        <w:autoSpaceDN/>
        <w:bidi w:val="0"/>
        <w:adjustRightInd/>
        <w:snapToGrid/>
        <w:spacing w:line="400" w:lineRule="exact"/>
        <w:ind w:firstLine="632" w:firstLineChars="300"/>
        <w:jc w:val="both"/>
        <w:textAlignment w:val="auto"/>
        <w:rPr>
          <w:rFonts w:hint="eastAsia" w:ascii="宋体" w:hAnsi="宋体" w:eastAsia="宋体" w:cs="宋体"/>
          <w:b/>
          <w:bCs/>
          <w:snapToGrid/>
          <w:color w:val="auto"/>
          <w:kern w:val="2"/>
          <w:szCs w:val="21"/>
          <w:highlight w:val="none"/>
          <w:lang w:eastAsia="zh-CN"/>
        </w:rPr>
      </w:pPr>
      <w:r>
        <w:rPr>
          <w:rFonts w:hint="eastAsia" w:ascii="宋体" w:hAnsi="宋体" w:eastAsia="宋体" w:cs="宋体"/>
          <w:b/>
          <w:bCs/>
          <w:snapToGrid/>
          <w:color w:val="auto"/>
          <w:kern w:val="2"/>
          <w:sz w:val="21"/>
          <w:szCs w:val="21"/>
          <w:highlight w:val="none"/>
          <w:lang w:val="en-US" w:eastAsia="zh-CN"/>
        </w:rPr>
        <w:t>评审时，谈判小组根据《关于推动解决政府采购异常低价问题的通知》（财库〔2026〕2号）相关规定启动异常低价投标（响应）审查程序。</w:t>
      </w:r>
      <w:r>
        <w:rPr>
          <w:rFonts w:hint="eastAsia" w:ascii="宋体" w:hAnsi="宋体" w:eastAsia="宋体" w:cs="宋体"/>
          <w:b/>
          <w:bCs/>
          <w:snapToGrid/>
          <w:color w:val="auto"/>
          <w:kern w:val="2"/>
          <w:szCs w:val="21"/>
          <w:highlight w:val="none"/>
          <w:lang w:eastAsia="zh-CN"/>
        </w:rPr>
        <w:t>启动异常低价投标（响应）审查后，</w:t>
      </w:r>
      <w:r>
        <w:rPr>
          <w:rStyle w:val="30"/>
          <w:rFonts w:hint="eastAsia" w:ascii="宋体" w:hAnsi="宋体" w:eastAsia="宋体" w:cs="宋体"/>
          <w:b/>
          <w:bCs/>
          <w:snapToGrid/>
          <w:color w:val="auto"/>
          <w:kern w:val="2"/>
          <w:szCs w:val="21"/>
          <w:highlight w:val="none"/>
          <w:lang w:eastAsia="zh-CN"/>
        </w:rPr>
        <w:t>应当要求供应商在</w:t>
      </w:r>
      <w:r>
        <w:rPr>
          <w:rStyle w:val="30"/>
          <w:rFonts w:hint="eastAsia" w:ascii="宋体" w:hAnsi="宋体" w:eastAsia="宋体" w:cs="宋体"/>
          <w:b/>
          <w:bCs/>
          <w:snapToGrid/>
          <w:color w:val="auto"/>
          <w:kern w:val="2"/>
          <w:szCs w:val="21"/>
          <w:highlight w:val="none"/>
          <w:lang w:val="en-US" w:eastAsia="zh-CN"/>
        </w:rPr>
        <w:t>谈判小组要求的时间内</w:t>
      </w:r>
      <w:r>
        <w:rPr>
          <w:rFonts w:hint="eastAsia" w:ascii="宋体" w:hAnsi="宋体" w:eastAsia="宋体" w:cs="宋体"/>
          <w:b/>
          <w:bCs/>
          <w:snapToGrid/>
          <w:color w:val="auto"/>
          <w:kern w:val="2"/>
          <w:szCs w:val="21"/>
          <w:highlight w:val="none"/>
          <w:lang w:eastAsia="zh-CN"/>
        </w:rPr>
        <w:t>对投标（响应）价格作出解释，</w:t>
      </w:r>
      <w:r>
        <w:rPr>
          <w:rFonts w:hint="eastAsia" w:ascii="宋体" w:hAnsi="宋体" w:eastAsia="宋体" w:cs="宋体"/>
          <w:b/>
          <w:bCs/>
          <w:snapToGrid/>
          <w:color w:val="auto"/>
          <w:kern w:val="2"/>
          <w:szCs w:val="21"/>
          <w:highlight w:val="none"/>
          <w:shd w:val="clear" w:color="auto" w:fill="FFFFFF"/>
          <w:lang w:eastAsia="zh-CN"/>
        </w:rPr>
        <w:t>提供项目具体成本测算等与报价合理性相关的书面说明及必要的证明材料（包括但不限于原材料成本、人工成本、制造费用等）。</w:t>
      </w:r>
      <w:r>
        <w:rPr>
          <w:rFonts w:hint="eastAsia" w:ascii="宋体" w:hAnsi="宋体" w:eastAsia="宋体" w:cs="宋体"/>
          <w:b/>
          <w:bCs/>
          <w:snapToGrid/>
          <w:color w:val="auto"/>
          <w:kern w:val="2"/>
          <w:szCs w:val="21"/>
          <w:highlight w:val="none"/>
          <w:lang w:eastAsia="zh-CN"/>
        </w:rPr>
        <w:t>投标（响应）供应商不能提供书面说明、证明材料，或者提供的书面说明、证明材料不能证明其报价合理性的，</w:t>
      </w:r>
      <w:r>
        <w:rPr>
          <w:rFonts w:hint="eastAsia" w:ascii="宋体" w:hAnsi="宋体" w:eastAsia="宋体" w:cs="宋体"/>
          <w:b/>
          <w:bCs/>
          <w:snapToGrid/>
          <w:color w:val="auto"/>
          <w:kern w:val="2"/>
          <w:szCs w:val="21"/>
          <w:highlight w:val="none"/>
          <w:lang w:val="en-US" w:eastAsia="zh-CN"/>
        </w:rPr>
        <w:t>谈判小组</w:t>
      </w:r>
      <w:r>
        <w:rPr>
          <w:rFonts w:hint="eastAsia" w:ascii="宋体" w:hAnsi="宋体" w:eastAsia="宋体" w:cs="宋体"/>
          <w:b/>
          <w:bCs/>
          <w:snapToGrid/>
          <w:color w:val="auto"/>
          <w:kern w:val="2"/>
          <w:szCs w:val="21"/>
          <w:highlight w:val="none"/>
          <w:lang w:eastAsia="zh-CN"/>
        </w:rPr>
        <w:t>应当将其作为无效投标（响应）处理。 异常低价投标（响应）审查的启动原因、审查意见和审查结果应当在评审报告中记录。</w:t>
      </w:r>
    </w:p>
    <w:p w14:paraId="6E161EC8">
      <w:pPr>
        <w:pageBreakBefore w:val="0"/>
        <w:widowControl w:val="0"/>
        <w:kinsoku/>
        <w:wordWrap/>
        <w:overflowPunct/>
        <w:topLinePunct w:val="0"/>
        <w:autoSpaceDE/>
        <w:autoSpaceDN/>
        <w:bidi w:val="0"/>
        <w:adjustRightInd/>
        <w:snapToGrid/>
        <w:spacing w:line="400" w:lineRule="exact"/>
        <w:ind w:firstLine="632" w:firstLineChars="300"/>
        <w:jc w:val="both"/>
        <w:textAlignment w:val="auto"/>
        <w:rPr>
          <w:rFonts w:hint="eastAsia" w:ascii="宋体" w:hAnsi="宋体" w:eastAsia="宋体" w:cs="宋体"/>
          <w:b/>
          <w:bCs/>
          <w:snapToGrid/>
          <w:color w:val="auto"/>
          <w:kern w:val="2"/>
          <w:sz w:val="21"/>
          <w:szCs w:val="21"/>
          <w:highlight w:val="none"/>
          <w:lang w:eastAsia="zh-CN"/>
        </w:rPr>
      </w:pPr>
      <w:r>
        <w:rPr>
          <w:rFonts w:hint="eastAsia" w:ascii="宋体" w:hAnsi="宋体" w:eastAsia="宋体" w:cs="宋体"/>
          <w:b/>
          <w:bCs/>
          <w:snapToGrid/>
          <w:color w:val="auto"/>
          <w:kern w:val="2"/>
          <w:szCs w:val="21"/>
          <w:highlight w:val="none"/>
          <w:lang w:eastAsia="zh-CN"/>
        </w:rPr>
        <w:t>为避免因未能及时提供说明而导致被评审委员会作为无效投标情形，</w:t>
      </w:r>
      <w:r>
        <w:rPr>
          <w:rFonts w:hint="eastAsia" w:ascii="宋体" w:hAnsi="宋体" w:eastAsia="宋体" w:cs="宋体"/>
          <w:b/>
          <w:bCs/>
          <w:snapToGrid/>
          <w:color w:val="auto"/>
          <w:kern w:val="2"/>
          <w:szCs w:val="21"/>
          <w:highlight w:val="none"/>
          <w:shd w:val="clear" w:color="auto" w:fill="auto"/>
          <w:lang w:eastAsia="zh-CN"/>
        </w:rPr>
        <w:t>供应商可提前准备或随投标（响应）文件一并提交相关书面说明及必要的证明材料。</w:t>
      </w:r>
    </w:p>
    <w:p w14:paraId="1894D97E">
      <w:pPr>
        <w:pStyle w:val="3"/>
        <w:pageBreakBefore w:val="0"/>
        <w:widowControl w:val="0"/>
        <w:wordWrap/>
        <w:overflowPunct/>
        <w:topLinePunct w:val="0"/>
        <w:bidi w:val="0"/>
        <w:spacing w:line="400" w:lineRule="exact"/>
        <w:rPr>
          <w:rFonts w:hint="eastAsia" w:ascii="宋体" w:hAnsi="宋体" w:eastAsia="宋体" w:cs="宋体"/>
          <w:color w:val="auto"/>
          <w:lang w:eastAsia="zh-CN"/>
        </w:rPr>
        <w:sectPr>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p w14:paraId="3AED6AA9">
      <w:pPr>
        <w:pageBreakBefore w:val="0"/>
        <w:widowControl w:val="0"/>
        <w:kinsoku/>
        <w:wordWrap w:val="0"/>
        <w:overflowPunct/>
        <w:topLinePunct w:val="0"/>
        <w:bidi w:val="0"/>
        <w:spacing w:before="120" w:beforeLines="50" w:after="120" w:afterLines="50" w:line="400" w:lineRule="exact"/>
        <w:jc w:val="center"/>
        <w:rPr>
          <w:rFonts w:hint="eastAsia" w:ascii="宋体" w:hAnsi="宋体" w:eastAsia="宋体" w:cs="宋体"/>
          <w:b/>
          <w:bCs/>
          <w:color w:val="auto"/>
          <w:sz w:val="30"/>
          <w:szCs w:val="30"/>
          <w:highlight w:val="none"/>
          <w:lang w:eastAsia="zh-CN"/>
        </w:rPr>
      </w:pPr>
      <w:bookmarkStart w:id="13" w:name="_Toc28361_WPSOffice_Level2"/>
      <w:r>
        <w:rPr>
          <w:rFonts w:hint="eastAsia" w:ascii="宋体" w:hAnsi="宋体" w:eastAsia="宋体" w:cs="宋体"/>
          <w:b/>
          <w:bCs/>
          <w:color w:val="auto"/>
          <w:sz w:val="30"/>
          <w:szCs w:val="30"/>
          <w:highlight w:val="none"/>
          <w:lang w:eastAsia="zh-CN"/>
        </w:rPr>
        <w:t>附</w:t>
      </w:r>
      <w:r>
        <w:rPr>
          <w:rFonts w:hint="eastAsia" w:ascii="宋体" w:hAnsi="宋体" w:eastAsia="宋体" w:cs="宋体"/>
          <w:b/>
          <w:bCs/>
          <w:color w:val="auto"/>
          <w:sz w:val="30"/>
          <w:szCs w:val="30"/>
          <w:highlight w:val="none"/>
          <w:lang w:val="en-US" w:eastAsia="zh-CN"/>
        </w:rPr>
        <w:t>:</w:t>
      </w:r>
      <w:r>
        <w:rPr>
          <w:rFonts w:hint="eastAsia" w:ascii="宋体" w:hAnsi="宋体" w:eastAsia="宋体" w:cs="宋体"/>
          <w:b/>
          <w:bCs/>
          <w:color w:val="auto"/>
          <w:sz w:val="30"/>
          <w:szCs w:val="30"/>
          <w:highlight w:val="none"/>
          <w:lang w:eastAsia="zh-CN"/>
        </w:rPr>
        <w:t>统计上大中小微型企业划分标准</w:t>
      </w:r>
      <w:bookmarkEnd w:id="13"/>
    </w:p>
    <w:tbl>
      <w:tblPr>
        <w:tblStyle w:val="20"/>
        <w:tblW w:w="94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3"/>
        <w:gridCol w:w="1369"/>
        <w:gridCol w:w="709"/>
        <w:gridCol w:w="1125"/>
        <w:gridCol w:w="1701"/>
        <w:gridCol w:w="1426"/>
        <w:gridCol w:w="992"/>
      </w:tblGrid>
      <w:tr w14:paraId="51B20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exact"/>
          <w:tblHeader/>
          <w:jc w:val="center"/>
        </w:trPr>
        <w:tc>
          <w:tcPr>
            <w:tcW w:w="2113" w:type="dxa"/>
            <w:shd w:val="clear" w:color="auto" w:fill="FFFFFF"/>
            <w:vAlign w:val="center"/>
          </w:tcPr>
          <w:p w14:paraId="572515C9">
            <w:pPr>
              <w:pageBreakBefore w:val="0"/>
              <w:widowControl w:val="0"/>
              <w:kinsoku/>
              <w:wordWrap w:val="0"/>
              <w:overflowPunct/>
              <w:topLinePunct w:val="0"/>
              <w:bidi w:val="0"/>
              <w:spacing w:line="400" w:lineRule="exact"/>
              <w:jc w:val="center"/>
              <w:rPr>
                <w:rFonts w:hint="eastAsia" w:ascii="宋体" w:hAnsi="宋体" w:eastAsia="宋体" w:cs="宋体"/>
                <w:b/>
                <w:bCs/>
                <w:color w:val="auto"/>
                <w:sz w:val="18"/>
                <w:highlight w:val="none"/>
              </w:rPr>
            </w:pPr>
            <w:r>
              <w:rPr>
                <w:rFonts w:hint="eastAsia" w:ascii="宋体" w:hAnsi="宋体" w:eastAsia="宋体" w:cs="宋体"/>
                <w:b/>
                <w:bCs/>
                <w:color w:val="auto"/>
                <w:sz w:val="18"/>
                <w:highlight w:val="none"/>
              </w:rPr>
              <w:t>行业名称</w:t>
            </w:r>
          </w:p>
        </w:tc>
        <w:tc>
          <w:tcPr>
            <w:tcW w:w="1369" w:type="dxa"/>
            <w:shd w:val="clear" w:color="auto" w:fill="FFFFFF"/>
            <w:vAlign w:val="center"/>
          </w:tcPr>
          <w:p w14:paraId="16F91DD9">
            <w:pPr>
              <w:pageBreakBefore w:val="0"/>
              <w:widowControl w:val="0"/>
              <w:kinsoku/>
              <w:wordWrap w:val="0"/>
              <w:overflowPunct/>
              <w:topLinePunct w:val="0"/>
              <w:bidi w:val="0"/>
              <w:spacing w:line="400" w:lineRule="exact"/>
              <w:jc w:val="center"/>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指标名称</w:t>
            </w:r>
          </w:p>
        </w:tc>
        <w:tc>
          <w:tcPr>
            <w:tcW w:w="709" w:type="dxa"/>
            <w:shd w:val="clear" w:color="auto" w:fill="FFFFFF"/>
            <w:vAlign w:val="center"/>
          </w:tcPr>
          <w:p w14:paraId="0D048C47">
            <w:pPr>
              <w:pageBreakBefore w:val="0"/>
              <w:widowControl w:val="0"/>
              <w:kinsoku/>
              <w:wordWrap w:val="0"/>
              <w:overflowPunct/>
              <w:topLinePunct w:val="0"/>
              <w:bidi w:val="0"/>
              <w:spacing w:line="400" w:lineRule="exact"/>
              <w:jc w:val="center"/>
              <w:rPr>
                <w:rFonts w:hint="eastAsia" w:ascii="宋体" w:hAnsi="宋体" w:eastAsia="宋体" w:cs="宋体"/>
                <w:b/>
                <w:bCs/>
                <w:color w:val="auto"/>
                <w:sz w:val="18"/>
                <w:szCs w:val="18"/>
                <w:highlight w:val="none"/>
                <w:lang w:eastAsia="zh-CN"/>
              </w:rPr>
            </w:pPr>
            <w:r>
              <w:rPr>
                <w:rFonts w:hint="eastAsia" w:ascii="宋体" w:hAnsi="宋体" w:eastAsia="宋体" w:cs="宋体"/>
                <w:b/>
                <w:bCs/>
                <w:color w:val="auto"/>
                <w:sz w:val="18"/>
                <w:szCs w:val="18"/>
                <w:highlight w:val="none"/>
              </w:rPr>
              <w:t>计量</w:t>
            </w:r>
          </w:p>
          <w:p w14:paraId="7E164C06">
            <w:pPr>
              <w:pageBreakBefore w:val="0"/>
              <w:widowControl w:val="0"/>
              <w:kinsoku/>
              <w:wordWrap w:val="0"/>
              <w:overflowPunct/>
              <w:topLinePunct w:val="0"/>
              <w:bidi w:val="0"/>
              <w:spacing w:line="400" w:lineRule="exact"/>
              <w:jc w:val="center"/>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单位</w:t>
            </w:r>
          </w:p>
        </w:tc>
        <w:tc>
          <w:tcPr>
            <w:tcW w:w="1125" w:type="dxa"/>
            <w:shd w:val="clear" w:color="auto" w:fill="FFFFFF"/>
            <w:vAlign w:val="center"/>
          </w:tcPr>
          <w:p w14:paraId="49F1C7B1">
            <w:pPr>
              <w:pageBreakBefore w:val="0"/>
              <w:widowControl w:val="0"/>
              <w:kinsoku/>
              <w:wordWrap w:val="0"/>
              <w:overflowPunct/>
              <w:topLinePunct w:val="0"/>
              <w:bidi w:val="0"/>
              <w:spacing w:line="400" w:lineRule="exact"/>
              <w:jc w:val="center"/>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大型</w:t>
            </w:r>
          </w:p>
        </w:tc>
        <w:tc>
          <w:tcPr>
            <w:tcW w:w="1701" w:type="dxa"/>
            <w:shd w:val="clear" w:color="auto" w:fill="FFFFFF"/>
            <w:vAlign w:val="center"/>
          </w:tcPr>
          <w:p w14:paraId="3CB40F9D">
            <w:pPr>
              <w:pageBreakBefore w:val="0"/>
              <w:widowControl w:val="0"/>
              <w:kinsoku/>
              <w:wordWrap w:val="0"/>
              <w:overflowPunct/>
              <w:topLinePunct w:val="0"/>
              <w:bidi w:val="0"/>
              <w:spacing w:line="400" w:lineRule="exact"/>
              <w:jc w:val="center"/>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中型</w:t>
            </w:r>
          </w:p>
        </w:tc>
        <w:tc>
          <w:tcPr>
            <w:tcW w:w="1426" w:type="dxa"/>
            <w:shd w:val="clear" w:color="auto" w:fill="FFFFFF"/>
            <w:vAlign w:val="center"/>
          </w:tcPr>
          <w:p w14:paraId="247249DD">
            <w:pPr>
              <w:pageBreakBefore w:val="0"/>
              <w:widowControl w:val="0"/>
              <w:kinsoku/>
              <w:wordWrap w:val="0"/>
              <w:overflowPunct/>
              <w:topLinePunct w:val="0"/>
              <w:bidi w:val="0"/>
              <w:spacing w:line="400" w:lineRule="exact"/>
              <w:jc w:val="center"/>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小型</w:t>
            </w:r>
          </w:p>
        </w:tc>
        <w:tc>
          <w:tcPr>
            <w:tcW w:w="992" w:type="dxa"/>
            <w:shd w:val="clear" w:color="auto" w:fill="FFFFFF"/>
            <w:vAlign w:val="center"/>
          </w:tcPr>
          <w:p w14:paraId="547C6695">
            <w:pPr>
              <w:pageBreakBefore w:val="0"/>
              <w:widowControl w:val="0"/>
              <w:kinsoku/>
              <w:wordWrap w:val="0"/>
              <w:overflowPunct/>
              <w:topLinePunct w:val="0"/>
              <w:bidi w:val="0"/>
              <w:spacing w:line="400" w:lineRule="exact"/>
              <w:jc w:val="center"/>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微型</w:t>
            </w:r>
          </w:p>
        </w:tc>
      </w:tr>
      <w:tr w14:paraId="07DF5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Align w:val="center"/>
          </w:tcPr>
          <w:p w14:paraId="2D84719A">
            <w:pPr>
              <w:pageBreakBefore w:val="0"/>
              <w:widowControl w:val="0"/>
              <w:kinsoku/>
              <w:wordWrap w:val="0"/>
              <w:overflowPunct/>
              <w:topLinePunct w:val="0"/>
              <w:bidi w:val="0"/>
              <w:spacing w:line="400" w:lineRule="exac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农、林、牧、渔业</w:t>
            </w:r>
          </w:p>
        </w:tc>
        <w:tc>
          <w:tcPr>
            <w:tcW w:w="1369" w:type="dxa"/>
            <w:vAlign w:val="center"/>
          </w:tcPr>
          <w:p w14:paraId="15A3A3C0">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营业收入(Y)</w:t>
            </w:r>
          </w:p>
        </w:tc>
        <w:tc>
          <w:tcPr>
            <w:tcW w:w="709" w:type="dxa"/>
            <w:vAlign w:val="center"/>
          </w:tcPr>
          <w:p w14:paraId="422DF35F">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万元</w:t>
            </w:r>
          </w:p>
        </w:tc>
        <w:tc>
          <w:tcPr>
            <w:tcW w:w="1125" w:type="dxa"/>
            <w:vAlign w:val="center"/>
          </w:tcPr>
          <w:p w14:paraId="4F5286C2">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Y≥20000</w:t>
            </w:r>
          </w:p>
        </w:tc>
        <w:tc>
          <w:tcPr>
            <w:tcW w:w="1701" w:type="dxa"/>
            <w:vAlign w:val="center"/>
          </w:tcPr>
          <w:p w14:paraId="2EBA9F41">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500≤Y＜20000</w:t>
            </w:r>
          </w:p>
        </w:tc>
        <w:tc>
          <w:tcPr>
            <w:tcW w:w="1426" w:type="dxa"/>
            <w:vAlign w:val="center"/>
          </w:tcPr>
          <w:p w14:paraId="614D55FA">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50≤Y＜500</w:t>
            </w:r>
          </w:p>
        </w:tc>
        <w:tc>
          <w:tcPr>
            <w:tcW w:w="992" w:type="dxa"/>
            <w:vAlign w:val="center"/>
          </w:tcPr>
          <w:p w14:paraId="64F886EC">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Y＜50</w:t>
            </w:r>
          </w:p>
        </w:tc>
      </w:tr>
      <w:tr w14:paraId="03AB3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0FB82C5E">
            <w:pPr>
              <w:pageBreakBefore w:val="0"/>
              <w:widowControl w:val="0"/>
              <w:kinsoku/>
              <w:wordWrap w:val="0"/>
              <w:overflowPunct/>
              <w:topLinePunct w:val="0"/>
              <w:bidi w:val="0"/>
              <w:spacing w:line="400" w:lineRule="exac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工业 *</w:t>
            </w:r>
          </w:p>
        </w:tc>
        <w:tc>
          <w:tcPr>
            <w:tcW w:w="1369" w:type="dxa"/>
            <w:vAlign w:val="center"/>
          </w:tcPr>
          <w:p w14:paraId="68BB6776">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从业人员(X)</w:t>
            </w:r>
          </w:p>
        </w:tc>
        <w:tc>
          <w:tcPr>
            <w:tcW w:w="709" w:type="dxa"/>
            <w:vAlign w:val="center"/>
          </w:tcPr>
          <w:p w14:paraId="475F344A">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人</w:t>
            </w:r>
          </w:p>
        </w:tc>
        <w:tc>
          <w:tcPr>
            <w:tcW w:w="1125" w:type="dxa"/>
            <w:vAlign w:val="center"/>
          </w:tcPr>
          <w:p w14:paraId="067FCC6C">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X≥1000</w:t>
            </w:r>
          </w:p>
        </w:tc>
        <w:tc>
          <w:tcPr>
            <w:tcW w:w="1701" w:type="dxa"/>
            <w:vAlign w:val="center"/>
          </w:tcPr>
          <w:p w14:paraId="0FC5F9CA">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300≤X＜1000</w:t>
            </w:r>
          </w:p>
        </w:tc>
        <w:tc>
          <w:tcPr>
            <w:tcW w:w="1426" w:type="dxa"/>
            <w:vAlign w:val="center"/>
          </w:tcPr>
          <w:p w14:paraId="23666711">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20≤X＜300</w:t>
            </w:r>
          </w:p>
        </w:tc>
        <w:tc>
          <w:tcPr>
            <w:tcW w:w="992" w:type="dxa"/>
            <w:vAlign w:val="center"/>
          </w:tcPr>
          <w:p w14:paraId="3651AE72">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X＜20</w:t>
            </w:r>
          </w:p>
        </w:tc>
      </w:tr>
      <w:tr w14:paraId="30868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5D70CB51">
            <w:pPr>
              <w:pageBreakBefore w:val="0"/>
              <w:widowControl w:val="0"/>
              <w:kinsoku/>
              <w:wordWrap w:val="0"/>
              <w:overflowPunct/>
              <w:topLinePunct w:val="0"/>
              <w:bidi w:val="0"/>
              <w:spacing w:line="400" w:lineRule="exact"/>
              <w:rPr>
                <w:rFonts w:hint="eastAsia" w:ascii="宋体" w:hAnsi="宋体" w:eastAsia="宋体" w:cs="宋体"/>
                <w:color w:val="auto"/>
                <w:sz w:val="18"/>
                <w:szCs w:val="18"/>
                <w:highlight w:val="none"/>
              </w:rPr>
            </w:pPr>
          </w:p>
        </w:tc>
        <w:tc>
          <w:tcPr>
            <w:tcW w:w="1369" w:type="dxa"/>
            <w:vAlign w:val="center"/>
          </w:tcPr>
          <w:p w14:paraId="1FD7F451">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营业收入(Y)</w:t>
            </w:r>
          </w:p>
        </w:tc>
        <w:tc>
          <w:tcPr>
            <w:tcW w:w="709" w:type="dxa"/>
            <w:vAlign w:val="center"/>
          </w:tcPr>
          <w:p w14:paraId="50C63A44">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万元</w:t>
            </w:r>
          </w:p>
        </w:tc>
        <w:tc>
          <w:tcPr>
            <w:tcW w:w="1125" w:type="dxa"/>
            <w:vAlign w:val="center"/>
          </w:tcPr>
          <w:p w14:paraId="01BEE814">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Y≥40000</w:t>
            </w:r>
          </w:p>
        </w:tc>
        <w:tc>
          <w:tcPr>
            <w:tcW w:w="1701" w:type="dxa"/>
            <w:vAlign w:val="center"/>
          </w:tcPr>
          <w:p w14:paraId="5CFD5848">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2000≤Y＜40000</w:t>
            </w:r>
          </w:p>
        </w:tc>
        <w:tc>
          <w:tcPr>
            <w:tcW w:w="1426" w:type="dxa"/>
            <w:vAlign w:val="center"/>
          </w:tcPr>
          <w:p w14:paraId="27A1EB20">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300≤Y＜2000</w:t>
            </w:r>
          </w:p>
        </w:tc>
        <w:tc>
          <w:tcPr>
            <w:tcW w:w="992" w:type="dxa"/>
            <w:vAlign w:val="center"/>
          </w:tcPr>
          <w:p w14:paraId="5CCB25BE">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Y＜300</w:t>
            </w:r>
          </w:p>
        </w:tc>
      </w:tr>
      <w:tr w14:paraId="515CB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6DE8ED76">
            <w:pPr>
              <w:pageBreakBefore w:val="0"/>
              <w:widowControl w:val="0"/>
              <w:kinsoku/>
              <w:wordWrap w:val="0"/>
              <w:overflowPunct/>
              <w:topLinePunct w:val="0"/>
              <w:bidi w:val="0"/>
              <w:spacing w:line="400" w:lineRule="exac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建筑业</w:t>
            </w:r>
          </w:p>
        </w:tc>
        <w:tc>
          <w:tcPr>
            <w:tcW w:w="1369" w:type="dxa"/>
            <w:vAlign w:val="center"/>
          </w:tcPr>
          <w:p w14:paraId="2271B6B3">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营业收入(Y)</w:t>
            </w:r>
          </w:p>
        </w:tc>
        <w:tc>
          <w:tcPr>
            <w:tcW w:w="709" w:type="dxa"/>
            <w:vAlign w:val="center"/>
          </w:tcPr>
          <w:p w14:paraId="776AD179">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万元</w:t>
            </w:r>
          </w:p>
        </w:tc>
        <w:tc>
          <w:tcPr>
            <w:tcW w:w="1125" w:type="dxa"/>
            <w:vAlign w:val="center"/>
          </w:tcPr>
          <w:p w14:paraId="1708DA60">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Y≥80000</w:t>
            </w:r>
          </w:p>
        </w:tc>
        <w:tc>
          <w:tcPr>
            <w:tcW w:w="1701" w:type="dxa"/>
            <w:vAlign w:val="center"/>
          </w:tcPr>
          <w:p w14:paraId="664F591B">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6000≤Y＜80000</w:t>
            </w:r>
          </w:p>
        </w:tc>
        <w:tc>
          <w:tcPr>
            <w:tcW w:w="1426" w:type="dxa"/>
            <w:vAlign w:val="center"/>
          </w:tcPr>
          <w:p w14:paraId="4642AAB3">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300≤Y＜6000</w:t>
            </w:r>
          </w:p>
        </w:tc>
        <w:tc>
          <w:tcPr>
            <w:tcW w:w="992" w:type="dxa"/>
            <w:vAlign w:val="center"/>
          </w:tcPr>
          <w:p w14:paraId="319519D4">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Y＜300</w:t>
            </w:r>
          </w:p>
        </w:tc>
      </w:tr>
      <w:tr w14:paraId="7834E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388FA4E9">
            <w:pPr>
              <w:pageBreakBefore w:val="0"/>
              <w:widowControl w:val="0"/>
              <w:kinsoku/>
              <w:wordWrap w:val="0"/>
              <w:overflowPunct/>
              <w:topLinePunct w:val="0"/>
              <w:bidi w:val="0"/>
              <w:spacing w:line="400" w:lineRule="exact"/>
              <w:rPr>
                <w:rFonts w:hint="eastAsia" w:ascii="宋体" w:hAnsi="宋体" w:eastAsia="宋体" w:cs="宋体"/>
                <w:color w:val="auto"/>
                <w:sz w:val="18"/>
                <w:szCs w:val="18"/>
                <w:highlight w:val="none"/>
              </w:rPr>
            </w:pPr>
          </w:p>
        </w:tc>
        <w:tc>
          <w:tcPr>
            <w:tcW w:w="1369" w:type="dxa"/>
            <w:vAlign w:val="center"/>
          </w:tcPr>
          <w:p w14:paraId="22DF7590">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资产总额(Z)</w:t>
            </w:r>
          </w:p>
        </w:tc>
        <w:tc>
          <w:tcPr>
            <w:tcW w:w="709" w:type="dxa"/>
            <w:vAlign w:val="center"/>
          </w:tcPr>
          <w:p w14:paraId="6E956BAE">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万元</w:t>
            </w:r>
          </w:p>
        </w:tc>
        <w:tc>
          <w:tcPr>
            <w:tcW w:w="1125" w:type="dxa"/>
            <w:vAlign w:val="center"/>
          </w:tcPr>
          <w:p w14:paraId="06D7E8B8">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Z≥80000</w:t>
            </w:r>
          </w:p>
        </w:tc>
        <w:tc>
          <w:tcPr>
            <w:tcW w:w="1701" w:type="dxa"/>
            <w:vAlign w:val="center"/>
          </w:tcPr>
          <w:p w14:paraId="024BDAE1">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5000≤Z＜80000</w:t>
            </w:r>
          </w:p>
        </w:tc>
        <w:tc>
          <w:tcPr>
            <w:tcW w:w="1426" w:type="dxa"/>
            <w:vAlign w:val="center"/>
          </w:tcPr>
          <w:p w14:paraId="4D391057">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300≤Z＜5000</w:t>
            </w:r>
          </w:p>
        </w:tc>
        <w:tc>
          <w:tcPr>
            <w:tcW w:w="992" w:type="dxa"/>
            <w:vAlign w:val="center"/>
          </w:tcPr>
          <w:p w14:paraId="52E5D021">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Z＜300</w:t>
            </w:r>
          </w:p>
        </w:tc>
      </w:tr>
      <w:tr w14:paraId="053CC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66563438">
            <w:pPr>
              <w:pageBreakBefore w:val="0"/>
              <w:widowControl w:val="0"/>
              <w:kinsoku/>
              <w:wordWrap w:val="0"/>
              <w:overflowPunct/>
              <w:topLinePunct w:val="0"/>
              <w:bidi w:val="0"/>
              <w:spacing w:line="400" w:lineRule="exac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批发业</w:t>
            </w:r>
          </w:p>
        </w:tc>
        <w:tc>
          <w:tcPr>
            <w:tcW w:w="1369" w:type="dxa"/>
            <w:vAlign w:val="center"/>
          </w:tcPr>
          <w:p w14:paraId="265FC255">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从业人员(X)</w:t>
            </w:r>
          </w:p>
        </w:tc>
        <w:tc>
          <w:tcPr>
            <w:tcW w:w="709" w:type="dxa"/>
            <w:vAlign w:val="center"/>
          </w:tcPr>
          <w:p w14:paraId="38C52FD0">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人</w:t>
            </w:r>
          </w:p>
        </w:tc>
        <w:tc>
          <w:tcPr>
            <w:tcW w:w="1125" w:type="dxa"/>
            <w:vAlign w:val="center"/>
          </w:tcPr>
          <w:p w14:paraId="5A56EB91">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X≥200</w:t>
            </w:r>
          </w:p>
        </w:tc>
        <w:tc>
          <w:tcPr>
            <w:tcW w:w="1701" w:type="dxa"/>
            <w:vAlign w:val="center"/>
          </w:tcPr>
          <w:p w14:paraId="1E858AB7">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20≤X＜200</w:t>
            </w:r>
          </w:p>
        </w:tc>
        <w:tc>
          <w:tcPr>
            <w:tcW w:w="1426" w:type="dxa"/>
            <w:vAlign w:val="center"/>
          </w:tcPr>
          <w:p w14:paraId="00611428">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5≤X＜20</w:t>
            </w:r>
          </w:p>
        </w:tc>
        <w:tc>
          <w:tcPr>
            <w:tcW w:w="992" w:type="dxa"/>
            <w:vAlign w:val="center"/>
          </w:tcPr>
          <w:p w14:paraId="14A253AB">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X＜5</w:t>
            </w:r>
          </w:p>
        </w:tc>
      </w:tr>
      <w:tr w14:paraId="641D6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3545DAB8">
            <w:pPr>
              <w:pageBreakBefore w:val="0"/>
              <w:widowControl w:val="0"/>
              <w:kinsoku/>
              <w:wordWrap w:val="0"/>
              <w:overflowPunct/>
              <w:topLinePunct w:val="0"/>
              <w:bidi w:val="0"/>
              <w:spacing w:line="400" w:lineRule="exact"/>
              <w:rPr>
                <w:rFonts w:hint="eastAsia" w:ascii="宋体" w:hAnsi="宋体" w:eastAsia="宋体" w:cs="宋体"/>
                <w:color w:val="auto"/>
                <w:sz w:val="18"/>
                <w:szCs w:val="18"/>
                <w:highlight w:val="none"/>
              </w:rPr>
            </w:pPr>
          </w:p>
        </w:tc>
        <w:tc>
          <w:tcPr>
            <w:tcW w:w="1369" w:type="dxa"/>
            <w:vAlign w:val="center"/>
          </w:tcPr>
          <w:p w14:paraId="13CFAE05">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营业收入(Y)</w:t>
            </w:r>
          </w:p>
        </w:tc>
        <w:tc>
          <w:tcPr>
            <w:tcW w:w="709" w:type="dxa"/>
            <w:vAlign w:val="center"/>
          </w:tcPr>
          <w:p w14:paraId="6AEFC1EF">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万元</w:t>
            </w:r>
          </w:p>
        </w:tc>
        <w:tc>
          <w:tcPr>
            <w:tcW w:w="1125" w:type="dxa"/>
            <w:vAlign w:val="center"/>
          </w:tcPr>
          <w:p w14:paraId="258E9962">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Y≥40000</w:t>
            </w:r>
          </w:p>
        </w:tc>
        <w:tc>
          <w:tcPr>
            <w:tcW w:w="1701" w:type="dxa"/>
            <w:vAlign w:val="center"/>
          </w:tcPr>
          <w:p w14:paraId="5693E3FE">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5000≤Y＜40000</w:t>
            </w:r>
          </w:p>
        </w:tc>
        <w:tc>
          <w:tcPr>
            <w:tcW w:w="1426" w:type="dxa"/>
            <w:vAlign w:val="center"/>
          </w:tcPr>
          <w:p w14:paraId="7DCE67EF">
            <w:pPr>
              <w:pageBreakBefore w:val="0"/>
              <w:widowControl w:val="0"/>
              <w:kinsoku/>
              <w:wordWrap w:val="0"/>
              <w:overflowPunct/>
              <w:topLinePunct w:val="0"/>
              <w:bidi w:val="0"/>
              <w:spacing w:line="400" w:lineRule="exact"/>
              <w:ind w:left="-1" w:leftChars="-1" w:hanging="1"/>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1000≤Y＜5000</w:t>
            </w:r>
          </w:p>
        </w:tc>
        <w:tc>
          <w:tcPr>
            <w:tcW w:w="992" w:type="dxa"/>
            <w:vAlign w:val="center"/>
          </w:tcPr>
          <w:p w14:paraId="22B99E7B">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Y＜1000</w:t>
            </w:r>
          </w:p>
        </w:tc>
      </w:tr>
      <w:tr w14:paraId="0CC05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5CB88D5B">
            <w:pPr>
              <w:pageBreakBefore w:val="0"/>
              <w:widowControl w:val="0"/>
              <w:kinsoku/>
              <w:wordWrap w:val="0"/>
              <w:overflowPunct/>
              <w:topLinePunct w:val="0"/>
              <w:bidi w:val="0"/>
              <w:spacing w:line="400" w:lineRule="exac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零售业</w:t>
            </w:r>
          </w:p>
        </w:tc>
        <w:tc>
          <w:tcPr>
            <w:tcW w:w="1369" w:type="dxa"/>
            <w:vAlign w:val="center"/>
          </w:tcPr>
          <w:p w14:paraId="4B54D192">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从业人员(X)</w:t>
            </w:r>
          </w:p>
        </w:tc>
        <w:tc>
          <w:tcPr>
            <w:tcW w:w="709" w:type="dxa"/>
            <w:vAlign w:val="center"/>
          </w:tcPr>
          <w:p w14:paraId="216340C5">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人</w:t>
            </w:r>
          </w:p>
        </w:tc>
        <w:tc>
          <w:tcPr>
            <w:tcW w:w="1125" w:type="dxa"/>
            <w:vAlign w:val="center"/>
          </w:tcPr>
          <w:p w14:paraId="2559C8F2">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X≥300</w:t>
            </w:r>
          </w:p>
        </w:tc>
        <w:tc>
          <w:tcPr>
            <w:tcW w:w="1701" w:type="dxa"/>
            <w:vAlign w:val="center"/>
          </w:tcPr>
          <w:p w14:paraId="33977AE4">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50≤X＜300</w:t>
            </w:r>
          </w:p>
        </w:tc>
        <w:tc>
          <w:tcPr>
            <w:tcW w:w="1426" w:type="dxa"/>
            <w:vAlign w:val="center"/>
          </w:tcPr>
          <w:p w14:paraId="400C295A">
            <w:pPr>
              <w:pageBreakBefore w:val="0"/>
              <w:widowControl w:val="0"/>
              <w:kinsoku/>
              <w:wordWrap w:val="0"/>
              <w:overflowPunct/>
              <w:topLinePunct w:val="0"/>
              <w:bidi w:val="0"/>
              <w:spacing w:line="400" w:lineRule="exact"/>
              <w:ind w:left="-1" w:leftChars="-1" w:hanging="1"/>
              <w:jc w:val="center"/>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rPr>
              <w:t>10≤X＜50</w:t>
            </w:r>
          </w:p>
        </w:tc>
        <w:tc>
          <w:tcPr>
            <w:tcW w:w="992" w:type="dxa"/>
            <w:vAlign w:val="center"/>
          </w:tcPr>
          <w:p w14:paraId="1760AB97">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X＜10</w:t>
            </w:r>
          </w:p>
        </w:tc>
      </w:tr>
      <w:tr w14:paraId="57577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486635C5">
            <w:pPr>
              <w:pageBreakBefore w:val="0"/>
              <w:widowControl w:val="0"/>
              <w:kinsoku/>
              <w:wordWrap w:val="0"/>
              <w:overflowPunct/>
              <w:topLinePunct w:val="0"/>
              <w:bidi w:val="0"/>
              <w:spacing w:line="400" w:lineRule="exact"/>
              <w:rPr>
                <w:rFonts w:hint="eastAsia" w:ascii="宋体" w:hAnsi="宋体" w:eastAsia="宋体" w:cs="宋体"/>
                <w:color w:val="auto"/>
                <w:sz w:val="18"/>
                <w:szCs w:val="18"/>
                <w:highlight w:val="none"/>
              </w:rPr>
            </w:pPr>
          </w:p>
        </w:tc>
        <w:tc>
          <w:tcPr>
            <w:tcW w:w="1369" w:type="dxa"/>
            <w:vAlign w:val="center"/>
          </w:tcPr>
          <w:p w14:paraId="6418E5B9">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营业收入(Y)</w:t>
            </w:r>
          </w:p>
        </w:tc>
        <w:tc>
          <w:tcPr>
            <w:tcW w:w="709" w:type="dxa"/>
            <w:vAlign w:val="center"/>
          </w:tcPr>
          <w:p w14:paraId="15E3A936">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万元</w:t>
            </w:r>
          </w:p>
        </w:tc>
        <w:tc>
          <w:tcPr>
            <w:tcW w:w="1125" w:type="dxa"/>
            <w:vAlign w:val="center"/>
          </w:tcPr>
          <w:p w14:paraId="22D2CD6B">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Y≥20000</w:t>
            </w:r>
          </w:p>
        </w:tc>
        <w:tc>
          <w:tcPr>
            <w:tcW w:w="1701" w:type="dxa"/>
            <w:vAlign w:val="center"/>
          </w:tcPr>
          <w:p w14:paraId="1174E4BB">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500≤Y＜20000</w:t>
            </w:r>
          </w:p>
        </w:tc>
        <w:tc>
          <w:tcPr>
            <w:tcW w:w="1426" w:type="dxa"/>
            <w:vAlign w:val="center"/>
          </w:tcPr>
          <w:p w14:paraId="7E98F4A1">
            <w:pPr>
              <w:pageBreakBefore w:val="0"/>
              <w:widowControl w:val="0"/>
              <w:kinsoku/>
              <w:wordWrap w:val="0"/>
              <w:overflowPunct/>
              <w:topLinePunct w:val="0"/>
              <w:bidi w:val="0"/>
              <w:spacing w:line="400" w:lineRule="exact"/>
              <w:ind w:left="-1" w:leftChars="-1" w:hanging="1"/>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100≤Y＜500</w:t>
            </w:r>
          </w:p>
        </w:tc>
        <w:tc>
          <w:tcPr>
            <w:tcW w:w="992" w:type="dxa"/>
            <w:vAlign w:val="center"/>
          </w:tcPr>
          <w:p w14:paraId="6D169452">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Y＜100</w:t>
            </w:r>
          </w:p>
        </w:tc>
      </w:tr>
      <w:tr w14:paraId="1F904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5C623BA6">
            <w:pPr>
              <w:pageBreakBefore w:val="0"/>
              <w:widowControl w:val="0"/>
              <w:kinsoku/>
              <w:wordWrap w:val="0"/>
              <w:overflowPunct/>
              <w:topLinePunct w:val="0"/>
              <w:bidi w:val="0"/>
              <w:spacing w:line="400" w:lineRule="exac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交通运输业 *</w:t>
            </w:r>
          </w:p>
        </w:tc>
        <w:tc>
          <w:tcPr>
            <w:tcW w:w="1369" w:type="dxa"/>
            <w:vAlign w:val="center"/>
          </w:tcPr>
          <w:p w14:paraId="63F5768D">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从业人员(X)</w:t>
            </w:r>
          </w:p>
        </w:tc>
        <w:tc>
          <w:tcPr>
            <w:tcW w:w="709" w:type="dxa"/>
            <w:vAlign w:val="center"/>
          </w:tcPr>
          <w:p w14:paraId="6500917C">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人</w:t>
            </w:r>
          </w:p>
        </w:tc>
        <w:tc>
          <w:tcPr>
            <w:tcW w:w="1125" w:type="dxa"/>
            <w:vAlign w:val="center"/>
          </w:tcPr>
          <w:p w14:paraId="494F19F2">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X≥1000</w:t>
            </w:r>
          </w:p>
        </w:tc>
        <w:tc>
          <w:tcPr>
            <w:tcW w:w="1701" w:type="dxa"/>
            <w:vAlign w:val="center"/>
          </w:tcPr>
          <w:p w14:paraId="7F23A5E0">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300≤X＜1000</w:t>
            </w:r>
          </w:p>
        </w:tc>
        <w:tc>
          <w:tcPr>
            <w:tcW w:w="1426" w:type="dxa"/>
            <w:vAlign w:val="center"/>
          </w:tcPr>
          <w:p w14:paraId="493FB7F6">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20≤X＜300</w:t>
            </w:r>
          </w:p>
        </w:tc>
        <w:tc>
          <w:tcPr>
            <w:tcW w:w="992" w:type="dxa"/>
            <w:vAlign w:val="center"/>
          </w:tcPr>
          <w:p w14:paraId="30859EFE">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X＜20</w:t>
            </w:r>
          </w:p>
        </w:tc>
      </w:tr>
      <w:tr w14:paraId="2CBC3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6AB02DAC">
            <w:pPr>
              <w:pageBreakBefore w:val="0"/>
              <w:widowControl w:val="0"/>
              <w:kinsoku/>
              <w:wordWrap w:val="0"/>
              <w:overflowPunct/>
              <w:topLinePunct w:val="0"/>
              <w:bidi w:val="0"/>
              <w:spacing w:line="400" w:lineRule="exact"/>
              <w:rPr>
                <w:rFonts w:hint="eastAsia" w:ascii="宋体" w:hAnsi="宋体" w:eastAsia="宋体" w:cs="宋体"/>
                <w:color w:val="auto"/>
                <w:sz w:val="18"/>
                <w:szCs w:val="18"/>
                <w:highlight w:val="none"/>
              </w:rPr>
            </w:pPr>
          </w:p>
        </w:tc>
        <w:tc>
          <w:tcPr>
            <w:tcW w:w="1369" w:type="dxa"/>
            <w:vAlign w:val="center"/>
          </w:tcPr>
          <w:p w14:paraId="4775C1C8">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营业收入(Y)</w:t>
            </w:r>
          </w:p>
        </w:tc>
        <w:tc>
          <w:tcPr>
            <w:tcW w:w="709" w:type="dxa"/>
            <w:vAlign w:val="center"/>
          </w:tcPr>
          <w:p w14:paraId="5754F01F">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万元</w:t>
            </w:r>
          </w:p>
        </w:tc>
        <w:tc>
          <w:tcPr>
            <w:tcW w:w="1125" w:type="dxa"/>
            <w:vAlign w:val="center"/>
          </w:tcPr>
          <w:p w14:paraId="2430C0D4">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Y≥30000</w:t>
            </w:r>
          </w:p>
        </w:tc>
        <w:tc>
          <w:tcPr>
            <w:tcW w:w="1701" w:type="dxa"/>
            <w:vAlign w:val="center"/>
          </w:tcPr>
          <w:p w14:paraId="47B53CC6">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3000≤Y＜30000</w:t>
            </w:r>
          </w:p>
        </w:tc>
        <w:tc>
          <w:tcPr>
            <w:tcW w:w="1426" w:type="dxa"/>
            <w:vAlign w:val="center"/>
          </w:tcPr>
          <w:p w14:paraId="6068D7C4">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200≤Y＜3000</w:t>
            </w:r>
          </w:p>
        </w:tc>
        <w:tc>
          <w:tcPr>
            <w:tcW w:w="992" w:type="dxa"/>
            <w:vAlign w:val="center"/>
          </w:tcPr>
          <w:p w14:paraId="54791F4B">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Y＜200</w:t>
            </w:r>
          </w:p>
        </w:tc>
      </w:tr>
      <w:tr w14:paraId="03661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28AC2BF7">
            <w:pPr>
              <w:pageBreakBefore w:val="0"/>
              <w:widowControl w:val="0"/>
              <w:kinsoku/>
              <w:wordWrap w:val="0"/>
              <w:overflowPunct/>
              <w:topLinePunct w:val="0"/>
              <w:bidi w:val="0"/>
              <w:spacing w:line="400" w:lineRule="exac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仓储业*</w:t>
            </w:r>
          </w:p>
        </w:tc>
        <w:tc>
          <w:tcPr>
            <w:tcW w:w="1369" w:type="dxa"/>
            <w:vAlign w:val="center"/>
          </w:tcPr>
          <w:p w14:paraId="771E3AB2">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从业人员(X)</w:t>
            </w:r>
          </w:p>
        </w:tc>
        <w:tc>
          <w:tcPr>
            <w:tcW w:w="709" w:type="dxa"/>
            <w:vAlign w:val="center"/>
          </w:tcPr>
          <w:p w14:paraId="75843D65">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人</w:t>
            </w:r>
          </w:p>
        </w:tc>
        <w:tc>
          <w:tcPr>
            <w:tcW w:w="1125" w:type="dxa"/>
            <w:vAlign w:val="center"/>
          </w:tcPr>
          <w:p w14:paraId="58AB35FD">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X≥200</w:t>
            </w:r>
          </w:p>
        </w:tc>
        <w:tc>
          <w:tcPr>
            <w:tcW w:w="1701" w:type="dxa"/>
            <w:vAlign w:val="center"/>
          </w:tcPr>
          <w:p w14:paraId="369A6EE6">
            <w:pPr>
              <w:pageBreakBefore w:val="0"/>
              <w:widowControl w:val="0"/>
              <w:kinsoku/>
              <w:wordWrap w:val="0"/>
              <w:overflowPunct/>
              <w:topLinePunct w:val="0"/>
              <w:bidi w:val="0"/>
              <w:spacing w:line="400" w:lineRule="exact"/>
              <w:ind w:left="1" w:leftChars="-51" w:hanging="108" w:hangingChars="6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100≤X＜200</w:t>
            </w:r>
          </w:p>
        </w:tc>
        <w:tc>
          <w:tcPr>
            <w:tcW w:w="1426" w:type="dxa"/>
            <w:vAlign w:val="center"/>
          </w:tcPr>
          <w:p w14:paraId="343CE90B">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20≤X＜100</w:t>
            </w:r>
          </w:p>
        </w:tc>
        <w:tc>
          <w:tcPr>
            <w:tcW w:w="992" w:type="dxa"/>
            <w:vAlign w:val="center"/>
          </w:tcPr>
          <w:p w14:paraId="43FADBCE">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X＜20</w:t>
            </w:r>
          </w:p>
        </w:tc>
      </w:tr>
      <w:tr w14:paraId="60882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0B9EF11B">
            <w:pPr>
              <w:pageBreakBefore w:val="0"/>
              <w:widowControl w:val="0"/>
              <w:kinsoku/>
              <w:wordWrap w:val="0"/>
              <w:overflowPunct/>
              <w:topLinePunct w:val="0"/>
              <w:bidi w:val="0"/>
              <w:spacing w:line="400" w:lineRule="exact"/>
              <w:rPr>
                <w:rFonts w:hint="eastAsia" w:ascii="宋体" w:hAnsi="宋体" w:eastAsia="宋体" w:cs="宋体"/>
                <w:color w:val="auto"/>
                <w:sz w:val="18"/>
                <w:szCs w:val="18"/>
                <w:highlight w:val="none"/>
              </w:rPr>
            </w:pPr>
          </w:p>
        </w:tc>
        <w:tc>
          <w:tcPr>
            <w:tcW w:w="1369" w:type="dxa"/>
            <w:vAlign w:val="center"/>
          </w:tcPr>
          <w:p w14:paraId="5331A298">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营业收入(Y)</w:t>
            </w:r>
          </w:p>
        </w:tc>
        <w:tc>
          <w:tcPr>
            <w:tcW w:w="709" w:type="dxa"/>
            <w:vAlign w:val="center"/>
          </w:tcPr>
          <w:p w14:paraId="334DC454">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万元</w:t>
            </w:r>
          </w:p>
        </w:tc>
        <w:tc>
          <w:tcPr>
            <w:tcW w:w="1125" w:type="dxa"/>
            <w:vAlign w:val="center"/>
          </w:tcPr>
          <w:p w14:paraId="73204C31">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Y≥30000</w:t>
            </w:r>
          </w:p>
        </w:tc>
        <w:tc>
          <w:tcPr>
            <w:tcW w:w="1701" w:type="dxa"/>
            <w:vAlign w:val="center"/>
          </w:tcPr>
          <w:p w14:paraId="479BA5C8">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1000≤Y＜30000</w:t>
            </w:r>
          </w:p>
        </w:tc>
        <w:tc>
          <w:tcPr>
            <w:tcW w:w="1426" w:type="dxa"/>
            <w:vAlign w:val="center"/>
          </w:tcPr>
          <w:p w14:paraId="0E5048CE">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100≤Y＜1000</w:t>
            </w:r>
          </w:p>
        </w:tc>
        <w:tc>
          <w:tcPr>
            <w:tcW w:w="992" w:type="dxa"/>
            <w:vAlign w:val="center"/>
          </w:tcPr>
          <w:p w14:paraId="09CADA18">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Y＜100</w:t>
            </w:r>
          </w:p>
        </w:tc>
      </w:tr>
      <w:tr w14:paraId="6D8E2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4E098834">
            <w:pPr>
              <w:pageBreakBefore w:val="0"/>
              <w:widowControl w:val="0"/>
              <w:kinsoku/>
              <w:wordWrap w:val="0"/>
              <w:overflowPunct/>
              <w:topLinePunct w:val="0"/>
              <w:bidi w:val="0"/>
              <w:spacing w:line="400" w:lineRule="exac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邮政业</w:t>
            </w:r>
          </w:p>
        </w:tc>
        <w:tc>
          <w:tcPr>
            <w:tcW w:w="1369" w:type="dxa"/>
            <w:vAlign w:val="center"/>
          </w:tcPr>
          <w:p w14:paraId="12D426C3">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从业人员(X)</w:t>
            </w:r>
          </w:p>
        </w:tc>
        <w:tc>
          <w:tcPr>
            <w:tcW w:w="709" w:type="dxa"/>
            <w:vAlign w:val="center"/>
          </w:tcPr>
          <w:p w14:paraId="0B29BFBB">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人</w:t>
            </w:r>
          </w:p>
        </w:tc>
        <w:tc>
          <w:tcPr>
            <w:tcW w:w="1125" w:type="dxa"/>
            <w:vAlign w:val="center"/>
          </w:tcPr>
          <w:p w14:paraId="0EBF6079">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X≥1000</w:t>
            </w:r>
          </w:p>
        </w:tc>
        <w:tc>
          <w:tcPr>
            <w:tcW w:w="1701" w:type="dxa"/>
            <w:vAlign w:val="center"/>
          </w:tcPr>
          <w:p w14:paraId="4971C8B5">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300≤X＜1000</w:t>
            </w:r>
          </w:p>
        </w:tc>
        <w:tc>
          <w:tcPr>
            <w:tcW w:w="1426" w:type="dxa"/>
            <w:vAlign w:val="center"/>
          </w:tcPr>
          <w:p w14:paraId="03006750">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20≤X＜300</w:t>
            </w:r>
          </w:p>
        </w:tc>
        <w:tc>
          <w:tcPr>
            <w:tcW w:w="992" w:type="dxa"/>
            <w:vAlign w:val="center"/>
          </w:tcPr>
          <w:p w14:paraId="5EB3320F">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X＜20</w:t>
            </w:r>
          </w:p>
        </w:tc>
      </w:tr>
      <w:tr w14:paraId="2D00D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67E0B913">
            <w:pPr>
              <w:pageBreakBefore w:val="0"/>
              <w:widowControl w:val="0"/>
              <w:kinsoku/>
              <w:wordWrap w:val="0"/>
              <w:overflowPunct/>
              <w:topLinePunct w:val="0"/>
              <w:bidi w:val="0"/>
              <w:spacing w:line="400" w:lineRule="exact"/>
              <w:rPr>
                <w:rFonts w:hint="eastAsia" w:ascii="宋体" w:hAnsi="宋体" w:eastAsia="宋体" w:cs="宋体"/>
                <w:color w:val="auto"/>
                <w:sz w:val="18"/>
                <w:szCs w:val="18"/>
                <w:highlight w:val="none"/>
              </w:rPr>
            </w:pPr>
          </w:p>
        </w:tc>
        <w:tc>
          <w:tcPr>
            <w:tcW w:w="1369" w:type="dxa"/>
            <w:vAlign w:val="center"/>
          </w:tcPr>
          <w:p w14:paraId="4847C06C">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营业收入(Y)</w:t>
            </w:r>
          </w:p>
        </w:tc>
        <w:tc>
          <w:tcPr>
            <w:tcW w:w="709" w:type="dxa"/>
            <w:vAlign w:val="center"/>
          </w:tcPr>
          <w:p w14:paraId="567CC936">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万元</w:t>
            </w:r>
          </w:p>
        </w:tc>
        <w:tc>
          <w:tcPr>
            <w:tcW w:w="1125" w:type="dxa"/>
            <w:vAlign w:val="center"/>
          </w:tcPr>
          <w:p w14:paraId="552319D3">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Y≥30000</w:t>
            </w:r>
          </w:p>
        </w:tc>
        <w:tc>
          <w:tcPr>
            <w:tcW w:w="1701" w:type="dxa"/>
            <w:vAlign w:val="center"/>
          </w:tcPr>
          <w:p w14:paraId="695374C5">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2000≤Y＜30000</w:t>
            </w:r>
          </w:p>
        </w:tc>
        <w:tc>
          <w:tcPr>
            <w:tcW w:w="1426" w:type="dxa"/>
            <w:vAlign w:val="center"/>
          </w:tcPr>
          <w:p w14:paraId="063B451C">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100≤Y＜2000</w:t>
            </w:r>
          </w:p>
        </w:tc>
        <w:tc>
          <w:tcPr>
            <w:tcW w:w="992" w:type="dxa"/>
            <w:vAlign w:val="center"/>
          </w:tcPr>
          <w:p w14:paraId="55272A10">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Y＜100</w:t>
            </w:r>
          </w:p>
        </w:tc>
      </w:tr>
      <w:tr w14:paraId="36108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415D1A15">
            <w:pPr>
              <w:pageBreakBefore w:val="0"/>
              <w:widowControl w:val="0"/>
              <w:kinsoku/>
              <w:wordWrap w:val="0"/>
              <w:overflowPunct/>
              <w:topLinePunct w:val="0"/>
              <w:bidi w:val="0"/>
              <w:spacing w:line="400" w:lineRule="exac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住宿业</w:t>
            </w:r>
          </w:p>
        </w:tc>
        <w:tc>
          <w:tcPr>
            <w:tcW w:w="1369" w:type="dxa"/>
            <w:vAlign w:val="center"/>
          </w:tcPr>
          <w:p w14:paraId="57E2DD01">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从业人员(X)</w:t>
            </w:r>
          </w:p>
        </w:tc>
        <w:tc>
          <w:tcPr>
            <w:tcW w:w="709" w:type="dxa"/>
            <w:vAlign w:val="center"/>
          </w:tcPr>
          <w:p w14:paraId="0094C606">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人</w:t>
            </w:r>
          </w:p>
        </w:tc>
        <w:tc>
          <w:tcPr>
            <w:tcW w:w="1125" w:type="dxa"/>
            <w:vAlign w:val="center"/>
          </w:tcPr>
          <w:p w14:paraId="48913CDB">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X≥300</w:t>
            </w:r>
          </w:p>
        </w:tc>
        <w:tc>
          <w:tcPr>
            <w:tcW w:w="1701" w:type="dxa"/>
            <w:vAlign w:val="center"/>
          </w:tcPr>
          <w:p w14:paraId="56FD46FA">
            <w:pPr>
              <w:pageBreakBefore w:val="0"/>
              <w:widowControl w:val="0"/>
              <w:kinsoku/>
              <w:wordWrap w:val="0"/>
              <w:overflowPunct/>
              <w:topLinePunct w:val="0"/>
              <w:bidi w:val="0"/>
              <w:spacing w:line="400" w:lineRule="exact"/>
              <w:ind w:left="1" w:leftChars="-51" w:hanging="108" w:hangingChars="6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100≤X＜300</w:t>
            </w:r>
          </w:p>
        </w:tc>
        <w:tc>
          <w:tcPr>
            <w:tcW w:w="1426" w:type="dxa"/>
            <w:vAlign w:val="center"/>
          </w:tcPr>
          <w:p w14:paraId="06F96F3C">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10≤X＜100</w:t>
            </w:r>
          </w:p>
        </w:tc>
        <w:tc>
          <w:tcPr>
            <w:tcW w:w="992" w:type="dxa"/>
            <w:vAlign w:val="center"/>
          </w:tcPr>
          <w:p w14:paraId="79B53629">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X＜10</w:t>
            </w:r>
          </w:p>
        </w:tc>
      </w:tr>
      <w:tr w14:paraId="28F49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70E8C14F">
            <w:pPr>
              <w:pageBreakBefore w:val="0"/>
              <w:widowControl w:val="0"/>
              <w:kinsoku/>
              <w:wordWrap w:val="0"/>
              <w:overflowPunct/>
              <w:topLinePunct w:val="0"/>
              <w:bidi w:val="0"/>
              <w:spacing w:line="400" w:lineRule="exact"/>
              <w:rPr>
                <w:rFonts w:hint="eastAsia" w:ascii="宋体" w:hAnsi="宋体" w:eastAsia="宋体" w:cs="宋体"/>
                <w:color w:val="auto"/>
                <w:sz w:val="18"/>
                <w:szCs w:val="18"/>
                <w:highlight w:val="none"/>
              </w:rPr>
            </w:pPr>
          </w:p>
        </w:tc>
        <w:tc>
          <w:tcPr>
            <w:tcW w:w="1369" w:type="dxa"/>
            <w:vAlign w:val="center"/>
          </w:tcPr>
          <w:p w14:paraId="00BAA7CC">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营业收入(Y)</w:t>
            </w:r>
          </w:p>
        </w:tc>
        <w:tc>
          <w:tcPr>
            <w:tcW w:w="709" w:type="dxa"/>
            <w:vAlign w:val="center"/>
          </w:tcPr>
          <w:p w14:paraId="7BBD24FC">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万元</w:t>
            </w:r>
          </w:p>
        </w:tc>
        <w:tc>
          <w:tcPr>
            <w:tcW w:w="1125" w:type="dxa"/>
            <w:vAlign w:val="center"/>
          </w:tcPr>
          <w:p w14:paraId="11E9E087">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Y≥10000</w:t>
            </w:r>
          </w:p>
        </w:tc>
        <w:tc>
          <w:tcPr>
            <w:tcW w:w="1701" w:type="dxa"/>
            <w:vAlign w:val="center"/>
          </w:tcPr>
          <w:p w14:paraId="36165E50">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2000≤Y＜10000</w:t>
            </w:r>
          </w:p>
        </w:tc>
        <w:tc>
          <w:tcPr>
            <w:tcW w:w="1426" w:type="dxa"/>
            <w:vAlign w:val="center"/>
          </w:tcPr>
          <w:p w14:paraId="16FCF116">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100≤Y＜2000</w:t>
            </w:r>
          </w:p>
        </w:tc>
        <w:tc>
          <w:tcPr>
            <w:tcW w:w="992" w:type="dxa"/>
            <w:vAlign w:val="center"/>
          </w:tcPr>
          <w:p w14:paraId="6AD0B23A">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Y＜100</w:t>
            </w:r>
          </w:p>
        </w:tc>
      </w:tr>
      <w:tr w14:paraId="33020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040B0433">
            <w:pPr>
              <w:pageBreakBefore w:val="0"/>
              <w:widowControl w:val="0"/>
              <w:kinsoku/>
              <w:wordWrap w:val="0"/>
              <w:overflowPunct/>
              <w:topLinePunct w:val="0"/>
              <w:bidi w:val="0"/>
              <w:spacing w:line="400" w:lineRule="exac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餐饮业</w:t>
            </w:r>
          </w:p>
        </w:tc>
        <w:tc>
          <w:tcPr>
            <w:tcW w:w="1369" w:type="dxa"/>
            <w:vAlign w:val="center"/>
          </w:tcPr>
          <w:p w14:paraId="276337B4">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从业人员(X)</w:t>
            </w:r>
          </w:p>
        </w:tc>
        <w:tc>
          <w:tcPr>
            <w:tcW w:w="709" w:type="dxa"/>
            <w:vAlign w:val="center"/>
          </w:tcPr>
          <w:p w14:paraId="5DD8521A">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人</w:t>
            </w:r>
          </w:p>
        </w:tc>
        <w:tc>
          <w:tcPr>
            <w:tcW w:w="1125" w:type="dxa"/>
            <w:vAlign w:val="center"/>
          </w:tcPr>
          <w:p w14:paraId="317BFE8A">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X≥300</w:t>
            </w:r>
          </w:p>
        </w:tc>
        <w:tc>
          <w:tcPr>
            <w:tcW w:w="1701" w:type="dxa"/>
            <w:vAlign w:val="center"/>
          </w:tcPr>
          <w:p w14:paraId="5673E095">
            <w:pPr>
              <w:pageBreakBefore w:val="0"/>
              <w:widowControl w:val="0"/>
              <w:kinsoku/>
              <w:wordWrap w:val="0"/>
              <w:overflowPunct/>
              <w:topLinePunct w:val="0"/>
              <w:bidi w:val="0"/>
              <w:spacing w:line="400" w:lineRule="exact"/>
              <w:ind w:left="1" w:leftChars="-51" w:hanging="108" w:hangingChars="6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 xml:space="preserve">100≤X＜300 </w:t>
            </w:r>
          </w:p>
        </w:tc>
        <w:tc>
          <w:tcPr>
            <w:tcW w:w="1426" w:type="dxa"/>
            <w:vAlign w:val="center"/>
          </w:tcPr>
          <w:p w14:paraId="4D1252C5">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10≤X＜100</w:t>
            </w:r>
          </w:p>
        </w:tc>
        <w:tc>
          <w:tcPr>
            <w:tcW w:w="992" w:type="dxa"/>
            <w:vAlign w:val="center"/>
          </w:tcPr>
          <w:p w14:paraId="7D194C09">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X＜10</w:t>
            </w:r>
          </w:p>
        </w:tc>
      </w:tr>
      <w:tr w14:paraId="55405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615DCF34">
            <w:pPr>
              <w:pageBreakBefore w:val="0"/>
              <w:widowControl w:val="0"/>
              <w:kinsoku/>
              <w:wordWrap w:val="0"/>
              <w:overflowPunct/>
              <w:topLinePunct w:val="0"/>
              <w:bidi w:val="0"/>
              <w:spacing w:line="400" w:lineRule="exact"/>
              <w:rPr>
                <w:rFonts w:hint="eastAsia" w:ascii="宋体" w:hAnsi="宋体" w:eastAsia="宋体" w:cs="宋体"/>
                <w:color w:val="auto"/>
                <w:sz w:val="18"/>
                <w:szCs w:val="18"/>
                <w:highlight w:val="none"/>
              </w:rPr>
            </w:pPr>
          </w:p>
        </w:tc>
        <w:tc>
          <w:tcPr>
            <w:tcW w:w="1369" w:type="dxa"/>
            <w:vAlign w:val="center"/>
          </w:tcPr>
          <w:p w14:paraId="72EDB3E8">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营业收入(Y)</w:t>
            </w:r>
          </w:p>
        </w:tc>
        <w:tc>
          <w:tcPr>
            <w:tcW w:w="709" w:type="dxa"/>
            <w:vAlign w:val="center"/>
          </w:tcPr>
          <w:p w14:paraId="15D5B718">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万元</w:t>
            </w:r>
          </w:p>
        </w:tc>
        <w:tc>
          <w:tcPr>
            <w:tcW w:w="1125" w:type="dxa"/>
            <w:vAlign w:val="center"/>
          </w:tcPr>
          <w:p w14:paraId="6EC0D91D">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Y≥10000</w:t>
            </w:r>
          </w:p>
        </w:tc>
        <w:tc>
          <w:tcPr>
            <w:tcW w:w="1701" w:type="dxa"/>
            <w:vAlign w:val="center"/>
          </w:tcPr>
          <w:p w14:paraId="0C19CAC2">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2000≤Y＜10000</w:t>
            </w:r>
          </w:p>
        </w:tc>
        <w:tc>
          <w:tcPr>
            <w:tcW w:w="1426" w:type="dxa"/>
            <w:vAlign w:val="center"/>
          </w:tcPr>
          <w:p w14:paraId="077C991B">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100≤Y＜2000</w:t>
            </w:r>
          </w:p>
        </w:tc>
        <w:tc>
          <w:tcPr>
            <w:tcW w:w="992" w:type="dxa"/>
            <w:vAlign w:val="center"/>
          </w:tcPr>
          <w:p w14:paraId="44552975">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Y＜100</w:t>
            </w:r>
          </w:p>
        </w:tc>
      </w:tr>
      <w:tr w14:paraId="46105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33B10E9F">
            <w:pPr>
              <w:pageBreakBefore w:val="0"/>
              <w:widowControl w:val="0"/>
              <w:kinsoku/>
              <w:wordWrap w:val="0"/>
              <w:overflowPunct/>
              <w:topLinePunct w:val="0"/>
              <w:bidi w:val="0"/>
              <w:spacing w:line="400" w:lineRule="exac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信息传输业 *</w:t>
            </w:r>
          </w:p>
        </w:tc>
        <w:tc>
          <w:tcPr>
            <w:tcW w:w="1369" w:type="dxa"/>
            <w:vAlign w:val="center"/>
          </w:tcPr>
          <w:p w14:paraId="6D0E6559">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从业人员(X)</w:t>
            </w:r>
          </w:p>
        </w:tc>
        <w:tc>
          <w:tcPr>
            <w:tcW w:w="709" w:type="dxa"/>
            <w:vAlign w:val="center"/>
          </w:tcPr>
          <w:p w14:paraId="793BB374">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人</w:t>
            </w:r>
          </w:p>
        </w:tc>
        <w:tc>
          <w:tcPr>
            <w:tcW w:w="1125" w:type="dxa"/>
            <w:vAlign w:val="center"/>
          </w:tcPr>
          <w:p w14:paraId="18861B93">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X≥2000</w:t>
            </w:r>
          </w:p>
        </w:tc>
        <w:tc>
          <w:tcPr>
            <w:tcW w:w="1701" w:type="dxa"/>
            <w:vAlign w:val="center"/>
          </w:tcPr>
          <w:p w14:paraId="72DF65D8">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100≤X＜2000</w:t>
            </w:r>
          </w:p>
        </w:tc>
        <w:tc>
          <w:tcPr>
            <w:tcW w:w="1426" w:type="dxa"/>
            <w:vAlign w:val="center"/>
          </w:tcPr>
          <w:p w14:paraId="124C8CB4">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10≤X＜100</w:t>
            </w:r>
          </w:p>
        </w:tc>
        <w:tc>
          <w:tcPr>
            <w:tcW w:w="992" w:type="dxa"/>
            <w:vAlign w:val="center"/>
          </w:tcPr>
          <w:p w14:paraId="1C982AB3">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X＜10</w:t>
            </w:r>
          </w:p>
        </w:tc>
      </w:tr>
      <w:tr w14:paraId="5BD73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4D95CA6F">
            <w:pPr>
              <w:pageBreakBefore w:val="0"/>
              <w:widowControl w:val="0"/>
              <w:kinsoku/>
              <w:wordWrap w:val="0"/>
              <w:overflowPunct/>
              <w:topLinePunct w:val="0"/>
              <w:bidi w:val="0"/>
              <w:spacing w:line="400" w:lineRule="exact"/>
              <w:rPr>
                <w:rFonts w:hint="eastAsia" w:ascii="宋体" w:hAnsi="宋体" w:eastAsia="宋体" w:cs="宋体"/>
                <w:color w:val="auto"/>
                <w:sz w:val="18"/>
                <w:szCs w:val="18"/>
                <w:highlight w:val="none"/>
              </w:rPr>
            </w:pPr>
          </w:p>
        </w:tc>
        <w:tc>
          <w:tcPr>
            <w:tcW w:w="1369" w:type="dxa"/>
            <w:vAlign w:val="center"/>
          </w:tcPr>
          <w:p w14:paraId="6B7BAF15">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营业收入(Y)</w:t>
            </w:r>
          </w:p>
        </w:tc>
        <w:tc>
          <w:tcPr>
            <w:tcW w:w="709" w:type="dxa"/>
            <w:vAlign w:val="center"/>
          </w:tcPr>
          <w:p w14:paraId="0C1E367C">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万元</w:t>
            </w:r>
          </w:p>
        </w:tc>
        <w:tc>
          <w:tcPr>
            <w:tcW w:w="1125" w:type="dxa"/>
            <w:vAlign w:val="center"/>
          </w:tcPr>
          <w:p w14:paraId="1123E608">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Y≥100000</w:t>
            </w:r>
          </w:p>
        </w:tc>
        <w:tc>
          <w:tcPr>
            <w:tcW w:w="1701" w:type="dxa"/>
            <w:vAlign w:val="center"/>
          </w:tcPr>
          <w:p w14:paraId="77CCD1FF">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1000≤Y＜100000</w:t>
            </w:r>
          </w:p>
        </w:tc>
        <w:tc>
          <w:tcPr>
            <w:tcW w:w="1426" w:type="dxa"/>
            <w:vAlign w:val="center"/>
          </w:tcPr>
          <w:p w14:paraId="59D18445">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100≤Y＜1000</w:t>
            </w:r>
          </w:p>
        </w:tc>
        <w:tc>
          <w:tcPr>
            <w:tcW w:w="992" w:type="dxa"/>
            <w:vAlign w:val="center"/>
          </w:tcPr>
          <w:p w14:paraId="488C48CA">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Y＜100</w:t>
            </w:r>
          </w:p>
        </w:tc>
      </w:tr>
      <w:tr w14:paraId="0DB67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1BF0633D">
            <w:pPr>
              <w:pageBreakBefore w:val="0"/>
              <w:widowControl w:val="0"/>
              <w:kinsoku/>
              <w:wordWrap w:val="0"/>
              <w:overflowPunct/>
              <w:topLinePunct w:val="0"/>
              <w:bidi w:val="0"/>
              <w:spacing w:line="400" w:lineRule="exact"/>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软件和信息技术服务业</w:t>
            </w:r>
          </w:p>
        </w:tc>
        <w:tc>
          <w:tcPr>
            <w:tcW w:w="1369" w:type="dxa"/>
            <w:vAlign w:val="center"/>
          </w:tcPr>
          <w:p w14:paraId="3AF6A2F7">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从业人员(X)</w:t>
            </w:r>
          </w:p>
        </w:tc>
        <w:tc>
          <w:tcPr>
            <w:tcW w:w="709" w:type="dxa"/>
            <w:vAlign w:val="center"/>
          </w:tcPr>
          <w:p w14:paraId="6644CB19">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人</w:t>
            </w:r>
          </w:p>
        </w:tc>
        <w:tc>
          <w:tcPr>
            <w:tcW w:w="1125" w:type="dxa"/>
            <w:vAlign w:val="center"/>
          </w:tcPr>
          <w:p w14:paraId="14292B66">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X≥300</w:t>
            </w:r>
          </w:p>
        </w:tc>
        <w:tc>
          <w:tcPr>
            <w:tcW w:w="1701" w:type="dxa"/>
            <w:vAlign w:val="center"/>
          </w:tcPr>
          <w:p w14:paraId="536257AF">
            <w:pPr>
              <w:pageBreakBefore w:val="0"/>
              <w:widowControl w:val="0"/>
              <w:kinsoku/>
              <w:wordWrap w:val="0"/>
              <w:overflowPunct/>
              <w:topLinePunct w:val="0"/>
              <w:bidi w:val="0"/>
              <w:spacing w:line="400" w:lineRule="exact"/>
              <w:ind w:left="1" w:leftChars="-51" w:hanging="108" w:hangingChars="6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 xml:space="preserve">100≤X＜300 </w:t>
            </w:r>
          </w:p>
        </w:tc>
        <w:tc>
          <w:tcPr>
            <w:tcW w:w="1426" w:type="dxa"/>
            <w:vAlign w:val="center"/>
          </w:tcPr>
          <w:p w14:paraId="53E71ABB">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10≤X＜100</w:t>
            </w:r>
          </w:p>
        </w:tc>
        <w:tc>
          <w:tcPr>
            <w:tcW w:w="992" w:type="dxa"/>
            <w:vAlign w:val="center"/>
          </w:tcPr>
          <w:p w14:paraId="7F7C3B4E">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X＜10</w:t>
            </w:r>
          </w:p>
        </w:tc>
      </w:tr>
      <w:tr w14:paraId="08EE1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78A5387B">
            <w:pPr>
              <w:pageBreakBefore w:val="0"/>
              <w:widowControl w:val="0"/>
              <w:kinsoku/>
              <w:wordWrap w:val="0"/>
              <w:overflowPunct/>
              <w:topLinePunct w:val="0"/>
              <w:bidi w:val="0"/>
              <w:spacing w:line="400" w:lineRule="exact"/>
              <w:rPr>
                <w:rFonts w:hint="eastAsia" w:ascii="宋体" w:hAnsi="宋体" w:eastAsia="宋体" w:cs="宋体"/>
                <w:color w:val="auto"/>
                <w:sz w:val="18"/>
                <w:szCs w:val="18"/>
                <w:highlight w:val="none"/>
              </w:rPr>
            </w:pPr>
          </w:p>
        </w:tc>
        <w:tc>
          <w:tcPr>
            <w:tcW w:w="1369" w:type="dxa"/>
            <w:vAlign w:val="center"/>
          </w:tcPr>
          <w:p w14:paraId="707D1B79">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营业收入(Y)</w:t>
            </w:r>
          </w:p>
        </w:tc>
        <w:tc>
          <w:tcPr>
            <w:tcW w:w="709" w:type="dxa"/>
            <w:vAlign w:val="center"/>
          </w:tcPr>
          <w:p w14:paraId="3EB67ED2">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万元</w:t>
            </w:r>
          </w:p>
        </w:tc>
        <w:tc>
          <w:tcPr>
            <w:tcW w:w="1125" w:type="dxa"/>
            <w:vAlign w:val="center"/>
          </w:tcPr>
          <w:p w14:paraId="7366BD09">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Y≥10000</w:t>
            </w:r>
          </w:p>
        </w:tc>
        <w:tc>
          <w:tcPr>
            <w:tcW w:w="1701" w:type="dxa"/>
            <w:vAlign w:val="center"/>
          </w:tcPr>
          <w:p w14:paraId="05781DE3">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1000≤Y＜10000</w:t>
            </w:r>
          </w:p>
        </w:tc>
        <w:tc>
          <w:tcPr>
            <w:tcW w:w="1426" w:type="dxa"/>
            <w:vAlign w:val="center"/>
          </w:tcPr>
          <w:p w14:paraId="3928D2B2">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50≤Y＜1000</w:t>
            </w:r>
          </w:p>
        </w:tc>
        <w:tc>
          <w:tcPr>
            <w:tcW w:w="992" w:type="dxa"/>
            <w:vAlign w:val="center"/>
          </w:tcPr>
          <w:p w14:paraId="590A1C60">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Y＜50</w:t>
            </w:r>
          </w:p>
        </w:tc>
      </w:tr>
      <w:tr w14:paraId="31E99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49886B1D">
            <w:pPr>
              <w:pageBreakBefore w:val="0"/>
              <w:widowControl w:val="0"/>
              <w:kinsoku/>
              <w:wordWrap w:val="0"/>
              <w:overflowPunct/>
              <w:topLinePunct w:val="0"/>
              <w:bidi w:val="0"/>
              <w:spacing w:line="400" w:lineRule="exac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房地产开发经营</w:t>
            </w:r>
          </w:p>
        </w:tc>
        <w:tc>
          <w:tcPr>
            <w:tcW w:w="1369" w:type="dxa"/>
            <w:vAlign w:val="center"/>
          </w:tcPr>
          <w:p w14:paraId="1D0F4448">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营业收入(Y)</w:t>
            </w:r>
          </w:p>
        </w:tc>
        <w:tc>
          <w:tcPr>
            <w:tcW w:w="709" w:type="dxa"/>
            <w:vAlign w:val="center"/>
          </w:tcPr>
          <w:p w14:paraId="4DAB2103">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万元</w:t>
            </w:r>
          </w:p>
        </w:tc>
        <w:tc>
          <w:tcPr>
            <w:tcW w:w="1125" w:type="dxa"/>
            <w:vAlign w:val="center"/>
          </w:tcPr>
          <w:p w14:paraId="4DA11718">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Y≥200000</w:t>
            </w:r>
          </w:p>
        </w:tc>
        <w:tc>
          <w:tcPr>
            <w:tcW w:w="1701" w:type="dxa"/>
            <w:vAlign w:val="center"/>
          </w:tcPr>
          <w:p w14:paraId="382DF0FB">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1000≤Y＜200000</w:t>
            </w:r>
          </w:p>
        </w:tc>
        <w:tc>
          <w:tcPr>
            <w:tcW w:w="1426" w:type="dxa"/>
            <w:vAlign w:val="center"/>
          </w:tcPr>
          <w:p w14:paraId="2D80A18C">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100≤Y＜1000</w:t>
            </w:r>
          </w:p>
        </w:tc>
        <w:tc>
          <w:tcPr>
            <w:tcW w:w="992" w:type="dxa"/>
            <w:vAlign w:val="center"/>
          </w:tcPr>
          <w:p w14:paraId="0E0D036C">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Y＜100</w:t>
            </w:r>
          </w:p>
        </w:tc>
      </w:tr>
      <w:tr w14:paraId="145F0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048F752F">
            <w:pPr>
              <w:pageBreakBefore w:val="0"/>
              <w:widowControl w:val="0"/>
              <w:kinsoku/>
              <w:wordWrap w:val="0"/>
              <w:overflowPunct/>
              <w:topLinePunct w:val="0"/>
              <w:bidi w:val="0"/>
              <w:spacing w:line="400" w:lineRule="exact"/>
              <w:rPr>
                <w:rFonts w:hint="eastAsia" w:ascii="宋体" w:hAnsi="宋体" w:eastAsia="宋体" w:cs="宋体"/>
                <w:color w:val="auto"/>
                <w:sz w:val="18"/>
                <w:szCs w:val="18"/>
                <w:highlight w:val="none"/>
              </w:rPr>
            </w:pPr>
          </w:p>
        </w:tc>
        <w:tc>
          <w:tcPr>
            <w:tcW w:w="1369" w:type="dxa"/>
            <w:vAlign w:val="center"/>
          </w:tcPr>
          <w:p w14:paraId="2FDBE8DA">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资产总额(Z)</w:t>
            </w:r>
          </w:p>
        </w:tc>
        <w:tc>
          <w:tcPr>
            <w:tcW w:w="709" w:type="dxa"/>
            <w:vAlign w:val="center"/>
          </w:tcPr>
          <w:p w14:paraId="4CF99D46">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万元</w:t>
            </w:r>
          </w:p>
        </w:tc>
        <w:tc>
          <w:tcPr>
            <w:tcW w:w="1125" w:type="dxa"/>
            <w:vAlign w:val="center"/>
          </w:tcPr>
          <w:p w14:paraId="43C4E745">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Z≥10000</w:t>
            </w:r>
          </w:p>
        </w:tc>
        <w:tc>
          <w:tcPr>
            <w:tcW w:w="1701" w:type="dxa"/>
            <w:vAlign w:val="center"/>
          </w:tcPr>
          <w:p w14:paraId="25547481">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5000≤Z＜10000</w:t>
            </w:r>
          </w:p>
        </w:tc>
        <w:tc>
          <w:tcPr>
            <w:tcW w:w="1426" w:type="dxa"/>
            <w:vAlign w:val="center"/>
          </w:tcPr>
          <w:p w14:paraId="098F8DE5">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2000≤Z＜5000</w:t>
            </w:r>
          </w:p>
        </w:tc>
        <w:tc>
          <w:tcPr>
            <w:tcW w:w="992" w:type="dxa"/>
            <w:vAlign w:val="center"/>
          </w:tcPr>
          <w:p w14:paraId="5CED51F7">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Z＜2000</w:t>
            </w:r>
          </w:p>
        </w:tc>
      </w:tr>
      <w:tr w14:paraId="47661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128E22BA">
            <w:pPr>
              <w:pageBreakBefore w:val="0"/>
              <w:widowControl w:val="0"/>
              <w:kinsoku/>
              <w:wordWrap w:val="0"/>
              <w:overflowPunct/>
              <w:topLinePunct w:val="0"/>
              <w:bidi w:val="0"/>
              <w:spacing w:line="400" w:lineRule="exac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物业管理</w:t>
            </w:r>
          </w:p>
        </w:tc>
        <w:tc>
          <w:tcPr>
            <w:tcW w:w="1369" w:type="dxa"/>
            <w:vAlign w:val="center"/>
          </w:tcPr>
          <w:p w14:paraId="46B806C7">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从业人员(X)</w:t>
            </w:r>
          </w:p>
        </w:tc>
        <w:tc>
          <w:tcPr>
            <w:tcW w:w="709" w:type="dxa"/>
            <w:vAlign w:val="center"/>
          </w:tcPr>
          <w:p w14:paraId="5CCE7DB1">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人</w:t>
            </w:r>
          </w:p>
        </w:tc>
        <w:tc>
          <w:tcPr>
            <w:tcW w:w="1125" w:type="dxa"/>
            <w:vAlign w:val="center"/>
          </w:tcPr>
          <w:p w14:paraId="1B3760AE">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X≥1000</w:t>
            </w:r>
          </w:p>
        </w:tc>
        <w:tc>
          <w:tcPr>
            <w:tcW w:w="1701" w:type="dxa"/>
            <w:vAlign w:val="center"/>
          </w:tcPr>
          <w:p w14:paraId="24F01575">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300≤X＜1000</w:t>
            </w:r>
          </w:p>
        </w:tc>
        <w:tc>
          <w:tcPr>
            <w:tcW w:w="1426" w:type="dxa"/>
            <w:vAlign w:val="center"/>
          </w:tcPr>
          <w:p w14:paraId="5D1ACE5A">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100≤X＜300</w:t>
            </w:r>
          </w:p>
        </w:tc>
        <w:tc>
          <w:tcPr>
            <w:tcW w:w="992" w:type="dxa"/>
            <w:vAlign w:val="center"/>
          </w:tcPr>
          <w:p w14:paraId="7B8E9130">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X＜100</w:t>
            </w:r>
          </w:p>
        </w:tc>
      </w:tr>
      <w:tr w14:paraId="0AE76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30E8C479">
            <w:pPr>
              <w:pageBreakBefore w:val="0"/>
              <w:widowControl w:val="0"/>
              <w:kinsoku/>
              <w:wordWrap w:val="0"/>
              <w:overflowPunct/>
              <w:topLinePunct w:val="0"/>
              <w:bidi w:val="0"/>
              <w:spacing w:line="400" w:lineRule="exact"/>
              <w:rPr>
                <w:rFonts w:hint="eastAsia" w:ascii="宋体" w:hAnsi="宋体" w:eastAsia="宋体" w:cs="宋体"/>
                <w:color w:val="auto"/>
                <w:sz w:val="18"/>
                <w:szCs w:val="18"/>
                <w:highlight w:val="none"/>
              </w:rPr>
            </w:pPr>
          </w:p>
        </w:tc>
        <w:tc>
          <w:tcPr>
            <w:tcW w:w="1369" w:type="dxa"/>
            <w:vAlign w:val="center"/>
          </w:tcPr>
          <w:p w14:paraId="0AC8254B">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营业收入(Y)</w:t>
            </w:r>
          </w:p>
        </w:tc>
        <w:tc>
          <w:tcPr>
            <w:tcW w:w="709" w:type="dxa"/>
            <w:vAlign w:val="center"/>
          </w:tcPr>
          <w:p w14:paraId="3083EABC">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万元</w:t>
            </w:r>
          </w:p>
        </w:tc>
        <w:tc>
          <w:tcPr>
            <w:tcW w:w="1125" w:type="dxa"/>
            <w:vAlign w:val="center"/>
          </w:tcPr>
          <w:p w14:paraId="2EC99A95">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Y≥5000</w:t>
            </w:r>
          </w:p>
        </w:tc>
        <w:tc>
          <w:tcPr>
            <w:tcW w:w="1701" w:type="dxa"/>
            <w:vAlign w:val="center"/>
          </w:tcPr>
          <w:p w14:paraId="77E69D9E">
            <w:pPr>
              <w:pageBreakBefore w:val="0"/>
              <w:widowControl w:val="0"/>
              <w:kinsoku/>
              <w:wordWrap w:val="0"/>
              <w:overflowPunct/>
              <w:topLinePunct w:val="0"/>
              <w:bidi w:val="0"/>
              <w:spacing w:line="400" w:lineRule="exact"/>
              <w:ind w:left="1" w:leftChars="-51" w:hanging="108" w:hangingChars="6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1000≤Y＜5000</w:t>
            </w:r>
          </w:p>
        </w:tc>
        <w:tc>
          <w:tcPr>
            <w:tcW w:w="1426" w:type="dxa"/>
            <w:vAlign w:val="center"/>
          </w:tcPr>
          <w:p w14:paraId="5EEC1EFD">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500≤Y＜1000</w:t>
            </w:r>
          </w:p>
        </w:tc>
        <w:tc>
          <w:tcPr>
            <w:tcW w:w="992" w:type="dxa"/>
            <w:vAlign w:val="center"/>
          </w:tcPr>
          <w:p w14:paraId="5FD17599">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Y＜500</w:t>
            </w:r>
          </w:p>
        </w:tc>
      </w:tr>
      <w:tr w14:paraId="3B94C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50F5137E">
            <w:pPr>
              <w:pageBreakBefore w:val="0"/>
              <w:widowControl w:val="0"/>
              <w:kinsoku/>
              <w:wordWrap w:val="0"/>
              <w:overflowPunct/>
              <w:topLinePunct w:val="0"/>
              <w:bidi w:val="0"/>
              <w:spacing w:line="400" w:lineRule="exac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租赁和商务服务业</w:t>
            </w:r>
          </w:p>
        </w:tc>
        <w:tc>
          <w:tcPr>
            <w:tcW w:w="1369" w:type="dxa"/>
            <w:vAlign w:val="center"/>
          </w:tcPr>
          <w:p w14:paraId="7D50A7DD">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从业人员(X)</w:t>
            </w:r>
          </w:p>
        </w:tc>
        <w:tc>
          <w:tcPr>
            <w:tcW w:w="709" w:type="dxa"/>
            <w:vAlign w:val="center"/>
          </w:tcPr>
          <w:p w14:paraId="0ADA5D5C">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人</w:t>
            </w:r>
          </w:p>
        </w:tc>
        <w:tc>
          <w:tcPr>
            <w:tcW w:w="1125" w:type="dxa"/>
            <w:vAlign w:val="center"/>
          </w:tcPr>
          <w:p w14:paraId="22D02695">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X≥300</w:t>
            </w:r>
          </w:p>
        </w:tc>
        <w:tc>
          <w:tcPr>
            <w:tcW w:w="1701" w:type="dxa"/>
            <w:vAlign w:val="center"/>
          </w:tcPr>
          <w:p w14:paraId="61792697">
            <w:pPr>
              <w:pageBreakBefore w:val="0"/>
              <w:widowControl w:val="0"/>
              <w:kinsoku/>
              <w:wordWrap w:val="0"/>
              <w:overflowPunct/>
              <w:topLinePunct w:val="0"/>
              <w:bidi w:val="0"/>
              <w:spacing w:line="400" w:lineRule="exact"/>
              <w:ind w:left="1" w:leftChars="-51" w:hanging="108" w:hangingChars="6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100≤X＜300</w:t>
            </w:r>
          </w:p>
        </w:tc>
        <w:tc>
          <w:tcPr>
            <w:tcW w:w="1426" w:type="dxa"/>
            <w:vAlign w:val="center"/>
          </w:tcPr>
          <w:p w14:paraId="703E8AB3">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10≤X＜100</w:t>
            </w:r>
          </w:p>
        </w:tc>
        <w:tc>
          <w:tcPr>
            <w:tcW w:w="992" w:type="dxa"/>
            <w:vAlign w:val="center"/>
          </w:tcPr>
          <w:p w14:paraId="08E06707">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X＜10</w:t>
            </w:r>
          </w:p>
        </w:tc>
      </w:tr>
      <w:tr w14:paraId="28C5C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4C400557">
            <w:pPr>
              <w:pageBreakBefore w:val="0"/>
              <w:widowControl w:val="0"/>
              <w:kinsoku/>
              <w:wordWrap w:val="0"/>
              <w:overflowPunct/>
              <w:topLinePunct w:val="0"/>
              <w:bidi w:val="0"/>
              <w:spacing w:line="400" w:lineRule="exact"/>
              <w:rPr>
                <w:rFonts w:hint="eastAsia" w:ascii="宋体" w:hAnsi="宋体" w:eastAsia="宋体" w:cs="宋体"/>
                <w:color w:val="auto"/>
                <w:sz w:val="18"/>
                <w:szCs w:val="18"/>
                <w:highlight w:val="none"/>
              </w:rPr>
            </w:pPr>
          </w:p>
        </w:tc>
        <w:tc>
          <w:tcPr>
            <w:tcW w:w="1369" w:type="dxa"/>
            <w:vAlign w:val="center"/>
          </w:tcPr>
          <w:p w14:paraId="625F1175">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资产总额(Z)</w:t>
            </w:r>
          </w:p>
        </w:tc>
        <w:tc>
          <w:tcPr>
            <w:tcW w:w="709" w:type="dxa"/>
            <w:vAlign w:val="center"/>
          </w:tcPr>
          <w:p w14:paraId="4D2F07C8">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万元</w:t>
            </w:r>
          </w:p>
        </w:tc>
        <w:tc>
          <w:tcPr>
            <w:tcW w:w="1125" w:type="dxa"/>
            <w:vAlign w:val="center"/>
          </w:tcPr>
          <w:p w14:paraId="7967EE59">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Z≥120000</w:t>
            </w:r>
          </w:p>
        </w:tc>
        <w:tc>
          <w:tcPr>
            <w:tcW w:w="1701" w:type="dxa"/>
            <w:vAlign w:val="center"/>
          </w:tcPr>
          <w:p w14:paraId="18B05FB2">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8000≤Z＜120000</w:t>
            </w:r>
          </w:p>
        </w:tc>
        <w:tc>
          <w:tcPr>
            <w:tcW w:w="1426" w:type="dxa"/>
            <w:vAlign w:val="center"/>
          </w:tcPr>
          <w:p w14:paraId="536DB4B3">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100≤Z＜8000</w:t>
            </w:r>
          </w:p>
        </w:tc>
        <w:tc>
          <w:tcPr>
            <w:tcW w:w="992" w:type="dxa"/>
            <w:vAlign w:val="center"/>
          </w:tcPr>
          <w:p w14:paraId="0980A3E1">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Z＜100</w:t>
            </w:r>
          </w:p>
        </w:tc>
      </w:tr>
      <w:tr w14:paraId="74597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Align w:val="center"/>
          </w:tcPr>
          <w:p w14:paraId="119507A3">
            <w:pPr>
              <w:pageBreakBefore w:val="0"/>
              <w:widowControl w:val="0"/>
              <w:kinsoku/>
              <w:wordWrap w:val="0"/>
              <w:overflowPunct/>
              <w:topLinePunct w:val="0"/>
              <w:bidi w:val="0"/>
              <w:spacing w:line="400" w:lineRule="exac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其他未列明行业 *</w:t>
            </w:r>
          </w:p>
        </w:tc>
        <w:tc>
          <w:tcPr>
            <w:tcW w:w="1369" w:type="dxa"/>
            <w:vAlign w:val="center"/>
          </w:tcPr>
          <w:p w14:paraId="2BACBAE9">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从业人员(X)</w:t>
            </w:r>
          </w:p>
        </w:tc>
        <w:tc>
          <w:tcPr>
            <w:tcW w:w="709" w:type="dxa"/>
            <w:vAlign w:val="center"/>
          </w:tcPr>
          <w:p w14:paraId="2CB136AD">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人</w:t>
            </w:r>
          </w:p>
        </w:tc>
        <w:tc>
          <w:tcPr>
            <w:tcW w:w="1125" w:type="dxa"/>
            <w:vAlign w:val="center"/>
          </w:tcPr>
          <w:p w14:paraId="485A3E78">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X≥300</w:t>
            </w:r>
          </w:p>
        </w:tc>
        <w:tc>
          <w:tcPr>
            <w:tcW w:w="1701" w:type="dxa"/>
            <w:vAlign w:val="center"/>
          </w:tcPr>
          <w:p w14:paraId="1DB439E4">
            <w:pPr>
              <w:pageBreakBefore w:val="0"/>
              <w:widowControl w:val="0"/>
              <w:kinsoku/>
              <w:wordWrap w:val="0"/>
              <w:overflowPunct/>
              <w:topLinePunct w:val="0"/>
              <w:bidi w:val="0"/>
              <w:spacing w:line="400" w:lineRule="exact"/>
              <w:ind w:left="1" w:leftChars="-51" w:hanging="108" w:hangingChars="6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100≤X＜300</w:t>
            </w:r>
          </w:p>
        </w:tc>
        <w:tc>
          <w:tcPr>
            <w:tcW w:w="1426" w:type="dxa"/>
            <w:vAlign w:val="center"/>
          </w:tcPr>
          <w:p w14:paraId="63273FD0">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10≤X＜100</w:t>
            </w:r>
          </w:p>
        </w:tc>
        <w:tc>
          <w:tcPr>
            <w:tcW w:w="992" w:type="dxa"/>
            <w:vAlign w:val="center"/>
          </w:tcPr>
          <w:p w14:paraId="1EBEEE52">
            <w:pPr>
              <w:pageBreakBefore w:val="0"/>
              <w:widowControl w:val="0"/>
              <w:kinsoku/>
              <w:wordWrap w:val="0"/>
              <w:overflowPunct/>
              <w:topLinePunct w:val="0"/>
              <w:bidi w:val="0"/>
              <w:spacing w:line="4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X＜10</w:t>
            </w:r>
          </w:p>
        </w:tc>
      </w:tr>
    </w:tbl>
    <w:p w14:paraId="5C085147">
      <w:pPr>
        <w:pageBreakBefore w:val="0"/>
        <w:widowControl w:val="0"/>
        <w:kinsoku/>
        <w:wordWrap w:val="0"/>
        <w:overflowPunct/>
        <w:topLinePunct w:val="0"/>
        <w:bidi w:val="0"/>
        <w:spacing w:line="400" w:lineRule="exact"/>
        <w:rPr>
          <w:rFonts w:hint="eastAsia" w:ascii="宋体" w:hAnsi="宋体" w:eastAsia="宋体" w:cs="宋体"/>
          <w:color w:val="auto"/>
          <w:sz w:val="24"/>
          <w:highlight w:val="none"/>
        </w:rPr>
      </w:pPr>
    </w:p>
    <w:p w14:paraId="2AB5CBBA">
      <w:pPr>
        <w:pageBreakBefore w:val="0"/>
        <w:widowControl w:val="0"/>
        <w:kinsoku/>
        <w:wordWrap w:val="0"/>
        <w:overflowPunct/>
        <w:topLinePunct w:val="0"/>
        <w:bidi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说明：</w:t>
      </w:r>
    </w:p>
    <w:p w14:paraId="5E221BE9">
      <w:pPr>
        <w:pStyle w:val="11"/>
        <w:pageBreakBefore w:val="0"/>
        <w:widowControl w:val="0"/>
        <w:kinsoku/>
        <w:wordWrap w:val="0"/>
        <w:overflowPunct/>
        <w:topLinePunct w:val="0"/>
        <w:autoSpaceDE/>
        <w:autoSpaceDN/>
        <w:bidi w:val="0"/>
        <w:snapToGrid/>
        <w:spacing w:line="400" w:lineRule="exact"/>
        <w:ind w:firstLine="420" w:firstLineChars="200"/>
        <w:contextualSpacing/>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1.大型、中型和小型企业须同时满足所列指标的下限，否则下划一档；微型企业只须满足所列指标中的一项即可。</w:t>
      </w:r>
    </w:p>
    <w:p w14:paraId="19B4C373">
      <w:pPr>
        <w:pStyle w:val="11"/>
        <w:pageBreakBefore w:val="0"/>
        <w:widowControl w:val="0"/>
        <w:kinsoku/>
        <w:wordWrap w:val="0"/>
        <w:overflowPunct/>
        <w:topLinePunct w:val="0"/>
        <w:autoSpaceDE/>
        <w:autoSpaceDN/>
        <w:bidi w:val="0"/>
        <w:snapToGrid/>
        <w:spacing w:line="400" w:lineRule="exact"/>
        <w:ind w:firstLine="420" w:firstLineChars="200"/>
        <w:contextualSpacing/>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7A664DC7">
      <w:pPr>
        <w:pStyle w:val="11"/>
        <w:pageBreakBefore w:val="0"/>
        <w:widowControl w:val="0"/>
        <w:kinsoku/>
        <w:wordWrap w:val="0"/>
        <w:overflowPunct/>
        <w:topLinePunct w:val="0"/>
        <w:autoSpaceDE/>
        <w:autoSpaceDN/>
        <w:bidi w:val="0"/>
        <w:snapToGrid/>
        <w:spacing w:line="400" w:lineRule="exact"/>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59636DA7">
      <w:pPr>
        <w:pStyle w:val="6"/>
        <w:pageBreakBefore w:val="0"/>
        <w:widowControl w:val="0"/>
        <w:kinsoku/>
        <w:wordWrap w:val="0"/>
        <w:overflowPunct/>
        <w:topLinePunct w:val="0"/>
        <w:autoSpaceDE/>
        <w:autoSpaceDN/>
        <w:bidi w:val="0"/>
        <w:snapToGrid/>
        <w:spacing w:line="400" w:lineRule="exact"/>
        <w:textAlignment w:val="auto"/>
        <w:rPr>
          <w:rFonts w:hint="eastAsia" w:ascii="宋体" w:hAnsi="宋体" w:eastAsia="宋体" w:cs="宋体"/>
          <w:color w:val="auto"/>
          <w:sz w:val="24"/>
          <w:highlight w:val="none"/>
          <w:lang w:eastAsia="zh-CN"/>
        </w:rPr>
      </w:pPr>
    </w:p>
    <w:p w14:paraId="4F824356">
      <w:pPr>
        <w:pageBreakBefore w:val="0"/>
        <w:widowControl w:val="0"/>
        <w:overflowPunct/>
        <w:topLinePunct w:val="0"/>
        <w:bidi w:val="0"/>
        <w:spacing w:line="400" w:lineRule="exact"/>
        <w:rPr>
          <w:rFonts w:hint="eastAsia" w:ascii="宋体" w:hAnsi="宋体" w:eastAsia="宋体" w:cs="宋体"/>
          <w:color w:val="auto"/>
          <w:sz w:val="24"/>
          <w:highlight w:val="none"/>
          <w:lang w:eastAsia="zh-CN"/>
        </w:rPr>
      </w:pPr>
    </w:p>
    <w:p w14:paraId="078D2E26">
      <w:pPr>
        <w:pageBreakBefore w:val="0"/>
        <w:widowControl w:val="0"/>
        <w:overflowPunct/>
        <w:topLinePunct w:val="0"/>
        <w:bidi w:val="0"/>
        <w:spacing w:line="400" w:lineRule="exact"/>
        <w:rPr>
          <w:rFonts w:hint="eastAsia" w:ascii="宋体" w:hAnsi="宋体" w:eastAsia="宋体" w:cs="宋体"/>
          <w:color w:val="auto"/>
          <w:sz w:val="24"/>
          <w:highlight w:val="none"/>
          <w:lang w:eastAsia="zh-CN"/>
        </w:rPr>
      </w:pPr>
    </w:p>
    <w:p w14:paraId="0DF204F1">
      <w:pPr>
        <w:pageBreakBefore w:val="0"/>
        <w:widowControl w:val="0"/>
        <w:overflowPunct/>
        <w:topLinePunct w:val="0"/>
        <w:bidi w:val="0"/>
        <w:spacing w:line="400" w:lineRule="exact"/>
        <w:rPr>
          <w:rFonts w:hint="eastAsia" w:ascii="宋体" w:hAnsi="宋体" w:eastAsia="宋体" w:cs="宋体"/>
          <w:color w:val="auto"/>
          <w:sz w:val="24"/>
          <w:highlight w:val="none"/>
          <w:lang w:eastAsia="zh-CN"/>
        </w:rPr>
      </w:pPr>
    </w:p>
    <w:p w14:paraId="5F4BBC75">
      <w:pPr>
        <w:pageBreakBefore w:val="0"/>
        <w:widowControl w:val="0"/>
        <w:overflowPunct/>
        <w:topLinePunct w:val="0"/>
        <w:bidi w:val="0"/>
        <w:spacing w:line="400" w:lineRule="exact"/>
        <w:rPr>
          <w:rFonts w:hint="eastAsia" w:ascii="宋体" w:hAnsi="宋体" w:eastAsia="宋体" w:cs="宋体"/>
          <w:color w:val="auto"/>
          <w:sz w:val="24"/>
          <w:highlight w:val="none"/>
          <w:lang w:eastAsia="zh-CN"/>
        </w:rPr>
      </w:pPr>
    </w:p>
    <w:p w14:paraId="7C1C78A4">
      <w:pPr>
        <w:pageBreakBefore w:val="0"/>
        <w:widowControl w:val="0"/>
        <w:overflowPunct/>
        <w:topLinePunct w:val="0"/>
        <w:bidi w:val="0"/>
        <w:spacing w:line="400" w:lineRule="exact"/>
        <w:rPr>
          <w:rFonts w:hint="eastAsia" w:ascii="宋体" w:hAnsi="宋体" w:eastAsia="宋体" w:cs="宋体"/>
          <w:color w:val="auto"/>
          <w:sz w:val="24"/>
          <w:highlight w:val="none"/>
          <w:lang w:eastAsia="zh-CN"/>
        </w:rPr>
      </w:pPr>
    </w:p>
    <w:p w14:paraId="273B7DA8">
      <w:pPr>
        <w:pageBreakBefore w:val="0"/>
        <w:widowControl w:val="0"/>
        <w:overflowPunct/>
        <w:topLinePunct w:val="0"/>
        <w:bidi w:val="0"/>
        <w:spacing w:line="400" w:lineRule="exact"/>
        <w:rPr>
          <w:rFonts w:hint="eastAsia" w:ascii="宋体" w:hAnsi="宋体" w:eastAsia="宋体" w:cs="宋体"/>
          <w:color w:val="auto"/>
          <w:sz w:val="24"/>
          <w:highlight w:val="none"/>
          <w:lang w:eastAsia="zh-CN"/>
        </w:rPr>
      </w:pPr>
    </w:p>
    <w:p w14:paraId="22C966CB">
      <w:pPr>
        <w:pageBreakBefore w:val="0"/>
        <w:widowControl w:val="0"/>
        <w:overflowPunct/>
        <w:topLinePunct w:val="0"/>
        <w:bidi w:val="0"/>
        <w:spacing w:line="400" w:lineRule="exact"/>
        <w:rPr>
          <w:rFonts w:hint="eastAsia" w:ascii="宋体" w:hAnsi="宋体" w:eastAsia="宋体" w:cs="宋体"/>
          <w:color w:val="auto"/>
          <w:sz w:val="24"/>
          <w:highlight w:val="none"/>
          <w:lang w:eastAsia="zh-CN"/>
        </w:rPr>
      </w:pPr>
    </w:p>
    <w:p w14:paraId="1B2ADA2F">
      <w:pPr>
        <w:pageBreakBefore w:val="0"/>
        <w:widowControl w:val="0"/>
        <w:overflowPunct/>
        <w:topLinePunct w:val="0"/>
        <w:bidi w:val="0"/>
        <w:spacing w:line="400" w:lineRule="exact"/>
        <w:rPr>
          <w:rFonts w:hint="eastAsia" w:ascii="宋体" w:hAnsi="宋体" w:eastAsia="宋体" w:cs="宋体"/>
          <w:color w:val="auto"/>
          <w:sz w:val="24"/>
          <w:highlight w:val="none"/>
          <w:lang w:eastAsia="zh-CN"/>
        </w:rPr>
      </w:pPr>
    </w:p>
    <w:p w14:paraId="3D810143">
      <w:pPr>
        <w:pageBreakBefore w:val="0"/>
        <w:widowControl w:val="0"/>
        <w:overflowPunct/>
        <w:topLinePunct w:val="0"/>
        <w:bidi w:val="0"/>
        <w:spacing w:line="400" w:lineRule="exact"/>
        <w:rPr>
          <w:rFonts w:hint="eastAsia" w:ascii="宋体" w:hAnsi="宋体" w:eastAsia="宋体" w:cs="宋体"/>
          <w:color w:val="auto"/>
          <w:sz w:val="24"/>
          <w:highlight w:val="none"/>
          <w:lang w:eastAsia="zh-CN"/>
        </w:rPr>
      </w:pPr>
    </w:p>
    <w:p w14:paraId="0E9A3D3F">
      <w:pPr>
        <w:pageBreakBefore w:val="0"/>
        <w:widowControl w:val="0"/>
        <w:overflowPunct/>
        <w:topLinePunct w:val="0"/>
        <w:bidi w:val="0"/>
        <w:spacing w:line="400" w:lineRule="exact"/>
        <w:rPr>
          <w:rFonts w:hint="eastAsia" w:ascii="宋体" w:hAnsi="宋体" w:eastAsia="宋体" w:cs="宋体"/>
          <w:color w:val="auto"/>
          <w:sz w:val="24"/>
          <w:highlight w:val="none"/>
          <w:lang w:eastAsia="zh-CN"/>
        </w:rPr>
      </w:pPr>
    </w:p>
    <w:p w14:paraId="632C2587">
      <w:pPr>
        <w:pageBreakBefore w:val="0"/>
        <w:widowControl w:val="0"/>
        <w:overflowPunct/>
        <w:topLinePunct w:val="0"/>
        <w:bidi w:val="0"/>
        <w:spacing w:line="400" w:lineRule="exact"/>
        <w:rPr>
          <w:rFonts w:hint="eastAsia" w:ascii="宋体" w:hAnsi="宋体" w:eastAsia="宋体" w:cs="宋体"/>
          <w:color w:val="auto"/>
          <w:sz w:val="24"/>
          <w:highlight w:val="none"/>
          <w:lang w:eastAsia="zh-CN"/>
        </w:rPr>
      </w:pPr>
    </w:p>
    <w:p w14:paraId="11655634">
      <w:pPr>
        <w:pageBreakBefore w:val="0"/>
        <w:widowControl w:val="0"/>
        <w:overflowPunct/>
        <w:topLinePunct w:val="0"/>
        <w:bidi w:val="0"/>
        <w:spacing w:line="400" w:lineRule="exact"/>
        <w:rPr>
          <w:rFonts w:hint="eastAsia" w:ascii="宋体" w:hAnsi="宋体" w:eastAsia="宋体" w:cs="宋体"/>
          <w:color w:val="auto"/>
          <w:sz w:val="24"/>
          <w:highlight w:val="none"/>
          <w:lang w:eastAsia="zh-CN"/>
        </w:rPr>
      </w:pPr>
    </w:p>
    <w:p w14:paraId="1290BDBB">
      <w:pPr>
        <w:pageBreakBefore w:val="0"/>
        <w:widowControl w:val="0"/>
        <w:overflowPunct/>
        <w:topLinePunct w:val="0"/>
        <w:bidi w:val="0"/>
        <w:spacing w:line="400" w:lineRule="exact"/>
        <w:rPr>
          <w:rFonts w:hint="eastAsia" w:ascii="宋体" w:hAnsi="宋体" w:eastAsia="宋体" w:cs="宋体"/>
          <w:color w:val="auto"/>
          <w:sz w:val="24"/>
          <w:highlight w:val="none"/>
          <w:lang w:eastAsia="zh-CN"/>
        </w:rPr>
      </w:pPr>
    </w:p>
    <w:p w14:paraId="6AA2684A">
      <w:pPr>
        <w:pageBreakBefore w:val="0"/>
        <w:widowControl w:val="0"/>
        <w:overflowPunct/>
        <w:topLinePunct w:val="0"/>
        <w:bidi w:val="0"/>
        <w:spacing w:line="400" w:lineRule="exact"/>
        <w:rPr>
          <w:rFonts w:hint="eastAsia" w:ascii="宋体" w:hAnsi="宋体" w:eastAsia="宋体" w:cs="宋体"/>
          <w:color w:val="auto"/>
          <w:sz w:val="24"/>
          <w:highlight w:val="none"/>
          <w:lang w:eastAsia="zh-CN"/>
        </w:rPr>
      </w:pPr>
    </w:p>
    <w:p w14:paraId="6F771564">
      <w:pPr>
        <w:pageBreakBefore w:val="0"/>
        <w:widowControl w:val="0"/>
        <w:overflowPunct/>
        <w:topLinePunct w:val="0"/>
        <w:bidi w:val="0"/>
        <w:spacing w:line="400" w:lineRule="exact"/>
        <w:rPr>
          <w:rFonts w:hint="eastAsia" w:ascii="宋体" w:hAnsi="宋体" w:eastAsia="宋体" w:cs="宋体"/>
          <w:color w:val="auto"/>
          <w:sz w:val="24"/>
          <w:highlight w:val="none"/>
          <w:lang w:eastAsia="zh-CN"/>
        </w:rPr>
      </w:pPr>
    </w:p>
    <w:p w14:paraId="32CC499D">
      <w:pPr>
        <w:pageBreakBefore w:val="0"/>
        <w:widowControl w:val="0"/>
        <w:overflowPunct/>
        <w:topLinePunct w:val="0"/>
        <w:bidi w:val="0"/>
        <w:spacing w:line="400" w:lineRule="exact"/>
        <w:rPr>
          <w:rFonts w:hint="eastAsia" w:ascii="宋体" w:hAnsi="宋体" w:eastAsia="宋体" w:cs="宋体"/>
          <w:color w:val="auto"/>
          <w:sz w:val="24"/>
          <w:highlight w:val="none"/>
          <w:lang w:eastAsia="zh-CN"/>
        </w:rPr>
      </w:pPr>
    </w:p>
    <w:p w14:paraId="6D16B2D8">
      <w:pPr>
        <w:pageBreakBefore w:val="0"/>
        <w:widowControl w:val="0"/>
        <w:overflowPunct/>
        <w:topLinePunct w:val="0"/>
        <w:bidi w:val="0"/>
        <w:spacing w:line="400" w:lineRule="exact"/>
        <w:rPr>
          <w:rFonts w:hint="eastAsia" w:ascii="宋体" w:hAnsi="宋体" w:eastAsia="宋体" w:cs="宋体"/>
          <w:color w:val="auto"/>
          <w:sz w:val="24"/>
          <w:highlight w:val="none"/>
          <w:lang w:eastAsia="zh-CN"/>
        </w:rPr>
      </w:pPr>
    </w:p>
    <w:p w14:paraId="6D51BC87">
      <w:pPr>
        <w:pageBreakBefore w:val="0"/>
        <w:widowControl w:val="0"/>
        <w:overflowPunct/>
        <w:topLinePunct w:val="0"/>
        <w:bidi w:val="0"/>
        <w:spacing w:line="400" w:lineRule="exact"/>
        <w:rPr>
          <w:rFonts w:hint="eastAsia" w:ascii="宋体" w:hAnsi="宋体" w:eastAsia="宋体" w:cs="宋体"/>
          <w:color w:val="auto"/>
          <w:sz w:val="24"/>
          <w:highlight w:val="none"/>
          <w:lang w:eastAsia="zh-CN"/>
        </w:rPr>
      </w:pPr>
    </w:p>
    <w:p w14:paraId="177C2918">
      <w:pPr>
        <w:pageBreakBefore w:val="0"/>
        <w:widowControl w:val="0"/>
        <w:overflowPunct/>
        <w:topLinePunct w:val="0"/>
        <w:bidi w:val="0"/>
        <w:spacing w:line="400" w:lineRule="exact"/>
        <w:rPr>
          <w:rFonts w:hint="eastAsia" w:ascii="宋体" w:hAnsi="宋体" w:eastAsia="宋体" w:cs="宋体"/>
          <w:color w:val="auto"/>
          <w:sz w:val="24"/>
          <w:highlight w:val="none"/>
          <w:lang w:eastAsia="zh-CN"/>
        </w:rPr>
      </w:pPr>
    </w:p>
    <w:p w14:paraId="701A70A7">
      <w:pPr>
        <w:pageBreakBefore w:val="0"/>
        <w:widowControl w:val="0"/>
        <w:overflowPunct/>
        <w:topLinePunct w:val="0"/>
        <w:bidi w:val="0"/>
        <w:spacing w:line="400" w:lineRule="exact"/>
        <w:jc w:val="center"/>
        <w:outlineLvl w:val="0"/>
        <w:rPr>
          <w:rFonts w:hint="eastAsia" w:ascii="宋体" w:hAnsi="宋体" w:eastAsia="宋体" w:cs="宋体"/>
          <w:b/>
          <w:bCs/>
          <w:color w:val="auto"/>
          <w:sz w:val="31"/>
          <w:szCs w:val="31"/>
          <w:highlight w:val="none"/>
          <w:lang w:eastAsia="zh-CN"/>
        </w:rPr>
      </w:pPr>
      <w:bookmarkStart w:id="14" w:name="_Toc17335"/>
    </w:p>
    <w:p w14:paraId="3E201AC5">
      <w:pPr>
        <w:pageBreakBefore w:val="0"/>
        <w:widowControl w:val="0"/>
        <w:overflowPunct/>
        <w:topLinePunct w:val="0"/>
        <w:bidi w:val="0"/>
        <w:spacing w:line="400" w:lineRule="exact"/>
        <w:jc w:val="center"/>
        <w:outlineLvl w:val="0"/>
        <w:rPr>
          <w:rFonts w:hint="eastAsia" w:ascii="宋体" w:hAnsi="宋体" w:eastAsia="宋体" w:cs="宋体"/>
          <w:b/>
          <w:bCs/>
          <w:color w:val="auto"/>
          <w:sz w:val="31"/>
          <w:szCs w:val="31"/>
          <w:highlight w:val="none"/>
          <w:lang w:eastAsia="zh-CN"/>
        </w:rPr>
      </w:pPr>
    </w:p>
    <w:p w14:paraId="7870F60B">
      <w:pPr>
        <w:keepNext w:val="0"/>
        <w:keepLines w:val="0"/>
        <w:pageBreakBefore w:val="0"/>
        <w:widowControl w:val="0"/>
        <w:kinsoku w:val="0"/>
        <w:wordWrap/>
        <w:overflowPunct/>
        <w:topLinePunct w:val="0"/>
        <w:autoSpaceDE w:val="0"/>
        <w:autoSpaceDN w:val="0"/>
        <w:bidi w:val="0"/>
        <w:adjustRightInd w:val="0"/>
        <w:snapToGrid w:val="0"/>
        <w:spacing w:line="400" w:lineRule="exact"/>
        <w:jc w:val="center"/>
        <w:textAlignment w:val="baseline"/>
        <w:outlineLvl w:val="0"/>
        <w:rPr>
          <w:rFonts w:hint="eastAsia" w:ascii="宋体" w:hAnsi="宋体" w:eastAsia="宋体" w:cs="宋体"/>
          <w:color w:val="auto"/>
          <w:sz w:val="31"/>
          <w:szCs w:val="31"/>
          <w:highlight w:val="none"/>
          <w:lang w:eastAsia="zh-CN"/>
        </w:rPr>
      </w:pPr>
      <w:r>
        <w:rPr>
          <w:rFonts w:hint="eastAsia" w:ascii="宋体" w:hAnsi="宋体" w:eastAsia="宋体" w:cs="宋体"/>
          <w:b/>
          <w:bCs/>
          <w:color w:val="auto"/>
          <w:sz w:val="31"/>
          <w:szCs w:val="31"/>
          <w:highlight w:val="none"/>
          <w:lang w:eastAsia="zh-CN"/>
        </w:rPr>
        <w:t>第五章</w:t>
      </w:r>
      <w:r>
        <w:rPr>
          <w:rFonts w:hint="eastAsia" w:ascii="宋体" w:hAnsi="宋体" w:eastAsia="宋体" w:cs="宋体"/>
          <w:color w:val="auto"/>
          <w:sz w:val="31"/>
          <w:szCs w:val="31"/>
          <w:highlight w:val="none"/>
          <w:lang w:eastAsia="zh-CN"/>
        </w:rPr>
        <w:t xml:space="preserve">  </w:t>
      </w:r>
      <w:r>
        <w:rPr>
          <w:rFonts w:hint="eastAsia" w:ascii="宋体" w:hAnsi="宋体" w:eastAsia="宋体" w:cs="宋体"/>
          <w:b/>
          <w:bCs/>
          <w:color w:val="auto"/>
          <w:sz w:val="31"/>
          <w:szCs w:val="31"/>
          <w:highlight w:val="none"/>
          <w:lang w:eastAsia="zh-CN"/>
        </w:rPr>
        <w:t>政府采购合同（合同主要条款及格式）</w:t>
      </w:r>
      <w:bookmarkEnd w:id="14"/>
    </w:p>
    <w:p w14:paraId="7CD5A106">
      <w:pPr>
        <w:pStyle w:val="8"/>
        <w:keepNext w:val="0"/>
        <w:keepLines w:val="0"/>
        <w:pageBreakBefore w:val="0"/>
        <w:kinsoku w:val="0"/>
        <w:wordWrap/>
        <w:overflowPunct/>
        <w:topLinePunct w:val="0"/>
        <w:autoSpaceDE w:val="0"/>
        <w:autoSpaceDN w:val="0"/>
        <w:bidi w:val="0"/>
        <w:adjustRightInd w:val="0"/>
        <w:snapToGrid w:val="0"/>
        <w:spacing w:line="400" w:lineRule="exact"/>
        <w:ind w:left="28"/>
        <w:textAlignment w:val="baseline"/>
        <w:rPr>
          <w:rFonts w:hint="eastAsia" w:ascii="宋体" w:hAnsi="宋体" w:eastAsia="宋体" w:cs="宋体"/>
          <w:color w:val="auto"/>
          <w:sz w:val="21"/>
          <w:szCs w:val="21"/>
        </w:rPr>
      </w:pPr>
      <w:r>
        <w:rPr>
          <w:rFonts w:hint="eastAsia" w:ascii="宋体" w:hAnsi="宋体" w:eastAsia="宋体" w:cs="宋体"/>
          <w:color w:val="auto"/>
          <w:spacing w:val="5"/>
          <w:sz w:val="21"/>
          <w:szCs w:val="21"/>
        </w:rPr>
        <w:t>合同编号：</w:t>
      </w:r>
    </w:p>
    <w:p w14:paraId="48504E39">
      <w:pPr>
        <w:pStyle w:val="8"/>
        <w:keepNext w:val="0"/>
        <w:keepLines w:val="0"/>
        <w:pageBreakBefore w:val="0"/>
        <w:kinsoku w:val="0"/>
        <w:wordWrap/>
        <w:overflowPunct/>
        <w:topLinePunct w:val="0"/>
        <w:autoSpaceDE w:val="0"/>
        <w:autoSpaceDN w:val="0"/>
        <w:bidi w:val="0"/>
        <w:adjustRightInd w:val="0"/>
        <w:snapToGrid w:val="0"/>
        <w:spacing w:line="400" w:lineRule="exact"/>
        <w:ind w:left="31"/>
        <w:textAlignment w:val="baseline"/>
        <w:rPr>
          <w:rFonts w:hint="eastAsia" w:ascii="宋体" w:hAnsi="宋体" w:eastAsia="宋体" w:cs="宋体"/>
          <w:color w:val="auto"/>
          <w:sz w:val="21"/>
          <w:szCs w:val="21"/>
          <w:lang w:eastAsia="zh-CN"/>
        </w:rPr>
      </w:pPr>
      <w:r>
        <w:rPr>
          <w:rFonts w:hint="eastAsia" w:ascii="宋体" w:hAnsi="宋体" w:eastAsia="宋体" w:cs="宋体"/>
          <w:color w:val="auto"/>
          <w:spacing w:val="9"/>
          <w:sz w:val="21"/>
          <w:szCs w:val="21"/>
        </w:rPr>
        <w:t>项目名称：</w:t>
      </w:r>
      <w:r>
        <w:rPr>
          <w:rFonts w:hint="eastAsia" w:ascii="宋体" w:hAnsi="宋体" w:eastAsia="宋体" w:cs="宋体"/>
          <w:color w:val="auto"/>
          <w:spacing w:val="9"/>
          <w:sz w:val="21"/>
          <w:szCs w:val="21"/>
          <w:lang w:eastAsia="zh-CN"/>
        </w:rPr>
        <w:t>2026年桂林市区控水质自动站智慧化改造项目</w:t>
      </w:r>
    </w:p>
    <w:p w14:paraId="057A431E">
      <w:pPr>
        <w:pStyle w:val="8"/>
        <w:keepNext w:val="0"/>
        <w:keepLines w:val="0"/>
        <w:pageBreakBefore w:val="0"/>
        <w:kinsoku w:val="0"/>
        <w:wordWrap/>
        <w:overflowPunct/>
        <w:topLinePunct w:val="0"/>
        <w:autoSpaceDE w:val="0"/>
        <w:autoSpaceDN w:val="0"/>
        <w:bidi w:val="0"/>
        <w:adjustRightInd w:val="0"/>
        <w:snapToGrid w:val="0"/>
        <w:spacing w:line="400" w:lineRule="exact"/>
        <w:ind w:left="31"/>
        <w:textAlignment w:val="baseline"/>
        <w:rPr>
          <w:rFonts w:hint="eastAsia" w:ascii="宋体" w:hAnsi="宋体" w:eastAsia="宋体" w:cs="宋体"/>
          <w:color w:val="auto"/>
          <w:sz w:val="21"/>
          <w:szCs w:val="21"/>
          <w:lang w:val="en-US" w:eastAsia="zh-CN"/>
        </w:rPr>
      </w:pPr>
      <w:r>
        <w:rPr>
          <w:rFonts w:hint="eastAsia" w:ascii="宋体" w:hAnsi="宋体" w:eastAsia="宋体" w:cs="宋体"/>
          <w:color w:val="auto"/>
          <w:spacing w:val="7"/>
          <w:sz w:val="21"/>
          <w:szCs w:val="21"/>
        </w:rPr>
        <w:t>项目编号：</w:t>
      </w:r>
      <w:r>
        <w:rPr>
          <w:rFonts w:hint="eastAsia" w:ascii="宋体" w:hAnsi="宋体" w:eastAsia="宋体" w:cs="宋体"/>
          <w:color w:val="auto"/>
          <w:highlight w:val="none"/>
          <w:lang w:eastAsia="zh-CN"/>
        </w:rPr>
        <w:t>GXZC2026-J1-003281-DHGS</w:t>
      </w:r>
    </w:p>
    <w:p w14:paraId="5AACC9C4">
      <w:pPr>
        <w:pStyle w:val="8"/>
        <w:keepNext w:val="0"/>
        <w:keepLines w:val="0"/>
        <w:pageBreakBefore w:val="0"/>
        <w:kinsoku w:val="0"/>
        <w:wordWrap/>
        <w:overflowPunct/>
        <w:topLinePunct w:val="0"/>
        <w:autoSpaceDE w:val="0"/>
        <w:autoSpaceDN w:val="0"/>
        <w:bidi w:val="0"/>
        <w:adjustRightInd w:val="0"/>
        <w:snapToGrid w:val="0"/>
        <w:spacing w:line="400" w:lineRule="exact"/>
        <w:ind w:left="54"/>
        <w:textAlignment w:val="baseline"/>
        <w:rPr>
          <w:rFonts w:hint="eastAsia" w:ascii="宋体" w:hAnsi="宋体" w:eastAsia="宋体" w:cs="宋体"/>
          <w:color w:val="auto"/>
          <w:sz w:val="21"/>
          <w:szCs w:val="21"/>
        </w:rPr>
      </w:pPr>
      <w:r>
        <w:rPr>
          <w:rFonts w:hint="eastAsia" w:ascii="宋体" w:hAnsi="宋体" w:eastAsia="宋体" w:cs="宋体"/>
          <w:color w:val="auto"/>
          <w:spacing w:val="6"/>
          <w:sz w:val="21"/>
          <w:szCs w:val="21"/>
        </w:rPr>
        <w:t>甲方</w:t>
      </w:r>
      <w:r>
        <w:rPr>
          <w:rFonts w:hint="eastAsia" w:ascii="宋体" w:hAnsi="宋体" w:eastAsia="宋体" w:cs="宋体"/>
          <w:color w:val="auto"/>
          <w:spacing w:val="-3"/>
          <w:sz w:val="21"/>
          <w:szCs w:val="21"/>
        </w:rPr>
        <w:t>：</w:t>
      </w:r>
      <w:r>
        <w:rPr>
          <w:rFonts w:hint="eastAsia" w:ascii="宋体" w:hAnsi="宋体" w:eastAsia="宋体" w:cs="宋体"/>
          <w:color w:val="auto"/>
          <w:spacing w:val="2"/>
          <w:sz w:val="21"/>
          <w:szCs w:val="21"/>
          <w:u w:val="single" w:color="auto"/>
        </w:rPr>
        <w:t xml:space="preserve">                                        </w:t>
      </w:r>
      <w:r>
        <w:rPr>
          <w:rFonts w:hint="eastAsia" w:ascii="宋体" w:hAnsi="宋体" w:eastAsia="宋体" w:cs="宋体"/>
          <w:color w:val="auto"/>
          <w:spacing w:val="-3"/>
          <w:sz w:val="21"/>
          <w:szCs w:val="21"/>
        </w:rPr>
        <w:t>（</w:t>
      </w:r>
      <w:r>
        <w:rPr>
          <w:rFonts w:hint="eastAsia" w:ascii="宋体" w:hAnsi="宋体" w:eastAsia="宋体" w:cs="宋体"/>
          <w:color w:val="auto"/>
          <w:spacing w:val="6"/>
          <w:sz w:val="21"/>
          <w:szCs w:val="21"/>
        </w:rPr>
        <w:t>采购人）</w:t>
      </w:r>
    </w:p>
    <w:p w14:paraId="60D4C78B">
      <w:pPr>
        <w:pStyle w:val="8"/>
        <w:keepNext w:val="0"/>
        <w:keepLines w:val="0"/>
        <w:pageBreakBefore w:val="0"/>
        <w:kinsoku w:val="0"/>
        <w:wordWrap/>
        <w:overflowPunct/>
        <w:topLinePunct w:val="0"/>
        <w:autoSpaceDE w:val="0"/>
        <w:autoSpaceDN w:val="0"/>
        <w:bidi w:val="0"/>
        <w:adjustRightInd w:val="0"/>
        <w:snapToGrid w:val="0"/>
        <w:spacing w:line="400" w:lineRule="exact"/>
        <w:ind w:left="48"/>
        <w:textAlignment w:val="baseline"/>
        <w:rPr>
          <w:rFonts w:hint="eastAsia" w:ascii="宋体" w:hAnsi="宋体" w:eastAsia="宋体" w:cs="宋体"/>
          <w:color w:val="auto"/>
          <w:sz w:val="21"/>
          <w:szCs w:val="21"/>
        </w:rPr>
      </w:pPr>
      <w:r>
        <w:rPr>
          <w:rFonts w:hint="eastAsia" w:ascii="宋体" w:hAnsi="宋体" w:eastAsia="宋体" w:cs="宋体"/>
          <w:color w:val="auto"/>
          <w:spacing w:val="8"/>
          <w:sz w:val="21"/>
          <w:szCs w:val="21"/>
        </w:rPr>
        <w:t>乙方</w:t>
      </w:r>
      <w:r>
        <w:rPr>
          <w:rFonts w:hint="eastAsia" w:ascii="宋体" w:hAnsi="宋体" w:eastAsia="宋体" w:cs="宋体"/>
          <w:color w:val="auto"/>
          <w:spacing w:val="-4"/>
          <w:sz w:val="21"/>
          <w:szCs w:val="21"/>
        </w:rPr>
        <w:t>：</w:t>
      </w:r>
      <w:r>
        <w:rPr>
          <w:rFonts w:hint="eastAsia" w:ascii="宋体" w:hAnsi="宋体" w:eastAsia="宋体" w:cs="宋体"/>
          <w:color w:val="auto"/>
          <w:spacing w:val="2"/>
          <w:sz w:val="21"/>
          <w:szCs w:val="21"/>
          <w:u w:val="single" w:color="auto"/>
        </w:rPr>
        <w:t xml:space="preserve">                                        </w:t>
      </w:r>
      <w:r>
        <w:rPr>
          <w:rFonts w:hint="eastAsia" w:ascii="宋体" w:hAnsi="宋体" w:eastAsia="宋体" w:cs="宋体"/>
          <w:color w:val="auto"/>
          <w:spacing w:val="-4"/>
          <w:sz w:val="21"/>
          <w:szCs w:val="21"/>
        </w:rPr>
        <w:t>（</w:t>
      </w:r>
      <w:r>
        <w:rPr>
          <w:rFonts w:hint="eastAsia" w:ascii="宋体" w:hAnsi="宋体" w:eastAsia="宋体" w:cs="宋体"/>
          <w:color w:val="auto"/>
          <w:spacing w:val="8"/>
          <w:sz w:val="21"/>
          <w:szCs w:val="21"/>
          <w:lang w:val="en-US" w:eastAsia="zh-CN"/>
        </w:rPr>
        <w:t>成交</w:t>
      </w:r>
      <w:r>
        <w:rPr>
          <w:rFonts w:hint="eastAsia" w:ascii="宋体" w:hAnsi="宋体" w:eastAsia="宋体" w:cs="宋体"/>
          <w:color w:val="auto"/>
          <w:spacing w:val="8"/>
          <w:sz w:val="21"/>
          <w:szCs w:val="21"/>
        </w:rPr>
        <w:t>供应商）</w:t>
      </w:r>
    </w:p>
    <w:p w14:paraId="4137D026">
      <w:pPr>
        <w:pStyle w:val="8"/>
        <w:keepNext w:val="0"/>
        <w:keepLines w:val="0"/>
        <w:pageBreakBefore w:val="0"/>
        <w:kinsoku w:val="0"/>
        <w:wordWrap/>
        <w:overflowPunct/>
        <w:topLinePunct w:val="0"/>
        <w:autoSpaceDE w:val="0"/>
        <w:autoSpaceDN w:val="0"/>
        <w:bidi w:val="0"/>
        <w:adjustRightInd w:val="0"/>
        <w:snapToGrid w:val="0"/>
        <w:spacing w:line="400" w:lineRule="exact"/>
        <w:ind w:left="48" w:right="157" w:firstLine="399"/>
        <w:textAlignment w:val="baseline"/>
        <w:rPr>
          <w:rFonts w:hint="eastAsia" w:ascii="宋体" w:hAnsi="宋体" w:eastAsia="宋体" w:cs="宋体"/>
          <w:color w:val="auto"/>
          <w:sz w:val="21"/>
          <w:szCs w:val="21"/>
        </w:rPr>
      </w:pPr>
      <w:r>
        <w:rPr>
          <w:rFonts w:hint="eastAsia" w:ascii="宋体" w:hAnsi="宋体" w:eastAsia="宋体" w:cs="宋体"/>
          <w:color w:val="auto"/>
          <w:spacing w:val="10"/>
          <w:sz w:val="21"/>
          <w:szCs w:val="21"/>
        </w:rPr>
        <w:t>根据《中华人民共和国政府采购法》、《中华人民共和国政府采购法实施</w:t>
      </w:r>
      <w:r>
        <w:rPr>
          <w:rFonts w:hint="eastAsia" w:ascii="宋体" w:hAnsi="宋体" w:eastAsia="宋体" w:cs="宋体"/>
          <w:color w:val="auto"/>
          <w:spacing w:val="9"/>
          <w:sz w:val="21"/>
          <w:szCs w:val="21"/>
        </w:rPr>
        <w:t>条例》、《中华人民共和国</w:t>
      </w:r>
      <w:r>
        <w:rPr>
          <w:rFonts w:hint="eastAsia" w:ascii="宋体" w:hAnsi="宋体" w:eastAsia="宋体" w:cs="宋体"/>
          <w:color w:val="auto"/>
          <w:spacing w:val="8"/>
          <w:sz w:val="21"/>
          <w:szCs w:val="21"/>
        </w:rPr>
        <w:t>民法典》等法律、法规规定，按照</w:t>
      </w:r>
      <w:r>
        <w:rPr>
          <w:rFonts w:hint="eastAsia" w:ascii="宋体" w:hAnsi="宋体" w:eastAsia="宋体" w:cs="宋体"/>
          <w:color w:val="auto"/>
          <w:spacing w:val="8"/>
          <w:sz w:val="21"/>
          <w:szCs w:val="21"/>
          <w:lang w:eastAsia="zh-CN"/>
        </w:rPr>
        <w:t>谈判</w:t>
      </w:r>
      <w:r>
        <w:rPr>
          <w:rFonts w:hint="eastAsia" w:ascii="宋体" w:hAnsi="宋体" w:eastAsia="宋体" w:cs="宋体"/>
          <w:color w:val="auto"/>
          <w:spacing w:val="8"/>
          <w:sz w:val="21"/>
          <w:szCs w:val="21"/>
        </w:rPr>
        <w:t>文件、响应文件规定条款和</w:t>
      </w:r>
      <w:r>
        <w:rPr>
          <w:rFonts w:hint="eastAsia" w:ascii="宋体" w:hAnsi="宋体" w:eastAsia="宋体" w:cs="宋体"/>
          <w:color w:val="auto"/>
          <w:spacing w:val="8"/>
          <w:sz w:val="21"/>
          <w:szCs w:val="21"/>
          <w:lang w:eastAsia="zh-CN"/>
        </w:rPr>
        <w:t>乙方</w:t>
      </w:r>
      <w:r>
        <w:rPr>
          <w:rFonts w:hint="eastAsia" w:ascii="宋体" w:hAnsi="宋体" w:eastAsia="宋体" w:cs="宋体"/>
          <w:color w:val="auto"/>
          <w:spacing w:val="8"/>
          <w:sz w:val="21"/>
          <w:szCs w:val="21"/>
        </w:rPr>
        <w:t>承诺、甲乙双方签订本采购合同。</w:t>
      </w:r>
    </w:p>
    <w:p w14:paraId="79461010">
      <w:pPr>
        <w:pStyle w:val="8"/>
        <w:keepNext w:val="0"/>
        <w:keepLines w:val="0"/>
        <w:pageBreakBefore w:val="0"/>
        <w:kinsoku w:val="0"/>
        <w:wordWrap/>
        <w:overflowPunct/>
        <w:topLinePunct w:val="0"/>
        <w:autoSpaceDE w:val="0"/>
        <w:autoSpaceDN w:val="0"/>
        <w:bidi w:val="0"/>
        <w:adjustRightInd w:val="0"/>
        <w:snapToGrid w:val="0"/>
        <w:spacing w:line="400" w:lineRule="exact"/>
        <w:ind w:left="440"/>
        <w:textAlignment w:val="baseline"/>
        <w:outlineLvl w:val="1"/>
        <w:rPr>
          <w:rFonts w:hint="eastAsia" w:ascii="宋体" w:hAnsi="宋体" w:eastAsia="宋体" w:cs="宋体"/>
          <w:color w:val="auto"/>
          <w:sz w:val="21"/>
          <w:szCs w:val="21"/>
        </w:rPr>
      </w:pPr>
      <w:bookmarkStart w:id="15" w:name="bookmark53"/>
      <w:bookmarkEnd w:id="15"/>
      <w:r>
        <w:rPr>
          <w:rFonts w:hint="eastAsia" w:ascii="宋体" w:hAnsi="宋体" w:eastAsia="宋体" w:cs="宋体"/>
          <w:b/>
          <w:bCs/>
          <w:color w:val="auto"/>
          <w:spacing w:val="7"/>
          <w:sz w:val="21"/>
          <w:szCs w:val="21"/>
        </w:rPr>
        <w:t>第一条</w:t>
      </w:r>
      <w:r>
        <w:rPr>
          <w:rFonts w:hint="eastAsia" w:ascii="宋体" w:hAnsi="宋体" w:eastAsia="宋体" w:cs="宋体"/>
          <w:color w:val="auto"/>
          <w:spacing w:val="7"/>
          <w:sz w:val="21"/>
          <w:szCs w:val="21"/>
        </w:rPr>
        <w:t xml:space="preserve">  </w:t>
      </w:r>
      <w:r>
        <w:rPr>
          <w:rFonts w:hint="eastAsia" w:ascii="宋体" w:hAnsi="宋体" w:eastAsia="宋体" w:cs="宋体"/>
          <w:b/>
          <w:bCs/>
          <w:color w:val="auto"/>
          <w:spacing w:val="7"/>
          <w:sz w:val="21"/>
          <w:szCs w:val="21"/>
        </w:rPr>
        <w:t>合同标的及合同金额</w:t>
      </w:r>
    </w:p>
    <w:tbl>
      <w:tblPr>
        <w:tblStyle w:val="26"/>
        <w:tblW w:w="913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6"/>
        <w:gridCol w:w="1150"/>
        <w:gridCol w:w="1349"/>
        <w:gridCol w:w="1267"/>
        <w:gridCol w:w="1120"/>
        <w:gridCol w:w="667"/>
        <w:gridCol w:w="1442"/>
        <w:gridCol w:w="1475"/>
      </w:tblGrid>
      <w:tr w14:paraId="79F98F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7" w:hRule="atLeast"/>
        </w:trPr>
        <w:tc>
          <w:tcPr>
            <w:tcW w:w="666" w:type="dxa"/>
            <w:shd w:val="clear" w:color="auto" w:fill="FFFFFF" w:themeFill="background1"/>
            <w:vAlign w:val="top"/>
          </w:tcPr>
          <w:p w14:paraId="7221610C">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rPr>
            </w:pPr>
          </w:p>
          <w:p w14:paraId="5AB7DF88">
            <w:pPr>
              <w:pStyle w:val="27"/>
              <w:keepNext w:val="0"/>
              <w:keepLines w:val="0"/>
              <w:pageBreakBefore w:val="0"/>
              <w:kinsoku w:val="0"/>
              <w:wordWrap/>
              <w:overflowPunct/>
              <w:topLinePunct w:val="0"/>
              <w:autoSpaceDE w:val="0"/>
              <w:autoSpaceDN w:val="0"/>
              <w:bidi w:val="0"/>
              <w:adjustRightInd w:val="0"/>
              <w:snapToGrid w:val="0"/>
              <w:spacing w:line="400" w:lineRule="exact"/>
              <w:ind w:left="153"/>
              <w:textAlignment w:val="baseline"/>
              <w:rPr>
                <w:rFonts w:hint="eastAsia" w:ascii="宋体" w:hAnsi="宋体" w:eastAsia="宋体" w:cs="宋体"/>
                <w:color w:val="auto"/>
                <w:sz w:val="21"/>
                <w:szCs w:val="21"/>
              </w:rPr>
            </w:pPr>
            <w:r>
              <w:rPr>
                <w:rFonts w:hint="eastAsia" w:ascii="宋体" w:hAnsi="宋体" w:eastAsia="宋体" w:cs="宋体"/>
                <w:b/>
                <w:bCs/>
                <w:color w:val="auto"/>
                <w:spacing w:val="2"/>
                <w:sz w:val="21"/>
                <w:szCs w:val="21"/>
              </w:rPr>
              <w:t>项号</w:t>
            </w:r>
          </w:p>
        </w:tc>
        <w:tc>
          <w:tcPr>
            <w:tcW w:w="1150" w:type="dxa"/>
            <w:shd w:val="clear" w:color="auto" w:fill="FFFFFF" w:themeFill="background1"/>
            <w:vAlign w:val="top"/>
          </w:tcPr>
          <w:p w14:paraId="4B64D836">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rPr>
            </w:pPr>
          </w:p>
          <w:p w14:paraId="7599B0AB">
            <w:pPr>
              <w:pStyle w:val="27"/>
              <w:keepNext w:val="0"/>
              <w:keepLines w:val="0"/>
              <w:pageBreakBefore w:val="0"/>
              <w:kinsoku w:val="0"/>
              <w:wordWrap/>
              <w:overflowPunct/>
              <w:topLinePunct w:val="0"/>
              <w:autoSpaceDE w:val="0"/>
              <w:autoSpaceDN w:val="0"/>
              <w:bidi w:val="0"/>
              <w:adjustRightInd w:val="0"/>
              <w:snapToGrid w:val="0"/>
              <w:spacing w:line="400" w:lineRule="exact"/>
              <w:ind w:left="202"/>
              <w:textAlignment w:val="baseline"/>
              <w:rPr>
                <w:rFonts w:hint="eastAsia" w:ascii="宋体" w:hAnsi="宋体" w:eastAsia="宋体" w:cs="宋体"/>
                <w:color w:val="auto"/>
                <w:sz w:val="21"/>
                <w:szCs w:val="21"/>
              </w:rPr>
            </w:pPr>
            <w:r>
              <w:rPr>
                <w:rFonts w:hint="eastAsia" w:ascii="宋体" w:hAnsi="宋体" w:eastAsia="宋体" w:cs="宋体"/>
                <w:b/>
                <w:bCs/>
                <w:color w:val="auto"/>
                <w:spacing w:val="5"/>
                <w:sz w:val="21"/>
                <w:szCs w:val="21"/>
              </w:rPr>
              <w:t>货物名称</w:t>
            </w:r>
          </w:p>
        </w:tc>
        <w:tc>
          <w:tcPr>
            <w:tcW w:w="1349" w:type="dxa"/>
            <w:shd w:val="clear" w:color="auto" w:fill="FFFFFF" w:themeFill="background1"/>
            <w:vAlign w:val="top"/>
          </w:tcPr>
          <w:p w14:paraId="312BF122">
            <w:pPr>
              <w:pStyle w:val="27"/>
              <w:keepNext w:val="0"/>
              <w:keepLines w:val="0"/>
              <w:pageBreakBefore w:val="0"/>
              <w:kinsoku w:val="0"/>
              <w:wordWrap/>
              <w:overflowPunct/>
              <w:topLinePunct w:val="0"/>
              <w:autoSpaceDE w:val="0"/>
              <w:autoSpaceDN w:val="0"/>
              <w:bidi w:val="0"/>
              <w:adjustRightInd w:val="0"/>
              <w:snapToGrid w:val="0"/>
              <w:spacing w:line="400" w:lineRule="exact"/>
              <w:ind w:left="112" w:right="106"/>
              <w:textAlignment w:val="baseline"/>
              <w:rPr>
                <w:rFonts w:hint="eastAsia" w:ascii="宋体" w:hAnsi="宋体" w:eastAsia="宋体" w:cs="宋体"/>
                <w:color w:val="auto"/>
                <w:sz w:val="21"/>
                <w:szCs w:val="21"/>
              </w:rPr>
            </w:pPr>
            <w:r>
              <w:rPr>
                <w:rFonts w:hint="eastAsia" w:ascii="宋体" w:hAnsi="宋体" w:eastAsia="宋体" w:cs="宋体"/>
                <w:b/>
                <w:bCs/>
                <w:color w:val="auto"/>
                <w:spacing w:val="1"/>
                <w:sz w:val="21"/>
                <w:szCs w:val="21"/>
              </w:rPr>
              <w:t>生产厂家、品牌、规格型号</w:t>
            </w:r>
          </w:p>
        </w:tc>
        <w:tc>
          <w:tcPr>
            <w:tcW w:w="1267" w:type="dxa"/>
            <w:shd w:val="clear" w:color="auto" w:fill="FFFFFF" w:themeFill="background1"/>
            <w:vAlign w:val="top"/>
          </w:tcPr>
          <w:p w14:paraId="5DD80CA6">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rPr>
            </w:pPr>
          </w:p>
          <w:p w14:paraId="02EAD014">
            <w:pPr>
              <w:pStyle w:val="27"/>
              <w:keepNext w:val="0"/>
              <w:keepLines w:val="0"/>
              <w:pageBreakBefore w:val="0"/>
              <w:kinsoku w:val="0"/>
              <w:wordWrap/>
              <w:overflowPunct/>
              <w:topLinePunct w:val="0"/>
              <w:autoSpaceDE w:val="0"/>
              <w:autoSpaceDN w:val="0"/>
              <w:bidi w:val="0"/>
              <w:adjustRightInd w:val="0"/>
              <w:snapToGrid w:val="0"/>
              <w:spacing w:line="400" w:lineRule="exact"/>
              <w:ind w:left="326"/>
              <w:textAlignment w:val="baseline"/>
              <w:rPr>
                <w:rFonts w:hint="eastAsia" w:ascii="宋体" w:hAnsi="宋体" w:eastAsia="宋体" w:cs="宋体"/>
                <w:color w:val="auto"/>
                <w:sz w:val="21"/>
                <w:szCs w:val="21"/>
              </w:rPr>
            </w:pPr>
            <w:r>
              <w:rPr>
                <w:rFonts w:hint="eastAsia" w:ascii="宋体" w:hAnsi="宋体" w:eastAsia="宋体" w:cs="宋体"/>
                <w:b/>
                <w:bCs/>
                <w:color w:val="auto"/>
                <w:spacing w:val="6"/>
                <w:sz w:val="21"/>
                <w:szCs w:val="21"/>
              </w:rPr>
              <w:t>技术参数</w:t>
            </w:r>
          </w:p>
        </w:tc>
        <w:tc>
          <w:tcPr>
            <w:tcW w:w="1120" w:type="dxa"/>
            <w:shd w:val="clear" w:color="auto" w:fill="FFFFFF" w:themeFill="background1"/>
            <w:vAlign w:val="center"/>
          </w:tcPr>
          <w:p w14:paraId="2597CBA5">
            <w:pPr>
              <w:pStyle w:val="27"/>
              <w:keepNext w:val="0"/>
              <w:keepLines w:val="0"/>
              <w:pageBreakBefore w:val="0"/>
              <w:kinsoku w:val="0"/>
              <w:wordWrap/>
              <w:overflowPunct/>
              <w:topLinePunct w:val="0"/>
              <w:autoSpaceDE w:val="0"/>
              <w:autoSpaceDN w:val="0"/>
              <w:bidi w:val="0"/>
              <w:adjustRightInd w:val="0"/>
              <w:snapToGrid w:val="0"/>
              <w:spacing w:line="400" w:lineRule="exact"/>
              <w:ind w:right="323"/>
              <w:jc w:val="center"/>
              <w:textAlignment w:val="baseline"/>
              <w:rPr>
                <w:rFonts w:hint="eastAsia" w:ascii="宋体" w:hAnsi="宋体" w:eastAsia="宋体" w:cs="宋体"/>
                <w:color w:val="auto"/>
                <w:sz w:val="21"/>
                <w:szCs w:val="21"/>
                <w:lang w:val="en-US" w:eastAsia="zh-CN"/>
              </w:rPr>
            </w:pPr>
            <w:r>
              <w:rPr>
                <w:rFonts w:hint="eastAsia" w:ascii="宋体" w:hAnsi="宋体" w:eastAsia="宋体" w:cs="宋体"/>
                <w:b/>
                <w:bCs/>
                <w:color w:val="auto"/>
                <w:spacing w:val="6"/>
                <w:sz w:val="21"/>
                <w:szCs w:val="21"/>
              </w:rPr>
              <w:t>数量①</w:t>
            </w:r>
          </w:p>
        </w:tc>
        <w:tc>
          <w:tcPr>
            <w:tcW w:w="667" w:type="dxa"/>
            <w:shd w:val="clear" w:color="auto" w:fill="FFFFFF" w:themeFill="background1"/>
            <w:vAlign w:val="top"/>
          </w:tcPr>
          <w:p w14:paraId="0C4AC245">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rPr>
            </w:pPr>
          </w:p>
          <w:p w14:paraId="23347F3A">
            <w:pPr>
              <w:pStyle w:val="27"/>
              <w:keepNext w:val="0"/>
              <w:keepLines w:val="0"/>
              <w:pageBreakBefore w:val="0"/>
              <w:kinsoku w:val="0"/>
              <w:wordWrap/>
              <w:overflowPunct/>
              <w:topLinePunct w:val="0"/>
              <w:autoSpaceDE w:val="0"/>
              <w:autoSpaceDN w:val="0"/>
              <w:bidi w:val="0"/>
              <w:adjustRightInd w:val="0"/>
              <w:snapToGrid w:val="0"/>
              <w:spacing w:line="400" w:lineRule="exact"/>
              <w:ind w:left="153"/>
              <w:textAlignment w:val="baseline"/>
              <w:rPr>
                <w:rFonts w:hint="eastAsia" w:ascii="宋体" w:hAnsi="宋体" w:eastAsia="宋体" w:cs="宋体"/>
                <w:color w:val="auto"/>
                <w:sz w:val="21"/>
                <w:szCs w:val="21"/>
              </w:rPr>
            </w:pPr>
            <w:r>
              <w:rPr>
                <w:rFonts w:hint="eastAsia" w:ascii="宋体" w:hAnsi="宋体" w:eastAsia="宋体" w:cs="宋体"/>
                <w:b/>
                <w:bCs/>
                <w:color w:val="auto"/>
                <w:spacing w:val="3"/>
                <w:sz w:val="21"/>
                <w:szCs w:val="21"/>
              </w:rPr>
              <w:t>单位</w:t>
            </w:r>
          </w:p>
        </w:tc>
        <w:tc>
          <w:tcPr>
            <w:tcW w:w="1442" w:type="dxa"/>
            <w:shd w:val="clear" w:color="auto" w:fill="FFFFFF" w:themeFill="background1"/>
            <w:vAlign w:val="center"/>
          </w:tcPr>
          <w:p w14:paraId="27871E2B">
            <w:pPr>
              <w:pStyle w:val="27"/>
              <w:keepNext w:val="0"/>
              <w:keepLines w:val="0"/>
              <w:pageBreakBefore w:val="0"/>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1"/>
                <w:szCs w:val="21"/>
              </w:rPr>
            </w:pPr>
            <w:r>
              <w:rPr>
                <w:rFonts w:hint="eastAsia" w:ascii="宋体" w:hAnsi="宋体" w:eastAsia="宋体" w:cs="宋体"/>
                <w:b/>
                <w:bCs/>
                <w:color w:val="auto"/>
                <w:spacing w:val="2"/>
                <w:sz w:val="21"/>
                <w:szCs w:val="21"/>
              </w:rPr>
              <w:t>单价（元）</w:t>
            </w:r>
            <w:r>
              <w:rPr>
                <w:rFonts w:hint="eastAsia" w:ascii="宋体" w:hAnsi="宋体" w:eastAsia="宋体" w:cs="宋体"/>
                <w:color w:val="auto"/>
                <w:spacing w:val="1"/>
                <w:sz w:val="21"/>
                <w:szCs w:val="21"/>
              </w:rPr>
              <w:t xml:space="preserve"> </w:t>
            </w:r>
            <w:r>
              <w:rPr>
                <w:rFonts w:hint="eastAsia" w:ascii="宋体" w:hAnsi="宋体" w:eastAsia="宋体" w:cs="宋体"/>
                <w:b/>
                <w:bCs/>
                <w:color w:val="auto"/>
                <w:sz w:val="21"/>
                <w:szCs w:val="21"/>
              </w:rPr>
              <w:t>②</w:t>
            </w:r>
          </w:p>
        </w:tc>
        <w:tc>
          <w:tcPr>
            <w:tcW w:w="1475" w:type="dxa"/>
            <w:shd w:val="clear" w:color="auto" w:fill="FFFFFF" w:themeFill="background1"/>
            <w:vAlign w:val="center"/>
          </w:tcPr>
          <w:p w14:paraId="0FFB777A">
            <w:pPr>
              <w:pStyle w:val="27"/>
              <w:keepNext w:val="0"/>
              <w:keepLines w:val="0"/>
              <w:pageBreakBefore w:val="0"/>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1"/>
                <w:szCs w:val="21"/>
              </w:rPr>
            </w:pPr>
            <w:r>
              <w:rPr>
                <w:rFonts w:hint="eastAsia" w:ascii="宋体" w:hAnsi="宋体" w:eastAsia="宋体" w:cs="宋体"/>
                <w:b/>
                <w:bCs/>
                <w:color w:val="auto"/>
                <w:spacing w:val="6"/>
                <w:sz w:val="21"/>
                <w:szCs w:val="21"/>
              </w:rPr>
              <w:t>单项合计金额</w:t>
            </w:r>
          </w:p>
          <w:p w14:paraId="5A526BAE">
            <w:pPr>
              <w:pStyle w:val="27"/>
              <w:keepNext w:val="0"/>
              <w:keepLines w:val="0"/>
              <w:pageBreakBefore w:val="0"/>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1"/>
                <w:szCs w:val="21"/>
              </w:rPr>
            </w:pPr>
            <w:r>
              <w:rPr>
                <w:rFonts w:hint="eastAsia" w:ascii="宋体" w:hAnsi="宋体" w:eastAsia="宋体" w:cs="宋体"/>
                <w:b/>
                <w:bCs/>
                <w:color w:val="auto"/>
                <w:spacing w:val="-2"/>
                <w:sz w:val="21"/>
                <w:szCs w:val="21"/>
              </w:rPr>
              <w:t>（元）</w:t>
            </w:r>
          </w:p>
          <w:p w14:paraId="2A5B7A56">
            <w:pPr>
              <w:pStyle w:val="27"/>
              <w:keepNext w:val="0"/>
              <w:keepLines w:val="0"/>
              <w:pageBreakBefore w:val="0"/>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auto"/>
                <w:sz w:val="21"/>
                <w:szCs w:val="21"/>
              </w:rPr>
            </w:pPr>
            <w:r>
              <w:rPr>
                <w:rFonts w:hint="eastAsia" w:ascii="宋体" w:hAnsi="宋体" w:eastAsia="宋体" w:cs="宋体"/>
                <w:b/>
                <w:bCs/>
                <w:color w:val="auto"/>
                <w:spacing w:val="13"/>
                <w:sz w:val="21"/>
                <w:szCs w:val="21"/>
              </w:rPr>
              <w:t>③</w:t>
            </w:r>
            <w:r>
              <w:rPr>
                <w:rFonts w:hint="eastAsia" w:ascii="宋体" w:hAnsi="宋体" w:eastAsia="宋体" w:cs="宋体"/>
                <w:color w:val="auto"/>
                <w:spacing w:val="-68"/>
                <w:sz w:val="21"/>
                <w:szCs w:val="21"/>
              </w:rPr>
              <w:t xml:space="preserve"> </w:t>
            </w:r>
            <w:r>
              <w:rPr>
                <w:rFonts w:hint="eastAsia" w:ascii="宋体" w:hAnsi="宋体" w:eastAsia="宋体" w:cs="宋体"/>
                <w:b/>
                <w:bCs/>
                <w:color w:val="auto"/>
                <w:spacing w:val="13"/>
                <w:sz w:val="21"/>
                <w:szCs w:val="21"/>
              </w:rPr>
              <w:t>=</w:t>
            </w:r>
            <w:r>
              <w:rPr>
                <w:rFonts w:hint="eastAsia" w:ascii="宋体" w:hAnsi="宋体" w:eastAsia="宋体" w:cs="宋体"/>
                <w:color w:val="auto"/>
                <w:spacing w:val="-62"/>
                <w:sz w:val="21"/>
                <w:szCs w:val="21"/>
              </w:rPr>
              <w:t xml:space="preserve"> </w:t>
            </w:r>
            <w:r>
              <w:rPr>
                <w:rFonts w:hint="eastAsia" w:ascii="宋体" w:hAnsi="宋体" w:eastAsia="宋体" w:cs="宋体"/>
                <w:b/>
                <w:bCs/>
                <w:color w:val="auto"/>
                <w:spacing w:val="13"/>
                <w:sz w:val="21"/>
                <w:szCs w:val="21"/>
              </w:rPr>
              <w:t>①×②</w:t>
            </w:r>
          </w:p>
        </w:tc>
      </w:tr>
      <w:tr w14:paraId="62F4F2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666" w:type="dxa"/>
            <w:vAlign w:val="top"/>
          </w:tcPr>
          <w:p w14:paraId="00E5B568">
            <w:pPr>
              <w:pStyle w:val="27"/>
              <w:keepNext w:val="0"/>
              <w:keepLines w:val="0"/>
              <w:pageBreakBefore w:val="0"/>
              <w:kinsoku w:val="0"/>
              <w:wordWrap/>
              <w:overflowPunct/>
              <w:topLinePunct w:val="0"/>
              <w:autoSpaceDE w:val="0"/>
              <w:autoSpaceDN w:val="0"/>
              <w:bidi w:val="0"/>
              <w:adjustRightInd w:val="0"/>
              <w:snapToGrid w:val="0"/>
              <w:spacing w:line="400" w:lineRule="exact"/>
              <w:ind w:left="326"/>
              <w:textAlignment w:val="baseline"/>
              <w:rPr>
                <w:rFonts w:hint="eastAsia" w:ascii="宋体" w:hAnsi="宋体" w:eastAsia="宋体" w:cs="宋体"/>
                <w:color w:val="auto"/>
                <w:sz w:val="21"/>
                <w:szCs w:val="21"/>
              </w:rPr>
            </w:pPr>
            <w:r>
              <w:rPr>
                <w:rFonts w:hint="eastAsia" w:ascii="宋体" w:hAnsi="宋体" w:eastAsia="宋体" w:cs="宋体"/>
                <w:color w:val="auto"/>
                <w:position w:val="1"/>
                <w:sz w:val="21"/>
                <w:szCs w:val="21"/>
              </w:rPr>
              <w:t>1</w:t>
            </w:r>
          </w:p>
        </w:tc>
        <w:tc>
          <w:tcPr>
            <w:tcW w:w="1150" w:type="dxa"/>
            <w:vAlign w:val="top"/>
          </w:tcPr>
          <w:p w14:paraId="5D2EC800">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rPr>
            </w:pPr>
          </w:p>
        </w:tc>
        <w:tc>
          <w:tcPr>
            <w:tcW w:w="1349" w:type="dxa"/>
            <w:vAlign w:val="top"/>
          </w:tcPr>
          <w:p w14:paraId="7098B2A9">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rPr>
            </w:pPr>
          </w:p>
        </w:tc>
        <w:tc>
          <w:tcPr>
            <w:tcW w:w="1267" w:type="dxa"/>
            <w:vAlign w:val="top"/>
          </w:tcPr>
          <w:p w14:paraId="2C7E0578">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rPr>
            </w:pPr>
          </w:p>
        </w:tc>
        <w:tc>
          <w:tcPr>
            <w:tcW w:w="1120" w:type="dxa"/>
            <w:vAlign w:val="top"/>
          </w:tcPr>
          <w:p w14:paraId="449DB9AC">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rPr>
            </w:pPr>
          </w:p>
        </w:tc>
        <w:tc>
          <w:tcPr>
            <w:tcW w:w="667" w:type="dxa"/>
            <w:vAlign w:val="top"/>
          </w:tcPr>
          <w:p w14:paraId="7370E176">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rPr>
            </w:pPr>
          </w:p>
        </w:tc>
        <w:tc>
          <w:tcPr>
            <w:tcW w:w="1442" w:type="dxa"/>
            <w:vAlign w:val="top"/>
          </w:tcPr>
          <w:p w14:paraId="0A59016E">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rPr>
            </w:pPr>
          </w:p>
        </w:tc>
        <w:tc>
          <w:tcPr>
            <w:tcW w:w="1475" w:type="dxa"/>
            <w:vAlign w:val="top"/>
          </w:tcPr>
          <w:p w14:paraId="69E362D2">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rPr>
            </w:pPr>
          </w:p>
        </w:tc>
      </w:tr>
      <w:tr w14:paraId="622574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666" w:type="dxa"/>
            <w:vAlign w:val="top"/>
          </w:tcPr>
          <w:p w14:paraId="32893290">
            <w:pPr>
              <w:pStyle w:val="27"/>
              <w:keepNext w:val="0"/>
              <w:keepLines w:val="0"/>
              <w:pageBreakBefore w:val="0"/>
              <w:kinsoku w:val="0"/>
              <w:wordWrap/>
              <w:overflowPunct/>
              <w:topLinePunct w:val="0"/>
              <w:autoSpaceDE w:val="0"/>
              <w:autoSpaceDN w:val="0"/>
              <w:bidi w:val="0"/>
              <w:adjustRightInd w:val="0"/>
              <w:snapToGrid w:val="0"/>
              <w:spacing w:line="400" w:lineRule="exact"/>
              <w:ind w:left="313"/>
              <w:textAlignment w:val="baseline"/>
              <w:rPr>
                <w:rFonts w:hint="eastAsia" w:ascii="宋体" w:hAnsi="宋体" w:eastAsia="宋体" w:cs="宋体"/>
                <w:color w:val="auto"/>
                <w:sz w:val="21"/>
                <w:szCs w:val="21"/>
              </w:rPr>
            </w:pPr>
            <w:r>
              <w:rPr>
                <w:rFonts w:hint="eastAsia" w:ascii="宋体" w:hAnsi="宋体" w:eastAsia="宋体" w:cs="宋体"/>
                <w:color w:val="auto"/>
                <w:position w:val="1"/>
                <w:sz w:val="21"/>
                <w:szCs w:val="21"/>
              </w:rPr>
              <w:t>2</w:t>
            </w:r>
          </w:p>
        </w:tc>
        <w:tc>
          <w:tcPr>
            <w:tcW w:w="1150" w:type="dxa"/>
            <w:vAlign w:val="top"/>
          </w:tcPr>
          <w:p w14:paraId="7EC6B105">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rPr>
            </w:pPr>
          </w:p>
        </w:tc>
        <w:tc>
          <w:tcPr>
            <w:tcW w:w="1349" w:type="dxa"/>
            <w:vAlign w:val="top"/>
          </w:tcPr>
          <w:p w14:paraId="10AFFC7C">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rPr>
            </w:pPr>
          </w:p>
        </w:tc>
        <w:tc>
          <w:tcPr>
            <w:tcW w:w="1267" w:type="dxa"/>
            <w:vAlign w:val="top"/>
          </w:tcPr>
          <w:p w14:paraId="1EF75B17">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rPr>
            </w:pPr>
          </w:p>
        </w:tc>
        <w:tc>
          <w:tcPr>
            <w:tcW w:w="1120" w:type="dxa"/>
            <w:vAlign w:val="top"/>
          </w:tcPr>
          <w:p w14:paraId="293D9506">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rPr>
            </w:pPr>
          </w:p>
        </w:tc>
        <w:tc>
          <w:tcPr>
            <w:tcW w:w="667" w:type="dxa"/>
            <w:vAlign w:val="top"/>
          </w:tcPr>
          <w:p w14:paraId="192E70AF">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rPr>
            </w:pPr>
          </w:p>
        </w:tc>
        <w:tc>
          <w:tcPr>
            <w:tcW w:w="1442" w:type="dxa"/>
            <w:vAlign w:val="top"/>
          </w:tcPr>
          <w:p w14:paraId="17A81C73">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rPr>
            </w:pPr>
          </w:p>
        </w:tc>
        <w:tc>
          <w:tcPr>
            <w:tcW w:w="1475" w:type="dxa"/>
            <w:vAlign w:val="top"/>
          </w:tcPr>
          <w:p w14:paraId="178DF994">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rPr>
            </w:pPr>
          </w:p>
        </w:tc>
      </w:tr>
      <w:tr w14:paraId="169DD0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666" w:type="dxa"/>
            <w:vAlign w:val="top"/>
          </w:tcPr>
          <w:p w14:paraId="661CC87B">
            <w:pPr>
              <w:pStyle w:val="27"/>
              <w:keepNext w:val="0"/>
              <w:keepLines w:val="0"/>
              <w:pageBreakBefore w:val="0"/>
              <w:kinsoku w:val="0"/>
              <w:wordWrap/>
              <w:overflowPunct/>
              <w:topLinePunct w:val="0"/>
              <w:autoSpaceDE w:val="0"/>
              <w:autoSpaceDN w:val="0"/>
              <w:bidi w:val="0"/>
              <w:adjustRightInd w:val="0"/>
              <w:snapToGrid w:val="0"/>
              <w:spacing w:line="400" w:lineRule="exact"/>
              <w:ind w:left="268"/>
              <w:textAlignment w:val="baseline"/>
              <w:rPr>
                <w:rFonts w:hint="eastAsia" w:ascii="宋体" w:hAnsi="宋体" w:eastAsia="宋体" w:cs="宋体"/>
                <w:color w:val="auto"/>
                <w:sz w:val="21"/>
                <w:szCs w:val="21"/>
              </w:rPr>
            </w:pPr>
            <w:r>
              <w:rPr>
                <w:rFonts w:hint="eastAsia" w:ascii="宋体" w:hAnsi="宋体" w:eastAsia="宋体" w:cs="宋体"/>
                <w:color w:val="auto"/>
                <w:position w:val="1"/>
                <w:sz w:val="21"/>
                <w:szCs w:val="21"/>
              </w:rPr>
              <w:t>…</w:t>
            </w:r>
          </w:p>
        </w:tc>
        <w:tc>
          <w:tcPr>
            <w:tcW w:w="1150" w:type="dxa"/>
            <w:vAlign w:val="top"/>
          </w:tcPr>
          <w:p w14:paraId="27E839D1">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rPr>
            </w:pPr>
          </w:p>
        </w:tc>
        <w:tc>
          <w:tcPr>
            <w:tcW w:w="1349" w:type="dxa"/>
            <w:vAlign w:val="top"/>
          </w:tcPr>
          <w:p w14:paraId="59E5FED3">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rPr>
            </w:pPr>
          </w:p>
        </w:tc>
        <w:tc>
          <w:tcPr>
            <w:tcW w:w="1267" w:type="dxa"/>
            <w:vAlign w:val="top"/>
          </w:tcPr>
          <w:p w14:paraId="4B75B9B6">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rPr>
            </w:pPr>
          </w:p>
        </w:tc>
        <w:tc>
          <w:tcPr>
            <w:tcW w:w="1120" w:type="dxa"/>
            <w:vAlign w:val="top"/>
          </w:tcPr>
          <w:p w14:paraId="1E462ABD">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rPr>
            </w:pPr>
          </w:p>
        </w:tc>
        <w:tc>
          <w:tcPr>
            <w:tcW w:w="667" w:type="dxa"/>
            <w:vAlign w:val="top"/>
          </w:tcPr>
          <w:p w14:paraId="21F97574">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rPr>
            </w:pPr>
          </w:p>
        </w:tc>
        <w:tc>
          <w:tcPr>
            <w:tcW w:w="1442" w:type="dxa"/>
            <w:vAlign w:val="top"/>
          </w:tcPr>
          <w:p w14:paraId="30455484">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rPr>
            </w:pPr>
          </w:p>
        </w:tc>
        <w:tc>
          <w:tcPr>
            <w:tcW w:w="1475" w:type="dxa"/>
            <w:vAlign w:val="top"/>
          </w:tcPr>
          <w:p w14:paraId="32D07414">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rPr>
            </w:pPr>
          </w:p>
        </w:tc>
      </w:tr>
      <w:tr w14:paraId="21D383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66" w:type="dxa"/>
            <w:tcBorders>
              <w:right w:val="nil"/>
            </w:tcBorders>
            <w:vAlign w:val="top"/>
          </w:tcPr>
          <w:p w14:paraId="072B2BB3">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rPr>
            </w:pPr>
          </w:p>
        </w:tc>
        <w:tc>
          <w:tcPr>
            <w:tcW w:w="1150" w:type="dxa"/>
            <w:tcBorders>
              <w:left w:val="nil"/>
              <w:right w:val="nil"/>
            </w:tcBorders>
            <w:vAlign w:val="top"/>
          </w:tcPr>
          <w:p w14:paraId="6EDA096D">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rPr>
            </w:pPr>
          </w:p>
        </w:tc>
        <w:tc>
          <w:tcPr>
            <w:tcW w:w="1349" w:type="dxa"/>
            <w:tcBorders>
              <w:left w:val="nil"/>
              <w:right w:val="nil"/>
            </w:tcBorders>
            <w:vAlign w:val="top"/>
          </w:tcPr>
          <w:p w14:paraId="37E844B3">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rPr>
            </w:pPr>
          </w:p>
        </w:tc>
        <w:tc>
          <w:tcPr>
            <w:tcW w:w="1267" w:type="dxa"/>
            <w:tcBorders>
              <w:left w:val="nil"/>
              <w:right w:val="nil"/>
            </w:tcBorders>
            <w:vAlign w:val="top"/>
          </w:tcPr>
          <w:p w14:paraId="48454473">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rPr>
            </w:pPr>
          </w:p>
        </w:tc>
        <w:tc>
          <w:tcPr>
            <w:tcW w:w="1120" w:type="dxa"/>
            <w:tcBorders>
              <w:left w:val="nil"/>
              <w:right w:val="nil"/>
            </w:tcBorders>
            <w:vAlign w:val="top"/>
          </w:tcPr>
          <w:p w14:paraId="394ABF71">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rPr>
            </w:pPr>
          </w:p>
        </w:tc>
        <w:tc>
          <w:tcPr>
            <w:tcW w:w="667" w:type="dxa"/>
            <w:tcBorders>
              <w:left w:val="nil"/>
              <w:right w:val="nil"/>
            </w:tcBorders>
            <w:vAlign w:val="top"/>
          </w:tcPr>
          <w:p w14:paraId="6AC17F40">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rPr>
            </w:pPr>
          </w:p>
        </w:tc>
        <w:tc>
          <w:tcPr>
            <w:tcW w:w="1442" w:type="dxa"/>
            <w:tcBorders>
              <w:left w:val="nil"/>
            </w:tcBorders>
            <w:vAlign w:val="top"/>
          </w:tcPr>
          <w:p w14:paraId="20EDABEC">
            <w:pPr>
              <w:pStyle w:val="27"/>
              <w:keepNext w:val="0"/>
              <w:keepLines w:val="0"/>
              <w:pageBreakBefore w:val="0"/>
              <w:kinsoku w:val="0"/>
              <w:wordWrap/>
              <w:overflowPunct/>
              <w:topLinePunct w:val="0"/>
              <w:autoSpaceDE w:val="0"/>
              <w:autoSpaceDN w:val="0"/>
              <w:bidi w:val="0"/>
              <w:adjustRightInd w:val="0"/>
              <w:snapToGrid w:val="0"/>
              <w:spacing w:line="400" w:lineRule="exact"/>
              <w:ind w:left="77"/>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合</w:t>
            </w:r>
            <w:r>
              <w:rPr>
                <w:rFonts w:hint="eastAsia" w:ascii="宋体" w:hAnsi="宋体" w:eastAsia="宋体" w:cs="宋体"/>
                <w:color w:val="auto"/>
                <w:spacing w:val="6"/>
                <w:sz w:val="21"/>
                <w:szCs w:val="21"/>
              </w:rPr>
              <w:t xml:space="preserve">     </w:t>
            </w:r>
            <w:r>
              <w:rPr>
                <w:rFonts w:hint="eastAsia" w:ascii="宋体" w:hAnsi="宋体" w:eastAsia="宋体" w:cs="宋体"/>
                <w:color w:val="auto"/>
                <w:sz w:val="21"/>
                <w:szCs w:val="21"/>
              </w:rPr>
              <w:t>计</w:t>
            </w:r>
          </w:p>
        </w:tc>
        <w:tc>
          <w:tcPr>
            <w:tcW w:w="1475" w:type="dxa"/>
            <w:vAlign w:val="top"/>
          </w:tcPr>
          <w:p w14:paraId="03CE7305">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rPr>
            </w:pPr>
          </w:p>
        </w:tc>
      </w:tr>
    </w:tbl>
    <w:p w14:paraId="20CF81F7">
      <w:pPr>
        <w:pStyle w:val="8"/>
        <w:keepNext w:val="0"/>
        <w:keepLines w:val="0"/>
        <w:pageBreakBefore w:val="0"/>
        <w:widowControl/>
        <w:kinsoku w:val="0"/>
        <w:wordWrap/>
        <w:overflowPunct/>
        <w:topLinePunct w:val="0"/>
        <w:autoSpaceDE/>
        <w:autoSpaceDN/>
        <w:bidi w:val="0"/>
        <w:adjustRightInd w:val="0"/>
        <w:snapToGrid w:val="0"/>
        <w:spacing w:line="360" w:lineRule="exact"/>
        <w:ind w:firstLine="452" w:firstLineChars="200"/>
        <w:jc w:val="both"/>
        <w:textAlignment w:val="baseline"/>
        <w:rPr>
          <w:rFonts w:hint="eastAsia" w:ascii="宋体" w:hAnsi="宋体" w:eastAsia="宋体" w:cs="宋体"/>
          <w:color w:val="auto"/>
          <w:sz w:val="21"/>
          <w:szCs w:val="21"/>
          <w:lang w:eastAsia="zh-CN"/>
        </w:rPr>
      </w:pPr>
      <w:r>
        <w:rPr>
          <w:rFonts w:hint="eastAsia" w:ascii="宋体" w:hAnsi="宋体" w:eastAsia="宋体" w:cs="宋体"/>
          <w:color w:val="auto"/>
          <w:spacing w:val="8"/>
          <w:sz w:val="21"/>
          <w:szCs w:val="21"/>
        </w:rPr>
        <w:t>根据《</w:t>
      </w:r>
      <w:r>
        <w:rPr>
          <w:rFonts w:hint="eastAsia" w:ascii="宋体" w:hAnsi="宋体" w:eastAsia="宋体" w:cs="宋体"/>
          <w:color w:val="auto"/>
          <w:spacing w:val="8"/>
          <w:sz w:val="21"/>
          <w:szCs w:val="21"/>
          <w:lang w:eastAsia="zh-CN"/>
        </w:rPr>
        <w:t>成交</w:t>
      </w:r>
      <w:r>
        <w:rPr>
          <w:rFonts w:hint="eastAsia" w:ascii="宋体" w:hAnsi="宋体" w:eastAsia="宋体" w:cs="宋体"/>
          <w:color w:val="auto"/>
          <w:spacing w:val="8"/>
          <w:sz w:val="21"/>
          <w:szCs w:val="21"/>
        </w:rPr>
        <w:t>通知书》的中标内容，合同的总金额为</w:t>
      </w:r>
      <w:r>
        <w:rPr>
          <w:rFonts w:hint="eastAsia" w:ascii="宋体" w:hAnsi="宋体" w:eastAsia="宋体" w:cs="宋体"/>
          <w:color w:val="auto"/>
          <w:spacing w:val="-5"/>
          <w:sz w:val="21"/>
          <w:szCs w:val="21"/>
        </w:rPr>
        <w:t>：（</w:t>
      </w:r>
      <w:r>
        <w:rPr>
          <w:rFonts w:hint="eastAsia" w:ascii="宋体" w:hAnsi="宋体" w:eastAsia="宋体" w:cs="宋体"/>
          <w:color w:val="auto"/>
          <w:spacing w:val="8"/>
          <w:sz w:val="21"/>
          <w:szCs w:val="21"/>
        </w:rPr>
        <w:t>大写）</w:t>
      </w:r>
      <w:r>
        <w:rPr>
          <w:rFonts w:hint="eastAsia" w:ascii="宋体" w:hAnsi="宋体" w:eastAsia="宋体" w:cs="宋体"/>
          <w:color w:val="auto"/>
          <w:spacing w:val="8"/>
          <w:sz w:val="21"/>
          <w:szCs w:val="21"/>
          <w:u w:val="single" w:color="auto"/>
        </w:rPr>
        <w:t xml:space="preserve">       </w:t>
      </w:r>
      <w:r>
        <w:rPr>
          <w:rFonts w:hint="eastAsia" w:ascii="宋体" w:hAnsi="宋体" w:eastAsia="宋体" w:cs="宋体"/>
          <w:color w:val="auto"/>
          <w:spacing w:val="-90"/>
          <w:sz w:val="21"/>
          <w:szCs w:val="21"/>
        </w:rPr>
        <w:t xml:space="preserve"> </w:t>
      </w:r>
      <w:r>
        <w:rPr>
          <w:rFonts w:hint="eastAsia" w:ascii="宋体" w:hAnsi="宋体" w:eastAsia="宋体" w:cs="宋体"/>
          <w:color w:val="auto"/>
          <w:spacing w:val="8"/>
          <w:sz w:val="21"/>
          <w:szCs w:val="21"/>
        </w:rPr>
        <w:t>人民币 (¥</w:t>
      </w:r>
      <w:r>
        <w:rPr>
          <w:rFonts w:hint="eastAsia" w:ascii="宋体" w:hAnsi="宋体" w:eastAsia="宋体" w:cs="宋体"/>
          <w:color w:val="auto"/>
          <w:spacing w:val="-99"/>
          <w:sz w:val="21"/>
          <w:szCs w:val="21"/>
        </w:rPr>
        <w:t xml:space="preserve"> </w:t>
      </w:r>
      <w:r>
        <w:rPr>
          <w:rFonts w:hint="eastAsia" w:ascii="宋体" w:hAnsi="宋体" w:eastAsia="宋体" w:cs="宋体"/>
          <w:color w:val="auto"/>
          <w:spacing w:val="4"/>
          <w:sz w:val="21"/>
          <w:szCs w:val="21"/>
          <w:u w:val="single" w:color="auto"/>
        </w:rPr>
        <w:t xml:space="preserve">      </w:t>
      </w:r>
      <w:r>
        <w:rPr>
          <w:rFonts w:hint="eastAsia" w:ascii="宋体" w:hAnsi="宋体" w:eastAsia="宋体" w:cs="宋体"/>
          <w:color w:val="auto"/>
          <w:spacing w:val="-82"/>
          <w:sz w:val="21"/>
          <w:szCs w:val="21"/>
        </w:rPr>
        <w:t xml:space="preserve"> </w:t>
      </w:r>
      <w:r>
        <w:rPr>
          <w:rFonts w:hint="eastAsia" w:ascii="宋体" w:hAnsi="宋体" w:eastAsia="宋体" w:cs="宋体"/>
          <w:color w:val="auto"/>
          <w:spacing w:val="8"/>
          <w:sz w:val="21"/>
          <w:szCs w:val="21"/>
        </w:rPr>
        <w:t>元）</w:t>
      </w:r>
      <w:r>
        <w:rPr>
          <w:rFonts w:hint="eastAsia" w:ascii="宋体" w:hAnsi="宋体" w:eastAsia="宋体" w:cs="宋体"/>
          <w:color w:val="auto"/>
          <w:spacing w:val="8"/>
          <w:sz w:val="21"/>
          <w:szCs w:val="21"/>
          <w:lang w:eastAsia="zh-CN"/>
        </w:rPr>
        <w:t>。本合同标的包含为完成项目所需的全部设备、软件、附件、工具、技术资料、安装调试、试运行、验收、培训、质保期服务及三年水站运维服务，乙方不得就上述内容另行向甲方主张任何费用。</w:t>
      </w:r>
    </w:p>
    <w:p w14:paraId="1691D1F2">
      <w:pPr>
        <w:pStyle w:val="8"/>
        <w:keepNext w:val="0"/>
        <w:keepLines w:val="0"/>
        <w:pageBreakBefore w:val="0"/>
        <w:widowControl/>
        <w:kinsoku w:val="0"/>
        <w:wordWrap/>
        <w:overflowPunct/>
        <w:topLinePunct w:val="0"/>
        <w:autoSpaceDE/>
        <w:autoSpaceDN/>
        <w:bidi w:val="0"/>
        <w:adjustRightInd w:val="0"/>
        <w:snapToGrid w:val="0"/>
        <w:spacing w:line="360" w:lineRule="exact"/>
        <w:ind w:left="0" w:firstLine="446" w:firstLineChars="200"/>
        <w:jc w:val="both"/>
        <w:textAlignment w:val="baseline"/>
        <w:outlineLvl w:val="1"/>
        <w:rPr>
          <w:rFonts w:hint="eastAsia" w:ascii="宋体" w:hAnsi="宋体" w:eastAsia="宋体" w:cs="宋体"/>
          <w:color w:val="auto"/>
          <w:sz w:val="21"/>
          <w:szCs w:val="21"/>
        </w:rPr>
      </w:pPr>
      <w:bookmarkStart w:id="16" w:name="bookmark54"/>
      <w:bookmarkEnd w:id="16"/>
      <w:r>
        <w:rPr>
          <w:rFonts w:hint="eastAsia" w:ascii="宋体" w:hAnsi="宋体" w:eastAsia="宋体" w:cs="宋体"/>
          <w:b/>
          <w:bCs/>
          <w:color w:val="auto"/>
          <w:spacing w:val="6"/>
          <w:sz w:val="21"/>
          <w:szCs w:val="21"/>
        </w:rPr>
        <w:t>第二条</w:t>
      </w:r>
      <w:r>
        <w:rPr>
          <w:rFonts w:hint="eastAsia" w:ascii="宋体" w:hAnsi="宋体" w:eastAsia="宋体" w:cs="宋体"/>
          <w:color w:val="auto"/>
          <w:spacing w:val="6"/>
          <w:sz w:val="21"/>
          <w:szCs w:val="21"/>
        </w:rPr>
        <w:t xml:space="preserve">  </w:t>
      </w:r>
      <w:r>
        <w:rPr>
          <w:rFonts w:hint="eastAsia" w:ascii="宋体" w:hAnsi="宋体" w:eastAsia="宋体" w:cs="宋体"/>
          <w:b/>
          <w:bCs/>
          <w:color w:val="auto"/>
          <w:spacing w:val="6"/>
          <w:sz w:val="21"/>
          <w:szCs w:val="21"/>
        </w:rPr>
        <w:t>质量保证</w:t>
      </w:r>
    </w:p>
    <w:p w14:paraId="739D2463">
      <w:pPr>
        <w:pStyle w:val="8"/>
        <w:keepNext w:val="0"/>
        <w:keepLines w:val="0"/>
        <w:pageBreakBefore w:val="0"/>
        <w:widowControl/>
        <w:kinsoku w:val="0"/>
        <w:wordWrap/>
        <w:overflowPunct/>
        <w:topLinePunct w:val="0"/>
        <w:autoSpaceDE/>
        <w:autoSpaceDN/>
        <w:bidi w:val="0"/>
        <w:adjustRightInd w:val="0"/>
        <w:snapToGrid w:val="0"/>
        <w:spacing w:line="360" w:lineRule="exact"/>
        <w:ind w:left="45" w:right="164" w:firstLine="456" w:firstLineChars="200"/>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9"/>
          <w:sz w:val="21"/>
          <w:szCs w:val="21"/>
        </w:rPr>
        <w:t>1.乙方应按</w:t>
      </w:r>
      <w:r>
        <w:rPr>
          <w:rFonts w:hint="eastAsia" w:ascii="宋体" w:hAnsi="宋体" w:eastAsia="宋体" w:cs="宋体"/>
          <w:color w:val="auto"/>
          <w:spacing w:val="9"/>
          <w:sz w:val="21"/>
          <w:szCs w:val="21"/>
          <w:lang w:eastAsia="zh-CN"/>
        </w:rPr>
        <w:t>响应</w:t>
      </w:r>
      <w:r>
        <w:rPr>
          <w:rFonts w:hint="eastAsia" w:ascii="宋体" w:hAnsi="宋体" w:eastAsia="宋体" w:cs="宋体"/>
          <w:color w:val="auto"/>
          <w:spacing w:val="9"/>
          <w:sz w:val="21"/>
          <w:szCs w:val="21"/>
        </w:rPr>
        <w:t>文件承诺的货物规格型号、技术参数、质量标准等向甲方提供未经使用的全新原装产品，且在正常安装使用和保养条件下，其使用寿命期内各项指标均达到质量标</w:t>
      </w:r>
      <w:r>
        <w:rPr>
          <w:rFonts w:hint="eastAsia" w:ascii="宋体" w:hAnsi="宋体" w:eastAsia="宋体" w:cs="宋体"/>
          <w:color w:val="auto"/>
          <w:spacing w:val="8"/>
          <w:sz w:val="21"/>
          <w:szCs w:val="21"/>
        </w:rPr>
        <w:t>准。</w:t>
      </w:r>
    </w:p>
    <w:p w14:paraId="3C4DE2F8">
      <w:pPr>
        <w:pStyle w:val="8"/>
        <w:keepNext w:val="0"/>
        <w:keepLines w:val="0"/>
        <w:pageBreakBefore w:val="0"/>
        <w:widowControl/>
        <w:kinsoku w:val="0"/>
        <w:wordWrap/>
        <w:overflowPunct/>
        <w:topLinePunct w:val="0"/>
        <w:autoSpaceDE/>
        <w:autoSpaceDN/>
        <w:bidi w:val="0"/>
        <w:adjustRightInd w:val="0"/>
        <w:snapToGrid w:val="0"/>
        <w:spacing w:line="360" w:lineRule="exact"/>
        <w:ind w:left="27" w:firstLine="448" w:firstLineChars="200"/>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7"/>
          <w:sz w:val="21"/>
          <w:szCs w:val="21"/>
        </w:rPr>
        <w:t>2.乙方提供货物的保修期按国家有关产品“三包”规定执行，免费保修期最短不得少于1年，免费保修期自货物安装调试并经甲方验收合格之日起计算。免费保修期内，乙方应提供免费上门维修、更换配件、送货上门、安装、调试及维护人员培训服务。（厂家规定保修期超过</w:t>
      </w:r>
      <w:r>
        <w:rPr>
          <w:rFonts w:hint="eastAsia" w:ascii="宋体" w:hAnsi="宋体" w:eastAsia="宋体" w:cs="宋体"/>
          <w:color w:val="auto"/>
          <w:spacing w:val="7"/>
          <w:sz w:val="21"/>
          <w:szCs w:val="21"/>
          <w:lang w:val="en-US" w:eastAsia="zh-CN"/>
        </w:rPr>
        <w:t>前述标准</w:t>
      </w:r>
      <w:r>
        <w:rPr>
          <w:rFonts w:hint="eastAsia" w:ascii="宋体" w:hAnsi="宋体" w:eastAsia="宋体" w:cs="宋体"/>
          <w:color w:val="auto"/>
          <w:spacing w:val="7"/>
          <w:sz w:val="21"/>
          <w:szCs w:val="21"/>
        </w:rPr>
        <w:t>的，按厂家规定</w:t>
      </w:r>
      <w:r>
        <w:rPr>
          <w:rFonts w:hint="eastAsia" w:ascii="宋体" w:hAnsi="宋体" w:eastAsia="宋体" w:cs="宋体"/>
          <w:color w:val="auto"/>
          <w:spacing w:val="7"/>
          <w:sz w:val="21"/>
          <w:szCs w:val="21"/>
          <w:lang w:val="en-US" w:eastAsia="zh-CN"/>
        </w:rPr>
        <w:t>执行；</w:t>
      </w:r>
      <w:r>
        <w:rPr>
          <w:rFonts w:hint="eastAsia" w:ascii="宋体" w:hAnsi="宋体" w:eastAsia="宋体" w:cs="宋体"/>
          <w:color w:val="auto"/>
          <w:spacing w:val="7"/>
          <w:sz w:val="21"/>
          <w:szCs w:val="21"/>
        </w:rPr>
        <w:t>“采购需求”有</w:t>
      </w:r>
      <w:r>
        <w:rPr>
          <w:rFonts w:hint="eastAsia" w:ascii="宋体" w:hAnsi="宋体" w:eastAsia="宋体" w:cs="宋体"/>
          <w:color w:val="auto"/>
          <w:spacing w:val="9"/>
          <w:sz w:val="21"/>
          <w:szCs w:val="21"/>
        </w:rPr>
        <w:t>规定的，按</w:t>
      </w:r>
      <w:r>
        <w:rPr>
          <w:rFonts w:hint="eastAsia" w:ascii="宋体" w:hAnsi="宋体" w:eastAsia="宋体" w:cs="宋体"/>
          <w:color w:val="auto"/>
          <w:spacing w:val="9"/>
          <w:sz w:val="21"/>
          <w:szCs w:val="21"/>
          <w:lang w:val="en-US" w:eastAsia="zh-CN"/>
        </w:rPr>
        <w:t>其</w:t>
      </w:r>
      <w:r>
        <w:rPr>
          <w:rFonts w:hint="eastAsia" w:ascii="宋体" w:hAnsi="宋体" w:eastAsia="宋体" w:cs="宋体"/>
          <w:color w:val="auto"/>
          <w:spacing w:val="9"/>
          <w:sz w:val="21"/>
          <w:szCs w:val="21"/>
        </w:rPr>
        <w:t>规定执行）。在保修期内因货物本身的质量问题发生故障</w:t>
      </w:r>
      <w:r>
        <w:rPr>
          <w:rFonts w:hint="eastAsia" w:ascii="宋体" w:hAnsi="宋体" w:eastAsia="宋体" w:cs="宋体"/>
          <w:color w:val="auto"/>
          <w:spacing w:val="8"/>
          <w:sz w:val="21"/>
          <w:szCs w:val="21"/>
        </w:rPr>
        <w:t>，乙方应负责免费修理和更换零部件。</w:t>
      </w:r>
      <w:r>
        <w:rPr>
          <w:rFonts w:hint="eastAsia" w:ascii="宋体" w:hAnsi="宋体" w:eastAsia="宋体" w:cs="宋体"/>
          <w:color w:val="auto"/>
          <w:spacing w:val="9"/>
          <w:sz w:val="21"/>
          <w:szCs w:val="21"/>
        </w:rPr>
        <w:t>对达不到技术要求者，根据实际情况，经双方协商，可按以下第（1）款办法处理：</w:t>
      </w:r>
    </w:p>
    <w:p w14:paraId="2F54D0C2">
      <w:pPr>
        <w:pStyle w:val="8"/>
        <w:keepNext w:val="0"/>
        <w:keepLines w:val="0"/>
        <w:pageBreakBefore w:val="0"/>
        <w:widowControl/>
        <w:kinsoku w:val="0"/>
        <w:wordWrap/>
        <w:overflowPunct/>
        <w:topLinePunct w:val="0"/>
        <w:autoSpaceDE/>
        <w:autoSpaceDN/>
        <w:bidi w:val="0"/>
        <w:adjustRightInd w:val="0"/>
        <w:snapToGrid w:val="0"/>
        <w:spacing w:line="360" w:lineRule="exact"/>
        <w:ind w:left="0" w:firstLine="444" w:firstLineChars="200"/>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6"/>
          <w:sz w:val="21"/>
          <w:szCs w:val="21"/>
        </w:rPr>
        <w:t>（1）更换：由乙方承担所有发生的全部费用。</w:t>
      </w:r>
    </w:p>
    <w:p w14:paraId="29D69E4D">
      <w:pPr>
        <w:pStyle w:val="8"/>
        <w:keepNext w:val="0"/>
        <w:keepLines w:val="0"/>
        <w:pageBreakBefore w:val="0"/>
        <w:widowControl/>
        <w:kinsoku w:val="0"/>
        <w:wordWrap/>
        <w:overflowPunct/>
        <w:topLinePunct w:val="0"/>
        <w:autoSpaceDE/>
        <w:autoSpaceDN/>
        <w:bidi w:val="0"/>
        <w:adjustRightInd w:val="0"/>
        <w:snapToGrid w:val="0"/>
        <w:spacing w:line="360" w:lineRule="exact"/>
        <w:ind w:left="0" w:firstLine="440" w:firstLineChars="200"/>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5"/>
          <w:sz w:val="21"/>
          <w:szCs w:val="21"/>
        </w:rPr>
        <w:t>（2）贬值处理：由甲乙双方合议定价。</w:t>
      </w:r>
    </w:p>
    <w:p w14:paraId="61292340">
      <w:pPr>
        <w:pStyle w:val="8"/>
        <w:keepNext w:val="0"/>
        <w:keepLines w:val="0"/>
        <w:pageBreakBefore w:val="0"/>
        <w:widowControl/>
        <w:kinsoku w:val="0"/>
        <w:wordWrap/>
        <w:overflowPunct/>
        <w:topLinePunct w:val="0"/>
        <w:autoSpaceDE/>
        <w:autoSpaceDN/>
        <w:bidi w:val="0"/>
        <w:adjustRightInd w:val="0"/>
        <w:snapToGrid w:val="0"/>
        <w:spacing w:line="360" w:lineRule="exact"/>
        <w:ind w:left="25" w:right="86" w:firstLine="456" w:firstLineChars="200"/>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9"/>
          <w:sz w:val="21"/>
          <w:szCs w:val="21"/>
        </w:rPr>
        <w:t>（3）退货处理：乙方应退还甲方支付的合同款，同时应承担该货</w:t>
      </w:r>
      <w:r>
        <w:rPr>
          <w:rFonts w:hint="eastAsia" w:ascii="宋体" w:hAnsi="宋体" w:eastAsia="宋体" w:cs="宋体"/>
          <w:color w:val="auto"/>
          <w:spacing w:val="8"/>
          <w:sz w:val="21"/>
          <w:szCs w:val="21"/>
        </w:rPr>
        <w:t>物的直接费用（运输、保险、检验、</w:t>
      </w:r>
      <w:r>
        <w:rPr>
          <w:rFonts w:hint="eastAsia" w:ascii="宋体" w:hAnsi="宋体" w:eastAsia="宋体" w:cs="宋体"/>
          <w:color w:val="auto"/>
          <w:spacing w:val="7"/>
          <w:sz w:val="21"/>
          <w:szCs w:val="21"/>
        </w:rPr>
        <w:t>贷款利息及银行手续费等）。</w:t>
      </w:r>
    </w:p>
    <w:p w14:paraId="64F0B0A5">
      <w:pPr>
        <w:pStyle w:val="8"/>
        <w:keepNext w:val="0"/>
        <w:keepLines w:val="0"/>
        <w:pageBreakBefore w:val="0"/>
        <w:widowControl/>
        <w:kinsoku w:val="0"/>
        <w:wordWrap/>
        <w:overflowPunct/>
        <w:topLinePunct w:val="0"/>
        <w:autoSpaceDE/>
        <w:autoSpaceDN/>
        <w:bidi w:val="0"/>
        <w:adjustRightInd w:val="0"/>
        <w:snapToGrid w:val="0"/>
        <w:spacing w:line="360" w:lineRule="exact"/>
        <w:ind w:left="0" w:firstLine="446" w:firstLineChars="200"/>
        <w:jc w:val="both"/>
        <w:textAlignment w:val="baseline"/>
        <w:outlineLvl w:val="1"/>
        <w:rPr>
          <w:rFonts w:hint="eastAsia" w:ascii="宋体" w:hAnsi="宋体" w:eastAsia="宋体" w:cs="宋体"/>
          <w:color w:val="auto"/>
          <w:sz w:val="21"/>
          <w:szCs w:val="21"/>
        </w:rPr>
      </w:pPr>
      <w:bookmarkStart w:id="17" w:name="bookmark55"/>
      <w:bookmarkEnd w:id="17"/>
      <w:r>
        <w:rPr>
          <w:rFonts w:hint="eastAsia" w:ascii="宋体" w:hAnsi="宋体" w:eastAsia="宋体" w:cs="宋体"/>
          <w:b/>
          <w:bCs/>
          <w:color w:val="auto"/>
          <w:spacing w:val="6"/>
          <w:sz w:val="21"/>
          <w:szCs w:val="21"/>
        </w:rPr>
        <w:t>第三条</w:t>
      </w:r>
      <w:r>
        <w:rPr>
          <w:rFonts w:hint="eastAsia" w:ascii="宋体" w:hAnsi="宋体" w:eastAsia="宋体" w:cs="宋体"/>
          <w:color w:val="auto"/>
          <w:spacing w:val="6"/>
          <w:sz w:val="21"/>
          <w:szCs w:val="21"/>
        </w:rPr>
        <w:t xml:space="preserve">  </w:t>
      </w:r>
      <w:r>
        <w:rPr>
          <w:rFonts w:hint="eastAsia" w:ascii="宋体" w:hAnsi="宋体" w:eastAsia="宋体" w:cs="宋体"/>
          <w:b/>
          <w:bCs/>
          <w:color w:val="auto"/>
          <w:spacing w:val="6"/>
          <w:sz w:val="21"/>
          <w:szCs w:val="21"/>
        </w:rPr>
        <w:t>权利保证</w:t>
      </w:r>
    </w:p>
    <w:p w14:paraId="7EEC9B52">
      <w:pPr>
        <w:pStyle w:val="8"/>
        <w:keepNext w:val="0"/>
        <w:keepLines w:val="0"/>
        <w:pageBreakBefore w:val="0"/>
        <w:widowControl/>
        <w:kinsoku w:val="0"/>
        <w:wordWrap/>
        <w:overflowPunct/>
        <w:topLinePunct w:val="0"/>
        <w:autoSpaceDE/>
        <w:autoSpaceDN/>
        <w:bidi w:val="0"/>
        <w:adjustRightInd w:val="0"/>
        <w:snapToGrid w:val="0"/>
        <w:spacing w:line="360" w:lineRule="exact"/>
        <w:ind w:left="0" w:firstLine="456" w:firstLineChars="200"/>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9"/>
          <w:sz w:val="21"/>
          <w:szCs w:val="21"/>
        </w:rPr>
        <w:t>1.乙方应保证所提供货物在使用时不会侵犯任何第三方的专利权、商标权、工业设计权或其</w:t>
      </w:r>
      <w:r>
        <w:rPr>
          <w:rFonts w:hint="eastAsia" w:ascii="宋体" w:hAnsi="宋体" w:eastAsia="宋体" w:cs="宋体"/>
          <w:color w:val="auto"/>
          <w:spacing w:val="8"/>
          <w:sz w:val="21"/>
          <w:szCs w:val="21"/>
        </w:rPr>
        <w:t>他权利。</w:t>
      </w:r>
    </w:p>
    <w:p w14:paraId="36178F54">
      <w:pPr>
        <w:pStyle w:val="8"/>
        <w:keepNext w:val="0"/>
        <w:keepLines w:val="0"/>
        <w:pageBreakBefore w:val="0"/>
        <w:widowControl/>
        <w:kinsoku w:val="0"/>
        <w:wordWrap/>
        <w:overflowPunct/>
        <w:topLinePunct w:val="0"/>
        <w:autoSpaceDE/>
        <w:autoSpaceDN/>
        <w:bidi w:val="0"/>
        <w:adjustRightInd w:val="0"/>
        <w:snapToGrid w:val="0"/>
        <w:spacing w:line="360" w:lineRule="exact"/>
        <w:ind w:left="0" w:firstLine="456" w:firstLineChars="200"/>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9"/>
          <w:sz w:val="21"/>
          <w:szCs w:val="21"/>
        </w:rPr>
        <w:t>2.乙方应按</w:t>
      </w:r>
      <w:r>
        <w:rPr>
          <w:rFonts w:hint="eastAsia" w:ascii="宋体" w:hAnsi="宋体" w:eastAsia="宋体" w:cs="宋体"/>
          <w:color w:val="auto"/>
          <w:spacing w:val="9"/>
          <w:sz w:val="21"/>
          <w:szCs w:val="21"/>
          <w:lang w:eastAsia="zh-CN"/>
        </w:rPr>
        <w:t>谈判</w:t>
      </w:r>
      <w:r>
        <w:rPr>
          <w:rFonts w:hint="eastAsia" w:ascii="宋体" w:hAnsi="宋体" w:eastAsia="宋体" w:cs="宋体"/>
          <w:color w:val="auto"/>
          <w:spacing w:val="9"/>
          <w:sz w:val="21"/>
          <w:szCs w:val="21"/>
        </w:rPr>
        <w:t>文件规定的时间向甲方提供使用货物的有关技术</w:t>
      </w:r>
      <w:r>
        <w:rPr>
          <w:rFonts w:hint="eastAsia" w:ascii="宋体" w:hAnsi="宋体" w:eastAsia="宋体" w:cs="宋体"/>
          <w:color w:val="auto"/>
          <w:spacing w:val="8"/>
          <w:sz w:val="21"/>
          <w:szCs w:val="21"/>
        </w:rPr>
        <w:t>资料。</w:t>
      </w:r>
    </w:p>
    <w:p w14:paraId="609533FE">
      <w:pPr>
        <w:pStyle w:val="8"/>
        <w:keepNext w:val="0"/>
        <w:keepLines w:val="0"/>
        <w:pageBreakBefore w:val="0"/>
        <w:widowControl/>
        <w:kinsoku w:val="0"/>
        <w:wordWrap/>
        <w:overflowPunct/>
        <w:topLinePunct w:val="0"/>
        <w:autoSpaceDE/>
        <w:autoSpaceDN/>
        <w:bidi w:val="0"/>
        <w:adjustRightInd w:val="0"/>
        <w:snapToGrid w:val="0"/>
        <w:spacing w:line="360" w:lineRule="exact"/>
        <w:ind w:left="0" w:firstLine="456" w:firstLineChars="200"/>
        <w:jc w:val="both"/>
        <w:textAlignment w:val="baseline"/>
        <w:rPr>
          <w:rFonts w:hint="eastAsia" w:ascii="宋体" w:hAnsi="宋体" w:eastAsia="宋体" w:cs="宋体"/>
          <w:color w:val="auto"/>
          <w:spacing w:val="9"/>
          <w:sz w:val="21"/>
          <w:szCs w:val="21"/>
        </w:rPr>
      </w:pPr>
      <w:r>
        <w:rPr>
          <w:rFonts w:hint="eastAsia" w:ascii="宋体" w:hAnsi="宋体" w:eastAsia="宋体" w:cs="宋体"/>
          <w:color w:val="auto"/>
          <w:spacing w:val="9"/>
          <w:sz w:val="21"/>
          <w:szCs w:val="21"/>
        </w:rPr>
        <w:t>3.乙方保证所交付的货物的所有权完全属于乙方且无任何抵押、质押、查封等产权瑕疵。</w:t>
      </w:r>
    </w:p>
    <w:p w14:paraId="502B061E">
      <w:pPr>
        <w:keepNext w:val="0"/>
        <w:keepLines w:val="0"/>
        <w:pageBreakBefore w:val="0"/>
        <w:widowControl/>
        <w:kinsoku w:val="0"/>
        <w:wordWrap/>
        <w:overflowPunct/>
        <w:topLinePunct w:val="0"/>
        <w:autoSpaceDE/>
        <w:autoSpaceDN/>
        <w:bidi w:val="0"/>
        <w:adjustRightInd w:val="0"/>
        <w:snapToGrid w:val="0"/>
        <w:spacing w:line="360" w:lineRule="exact"/>
        <w:ind w:firstLine="420" w:firstLineChars="200"/>
        <w:jc w:val="both"/>
        <w:textAlignment w:val="baseline"/>
        <w:rPr>
          <w:rFonts w:hint="eastAsia"/>
          <w:color w:val="auto"/>
        </w:rPr>
      </w:pPr>
      <w:r>
        <w:rPr>
          <w:rFonts w:hint="eastAsia"/>
          <w:color w:val="auto"/>
        </w:rPr>
        <w:t>乙方违反第三条权利保证或所有权保证的，除承担全部赔偿责任外，还应向甲方支付合同金额5%的违约金。</w:t>
      </w:r>
    </w:p>
    <w:p w14:paraId="019C365B">
      <w:pPr>
        <w:pStyle w:val="8"/>
        <w:keepNext w:val="0"/>
        <w:keepLines w:val="0"/>
        <w:pageBreakBefore w:val="0"/>
        <w:widowControl/>
        <w:kinsoku w:val="0"/>
        <w:wordWrap/>
        <w:overflowPunct/>
        <w:topLinePunct w:val="0"/>
        <w:autoSpaceDE/>
        <w:autoSpaceDN/>
        <w:bidi w:val="0"/>
        <w:adjustRightInd w:val="0"/>
        <w:snapToGrid w:val="0"/>
        <w:spacing w:line="360" w:lineRule="exact"/>
        <w:ind w:left="0" w:firstLine="450" w:firstLineChars="200"/>
        <w:jc w:val="both"/>
        <w:textAlignment w:val="baseline"/>
        <w:outlineLvl w:val="1"/>
        <w:rPr>
          <w:rFonts w:hint="eastAsia" w:ascii="宋体" w:hAnsi="宋体" w:eastAsia="宋体" w:cs="宋体"/>
          <w:color w:val="auto"/>
          <w:sz w:val="21"/>
          <w:szCs w:val="21"/>
        </w:rPr>
      </w:pPr>
      <w:bookmarkStart w:id="18" w:name="bookmark56"/>
      <w:bookmarkEnd w:id="18"/>
      <w:r>
        <w:rPr>
          <w:rFonts w:hint="eastAsia" w:ascii="宋体" w:hAnsi="宋体" w:eastAsia="宋体" w:cs="宋体"/>
          <w:b/>
          <w:bCs/>
          <w:color w:val="auto"/>
          <w:spacing w:val="7"/>
          <w:sz w:val="21"/>
          <w:szCs w:val="21"/>
        </w:rPr>
        <w:t>第四条</w:t>
      </w:r>
      <w:r>
        <w:rPr>
          <w:rFonts w:hint="eastAsia" w:ascii="宋体" w:hAnsi="宋体" w:eastAsia="宋体" w:cs="宋体"/>
          <w:color w:val="auto"/>
          <w:spacing w:val="7"/>
          <w:sz w:val="21"/>
          <w:szCs w:val="21"/>
        </w:rPr>
        <w:t xml:space="preserve">  </w:t>
      </w:r>
      <w:r>
        <w:rPr>
          <w:rFonts w:hint="eastAsia" w:ascii="宋体" w:hAnsi="宋体" w:eastAsia="宋体" w:cs="宋体"/>
          <w:b/>
          <w:bCs/>
          <w:color w:val="auto"/>
          <w:spacing w:val="7"/>
          <w:sz w:val="21"/>
          <w:szCs w:val="21"/>
        </w:rPr>
        <w:t>货物包装、运输</w:t>
      </w:r>
    </w:p>
    <w:p w14:paraId="0948DDEC">
      <w:pPr>
        <w:pStyle w:val="8"/>
        <w:keepNext w:val="0"/>
        <w:keepLines w:val="0"/>
        <w:pageBreakBefore w:val="0"/>
        <w:widowControl/>
        <w:kinsoku w:val="0"/>
        <w:wordWrap/>
        <w:overflowPunct/>
        <w:topLinePunct w:val="0"/>
        <w:autoSpaceDE/>
        <w:autoSpaceDN/>
        <w:bidi w:val="0"/>
        <w:adjustRightInd w:val="0"/>
        <w:snapToGrid w:val="0"/>
        <w:spacing w:line="360" w:lineRule="exact"/>
        <w:ind w:left="32" w:right="157" w:firstLine="452" w:firstLineChars="200"/>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8"/>
          <w:sz w:val="21"/>
          <w:szCs w:val="21"/>
        </w:rPr>
        <w:t>1.乙方应在货物发运前对其进行满足运输距离、防潮、防震、防锈和防破损装卸等要求包装，以保证货物安全运达甲方指定地点。</w:t>
      </w:r>
    </w:p>
    <w:p w14:paraId="11406A5D">
      <w:pPr>
        <w:pStyle w:val="8"/>
        <w:keepNext w:val="0"/>
        <w:keepLines w:val="0"/>
        <w:pageBreakBefore w:val="0"/>
        <w:widowControl/>
        <w:kinsoku w:val="0"/>
        <w:wordWrap/>
        <w:overflowPunct/>
        <w:topLinePunct w:val="0"/>
        <w:autoSpaceDE/>
        <w:autoSpaceDN/>
        <w:bidi w:val="0"/>
        <w:adjustRightInd w:val="0"/>
        <w:snapToGrid w:val="0"/>
        <w:spacing w:line="360" w:lineRule="exact"/>
        <w:ind w:left="39" w:right="192" w:firstLine="456" w:firstLineChars="200"/>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9"/>
          <w:sz w:val="21"/>
          <w:szCs w:val="21"/>
        </w:rPr>
        <w:t>2.使用中文说明书（货物属于进口产品的，供货时应同时附上中文使</w:t>
      </w:r>
      <w:r>
        <w:rPr>
          <w:rFonts w:hint="eastAsia" w:ascii="宋体" w:hAnsi="宋体" w:eastAsia="宋体" w:cs="宋体"/>
          <w:color w:val="auto"/>
          <w:spacing w:val="8"/>
          <w:sz w:val="21"/>
          <w:szCs w:val="21"/>
        </w:rPr>
        <w:t>用说明书）、质量检验证明书、随配附件和工具以及清单一并附于货物内。</w:t>
      </w:r>
    </w:p>
    <w:p w14:paraId="270F676B">
      <w:pPr>
        <w:pStyle w:val="8"/>
        <w:keepNext w:val="0"/>
        <w:keepLines w:val="0"/>
        <w:pageBreakBefore w:val="0"/>
        <w:widowControl/>
        <w:kinsoku w:val="0"/>
        <w:wordWrap/>
        <w:overflowPunct/>
        <w:topLinePunct w:val="0"/>
        <w:autoSpaceDE/>
        <w:autoSpaceDN/>
        <w:bidi w:val="0"/>
        <w:adjustRightInd w:val="0"/>
        <w:snapToGrid w:val="0"/>
        <w:spacing w:line="360" w:lineRule="exact"/>
        <w:ind w:left="0" w:firstLine="452" w:firstLineChars="200"/>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8"/>
          <w:sz w:val="21"/>
          <w:szCs w:val="21"/>
        </w:rPr>
        <w:t>3.乙方在货物发运手续办理完毕后二十四小时内或货到甲方四十八小时前通知甲方，以准备接货。</w:t>
      </w:r>
    </w:p>
    <w:p w14:paraId="727A4A82">
      <w:pPr>
        <w:pStyle w:val="8"/>
        <w:keepNext w:val="0"/>
        <w:keepLines w:val="0"/>
        <w:pageBreakBefore w:val="0"/>
        <w:widowControl/>
        <w:kinsoku w:val="0"/>
        <w:wordWrap/>
        <w:overflowPunct/>
        <w:topLinePunct w:val="0"/>
        <w:autoSpaceDE/>
        <w:autoSpaceDN/>
        <w:bidi w:val="0"/>
        <w:adjustRightInd w:val="0"/>
        <w:snapToGrid w:val="0"/>
        <w:spacing w:line="360" w:lineRule="exact"/>
        <w:ind w:left="0" w:firstLine="452" w:firstLineChars="200"/>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8"/>
          <w:sz w:val="21"/>
          <w:szCs w:val="21"/>
        </w:rPr>
        <w:t>4.货物在交付甲方前发生的风险均由乙方负责。</w:t>
      </w:r>
    </w:p>
    <w:p w14:paraId="7DE0DD27">
      <w:pPr>
        <w:pStyle w:val="8"/>
        <w:keepNext w:val="0"/>
        <w:keepLines w:val="0"/>
        <w:pageBreakBefore w:val="0"/>
        <w:widowControl/>
        <w:kinsoku w:val="0"/>
        <w:wordWrap/>
        <w:overflowPunct/>
        <w:topLinePunct w:val="0"/>
        <w:autoSpaceDE/>
        <w:autoSpaceDN/>
        <w:bidi w:val="0"/>
        <w:adjustRightInd w:val="0"/>
        <w:snapToGrid w:val="0"/>
        <w:spacing w:line="360" w:lineRule="exact"/>
        <w:ind w:left="0" w:firstLine="438" w:firstLineChars="200"/>
        <w:jc w:val="both"/>
        <w:textAlignment w:val="baseline"/>
        <w:outlineLvl w:val="1"/>
        <w:rPr>
          <w:rFonts w:hint="eastAsia" w:ascii="宋体" w:hAnsi="宋体" w:eastAsia="宋体" w:cs="宋体"/>
          <w:color w:val="auto"/>
          <w:sz w:val="21"/>
          <w:szCs w:val="21"/>
        </w:rPr>
      </w:pPr>
      <w:bookmarkStart w:id="19" w:name="bookmark58"/>
      <w:bookmarkEnd w:id="19"/>
      <w:bookmarkStart w:id="20" w:name="bookmark57"/>
      <w:bookmarkEnd w:id="20"/>
      <w:r>
        <w:rPr>
          <w:rFonts w:hint="eastAsia" w:ascii="宋体" w:hAnsi="宋体" w:eastAsia="宋体" w:cs="宋体"/>
          <w:b/>
          <w:bCs/>
          <w:color w:val="auto"/>
          <w:spacing w:val="4"/>
          <w:sz w:val="21"/>
          <w:szCs w:val="21"/>
        </w:rPr>
        <w:t>第五条</w:t>
      </w:r>
      <w:r>
        <w:rPr>
          <w:rFonts w:hint="eastAsia" w:ascii="宋体" w:hAnsi="宋体" w:eastAsia="宋体" w:cs="宋体"/>
          <w:color w:val="auto"/>
          <w:spacing w:val="11"/>
          <w:sz w:val="21"/>
          <w:szCs w:val="21"/>
        </w:rPr>
        <w:t xml:space="preserve">  </w:t>
      </w:r>
      <w:r>
        <w:rPr>
          <w:rFonts w:hint="eastAsia" w:ascii="宋体" w:hAnsi="宋体" w:eastAsia="宋体" w:cs="宋体"/>
          <w:b/>
          <w:bCs/>
          <w:color w:val="auto"/>
          <w:spacing w:val="4"/>
          <w:sz w:val="21"/>
          <w:szCs w:val="21"/>
        </w:rPr>
        <w:t>交付</w:t>
      </w:r>
    </w:p>
    <w:p w14:paraId="145236B0">
      <w:pPr>
        <w:pStyle w:val="8"/>
        <w:keepNext w:val="0"/>
        <w:keepLines w:val="0"/>
        <w:pageBreakBefore w:val="0"/>
        <w:widowControl/>
        <w:kinsoku w:val="0"/>
        <w:wordWrap/>
        <w:overflowPunct/>
        <w:topLinePunct w:val="0"/>
        <w:autoSpaceDE/>
        <w:autoSpaceDN/>
        <w:bidi w:val="0"/>
        <w:adjustRightInd w:val="0"/>
        <w:snapToGrid w:val="0"/>
        <w:spacing w:line="360" w:lineRule="exact"/>
        <w:ind w:left="0" w:firstLine="444" w:firstLineChars="200"/>
        <w:jc w:val="both"/>
        <w:textAlignment w:val="baseline"/>
        <w:outlineLvl w:val="9"/>
        <w:rPr>
          <w:rFonts w:hint="eastAsia" w:ascii="宋体" w:hAnsi="宋体" w:eastAsia="宋体" w:cs="宋体"/>
          <w:b w:val="0"/>
          <w:bCs w:val="0"/>
          <w:color w:val="auto"/>
          <w:spacing w:val="6"/>
          <w:sz w:val="21"/>
          <w:szCs w:val="21"/>
        </w:rPr>
      </w:pPr>
      <w:bookmarkStart w:id="21" w:name="bookmark59"/>
      <w:bookmarkEnd w:id="21"/>
      <w:r>
        <w:rPr>
          <w:rFonts w:hint="eastAsia" w:ascii="宋体" w:hAnsi="宋体" w:eastAsia="宋体" w:cs="宋体"/>
          <w:b w:val="0"/>
          <w:bCs w:val="0"/>
          <w:color w:val="auto"/>
          <w:spacing w:val="6"/>
          <w:sz w:val="21"/>
          <w:szCs w:val="21"/>
        </w:rPr>
        <w:t>1.交付时间：</w:t>
      </w:r>
    </w:p>
    <w:p w14:paraId="3790BE22">
      <w:pPr>
        <w:pStyle w:val="8"/>
        <w:keepNext w:val="0"/>
        <w:keepLines w:val="0"/>
        <w:pageBreakBefore w:val="0"/>
        <w:widowControl/>
        <w:kinsoku w:val="0"/>
        <w:wordWrap/>
        <w:overflowPunct/>
        <w:topLinePunct w:val="0"/>
        <w:autoSpaceDE/>
        <w:autoSpaceDN/>
        <w:bidi w:val="0"/>
        <w:adjustRightInd w:val="0"/>
        <w:snapToGrid w:val="0"/>
        <w:spacing w:line="360" w:lineRule="exact"/>
        <w:ind w:left="0" w:firstLine="444" w:firstLineChars="200"/>
        <w:jc w:val="both"/>
        <w:textAlignment w:val="baseline"/>
        <w:outlineLvl w:val="9"/>
        <w:rPr>
          <w:rFonts w:hint="eastAsia" w:ascii="宋体" w:hAnsi="宋体" w:eastAsia="宋体" w:cs="宋体"/>
          <w:b w:val="0"/>
          <w:bCs w:val="0"/>
          <w:color w:val="auto"/>
          <w:spacing w:val="6"/>
          <w:sz w:val="21"/>
          <w:szCs w:val="21"/>
        </w:rPr>
      </w:pPr>
      <w:r>
        <w:rPr>
          <w:rFonts w:hint="eastAsia" w:ascii="宋体" w:hAnsi="宋体" w:eastAsia="宋体" w:cs="宋体"/>
          <w:b w:val="0"/>
          <w:bCs w:val="0"/>
          <w:color w:val="auto"/>
          <w:spacing w:val="6"/>
          <w:sz w:val="21"/>
          <w:szCs w:val="21"/>
          <w:lang w:val="en-US" w:eastAsia="zh-CN"/>
        </w:rPr>
        <w:t>1.1</w:t>
      </w:r>
      <w:r>
        <w:rPr>
          <w:rFonts w:hint="eastAsia" w:ascii="宋体" w:hAnsi="宋体" w:eastAsia="宋体" w:cs="宋体"/>
          <w:b w:val="0"/>
          <w:bCs w:val="0"/>
          <w:color w:val="auto"/>
          <w:spacing w:val="6"/>
          <w:sz w:val="21"/>
          <w:szCs w:val="21"/>
        </w:rPr>
        <w:t>签订合同后，设备安装前，</w:t>
      </w:r>
      <w:r>
        <w:rPr>
          <w:rFonts w:hint="eastAsia" w:ascii="宋体" w:hAnsi="宋体" w:eastAsia="宋体" w:cs="宋体"/>
          <w:b w:val="0"/>
          <w:bCs w:val="0"/>
          <w:color w:val="auto"/>
          <w:spacing w:val="6"/>
          <w:sz w:val="21"/>
          <w:szCs w:val="21"/>
          <w:lang w:eastAsia="zh-CN"/>
        </w:rPr>
        <w:t>乙方</w:t>
      </w:r>
      <w:r>
        <w:rPr>
          <w:rFonts w:hint="eastAsia" w:ascii="宋体" w:hAnsi="宋体" w:eastAsia="宋体" w:cs="宋体"/>
          <w:b w:val="0"/>
          <w:bCs w:val="0"/>
          <w:color w:val="auto"/>
          <w:spacing w:val="6"/>
          <w:sz w:val="21"/>
          <w:szCs w:val="21"/>
        </w:rPr>
        <w:t>向</w:t>
      </w:r>
      <w:r>
        <w:rPr>
          <w:rFonts w:hint="eastAsia" w:ascii="宋体" w:hAnsi="宋体" w:eastAsia="宋体" w:cs="宋体"/>
          <w:b w:val="0"/>
          <w:bCs w:val="0"/>
          <w:color w:val="auto"/>
          <w:spacing w:val="6"/>
          <w:sz w:val="21"/>
          <w:szCs w:val="21"/>
          <w:lang w:eastAsia="zh-CN"/>
        </w:rPr>
        <w:t>甲方</w:t>
      </w:r>
      <w:r>
        <w:rPr>
          <w:rFonts w:hint="eastAsia" w:ascii="宋体" w:hAnsi="宋体" w:eastAsia="宋体" w:cs="宋体"/>
          <w:b w:val="0"/>
          <w:bCs w:val="0"/>
          <w:color w:val="auto"/>
          <w:spacing w:val="6"/>
          <w:sz w:val="21"/>
          <w:szCs w:val="21"/>
        </w:rPr>
        <w:t>针对每站点提供改造方案，方案内容包括但不限于，每个站房的设备拆旧，站房布置，人员安排，运行管理，进度安排等，并经</w:t>
      </w:r>
      <w:r>
        <w:rPr>
          <w:rFonts w:hint="eastAsia" w:ascii="宋体" w:hAnsi="宋体" w:eastAsia="宋体" w:cs="宋体"/>
          <w:b w:val="0"/>
          <w:bCs w:val="0"/>
          <w:color w:val="auto"/>
          <w:spacing w:val="6"/>
          <w:sz w:val="21"/>
          <w:szCs w:val="21"/>
          <w:lang w:val="en-US" w:eastAsia="zh-CN"/>
        </w:rPr>
        <w:t>甲方书面</w:t>
      </w:r>
      <w:r>
        <w:rPr>
          <w:rFonts w:hint="eastAsia" w:ascii="宋体" w:hAnsi="宋体" w:eastAsia="宋体" w:cs="宋体"/>
          <w:b w:val="0"/>
          <w:bCs w:val="0"/>
          <w:color w:val="auto"/>
          <w:spacing w:val="6"/>
          <w:sz w:val="21"/>
          <w:szCs w:val="21"/>
        </w:rPr>
        <w:t>确认后方可实施，方案未确认的乙方不得进场施工，否则甲方有权拒绝验收并要求乙方承担逾期交付责任。</w:t>
      </w:r>
    </w:p>
    <w:p w14:paraId="368EACD6">
      <w:pPr>
        <w:pStyle w:val="8"/>
        <w:keepNext w:val="0"/>
        <w:keepLines w:val="0"/>
        <w:pageBreakBefore w:val="0"/>
        <w:widowControl/>
        <w:kinsoku w:val="0"/>
        <w:wordWrap/>
        <w:overflowPunct/>
        <w:topLinePunct w:val="0"/>
        <w:autoSpaceDE/>
        <w:autoSpaceDN/>
        <w:bidi w:val="0"/>
        <w:adjustRightInd w:val="0"/>
        <w:snapToGrid w:val="0"/>
        <w:spacing w:line="360" w:lineRule="exact"/>
        <w:ind w:left="0" w:firstLine="444" w:firstLineChars="200"/>
        <w:jc w:val="both"/>
        <w:textAlignment w:val="baseline"/>
        <w:outlineLvl w:val="9"/>
        <w:rPr>
          <w:rFonts w:hint="eastAsia" w:ascii="宋体" w:hAnsi="宋体" w:eastAsia="宋体" w:cs="宋体"/>
          <w:b w:val="0"/>
          <w:bCs w:val="0"/>
          <w:color w:val="auto"/>
          <w:spacing w:val="6"/>
          <w:sz w:val="21"/>
          <w:szCs w:val="21"/>
        </w:rPr>
      </w:pPr>
      <w:r>
        <w:rPr>
          <w:rFonts w:hint="eastAsia" w:ascii="宋体" w:hAnsi="宋体" w:eastAsia="宋体" w:cs="宋体"/>
          <w:b w:val="0"/>
          <w:bCs w:val="0"/>
          <w:color w:val="auto"/>
          <w:spacing w:val="6"/>
          <w:sz w:val="21"/>
          <w:szCs w:val="21"/>
          <w:lang w:val="en-US" w:eastAsia="zh-CN"/>
        </w:rPr>
        <w:t>1.2</w:t>
      </w:r>
      <w:r>
        <w:rPr>
          <w:rFonts w:hint="eastAsia" w:ascii="宋体" w:hAnsi="宋体" w:eastAsia="宋体" w:cs="宋体"/>
          <w:b w:val="0"/>
          <w:bCs w:val="0"/>
          <w:color w:val="auto"/>
          <w:spacing w:val="6"/>
          <w:sz w:val="21"/>
          <w:szCs w:val="21"/>
        </w:rPr>
        <w:t>自签订合同后，</w:t>
      </w:r>
      <w:r>
        <w:rPr>
          <w:rFonts w:hint="eastAsia" w:ascii="宋体" w:hAnsi="宋体" w:eastAsia="宋体" w:cs="宋体"/>
          <w:b w:val="0"/>
          <w:bCs w:val="0"/>
          <w:color w:val="auto"/>
          <w:spacing w:val="6"/>
          <w:sz w:val="21"/>
          <w:szCs w:val="21"/>
          <w:lang w:val="en-US" w:eastAsia="zh-CN"/>
        </w:rPr>
        <w:t>甲方书面</w:t>
      </w:r>
      <w:r>
        <w:rPr>
          <w:rFonts w:hint="eastAsia" w:ascii="宋体" w:hAnsi="宋体" w:eastAsia="宋体" w:cs="宋体"/>
          <w:b w:val="0"/>
          <w:bCs w:val="0"/>
          <w:color w:val="auto"/>
          <w:spacing w:val="6"/>
          <w:sz w:val="21"/>
          <w:szCs w:val="21"/>
        </w:rPr>
        <w:t>通知之日起，两个月内完成安装调试、试运行、验收</w:t>
      </w:r>
      <w:r>
        <w:rPr>
          <w:rFonts w:hint="eastAsia" w:ascii="宋体" w:hAnsi="宋体" w:eastAsia="宋体" w:cs="宋体"/>
          <w:b w:val="0"/>
          <w:bCs w:val="0"/>
          <w:color w:val="auto"/>
          <w:spacing w:val="6"/>
          <w:sz w:val="21"/>
          <w:szCs w:val="21"/>
          <w:lang w:eastAsia="zh-CN"/>
        </w:rPr>
        <w:t>，</w:t>
      </w:r>
      <w:r>
        <w:rPr>
          <w:rFonts w:hint="eastAsia" w:ascii="宋体" w:hAnsi="宋体" w:eastAsia="宋体" w:cs="宋体"/>
          <w:b w:val="0"/>
          <w:bCs w:val="0"/>
          <w:color w:val="auto"/>
          <w:spacing w:val="6"/>
          <w:sz w:val="21"/>
          <w:szCs w:val="21"/>
          <w:lang w:val="en-US" w:eastAsia="zh-CN"/>
        </w:rPr>
        <w:t>附验收报告</w:t>
      </w:r>
      <w:r>
        <w:rPr>
          <w:rFonts w:hint="eastAsia" w:ascii="宋体" w:hAnsi="宋体" w:eastAsia="宋体" w:cs="宋体"/>
          <w:b w:val="0"/>
          <w:bCs w:val="0"/>
          <w:color w:val="auto"/>
          <w:spacing w:val="6"/>
          <w:sz w:val="21"/>
          <w:szCs w:val="21"/>
        </w:rPr>
        <w:t>。</w:t>
      </w:r>
    </w:p>
    <w:p w14:paraId="3EDABFC3">
      <w:pPr>
        <w:pStyle w:val="8"/>
        <w:keepNext w:val="0"/>
        <w:keepLines w:val="0"/>
        <w:pageBreakBefore w:val="0"/>
        <w:widowControl/>
        <w:kinsoku w:val="0"/>
        <w:wordWrap/>
        <w:overflowPunct/>
        <w:topLinePunct w:val="0"/>
        <w:autoSpaceDE/>
        <w:autoSpaceDN/>
        <w:bidi w:val="0"/>
        <w:adjustRightInd w:val="0"/>
        <w:snapToGrid w:val="0"/>
        <w:spacing w:line="360" w:lineRule="exact"/>
        <w:ind w:left="0" w:firstLine="444" w:firstLineChars="200"/>
        <w:jc w:val="both"/>
        <w:textAlignment w:val="baseline"/>
        <w:outlineLvl w:val="9"/>
        <w:rPr>
          <w:rFonts w:hint="eastAsia" w:ascii="宋体" w:hAnsi="宋体" w:eastAsia="宋体" w:cs="宋体"/>
          <w:b w:val="0"/>
          <w:bCs w:val="0"/>
          <w:color w:val="auto"/>
          <w:spacing w:val="6"/>
          <w:sz w:val="21"/>
          <w:szCs w:val="21"/>
        </w:rPr>
      </w:pPr>
      <w:r>
        <w:rPr>
          <w:rFonts w:hint="eastAsia" w:ascii="宋体" w:hAnsi="宋体" w:eastAsia="宋体" w:cs="宋体"/>
          <w:b w:val="0"/>
          <w:bCs w:val="0"/>
          <w:color w:val="auto"/>
          <w:spacing w:val="6"/>
          <w:sz w:val="21"/>
          <w:szCs w:val="21"/>
        </w:rPr>
        <w:t>2.交货地点：广西区内</w:t>
      </w:r>
      <w:r>
        <w:rPr>
          <w:rFonts w:hint="eastAsia" w:ascii="宋体" w:hAnsi="宋体" w:eastAsia="宋体" w:cs="宋体"/>
          <w:b w:val="0"/>
          <w:bCs w:val="0"/>
          <w:color w:val="auto"/>
          <w:spacing w:val="6"/>
          <w:sz w:val="21"/>
          <w:szCs w:val="21"/>
          <w:lang w:eastAsia="zh-CN"/>
        </w:rPr>
        <w:t>甲方</w:t>
      </w:r>
      <w:r>
        <w:rPr>
          <w:rFonts w:hint="eastAsia" w:ascii="宋体" w:hAnsi="宋体" w:eastAsia="宋体" w:cs="宋体"/>
          <w:b w:val="0"/>
          <w:bCs w:val="0"/>
          <w:color w:val="auto"/>
          <w:spacing w:val="6"/>
          <w:sz w:val="21"/>
          <w:szCs w:val="21"/>
        </w:rPr>
        <w:t>指定地点。</w:t>
      </w:r>
      <w:r>
        <w:rPr>
          <w:rFonts w:hint="eastAsia" w:ascii="宋体" w:hAnsi="宋体" w:eastAsia="宋体" w:cs="宋体"/>
          <w:b w:val="0"/>
          <w:bCs w:val="0"/>
          <w:color w:val="auto"/>
          <w:spacing w:val="6"/>
          <w:sz w:val="21"/>
          <w:szCs w:val="21"/>
          <w:lang w:eastAsia="zh-CN"/>
        </w:rPr>
        <w:t>乙方</w:t>
      </w:r>
      <w:r>
        <w:rPr>
          <w:rFonts w:hint="eastAsia" w:ascii="宋体" w:hAnsi="宋体" w:eastAsia="宋体" w:cs="宋体"/>
          <w:b w:val="0"/>
          <w:bCs w:val="0"/>
          <w:color w:val="auto"/>
          <w:spacing w:val="6"/>
          <w:sz w:val="21"/>
          <w:szCs w:val="21"/>
        </w:rPr>
        <w:t>必须承担设备运输、安装调试、验收检测和提供设备操作说明书、图纸等其他类似的义务。送货前，</w:t>
      </w:r>
      <w:r>
        <w:rPr>
          <w:rFonts w:hint="eastAsia" w:ascii="宋体" w:hAnsi="宋体" w:eastAsia="宋体" w:cs="宋体"/>
          <w:b w:val="0"/>
          <w:bCs w:val="0"/>
          <w:color w:val="auto"/>
          <w:spacing w:val="6"/>
          <w:sz w:val="21"/>
          <w:szCs w:val="21"/>
          <w:lang w:eastAsia="zh-CN"/>
        </w:rPr>
        <w:t>乙方</w:t>
      </w:r>
      <w:r>
        <w:rPr>
          <w:rFonts w:hint="eastAsia" w:ascii="宋体" w:hAnsi="宋体" w:eastAsia="宋体" w:cs="宋体"/>
          <w:b w:val="0"/>
          <w:bCs w:val="0"/>
          <w:color w:val="auto"/>
          <w:spacing w:val="6"/>
          <w:sz w:val="21"/>
          <w:szCs w:val="21"/>
        </w:rPr>
        <w:t>需电话通知</w:t>
      </w:r>
      <w:r>
        <w:rPr>
          <w:rFonts w:hint="eastAsia" w:ascii="宋体" w:hAnsi="宋体" w:eastAsia="宋体" w:cs="宋体"/>
          <w:b w:val="0"/>
          <w:bCs w:val="0"/>
          <w:color w:val="auto"/>
          <w:spacing w:val="6"/>
          <w:sz w:val="21"/>
          <w:szCs w:val="21"/>
          <w:lang w:eastAsia="zh-CN"/>
        </w:rPr>
        <w:t>甲方</w:t>
      </w:r>
      <w:r>
        <w:rPr>
          <w:rFonts w:hint="eastAsia" w:ascii="宋体" w:hAnsi="宋体" w:eastAsia="宋体" w:cs="宋体"/>
          <w:b w:val="0"/>
          <w:bCs w:val="0"/>
          <w:color w:val="auto"/>
          <w:spacing w:val="6"/>
          <w:sz w:val="21"/>
          <w:szCs w:val="21"/>
        </w:rPr>
        <w:t>，确定送货时间、送货方式和送货地点。</w:t>
      </w:r>
    </w:p>
    <w:p w14:paraId="057B7ACB">
      <w:pPr>
        <w:pStyle w:val="8"/>
        <w:keepNext w:val="0"/>
        <w:keepLines w:val="0"/>
        <w:pageBreakBefore w:val="0"/>
        <w:widowControl/>
        <w:kinsoku w:val="0"/>
        <w:wordWrap/>
        <w:overflowPunct/>
        <w:topLinePunct w:val="0"/>
        <w:autoSpaceDE/>
        <w:autoSpaceDN/>
        <w:bidi w:val="0"/>
        <w:adjustRightInd w:val="0"/>
        <w:snapToGrid w:val="0"/>
        <w:spacing w:line="360" w:lineRule="exact"/>
        <w:ind w:left="0" w:firstLine="446" w:firstLineChars="200"/>
        <w:jc w:val="both"/>
        <w:textAlignment w:val="baseline"/>
        <w:outlineLvl w:val="1"/>
        <w:rPr>
          <w:rFonts w:hint="eastAsia" w:ascii="宋体" w:hAnsi="宋体" w:eastAsia="宋体" w:cs="宋体"/>
          <w:b/>
          <w:bCs/>
          <w:color w:val="auto"/>
          <w:spacing w:val="6"/>
          <w:sz w:val="21"/>
          <w:szCs w:val="21"/>
        </w:rPr>
      </w:pPr>
      <w:r>
        <w:rPr>
          <w:rFonts w:hint="eastAsia" w:ascii="宋体" w:hAnsi="宋体" w:eastAsia="宋体" w:cs="宋体"/>
          <w:b/>
          <w:bCs/>
          <w:color w:val="auto"/>
          <w:spacing w:val="6"/>
          <w:sz w:val="21"/>
          <w:szCs w:val="21"/>
        </w:rPr>
        <w:t>第六条</w:t>
      </w:r>
      <w:r>
        <w:rPr>
          <w:rFonts w:hint="eastAsia" w:ascii="宋体" w:hAnsi="宋体" w:eastAsia="宋体" w:cs="宋体"/>
          <w:color w:val="auto"/>
          <w:spacing w:val="6"/>
          <w:sz w:val="21"/>
          <w:szCs w:val="21"/>
        </w:rPr>
        <w:t xml:space="preserve">  </w:t>
      </w:r>
      <w:r>
        <w:rPr>
          <w:rFonts w:hint="eastAsia" w:ascii="宋体" w:hAnsi="宋体" w:eastAsia="宋体" w:cs="宋体"/>
          <w:b/>
          <w:bCs/>
          <w:color w:val="auto"/>
          <w:spacing w:val="6"/>
          <w:sz w:val="21"/>
          <w:szCs w:val="21"/>
        </w:rPr>
        <w:t>验收方式</w:t>
      </w:r>
      <w:bookmarkStart w:id="22" w:name="bookmark60"/>
      <w:bookmarkEnd w:id="22"/>
    </w:p>
    <w:p w14:paraId="03688BD8">
      <w:pPr>
        <w:pStyle w:val="8"/>
        <w:keepNext w:val="0"/>
        <w:keepLines w:val="0"/>
        <w:pageBreakBefore w:val="0"/>
        <w:widowControl/>
        <w:kinsoku w:val="0"/>
        <w:wordWrap/>
        <w:overflowPunct/>
        <w:topLinePunct w:val="0"/>
        <w:autoSpaceDE/>
        <w:autoSpaceDN/>
        <w:bidi w:val="0"/>
        <w:adjustRightInd w:val="0"/>
        <w:snapToGrid w:val="0"/>
        <w:spacing w:line="360" w:lineRule="exact"/>
        <w:ind w:firstLine="448" w:firstLineChars="200"/>
        <w:jc w:val="both"/>
        <w:textAlignment w:val="baseline"/>
        <w:outlineLvl w:val="1"/>
        <w:rPr>
          <w:rFonts w:hint="eastAsia" w:ascii="宋体" w:hAnsi="宋体" w:eastAsia="宋体" w:cs="宋体"/>
          <w:color w:val="auto"/>
          <w:spacing w:val="7"/>
          <w:sz w:val="21"/>
          <w:szCs w:val="21"/>
        </w:rPr>
      </w:pPr>
      <w:r>
        <w:rPr>
          <w:rFonts w:hint="eastAsia" w:ascii="宋体" w:hAnsi="宋体" w:eastAsia="宋体" w:cs="宋体"/>
          <w:color w:val="auto"/>
          <w:spacing w:val="7"/>
          <w:sz w:val="21"/>
          <w:szCs w:val="21"/>
          <w:lang w:val="en-US" w:eastAsia="zh-CN"/>
        </w:rPr>
        <w:t>1.</w:t>
      </w:r>
      <w:r>
        <w:rPr>
          <w:rFonts w:hint="eastAsia" w:ascii="宋体" w:hAnsi="宋体" w:eastAsia="宋体" w:cs="宋体"/>
          <w:color w:val="auto"/>
          <w:spacing w:val="7"/>
          <w:sz w:val="21"/>
          <w:szCs w:val="21"/>
        </w:rPr>
        <w:t>货物数量、外观由</w:t>
      </w:r>
      <w:r>
        <w:rPr>
          <w:rFonts w:hint="eastAsia" w:ascii="宋体" w:hAnsi="宋体" w:eastAsia="宋体" w:cs="宋体"/>
          <w:color w:val="auto"/>
          <w:spacing w:val="7"/>
          <w:sz w:val="21"/>
          <w:szCs w:val="21"/>
          <w:lang w:eastAsia="zh-CN"/>
        </w:rPr>
        <w:t>乙方</w:t>
      </w:r>
      <w:r>
        <w:rPr>
          <w:rFonts w:hint="eastAsia" w:ascii="宋体" w:hAnsi="宋体" w:eastAsia="宋体" w:cs="宋体"/>
          <w:color w:val="auto"/>
          <w:spacing w:val="7"/>
          <w:sz w:val="21"/>
          <w:szCs w:val="21"/>
        </w:rPr>
        <w:t>、原厂仪器商与</w:t>
      </w:r>
      <w:r>
        <w:rPr>
          <w:rFonts w:hint="eastAsia" w:ascii="宋体" w:hAnsi="宋体" w:eastAsia="宋体" w:cs="宋体"/>
          <w:color w:val="auto"/>
          <w:spacing w:val="7"/>
          <w:sz w:val="21"/>
          <w:szCs w:val="21"/>
          <w:lang w:eastAsia="zh-CN"/>
        </w:rPr>
        <w:t>甲方</w:t>
      </w:r>
      <w:r>
        <w:rPr>
          <w:rFonts w:hint="eastAsia" w:ascii="宋体" w:hAnsi="宋体" w:eastAsia="宋体" w:cs="宋体"/>
          <w:color w:val="auto"/>
          <w:spacing w:val="7"/>
          <w:sz w:val="21"/>
          <w:szCs w:val="21"/>
        </w:rPr>
        <w:t>共同开箱验收。</w:t>
      </w:r>
      <w:r>
        <w:rPr>
          <w:rFonts w:hint="eastAsia" w:ascii="宋体" w:hAnsi="宋体" w:eastAsia="宋体" w:cs="宋体"/>
          <w:color w:val="auto"/>
          <w:spacing w:val="7"/>
          <w:sz w:val="21"/>
          <w:szCs w:val="21"/>
          <w:lang w:eastAsia="zh-CN"/>
        </w:rPr>
        <w:t>甲方</w:t>
      </w:r>
      <w:r>
        <w:rPr>
          <w:rFonts w:hint="eastAsia" w:ascii="宋体" w:hAnsi="宋体" w:eastAsia="宋体" w:cs="宋体"/>
          <w:color w:val="auto"/>
          <w:spacing w:val="7"/>
          <w:sz w:val="21"/>
          <w:szCs w:val="21"/>
        </w:rPr>
        <w:t>监视、协助货物的安装、调试。</w:t>
      </w:r>
    </w:p>
    <w:p w14:paraId="6C559952">
      <w:pPr>
        <w:pStyle w:val="8"/>
        <w:keepNext w:val="0"/>
        <w:keepLines w:val="0"/>
        <w:pageBreakBefore w:val="0"/>
        <w:widowControl/>
        <w:kinsoku w:val="0"/>
        <w:wordWrap/>
        <w:overflowPunct/>
        <w:topLinePunct w:val="0"/>
        <w:autoSpaceDE/>
        <w:autoSpaceDN/>
        <w:bidi w:val="0"/>
        <w:adjustRightInd w:val="0"/>
        <w:snapToGrid w:val="0"/>
        <w:spacing w:line="360" w:lineRule="exact"/>
        <w:ind w:firstLine="448" w:firstLineChars="200"/>
        <w:jc w:val="both"/>
        <w:textAlignment w:val="baseline"/>
        <w:outlineLvl w:val="1"/>
        <w:rPr>
          <w:rFonts w:hint="eastAsia" w:ascii="宋体" w:hAnsi="宋体" w:eastAsia="宋体" w:cs="宋体"/>
          <w:color w:val="auto"/>
          <w:spacing w:val="7"/>
          <w:sz w:val="21"/>
          <w:szCs w:val="21"/>
        </w:rPr>
      </w:pPr>
      <w:r>
        <w:rPr>
          <w:rFonts w:hint="eastAsia" w:ascii="宋体" w:hAnsi="宋体" w:eastAsia="宋体" w:cs="宋体"/>
          <w:color w:val="auto"/>
          <w:spacing w:val="7"/>
          <w:sz w:val="21"/>
          <w:szCs w:val="21"/>
        </w:rPr>
        <w:t>2</w:t>
      </w:r>
      <w:r>
        <w:rPr>
          <w:rFonts w:hint="eastAsia" w:ascii="宋体" w:hAnsi="宋体" w:eastAsia="宋体" w:cs="宋体"/>
          <w:color w:val="auto"/>
          <w:spacing w:val="7"/>
          <w:sz w:val="21"/>
          <w:szCs w:val="21"/>
          <w:lang w:val="en-US" w:eastAsia="zh-CN"/>
        </w:rPr>
        <w:t>.</w:t>
      </w:r>
      <w:r>
        <w:rPr>
          <w:rFonts w:hint="eastAsia" w:ascii="宋体" w:hAnsi="宋体" w:eastAsia="宋体" w:cs="宋体"/>
          <w:color w:val="auto"/>
          <w:spacing w:val="7"/>
          <w:sz w:val="21"/>
          <w:szCs w:val="21"/>
        </w:rPr>
        <w:t>技术指标按</w:t>
      </w:r>
      <w:r>
        <w:rPr>
          <w:rFonts w:hint="eastAsia" w:ascii="宋体" w:hAnsi="宋体" w:eastAsia="宋体" w:cs="宋体"/>
          <w:color w:val="auto"/>
          <w:spacing w:val="7"/>
          <w:sz w:val="21"/>
          <w:szCs w:val="21"/>
          <w:lang w:val="en-US" w:eastAsia="zh-CN"/>
        </w:rPr>
        <w:t>采购</w:t>
      </w:r>
      <w:r>
        <w:rPr>
          <w:rFonts w:hint="eastAsia" w:ascii="宋体" w:hAnsi="宋体" w:eastAsia="宋体" w:cs="宋体"/>
          <w:color w:val="auto"/>
          <w:spacing w:val="7"/>
          <w:sz w:val="21"/>
          <w:szCs w:val="21"/>
        </w:rPr>
        <w:t>文件、乙方响应文件及成交通知书载明的要求验收</w:t>
      </w:r>
      <w:r>
        <w:rPr>
          <w:rFonts w:hint="eastAsia" w:ascii="宋体" w:hAnsi="宋体" w:eastAsia="宋体" w:cs="宋体"/>
          <w:color w:val="auto"/>
          <w:spacing w:val="7"/>
          <w:sz w:val="21"/>
          <w:szCs w:val="21"/>
          <w:lang w:eastAsia="zh-CN"/>
        </w:rPr>
        <w:t>，三者不一致的以有利于甲方的最高标准为准</w:t>
      </w:r>
      <w:r>
        <w:rPr>
          <w:rFonts w:hint="eastAsia" w:ascii="宋体" w:hAnsi="宋体" w:eastAsia="宋体" w:cs="宋体"/>
          <w:color w:val="auto"/>
          <w:spacing w:val="7"/>
          <w:sz w:val="21"/>
          <w:szCs w:val="21"/>
        </w:rPr>
        <w:t>。验收方法以中华人民共和国计量检定规程为准。对没有检定规程的，按制造商提供的验收方法验收，该验收应溯源到标准物质。</w:t>
      </w:r>
    </w:p>
    <w:p w14:paraId="6ECF61FC">
      <w:pPr>
        <w:pStyle w:val="8"/>
        <w:keepNext w:val="0"/>
        <w:keepLines w:val="0"/>
        <w:pageBreakBefore w:val="0"/>
        <w:widowControl/>
        <w:kinsoku w:val="0"/>
        <w:wordWrap/>
        <w:overflowPunct/>
        <w:topLinePunct w:val="0"/>
        <w:autoSpaceDE/>
        <w:autoSpaceDN/>
        <w:bidi w:val="0"/>
        <w:adjustRightInd w:val="0"/>
        <w:snapToGrid w:val="0"/>
        <w:spacing w:line="360" w:lineRule="exact"/>
        <w:ind w:firstLine="448" w:firstLineChars="200"/>
        <w:jc w:val="both"/>
        <w:textAlignment w:val="baseline"/>
        <w:outlineLvl w:val="1"/>
        <w:rPr>
          <w:rFonts w:hint="eastAsia" w:ascii="宋体" w:hAnsi="宋体" w:eastAsia="宋体" w:cs="宋体"/>
          <w:color w:val="auto"/>
          <w:spacing w:val="7"/>
          <w:sz w:val="21"/>
          <w:szCs w:val="21"/>
        </w:rPr>
      </w:pPr>
      <w:r>
        <w:rPr>
          <w:rFonts w:hint="eastAsia" w:ascii="宋体" w:hAnsi="宋体" w:eastAsia="宋体" w:cs="宋体"/>
          <w:color w:val="auto"/>
          <w:spacing w:val="7"/>
          <w:sz w:val="21"/>
          <w:szCs w:val="21"/>
        </w:rPr>
        <w:t>3</w:t>
      </w:r>
      <w:r>
        <w:rPr>
          <w:rFonts w:hint="eastAsia" w:ascii="宋体" w:hAnsi="宋体" w:eastAsia="宋体" w:cs="宋体"/>
          <w:color w:val="auto"/>
          <w:spacing w:val="7"/>
          <w:sz w:val="21"/>
          <w:szCs w:val="21"/>
          <w:lang w:val="en-US" w:eastAsia="zh-CN"/>
        </w:rPr>
        <w:t>.</w:t>
      </w:r>
      <w:r>
        <w:rPr>
          <w:rFonts w:hint="eastAsia" w:ascii="宋体" w:hAnsi="宋体" w:eastAsia="宋体" w:cs="宋体"/>
          <w:color w:val="auto"/>
          <w:spacing w:val="7"/>
          <w:sz w:val="21"/>
          <w:szCs w:val="21"/>
        </w:rPr>
        <w:t>对无法在用户场地验收的技术指标，</w:t>
      </w:r>
      <w:r>
        <w:rPr>
          <w:rFonts w:hint="eastAsia" w:ascii="宋体" w:hAnsi="宋体" w:eastAsia="宋体" w:cs="宋体"/>
          <w:color w:val="auto"/>
          <w:spacing w:val="7"/>
          <w:sz w:val="21"/>
          <w:szCs w:val="21"/>
          <w:lang w:eastAsia="zh-CN"/>
        </w:rPr>
        <w:t>乙方</w:t>
      </w:r>
      <w:r>
        <w:rPr>
          <w:rFonts w:hint="eastAsia" w:ascii="宋体" w:hAnsi="宋体" w:eastAsia="宋体" w:cs="宋体"/>
          <w:color w:val="auto"/>
          <w:spacing w:val="7"/>
          <w:sz w:val="21"/>
          <w:szCs w:val="21"/>
        </w:rPr>
        <w:t>提供该参数的出厂验收报告及验收方法文本（须有中文版本1份）。</w:t>
      </w:r>
    </w:p>
    <w:p w14:paraId="144BC56B">
      <w:pPr>
        <w:pStyle w:val="8"/>
        <w:keepNext w:val="0"/>
        <w:keepLines w:val="0"/>
        <w:pageBreakBefore w:val="0"/>
        <w:widowControl/>
        <w:kinsoku w:val="0"/>
        <w:wordWrap/>
        <w:overflowPunct/>
        <w:topLinePunct w:val="0"/>
        <w:autoSpaceDE/>
        <w:autoSpaceDN/>
        <w:bidi w:val="0"/>
        <w:adjustRightInd w:val="0"/>
        <w:snapToGrid w:val="0"/>
        <w:spacing w:line="360" w:lineRule="exact"/>
        <w:ind w:firstLine="448" w:firstLineChars="200"/>
        <w:jc w:val="both"/>
        <w:textAlignment w:val="baseline"/>
        <w:outlineLvl w:val="1"/>
        <w:rPr>
          <w:rFonts w:hint="eastAsia" w:ascii="宋体" w:hAnsi="宋体" w:eastAsia="宋体" w:cs="宋体"/>
          <w:color w:val="auto"/>
          <w:spacing w:val="7"/>
          <w:sz w:val="21"/>
          <w:szCs w:val="21"/>
        </w:rPr>
      </w:pPr>
      <w:r>
        <w:rPr>
          <w:rFonts w:hint="eastAsia" w:ascii="宋体" w:hAnsi="宋体" w:eastAsia="宋体" w:cs="宋体"/>
          <w:color w:val="auto"/>
          <w:spacing w:val="7"/>
          <w:sz w:val="21"/>
          <w:szCs w:val="21"/>
        </w:rPr>
        <w:t>4</w:t>
      </w:r>
      <w:r>
        <w:rPr>
          <w:rFonts w:hint="eastAsia" w:ascii="宋体" w:hAnsi="宋体" w:eastAsia="宋体" w:cs="宋体"/>
          <w:color w:val="auto"/>
          <w:spacing w:val="7"/>
          <w:sz w:val="21"/>
          <w:szCs w:val="21"/>
          <w:lang w:val="en-US" w:eastAsia="zh-CN"/>
        </w:rPr>
        <w:t>.</w:t>
      </w:r>
      <w:r>
        <w:rPr>
          <w:rFonts w:hint="eastAsia" w:ascii="宋体" w:hAnsi="宋体" w:eastAsia="宋体" w:cs="宋体"/>
          <w:color w:val="auto"/>
          <w:spacing w:val="7"/>
          <w:sz w:val="21"/>
          <w:szCs w:val="21"/>
        </w:rPr>
        <w:t>采用分析标准物质的方式验收的，标准物质由</w:t>
      </w:r>
      <w:r>
        <w:rPr>
          <w:rFonts w:hint="eastAsia" w:ascii="宋体" w:hAnsi="宋体" w:eastAsia="宋体" w:cs="宋体"/>
          <w:color w:val="auto"/>
          <w:spacing w:val="7"/>
          <w:sz w:val="21"/>
          <w:szCs w:val="21"/>
          <w:lang w:eastAsia="zh-CN"/>
        </w:rPr>
        <w:t>乙方</w:t>
      </w:r>
      <w:r>
        <w:rPr>
          <w:rFonts w:hint="eastAsia" w:ascii="宋体" w:hAnsi="宋体" w:eastAsia="宋体" w:cs="宋体"/>
          <w:color w:val="auto"/>
          <w:spacing w:val="7"/>
          <w:sz w:val="21"/>
          <w:szCs w:val="21"/>
        </w:rPr>
        <w:t>负责提供，其费用包括在</w:t>
      </w:r>
      <w:r>
        <w:rPr>
          <w:rFonts w:hint="eastAsia" w:ascii="宋体" w:hAnsi="宋体" w:eastAsia="宋体" w:cs="宋体"/>
          <w:color w:val="auto"/>
          <w:spacing w:val="7"/>
          <w:sz w:val="21"/>
          <w:szCs w:val="21"/>
          <w:lang w:eastAsia="zh-CN"/>
        </w:rPr>
        <w:t>合同价</w:t>
      </w:r>
      <w:r>
        <w:rPr>
          <w:rFonts w:hint="eastAsia" w:ascii="宋体" w:hAnsi="宋体" w:eastAsia="宋体" w:cs="宋体"/>
          <w:color w:val="auto"/>
          <w:spacing w:val="7"/>
          <w:sz w:val="21"/>
          <w:szCs w:val="21"/>
        </w:rPr>
        <w:t>内。</w:t>
      </w:r>
    </w:p>
    <w:p w14:paraId="32B83E4C">
      <w:pPr>
        <w:pStyle w:val="8"/>
        <w:keepNext w:val="0"/>
        <w:keepLines w:val="0"/>
        <w:pageBreakBefore w:val="0"/>
        <w:widowControl/>
        <w:kinsoku w:val="0"/>
        <w:wordWrap/>
        <w:overflowPunct/>
        <w:topLinePunct w:val="0"/>
        <w:autoSpaceDE/>
        <w:autoSpaceDN/>
        <w:bidi w:val="0"/>
        <w:adjustRightInd w:val="0"/>
        <w:snapToGrid w:val="0"/>
        <w:spacing w:line="360" w:lineRule="exact"/>
        <w:ind w:firstLine="448" w:firstLineChars="200"/>
        <w:jc w:val="both"/>
        <w:textAlignment w:val="baseline"/>
        <w:outlineLvl w:val="1"/>
        <w:rPr>
          <w:rFonts w:hint="eastAsia" w:ascii="宋体" w:hAnsi="宋体" w:eastAsia="宋体" w:cs="宋体"/>
          <w:color w:val="auto"/>
          <w:spacing w:val="7"/>
          <w:sz w:val="21"/>
          <w:szCs w:val="21"/>
        </w:rPr>
      </w:pPr>
      <w:r>
        <w:rPr>
          <w:rFonts w:hint="eastAsia" w:ascii="宋体" w:hAnsi="宋体" w:eastAsia="宋体" w:cs="宋体"/>
          <w:color w:val="auto"/>
          <w:spacing w:val="7"/>
          <w:sz w:val="21"/>
          <w:szCs w:val="21"/>
        </w:rPr>
        <w:t>5</w:t>
      </w:r>
      <w:r>
        <w:rPr>
          <w:rFonts w:hint="eastAsia" w:ascii="宋体" w:hAnsi="宋体" w:eastAsia="宋体" w:cs="宋体"/>
          <w:color w:val="auto"/>
          <w:spacing w:val="7"/>
          <w:sz w:val="21"/>
          <w:szCs w:val="21"/>
          <w:lang w:val="en-US" w:eastAsia="zh-CN"/>
        </w:rPr>
        <w:t>.</w:t>
      </w:r>
      <w:r>
        <w:rPr>
          <w:rFonts w:hint="eastAsia" w:ascii="宋体" w:hAnsi="宋体" w:eastAsia="宋体" w:cs="宋体"/>
          <w:color w:val="auto"/>
          <w:spacing w:val="7"/>
          <w:sz w:val="21"/>
          <w:szCs w:val="21"/>
        </w:rPr>
        <w:t>仪器设备验收时间：两个月内完成安装调试、试运行、验收，附验收报告，特殊原因不能在规定时间内供货或验收，甲方、乙方双方应明确供货或验收时间，验收时间不超过2026年12月31日。如因成交供应商原因，超期未验收，采购人有权解除合同并追究成交供应商的法律责任。</w:t>
      </w:r>
    </w:p>
    <w:p w14:paraId="46DACACC">
      <w:pPr>
        <w:pStyle w:val="8"/>
        <w:keepNext w:val="0"/>
        <w:keepLines w:val="0"/>
        <w:pageBreakBefore w:val="0"/>
        <w:widowControl/>
        <w:kinsoku w:val="0"/>
        <w:wordWrap/>
        <w:overflowPunct/>
        <w:topLinePunct w:val="0"/>
        <w:autoSpaceDE/>
        <w:autoSpaceDN/>
        <w:bidi w:val="0"/>
        <w:adjustRightInd w:val="0"/>
        <w:snapToGrid w:val="0"/>
        <w:spacing w:line="360" w:lineRule="exact"/>
        <w:ind w:firstLine="448" w:firstLineChars="200"/>
        <w:jc w:val="both"/>
        <w:textAlignment w:val="baseline"/>
        <w:outlineLvl w:val="1"/>
        <w:rPr>
          <w:rFonts w:hint="eastAsia" w:ascii="宋体" w:hAnsi="宋体" w:eastAsia="宋体" w:cs="宋体"/>
          <w:color w:val="auto"/>
          <w:spacing w:val="7"/>
          <w:sz w:val="21"/>
          <w:szCs w:val="21"/>
        </w:rPr>
      </w:pPr>
      <w:r>
        <w:rPr>
          <w:rFonts w:hint="eastAsia" w:ascii="宋体" w:hAnsi="宋体" w:eastAsia="宋体" w:cs="宋体"/>
          <w:color w:val="auto"/>
          <w:spacing w:val="7"/>
          <w:sz w:val="21"/>
          <w:szCs w:val="21"/>
        </w:rPr>
        <w:t>6</w:t>
      </w:r>
      <w:r>
        <w:rPr>
          <w:rFonts w:hint="eastAsia" w:ascii="宋体" w:hAnsi="宋体" w:eastAsia="宋体" w:cs="宋体"/>
          <w:color w:val="auto"/>
          <w:spacing w:val="7"/>
          <w:sz w:val="21"/>
          <w:szCs w:val="21"/>
          <w:lang w:val="en-US" w:eastAsia="zh-CN"/>
        </w:rPr>
        <w:t>.</w:t>
      </w:r>
      <w:r>
        <w:rPr>
          <w:rFonts w:hint="eastAsia" w:ascii="宋体" w:hAnsi="宋体" w:eastAsia="宋体" w:cs="宋体"/>
          <w:color w:val="auto"/>
          <w:spacing w:val="7"/>
          <w:sz w:val="21"/>
          <w:szCs w:val="21"/>
        </w:rPr>
        <w:t>仪器设备不满足</w:t>
      </w:r>
      <w:r>
        <w:rPr>
          <w:rFonts w:hint="eastAsia" w:ascii="宋体" w:hAnsi="宋体" w:eastAsia="宋体" w:cs="宋体"/>
          <w:color w:val="auto"/>
          <w:spacing w:val="7"/>
          <w:sz w:val="21"/>
          <w:szCs w:val="21"/>
          <w:lang w:eastAsia="zh-CN"/>
        </w:rPr>
        <w:t>采购</w:t>
      </w:r>
      <w:r>
        <w:rPr>
          <w:rFonts w:hint="eastAsia" w:ascii="宋体" w:hAnsi="宋体" w:eastAsia="宋体" w:cs="宋体"/>
          <w:color w:val="auto"/>
          <w:spacing w:val="7"/>
          <w:sz w:val="21"/>
          <w:szCs w:val="21"/>
        </w:rPr>
        <w:t>文件要求，验收不合格的，</w:t>
      </w:r>
      <w:r>
        <w:rPr>
          <w:rFonts w:hint="eastAsia" w:ascii="宋体" w:hAnsi="宋体" w:eastAsia="宋体" w:cs="宋体"/>
          <w:color w:val="auto"/>
          <w:spacing w:val="7"/>
          <w:sz w:val="21"/>
          <w:szCs w:val="21"/>
          <w:lang w:eastAsia="zh-CN"/>
        </w:rPr>
        <w:t>甲方</w:t>
      </w:r>
      <w:r>
        <w:rPr>
          <w:rFonts w:hint="eastAsia" w:ascii="宋体" w:hAnsi="宋体" w:eastAsia="宋体" w:cs="宋体"/>
          <w:color w:val="auto"/>
          <w:spacing w:val="7"/>
          <w:sz w:val="21"/>
          <w:szCs w:val="21"/>
        </w:rPr>
        <w:t>有权解除合同</w:t>
      </w:r>
      <w:r>
        <w:rPr>
          <w:rFonts w:hint="eastAsia" w:ascii="宋体" w:hAnsi="宋体" w:eastAsia="宋体" w:cs="宋体"/>
          <w:color w:val="auto"/>
          <w:spacing w:val="7"/>
          <w:sz w:val="21"/>
          <w:szCs w:val="21"/>
          <w:lang w:eastAsia="zh-CN"/>
        </w:rPr>
        <w:t>，同时乙方应向甲方支付合同总金额5%的违约金，若违约金不足以覆盖甲方全部损失的，乙方还应承担差额赔偿责任。</w:t>
      </w:r>
    </w:p>
    <w:p w14:paraId="37757E2B">
      <w:pPr>
        <w:pStyle w:val="8"/>
        <w:keepNext w:val="0"/>
        <w:keepLines w:val="0"/>
        <w:pageBreakBefore w:val="0"/>
        <w:widowControl/>
        <w:kinsoku w:val="0"/>
        <w:wordWrap/>
        <w:overflowPunct/>
        <w:topLinePunct w:val="0"/>
        <w:autoSpaceDE/>
        <w:autoSpaceDN/>
        <w:bidi w:val="0"/>
        <w:adjustRightInd w:val="0"/>
        <w:snapToGrid w:val="0"/>
        <w:spacing w:line="360" w:lineRule="exact"/>
        <w:ind w:firstLine="448" w:firstLineChars="200"/>
        <w:jc w:val="both"/>
        <w:textAlignment w:val="baseline"/>
        <w:outlineLvl w:val="1"/>
        <w:rPr>
          <w:rFonts w:hint="eastAsia" w:ascii="宋体" w:hAnsi="宋体" w:eastAsia="宋体" w:cs="宋体"/>
          <w:color w:val="auto"/>
          <w:spacing w:val="7"/>
          <w:sz w:val="21"/>
          <w:szCs w:val="21"/>
        </w:rPr>
      </w:pPr>
      <w:r>
        <w:rPr>
          <w:rFonts w:hint="eastAsia" w:ascii="宋体" w:hAnsi="宋体" w:eastAsia="宋体" w:cs="宋体"/>
          <w:color w:val="auto"/>
          <w:spacing w:val="7"/>
          <w:sz w:val="21"/>
          <w:szCs w:val="21"/>
        </w:rPr>
        <w:t>7</w:t>
      </w:r>
      <w:r>
        <w:rPr>
          <w:rFonts w:hint="eastAsia" w:ascii="宋体" w:hAnsi="宋体" w:eastAsia="宋体" w:cs="宋体"/>
          <w:color w:val="auto"/>
          <w:spacing w:val="7"/>
          <w:sz w:val="21"/>
          <w:szCs w:val="21"/>
          <w:lang w:val="en-US" w:eastAsia="zh-CN"/>
        </w:rPr>
        <w:t>.</w:t>
      </w:r>
      <w:r>
        <w:rPr>
          <w:rFonts w:hint="eastAsia" w:ascii="宋体" w:hAnsi="宋体" w:eastAsia="宋体" w:cs="宋体"/>
          <w:color w:val="auto"/>
          <w:spacing w:val="7"/>
          <w:sz w:val="21"/>
          <w:szCs w:val="21"/>
        </w:rPr>
        <w:t>关于验收：</w:t>
      </w:r>
    </w:p>
    <w:p w14:paraId="78FC6895">
      <w:pPr>
        <w:pStyle w:val="8"/>
        <w:keepNext w:val="0"/>
        <w:keepLines w:val="0"/>
        <w:pageBreakBefore w:val="0"/>
        <w:widowControl/>
        <w:kinsoku w:val="0"/>
        <w:wordWrap/>
        <w:overflowPunct/>
        <w:topLinePunct w:val="0"/>
        <w:autoSpaceDE/>
        <w:autoSpaceDN/>
        <w:bidi w:val="0"/>
        <w:adjustRightInd w:val="0"/>
        <w:snapToGrid w:val="0"/>
        <w:spacing w:line="360" w:lineRule="exact"/>
        <w:ind w:firstLine="448" w:firstLineChars="200"/>
        <w:jc w:val="both"/>
        <w:textAlignment w:val="baseline"/>
        <w:outlineLvl w:val="1"/>
        <w:rPr>
          <w:rFonts w:hint="eastAsia" w:ascii="宋体" w:hAnsi="宋体" w:eastAsia="宋体" w:cs="宋体"/>
          <w:color w:val="auto"/>
          <w:spacing w:val="7"/>
          <w:sz w:val="21"/>
          <w:szCs w:val="21"/>
        </w:rPr>
      </w:pPr>
      <w:r>
        <w:rPr>
          <w:rFonts w:hint="eastAsia" w:ascii="宋体" w:hAnsi="宋体" w:eastAsia="宋体" w:cs="宋体"/>
          <w:color w:val="auto"/>
          <w:spacing w:val="7"/>
          <w:sz w:val="21"/>
          <w:szCs w:val="21"/>
        </w:rPr>
        <w:t>7.1根据</w:t>
      </w:r>
      <w:r>
        <w:rPr>
          <w:rFonts w:hint="eastAsia" w:ascii="宋体" w:hAnsi="宋体" w:eastAsia="宋体" w:cs="宋体"/>
          <w:color w:val="auto"/>
          <w:spacing w:val="7"/>
          <w:sz w:val="21"/>
          <w:szCs w:val="21"/>
          <w:lang w:eastAsia="zh-CN"/>
        </w:rPr>
        <w:t>甲方</w:t>
      </w:r>
      <w:r>
        <w:rPr>
          <w:rFonts w:hint="eastAsia" w:ascii="宋体" w:hAnsi="宋体" w:eastAsia="宋体" w:cs="宋体"/>
          <w:color w:val="auto"/>
          <w:spacing w:val="7"/>
          <w:sz w:val="21"/>
          <w:szCs w:val="21"/>
        </w:rPr>
        <w:t>提供的验收方案开展验收。</w:t>
      </w:r>
    </w:p>
    <w:p w14:paraId="3E80F2FE">
      <w:pPr>
        <w:pStyle w:val="8"/>
        <w:keepNext w:val="0"/>
        <w:keepLines w:val="0"/>
        <w:pageBreakBefore w:val="0"/>
        <w:widowControl/>
        <w:kinsoku w:val="0"/>
        <w:wordWrap/>
        <w:overflowPunct/>
        <w:topLinePunct w:val="0"/>
        <w:autoSpaceDE/>
        <w:autoSpaceDN/>
        <w:bidi w:val="0"/>
        <w:adjustRightInd w:val="0"/>
        <w:snapToGrid w:val="0"/>
        <w:spacing w:line="360" w:lineRule="exact"/>
        <w:ind w:firstLine="448" w:firstLineChars="200"/>
        <w:jc w:val="both"/>
        <w:textAlignment w:val="baseline"/>
        <w:outlineLvl w:val="1"/>
        <w:rPr>
          <w:rFonts w:hint="eastAsia" w:ascii="宋体" w:hAnsi="宋体" w:eastAsia="宋体" w:cs="宋体"/>
          <w:color w:val="auto"/>
          <w:spacing w:val="7"/>
          <w:sz w:val="21"/>
          <w:szCs w:val="21"/>
        </w:rPr>
      </w:pPr>
      <w:r>
        <w:rPr>
          <w:rFonts w:hint="eastAsia" w:ascii="宋体" w:hAnsi="宋体" w:eastAsia="宋体" w:cs="宋体"/>
          <w:color w:val="auto"/>
          <w:spacing w:val="7"/>
          <w:sz w:val="21"/>
          <w:szCs w:val="21"/>
        </w:rPr>
        <w:t>7.2产品保修期自验收合格之日起算，由</w:t>
      </w:r>
      <w:r>
        <w:rPr>
          <w:rFonts w:hint="eastAsia" w:ascii="宋体" w:hAnsi="宋体" w:eastAsia="宋体" w:cs="宋体"/>
          <w:color w:val="auto"/>
          <w:spacing w:val="7"/>
          <w:sz w:val="21"/>
          <w:szCs w:val="21"/>
          <w:lang w:eastAsia="zh-CN"/>
        </w:rPr>
        <w:t>乙方</w:t>
      </w:r>
      <w:r>
        <w:rPr>
          <w:rFonts w:hint="eastAsia" w:ascii="宋体" w:hAnsi="宋体" w:eastAsia="宋体" w:cs="宋体"/>
          <w:color w:val="auto"/>
          <w:spacing w:val="7"/>
          <w:sz w:val="21"/>
          <w:szCs w:val="21"/>
        </w:rPr>
        <w:t>提供产品保修文件。</w:t>
      </w:r>
    </w:p>
    <w:p w14:paraId="0553A478">
      <w:pPr>
        <w:pStyle w:val="8"/>
        <w:keepNext w:val="0"/>
        <w:keepLines w:val="0"/>
        <w:pageBreakBefore w:val="0"/>
        <w:widowControl/>
        <w:kinsoku w:val="0"/>
        <w:wordWrap/>
        <w:overflowPunct/>
        <w:topLinePunct w:val="0"/>
        <w:autoSpaceDE/>
        <w:autoSpaceDN/>
        <w:bidi w:val="0"/>
        <w:adjustRightInd w:val="0"/>
        <w:snapToGrid w:val="0"/>
        <w:spacing w:line="360" w:lineRule="exact"/>
        <w:ind w:firstLine="448" w:firstLineChars="200"/>
        <w:jc w:val="both"/>
        <w:textAlignment w:val="baseline"/>
        <w:outlineLvl w:val="1"/>
        <w:rPr>
          <w:rFonts w:hint="eastAsia" w:ascii="宋体" w:hAnsi="宋体" w:eastAsia="宋体" w:cs="宋体"/>
          <w:color w:val="auto"/>
          <w:spacing w:val="7"/>
          <w:sz w:val="21"/>
          <w:szCs w:val="21"/>
        </w:rPr>
      </w:pPr>
      <w:r>
        <w:rPr>
          <w:rFonts w:hint="eastAsia" w:ascii="宋体" w:hAnsi="宋体" w:eastAsia="宋体" w:cs="宋体"/>
          <w:color w:val="auto"/>
          <w:spacing w:val="7"/>
          <w:sz w:val="21"/>
          <w:szCs w:val="21"/>
        </w:rPr>
        <w:t>7.3</w:t>
      </w:r>
      <w:r>
        <w:rPr>
          <w:rFonts w:hint="eastAsia" w:ascii="宋体" w:hAnsi="宋体" w:eastAsia="宋体" w:cs="宋体"/>
          <w:color w:val="auto"/>
          <w:spacing w:val="7"/>
          <w:sz w:val="21"/>
          <w:szCs w:val="21"/>
          <w:lang w:eastAsia="zh-CN"/>
        </w:rPr>
        <w:t>乙方</w:t>
      </w:r>
      <w:r>
        <w:rPr>
          <w:rFonts w:hint="eastAsia" w:ascii="宋体" w:hAnsi="宋体" w:eastAsia="宋体" w:cs="宋体"/>
          <w:color w:val="auto"/>
          <w:spacing w:val="7"/>
          <w:sz w:val="21"/>
          <w:szCs w:val="21"/>
        </w:rPr>
        <w:t>应提供完备的技术或服务资料、装箱单和合格证等，并派遣专业人员进行现场安装调试。验收合格条件如下：</w:t>
      </w:r>
    </w:p>
    <w:p w14:paraId="108DE5B7">
      <w:pPr>
        <w:pStyle w:val="8"/>
        <w:keepNext w:val="0"/>
        <w:keepLines w:val="0"/>
        <w:pageBreakBefore w:val="0"/>
        <w:widowControl/>
        <w:kinsoku w:val="0"/>
        <w:wordWrap/>
        <w:overflowPunct/>
        <w:topLinePunct w:val="0"/>
        <w:autoSpaceDE/>
        <w:autoSpaceDN/>
        <w:bidi w:val="0"/>
        <w:adjustRightInd w:val="0"/>
        <w:snapToGrid w:val="0"/>
        <w:spacing w:line="360" w:lineRule="exact"/>
        <w:ind w:firstLine="448" w:firstLineChars="200"/>
        <w:jc w:val="both"/>
        <w:textAlignment w:val="baseline"/>
        <w:outlineLvl w:val="1"/>
        <w:rPr>
          <w:rFonts w:hint="eastAsia" w:ascii="宋体" w:hAnsi="宋体" w:eastAsia="宋体" w:cs="宋体"/>
          <w:color w:val="auto"/>
          <w:spacing w:val="7"/>
          <w:sz w:val="21"/>
          <w:szCs w:val="21"/>
        </w:rPr>
      </w:pPr>
      <w:r>
        <w:rPr>
          <w:rFonts w:hint="eastAsia" w:ascii="宋体" w:hAnsi="宋体" w:eastAsia="宋体" w:cs="宋体"/>
          <w:color w:val="auto"/>
          <w:spacing w:val="7"/>
          <w:sz w:val="21"/>
          <w:szCs w:val="21"/>
        </w:rPr>
        <w:t>7.3.1货物或服务技术参数与采购合同一致，性能或指标达到规定的标准。</w:t>
      </w:r>
    </w:p>
    <w:p w14:paraId="1E7A41C7">
      <w:pPr>
        <w:pStyle w:val="8"/>
        <w:keepNext w:val="0"/>
        <w:keepLines w:val="0"/>
        <w:pageBreakBefore w:val="0"/>
        <w:widowControl/>
        <w:kinsoku w:val="0"/>
        <w:wordWrap/>
        <w:overflowPunct/>
        <w:topLinePunct w:val="0"/>
        <w:autoSpaceDE/>
        <w:autoSpaceDN/>
        <w:bidi w:val="0"/>
        <w:adjustRightInd w:val="0"/>
        <w:snapToGrid w:val="0"/>
        <w:spacing w:line="360" w:lineRule="exact"/>
        <w:ind w:firstLine="448" w:firstLineChars="200"/>
        <w:jc w:val="both"/>
        <w:textAlignment w:val="baseline"/>
        <w:outlineLvl w:val="1"/>
        <w:rPr>
          <w:rFonts w:hint="eastAsia" w:ascii="宋体" w:hAnsi="宋体" w:eastAsia="宋体" w:cs="宋体"/>
          <w:color w:val="auto"/>
          <w:spacing w:val="7"/>
          <w:sz w:val="21"/>
          <w:szCs w:val="21"/>
        </w:rPr>
      </w:pPr>
      <w:r>
        <w:rPr>
          <w:rFonts w:hint="eastAsia" w:ascii="宋体" w:hAnsi="宋体" w:eastAsia="宋体" w:cs="宋体"/>
          <w:color w:val="auto"/>
          <w:spacing w:val="7"/>
          <w:sz w:val="21"/>
          <w:szCs w:val="21"/>
        </w:rPr>
        <w:t>7.3.2技术或资料、装箱单、合格证等资料齐全。</w:t>
      </w:r>
    </w:p>
    <w:p w14:paraId="0CA3CB4B">
      <w:pPr>
        <w:pStyle w:val="8"/>
        <w:keepNext w:val="0"/>
        <w:keepLines w:val="0"/>
        <w:pageBreakBefore w:val="0"/>
        <w:widowControl/>
        <w:kinsoku w:val="0"/>
        <w:wordWrap/>
        <w:overflowPunct/>
        <w:topLinePunct w:val="0"/>
        <w:autoSpaceDE/>
        <w:autoSpaceDN/>
        <w:bidi w:val="0"/>
        <w:adjustRightInd w:val="0"/>
        <w:snapToGrid w:val="0"/>
        <w:spacing w:line="360" w:lineRule="exact"/>
        <w:ind w:firstLine="448" w:firstLineChars="200"/>
        <w:jc w:val="both"/>
        <w:textAlignment w:val="baseline"/>
        <w:outlineLvl w:val="1"/>
        <w:rPr>
          <w:rFonts w:hint="eastAsia" w:ascii="宋体" w:hAnsi="宋体" w:eastAsia="宋体" w:cs="宋体"/>
          <w:color w:val="auto"/>
          <w:spacing w:val="7"/>
          <w:sz w:val="21"/>
          <w:szCs w:val="21"/>
        </w:rPr>
      </w:pPr>
      <w:r>
        <w:rPr>
          <w:rFonts w:hint="eastAsia" w:ascii="宋体" w:hAnsi="宋体" w:eastAsia="宋体" w:cs="宋体"/>
          <w:color w:val="auto"/>
          <w:spacing w:val="7"/>
          <w:sz w:val="21"/>
          <w:szCs w:val="21"/>
        </w:rPr>
        <w:t>7.3.3 在规定时间内完成交货及验收，并经</w:t>
      </w:r>
      <w:r>
        <w:rPr>
          <w:rFonts w:hint="eastAsia" w:ascii="宋体" w:hAnsi="宋体" w:eastAsia="宋体" w:cs="宋体"/>
          <w:color w:val="auto"/>
          <w:spacing w:val="7"/>
          <w:sz w:val="21"/>
          <w:szCs w:val="21"/>
          <w:lang w:eastAsia="zh-CN"/>
        </w:rPr>
        <w:t>甲方</w:t>
      </w:r>
      <w:r>
        <w:rPr>
          <w:rFonts w:hint="eastAsia" w:ascii="宋体" w:hAnsi="宋体" w:eastAsia="宋体" w:cs="宋体"/>
          <w:color w:val="auto"/>
          <w:spacing w:val="7"/>
          <w:sz w:val="21"/>
          <w:szCs w:val="21"/>
        </w:rPr>
        <w:t>确认。</w:t>
      </w:r>
    </w:p>
    <w:p w14:paraId="1B6DC2A1">
      <w:pPr>
        <w:pStyle w:val="8"/>
        <w:keepNext w:val="0"/>
        <w:keepLines w:val="0"/>
        <w:pageBreakBefore w:val="0"/>
        <w:widowControl/>
        <w:kinsoku w:val="0"/>
        <w:wordWrap/>
        <w:overflowPunct/>
        <w:topLinePunct w:val="0"/>
        <w:autoSpaceDE/>
        <w:autoSpaceDN/>
        <w:bidi w:val="0"/>
        <w:adjustRightInd w:val="0"/>
        <w:snapToGrid w:val="0"/>
        <w:spacing w:line="360" w:lineRule="exact"/>
        <w:ind w:firstLine="448" w:firstLineChars="200"/>
        <w:jc w:val="both"/>
        <w:textAlignment w:val="baseline"/>
        <w:outlineLvl w:val="1"/>
        <w:rPr>
          <w:rFonts w:hint="eastAsia" w:ascii="宋体" w:hAnsi="宋体" w:eastAsia="宋体" w:cs="宋体"/>
          <w:color w:val="auto"/>
          <w:spacing w:val="7"/>
          <w:sz w:val="21"/>
          <w:szCs w:val="21"/>
        </w:rPr>
      </w:pPr>
      <w:r>
        <w:rPr>
          <w:rFonts w:hint="eastAsia" w:ascii="宋体" w:hAnsi="宋体" w:eastAsia="宋体" w:cs="宋体"/>
          <w:color w:val="auto"/>
          <w:spacing w:val="7"/>
          <w:sz w:val="21"/>
          <w:szCs w:val="21"/>
        </w:rPr>
        <w:t>8</w:t>
      </w:r>
      <w:r>
        <w:rPr>
          <w:rFonts w:hint="eastAsia" w:ascii="宋体" w:hAnsi="宋体" w:eastAsia="宋体" w:cs="宋体"/>
          <w:color w:val="auto"/>
          <w:spacing w:val="7"/>
          <w:sz w:val="21"/>
          <w:szCs w:val="21"/>
          <w:lang w:val="en-US" w:eastAsia="zh-CN"/>
        </w:rPr>
        <w:t>.</w:t>
      </w:r>
      <w:r>
        <w:rPr>
          <w:rFonts w:hint="eastAsia" w:ascii="宋体" w:hAnsi="宋体" w:eastAsia="宋体" w:cs="宋体"/>
          <w:color w:val="auto"/>
          <w:spacing w:val="7"/>
          <w:sz w:val="21"/>
          <w:szCs w:val="21"/>
        </w:rPr>
        <w:t>产品或服务在安装调试并试运行符合要求后，才作为最终验收。</w:t>
      </w:r>
    </w:p>
    <w:p w14:paraId="7746A0A9">
      <w:pPr>
        <w:pStyle w:val="8"/>
        <w:keepNext w:val="0"/>
        <w:keepLines w:val="0"/>
        <w:pageBreakBefore w:val="0"/>
        <w:widowControl/>
        <w:kinsoku w:val="0"/>
        <w:wordWrap/>
        <w:overflowPunct/>
        <w:topLinePunct w:val="0"/>
        <w:autoSpaceDE/>
        <w:autoSpaceDN/>
        <w:bidi w:val="0"/>
        <w:adjustRightInd w:val="0"/>
        <w:snapToGrid w:val="0"/>
        <w:spacing w:line="360" w:lineRule="exact"/>
        <w:ind w:firstLine="448" w:firstLineChars="200"/>
        <w:jc w:val="both"/>
        <w:textAlignment w:val="baseline"/>
        <w:outlineLvl w:val="1"/>
        <w:rPr>
          <w:rFonts w:hint="eastAsia" w:ascii="宋体" w:hAnsi="宋体" w:eastAsia="宋体" w:cs="宋体"/>
          <w:color w:val="auto"/>
          <w:spacing w:val="7"/>
          <w:sz w:val="21"/>
          <w:szCs w:val="21"/>
        </w:rPr>
      </w:pPr>
      <w:r>
        <w:rPr>
          <w:rFonts w:hint="eastAsia" w:ascii="宋体" w:hAnsi="宋体" w:eastAsia="宋体" w:cs="宋体"/>
          <w:color w:val="auto"/>
          <w:spacing w:val="7"/>
          <w:sz w:val="21"/>
          <w:szCs w:val="21"/>
        </w:rPr>
        <w:t>9</w:t>
      </w:r>
      <w:r>
        <w:rPr>
          <w:rFonts w:hint="eastAsia" w:ascii="宋体" w:hAnsi="宋体" w:eastAsia="宋体" w:cs="宋体"/>
          <w:color w:val="auto"/>
          <w:spacing w:val="7"/>
          <w:sz w:val="21"/>
          <w:szCs w:val="21"/>
          <w:lang w:val="en-US" w:eastAsia="zh-CN"/>
        </w:rPr>
        <w:t>.</w:t>
      </w:r>
      <w:r>
        <w:rPr>
          <w:rFonts w:hint="eastAsia" w:ascii="宋体" w:hAnsi="宋体" w:eastAsia="宋体" w:cs="宋体"/>
          <w:color w:val="auto"/>
          <w:spacing w:val="7"/>
          <w:sz w:val="21"/>
          <w:szCs w:val="21"/>
          <w:lang w:eastAsia="zh-CN"/>
        </w:rPr>
        <w:t>甲方</w:t>
      </w:r>
      <w:r>
        <w:rPr>
          <w:rFonts w:hint="eastAsia" w:ascii="宋体" w:hAnsi="宋体" w:eastAsia="宋体" w:cs="宋体"/>
          <w:color w:val="auto"/>
          <w:spacing w:val="7"/>
          <w:sz w:val="21"/>
          <w:szCs w:val="21"/>
        </w:rPr>
        <w:t>需要制造商对</w:t>
      </w:r>
      <w:r>
        <w:rPr>
          <w:rFonts w:hint="eastAsia" w:ascii="宋体" w:hAnsi="宋体" w:eastAsia="宋体" w:cs="宋体"/>
          <w:color w:val="auto"/>
          <w:spacing w:val="7"/>
          <w:sz w:val="21"/>
          <w:szCs w:val="21"/>
          <w:lang w:eastAsia="zh-CN"/>
        </w:rPr>
        <w:t>乙方</w:t>
      </w:r>
      <w:r>
        <w:rPr>
          <w:rFonts w:hint="eastAsia" w:ascii="宋体" w:hAnsi="宋体" w:eastAsia="宋体" w:cs="宋体"/>
          <w:color w:val="auto"/>
          <w:spacing w:val="7"/>
          <w:sz w:val="21"/>
          <w:szCs w:val="21"/>
        </w:rPr>
        <w:t>交付的产品或服务（包括质量、参数等）进行确认的，制造商应予以配合，并出具书面意见。乙方应负责协调制造商履行该配合义务，制造商未配合或出具的意见不符合要求的，视为乙方交付的产品或服务不合格，由乙方承担全部责任。</w:t>
      </w:r>
    </w:p>
    <w:p w14:paraId="1EBE5475">
      <w:pPr>
        <w:pStyle w:val="8"/>
        <w:keepNext w:val="0"/>
        <w:keepLines w:val="0"/>
        <w:pageBreakBefore w:val="0"/>
        <w:widowControl/>
        <w:kinsoku w:val="0"/>
        <w:wordWrap/>
        <w:overflowPunct/>
        <w:topLinePunct w:val="0"/>
        <w:autoSpaceDE/>
        <w:autoSpaceDN/>
        <w:bidi w:val="0"/>
        <w:adjustRightInd w:val="0"/>
        <w:snapToGrid w:val="0"/>
        <w:spacing w:line="360" w:lineRule="exact"/>
        <w:ind w:firstLine="448" w:firstLineChars="200"/>
        <w:jc w:val="both"/>
        <w:textAlignment w:val="baseline"/>
        <w:outlineLvl w:val="1"/>
        <w:rPr>
          <w:rFonts w:hint="eastAsia" w:ascii="宋体" w:hAnsi="宋体" w:eastAsia="宋体" w:cs="宋体"/>
          <w:color w:val="auto"/>
          <w:spacing w:val="7"/>
          <w:sz w:val="21"/>
          <w:szCs w:val="21"/>
        </w:rPr>
      </w:pPr>
      <w:r>
        <w:rPr>
          <w:rFonts w:hint="eastAsia" w:ascii="宋体" w:hAnsi="宋体" w:eastAsia="宋体" w:cs="宋体"/>
          <w:color w:val="auto"/>
          <w:spacing w:val="7"/>
          <w:sz w:val="21"/>
          <w:szCs w:val="21"/>
        </w:rPr>
        <w:t>10</w:t>
      </w:r>
      <w:r>
        <w:rPr>
          <w:rFonts w:hint="eastAsia" w:ascii="宋体" w:hAnsi="宋体" w:eastAsia="宋体" w:cs="宋体"/>
          <w:color w:val="auto"/>
          <w:spacing w:val="7"/>
          <w:sz w:val="21"/>
          <w:szCs w:val="21"/>
          <w:lang w:val="en-US" w:eastAsia="zh-CN"/>
        </w:rPr>
        <w:t>.</w:t>
      </w:r>
      <w:r>
        <w:rPr>
          <w:rFonts w:hint="eastAsia" w:ascii="宋体" w:hAnsi="宋体" w:eastAsia="宋体" w:cs="宋体"/>
          <w:color w:val="auto"/>
          <w:spacing w:val="7"/>
          <w:sz w:val="21"/>
          <w:szCs w:val="21"/>
          <w:lang w:eastAsia="zh-CN"/>
        </w:rPr>
        <w:t>乙方</w:t>
      </w:r>
      <w:r>
        <w:rPr>
          <w:rFonts w:hint="eastAsia" w:ascii="宋体" w:hAnsi="宋体" w:eastAsia="宋体" w:cs="宋体"/>
          <w:color w:val="auto"/>
          <w:spacing w:val="7"/>
          <w:sz w:val="21"/>
          <w:szCs w:val="21"/>
          <w:lang w:val="en-US" w:eastAsia="zh-CN"/>
        </w:rPr>
        <w:t>供</w:t>
      </w:r>
      <w:r>
        <w:rPr>
          <w:rFonts w:hint="eastAsia" w:ascii="宋体" w:hAnsi="宋体" w:eastAsia="宋体" w:cs="宋体"/>
          <w:color w:val="auto"/>
          <w:spacing w:val="7"/>
          <w:sz w:val="21"/>
          <w:szCs w:val="21"/>
        </w:rPr>
        <w:t>应商按相关要求自行开展所有参数实际水样验收比对，</w:t>
      </w:r>
      <w:r>
        <w:rPr>
          <w:rFonts w:hint="eastAsia" w:ascii="宋体" w:hAnsi="宋体" w:eastAsia="宋体" w:cs="宋体"/>
          <w:color w:val="auto"/>
          <w:spacing w:val="7"/>
          <w:sz w:val="21"/>
          <w:szCs w:val="21"/>
          <w:lang w:eastAsia="zh-CN"/>
        </w:rPr>
        <w:t>乙方</w:t>
      </w:r>
      <w:r>
        <w:rPr>
          <w:rFonts w:hint="eastAsia" w:ascii="宋体" w:hAnsi="宋体" w:eastAsia="宋体" w:cs="宋体"/>
          <w:color w:val="auto"/>
          <w:spacing w:val="7"/>
          <w:sz w:val="21"/>
          <w:szCs w:val="21"/>
        </w:rPr>
        <w:t>实验室可自行开展或委托具备资质并经</w:t>
      </w:r>
      <w:r>
        <w:rPr>
          <w:rFonts w:hint="eastAsia" w:ascii="宋体" w:hAnsi="宋体" w:eastAsia="宋体" w:cs="宋体"/>
          <w:color w:val="auto"/>
          <w:spacing w:val="7"/>
          <w:sz w:val="21"/>
          <w:szCs w:val="21"/>
          <w:lang w:eastAsia="zh-CN"/>
        </w:rPr>
        <w:t>甲方</w:t>
      </w:r>
      <w:r>
        <w:rPr>
          <w:rFonts w:hint="eastAsia" w:ascii="宋体" w:hAnsi="宋体" w:eastAsia="宋体" w:cs="宋体"/>
          <w:color w:val="auto"/>
          <w:spacing w:val="7"/>
          <w:sz w:val="21"/>
          <w:szCs w:val="21"/>
        </w:rPr>
        <w:t>认可的第三方监测机构开展验收比对工作。</w:t>
      </w:r>
    </w:p>
    <w:p w14:paraId="70B23E7C">
      <w:pPr>
        <w:pStyle w:val="8"/>
        <w:keepNext w:val="0"/>
        <w:keepLines w:val="0"/>
        <w:pageBreakBefore w:val="0"/>
        <w:widowControl/>
        <w:kinsoku w:val="0"/>
        <w:wordWrap/>
        <w:overflowPunct/>
        <w:topLinePunct w:val="0"/>
        <w:autoSpaceDE/>
        <w:autoSpaceDN/>
        <w:bidi w:val="0"/>
        <w:adjustRightInd w:val="0"/>
        <w:snapToGrid w:val="0"/>
        <w:spacing w:line="360" w:lineRule="exact"/>
        <w:ind w:firstLine="448" w:firstLineChars="200"/>
        <w:jc w:val="both"/>
        <w:textAlignment w:val="baseline"/>
        <w:outlineLvl w:val="1"/>
        <w:rPr>
          <w:rFonts w:hint="eastAsia" w:ascii="宋体" w:hAnsi="宋体" w:eastAsia="宋体" w:cs="宋体"/>
          <w:color w:val="auto"/>
          <w:spacing w:val="7"/>
          <w:sz w:val="21"/>
          <w:szCs w:val="21"/>
        </w:rPr>
      </w:pPr>
      <w:r>
        <w:rPr>
          <w:rFonts w:hint="eastAsia" w:ascii="宋体" w:hAnsi="宋体" w:eastAsia="宋体" w:cs="宋体"/>
          <w:color w:val="auto"/>
          <w:spacing w:val="7"/>
          <w:sz w:val="21"/>
          <w:szCs w:val="21"/>
        </w:rPr>
        <w:t>11</w:t>
      </w:r>
      <w:r>
        <w:rPr>
          <w:rFonts w:hint="eastAsia" w:ascii="宋体" w:hAnsi="宋体" w:eastAsia="宋体" w:cs="宋体"/>
          <w:color w:val="auto"/>
          <w:spacing w:val="7"/>
          <w:sz w:val="21"/>
          <w:szCs w:val="21"/>
          <w:lang w:val="en-US" w:eastAsia="zh-CN"/>
        </w:rPr>
        <w:t>.</w:t>
      </w:r>
      <w:r>
        <w:rPr>
          <w:rFonts w:hint="eastAsia" w:ascii="宋体" w:hAnsi="宋体" w:eastAsia="宋体" w:cs="宋体"/>
          <w:color w:val="auto"/>
          <w:spacing w:val="7"/>
          <w:sz w:val="21"/>
          <w:szCs w:val="21"/>
        </w:rPr>
        <w:t>产品包装材料归</w:t>
      </w:r>
      <w:r>
        <w:rPr>
          <w:rFonts w:hint="eastAsia" w:ascii="宋体" w:hAnsi="宋体" w:eastAsia="宋体" w:cs="宋体"/>
          <w:color w:val="auto"/>
          <w:spacing w:val="7"/>
          <w:sz w:val="21"/>
          <w:szCs w:val="21"/>
          <w:lang w:eastAsia="zh-CN"/>
        </w:rPr>
        <w:t>甲方</w:t>
      </w:r>
      <w:r>
        <w:rPr>
          <w:rFonts w:hint="eastAsia" w:ascii="宋体" w:hAnsi="宋体" w:eastAsia="宋体" w:cs="宋体"/>
          <w:color w:val="auto"/>
          <w:spacing w:val="7"/>
          <w:sz w:val="21"/>
          <w:szCs w:val="21"/>
        </w:rPr>
        <w:t>所有。</w:t>
      </w:r>
    </w:p>
    <w:p w14:paraId="61FC8EA2">
      <w:pPr>
        <w:pStyle w:val="8"/>
        <w:keepNext w:val="0"/>
        <w:keepLines w:val="0"/>
        <w:pageBreakBefore w:val="0"/>
        <w:widowControl/>
        <w:kinsoku w:val="0"/>
        <w:wordWrap/>
        <w:overflowPunct/>
        <w:topLinePunct w:val="0"/>
        <w:autoSpaceDE/>
        <w:autoSpaceDN/>
        <w:bidi w:val="0"/>
        <w:adjustRightInd w:val="0"/>
        <w:snapToGrid w:val="0"/>
        <w:spacing w:line="360" w:lineRule="exact"/>
        <w:ind w:firstLine="448" w:firstLineChars="200"/>
        <w:jc w:val="both"/>
        <w:textAlignment w:val="baseline"/>
        <w:outlineLvl w:val="1"/>
        <w:rPr>
          <w:rFonts w:hint="eastAsia" w:ascii="宋体" w:hAnsi="宋体" w:eastAsia="宋体" w:cs="宋体"/>
          <w:color w:val="auto"/>
          <w:spacing w:val="7"/>
          <w:sz w:val="21"/>
          <w:szCs w:val="21"/>
        </w:rPr>
      </w:pPr>
      <w:r>
        <w:rPr>
          <w:rFonts w:hint="eastAsia" w:ascii="宋体" w:hAnsi="宋体" w:eastAsia="宋体" w:cs="宋体"/>
          <w:color w:val="auto"/>
          <w:spacing w:val="7"/>
          <w:sz w:val="21"/>
          <w:szCs w:val="21"/>
        </w:rPr>
        <w:t>12</w:t>
      </w:r>
      <w:r>
        <w:rPr>
          <w:rFonts w:hint="eastAsia" w:ascii="宋体" w:hAnsi="宋体" w:eastAsia="宋体" w:cs="宋体"/>
          <w:color w:val="auto"/>
          <w:spacing w:val="7"/>
          <w:sz w:val="21"/>
          <w:szCs w:val="21"/>
          <w:lang w:val="en-US" w:eastAsia="zh-CN"/>
        </w:rPr>
        <w:t>.</w:t>
      </w:r>
      <w:r>
        <w:rPr>
          <w:rFonts w:hint="eastAsia" w:ascii="宋体" w:hAnsi="宋体" w:eastAsia="宋体" w:cs="宋体"/>
          <w:color w:val="auto"/>
          <w:spacing w:val="7"/>
          <w:sz w:val="21"/>
          <w:szCs w:val="21"/>
        </w:rPr>
        <w:t>验收过程中所产生的一切费用均由</w:t>
      </w:r>
      <w:r>
        <w:rPr>
          <w:rFonts w:hint="eastAsia" w:ascii="宋体" w:hAnsi="宋体" w:eastAsia="宋体" w:cs="宋体"/>
          <w:color w:val="auto"/>
          <w:spacing w:val="7"/>
          <w:sz w:val="21"/>
          <w:szCs w:val="21"/>
          <w:lang w:eastAsia="zh-CN"/>
        </w:rPr>
        <w:t>乙方</w:t>
      </w:r>
      <w:r>
        <w:rPr>
          <w:rFonts w:hint="eastAsia" w:ascii="宋体" w:hAnsi="宋体" w:eastAsia="宋体" w:cs="宋体"/>
          <w:color w:val="auto"/>
          <w:spacing w:val="7"/>
          <w:sz w:val="21"/>
          <w:szCs w:val="21"/>
        </w:rPr>
        <w:t>承担。</w:t>
      </w:r>
    </w:p>
    <w:p w14:paraId="1E93EAD5">
      <w:pPr>
        <w:pStyle w:val="8"/>
        <w:keepNext w:val="0"/>
        <w:keepLines w:val="0"/>
        <w:pageBreakBefore w:val="0"/>
        <w:widowControl/>
        <w:kinsoku w:val="0"/>
        <w:wordWrap/>
        <w:overflowPunct/>
        <w:topLinePunct w:val="0"/>
        <w:autoSpaceDE/>
        <w:autoSpaceDN/>
        <w:bidi w:val="0"/>
        <w:adjustRightInd w:val="0"/>
        <w:snapToGrid w:val="0"/>
        <w:spacing w:line="360" w:lineRule="exact"/>
        <w:ind w:firstLine="448" w:firstLineChars="200"/>
        <w:jc w:val="both"/>
        <w:textAlignment w:val="baseline"/>
        <w:outlineLvl w:val="1"/>
        <w:rPr>
          <w:rFonts w:hint="eastAsia" w:ascii="宋体" w:hAnsi="宋体" w:eastAsia="宋体" w:cs="宋体"/>
          <w:color w:val="auto"/>
          <w:spacing w:val="7"/>
          <w:sz w:val="21"/>
          <w:szCs w:val="21"/>
        </w:rPr>
      </w:pPr>
      <w:r>
        <w:rPr>
          <w:rFonts w:hint="eastAsia" w:ascii="宋体" w:hAnsi="宋体" w:eastAsia="宋体" w:cs="宋体"/>
          <w:color w:val="auto"/>
          <w:spacing w:val="7"/>
          <w:sz w:val="21"/>
          <w:szCs w:val="21"/>
        </w:rPr>
        <w:t>13</w:t>
      </w:r>
      <w:r>
        <w:rPr>
          <w:rFonts w:hint="eastAsia" w:ascii="宋体" w:hAnsi="宋体" w:eastAsia="宋体" w:cs="宋体"/>
          <w:color w:val="auto"/>
          <w:spacing w:val="7"/>
          <w:sz w:val="21"/>
          <w:szCs w:val="21"/>
          <w:lang w:val="en-US" w:eastAsia="zh-CN"/>
        </w:rPr>
        <w:t>.</w:t>
      </w:r>
      <w:r>
        <w:rPr>
          <w:rFonts w:hint="eastAsia" w:ascii="宋体" w:hAnsi="宋体" w:eastAsia="宋体" w:cs="宋体"/>
          <w:color w:val="auto"/>
          <w:spacing w:val="7"/>
          <w:sz w:val="21"/>
          <w:szCs w:val="21"/>
        </w:rPr>
        <w:t>验收未尽事宜按照《关于印发广西壮族自治区政府采购项目履约验收管理办法的通知》（桂财采〔2015〕22号）以及《财政部关于进一步加强政府采购需求和履约验收管理的指导意见》（财库〔2016〕205号）规定执行。</w:t>
      </w:r>
    </w:p>
    <w:p w14:paraId="51239056">
      <w:pPr>
        <w:pStyle w:val="8"/>
        <w:keepNext w:val="0"/>
        <w:keepLines w:val="0"/>
        <w:pageBreakBefore w:val="0"/>
        <w:widowControl/>
        <w:kinsoku w:val="0"/>
        <w:wordWrap/>
        <w:overflowPunct/>
        <w:topLinePunct w:val="0"/>
        <w:autoSpaceDE/>
        <w:autoSpaceDN/>
        <w:bidi w:val="0"/>
        <w:adjustRightInd w:val="0"/>
        <w:snapToGrid w:val="0"/>
        <w:spacing w:line="360" w:lineRule="exact"/>
        <w:ind w:firstLine="448" w:firstLineChars="200"/>
        <w:jc w:val="both"/>
        <w:textAlignment w:val="baseline"/>
        <w:outlineLvl w:val="1"/>
        <w:rPr>
          <w:rFonts w:hint="eastAsia" w:ascii="宋体" w:hAnsi="宋体" w:eastAsia="宋体" w:cs="宋体"/>
          <w:color w:val="auto"/>
          <w:spacing w:val="7"/>
          <w:sz w:val="21"/>
          <w:szCs w:val="21"/>
        </w:rPr>
      </w:pPr>
      <w:r>
        <w:rPr>
          <w:rFonts w:hint="eastAsia" w:ascii="宋体" w:hAnsi="宋体" w:eastAsia="宋体" w:cs="宋体"/>
          <w:color w:val="auto"/>
          <w:spacing w:val="7"/>
          <w:sz w:val="21"/>
          <w:szCs w:val="21"/>
        </w:rPr>
        <w:t>14</w:t>
      </w:r>
      <w:r>
        <w:rPr>
          <w:rFonts w:hint="eastAsia" w:ascii="宋体" w:hAnsi="宋体" w:eastAsia="宋体" w:cs="宋体"/>
          <w:color w:val="auto"/>
          <w:spacing w:val="7"/>
          <w:sz w:val="21"/>
          <w:szCs w:val="21"/>
          <w:lang w:val="en-US" w:eastAsia="zh-CN"/>
        </w:rPr>
        <w:t>.</w:t>
      </w:r>
      <w:r>
        <w:rPr>
          <w:rFonts w:hint="eastAsia" w:ascii="宋体" w:hAnsi="宋体" w:eastAsia="宋体" w:cs="宋体"/>
          <w:color w:val="auto"/>
          <w:spacing w:val="7"/>
          <w:sz w:val="21"/>
          <w:szCs w:val="21"/>
        </w:rPr>
        <w:t>服务期间，</w:t>
      </w:r>
      <w:r>
        <w:rPr>
          <w:rFonts w:hint="eastAsia" w:ascii="宋体" w:hAnsi="宋体" w:eastAsia="宋体" w:cs="宋体"/>
          <w:color w:val="auto"/>
          <w:spacing w:val="7"/>
          <w:sz w:val="21"/>
          <w:szCs w:val="21"/>
          <w:lang w:eastAsia="zh-CN"/>
        </w:rPr>
        <w:t>乙方</w:t>
      </w:r>
      <w:r>
        <w:rPr>
          <w:rFonts w:hint="eastAsia" w:ascii="宋体" w:hAnsi="宋体" w:eastAsia="宋体" w:cs="宋体"/>
          <w:color w:val="auto"/>
          <w:spacing w:val="7"/>
          <w:sz w:val="21"/>
          <w:szCs w:val="21"/>
        </w:rPr>
        <w:t>不能以任何形式外包合同规定的运行维护服务。乙方将运维服务外包的，甲方有权解除合同，乙方应向甲方支付合同金额20%的违约金，并退还已支付的全部运维费用。</w:t>
      </w:r>
    </w:p>
    <w:p w14:paraId="0EEBB8FA">
      <w:pPr>
        <w:pStyle w:val="8"/>
        <w:keepNext w:val="0"/>
        <w:keepLines w:val="0"/>
        <w:pageBreakBefore w:val="0"/>
        <w:widowControl/>
        <w:kinsoku w:val="0"/>
        <w:wordWrap/>
        <w:overflowPunct/>
        <w:topLinePunct w:val="0"/>
        <w:autoSpaceDE/>
        <w:autoSpaceDN/>
        <w:bidi w:val="0"/>
        <w:adjustRightInd w:val="0"/>
        <w:snapToGrid w:val="0"/>
        <w:spacing w:line="360" w:lineRule="exact"/>
        <w:ind w:firstLine="448" w:firstLineChars="200"/>
        <w:jc w:val="both"/>
        <w:textAlignment w:val="baseline"/>
        <w:outlineLvl w:val="1"/>
        <w:rPr>
          <w:rFonts w:hint="default"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15.乙方交付的所有设备及系统运行产生的全部监测数据、运行数据、分析结果等衍生数据资产及相关知识产权均归甲方独家所有，乙方仅可为履行本合同目的使用上述数据，不得擅自复制、披露、转让或许可第三方使用，不得将上述数据用于任何其他用途或进行模型训练、商业开发等活动。</w:t>
      </w:r>
    </w:p>
    <w:p w14:paraId="2AA7F702">
      <w:pPr>
        <w:pStyle w:val="8"/>
        <w:keepNext w:val="0"/>
        <w:keepLines w:val="0"/>
        <w:pageBreakBefore w:val="0"/>
        <w:widowControl/>
        <w:kinsoku w:val="0"/>
        <w:wordWrap/>
        <w:overflowPunct/>
        <w:topLinePunct w:val="0"/>
        <w:autoSpaceDE/>
        <w:autoSpaceDN/>
        <w:bidi w:val="0"/>
        <w:adjustRightInd w:val="0"/>
        <w:snapToGrid w:val="0"/>
        <w:spacing w:line="360" w:lineRule="exact"/>
        <w:ind w:left="0" w:firstLine="446" w:firstLineChars="200"/>
        <w:jc w:val="both"/>
        <w:textAlignment w:val="baseline"/>
        <w:outlineLvl w:val="1"/>
        <w:rPr>
          <w:rFonts w:hint="eastAsia" w:ascii="宋体" w:hAnsi="宋体" w:eastAsia="宋体" w:cs="宋体"/>
          <w:color w:val="auto"/>
          <w:sz w:val="21"/>
          <w:szCs w:val="21"/>
        </w:rPr>
      </w:pPr>
      <w:r>
        <w:rPr>
          <w:rFonts w:hint="eastAsia" w:ascii="宋体" w:hAnsi="宋体" w:eastAsia="宋体" w:cs="宋体"/>
          <w:b/>
          <w:bCs/>
          <w:color w:val="auto"/>
          <w:spacing w:val="6"/>
          <w:sz w:val="21"/>
          <w:szCs w:val="21"/>
        </w:rPr>
        <w:t>第七条</w:t>
      </w:r>
      <w:r>
        <w:rPr>
          <w:rFonts w:hint="eastAsia" w:ascii="宋体" w:hAnsi="宋体" w:eastAsia="宋体" w:cs="宋体"/>
          <w:color w:val="auto"/>
          <w:spacing w:val="6"/>
          <w:sz w:val="21"/>
          <w:szCs w:val="21"/>
        </w:rPr>
        <w:t xml:space="preserve">  </w:t>
      </w:r>
      <w:r>
        <w:rPr>
          <w:rFonts w:hint="eastAsia" w:ascii="宋体" w:hAnsi="宋体" w:eastAsia="宋体" w:cs="宋体"/>
          <w:b/>
          <w:bCs/>
          <w:color w:val="auto"/>
          <w:spacing w:val="6"/>
          <w:sz w:val="21"/>
          <w:szCs w:val="21"/>
        </w:rPr>
        <w:t>安装和培训</w:t>
      </w:r>
    </w:p>
    <w:p w14:paraId="10A77F3C">
      <w:pPr>
        <w:pStyle w:val="8"/>
        <w:keepNext w:val="0"/>
        <w:keepLines w:val="0"/>
        <w:pageBreakBefore w:val="0"/>
        <w:widowControl/>
        <w:kinsoku w:val="0"/>
        <w:wordWrap/>
        <w:overflowPunct/>
        <w:topLinePunct w:val="0"/>
        <w:autoSpaceDE/>
        <w:autoSpaceDN/>
        <w:bidi w:val="0"/>
        <w:adjustRightInd w:val="0"/>
        <w:snapToGrid w:val="0"/>
        <w:spacing w:line="360" w:lineRule="exact"/>
        <w:ind w:firstLine="456" w:firstLineChars="200"/>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9"/>
          <w:sz w:val="21"/>
          <w:szCs w:val="21"/>
          <w:lang w:val="en-US" w:eastAsia="zh-CN"/>
        </w:rPr>
        <w:t>乙方在设备安装调试完毕和系统建成后，免费对甲方的操作人员现场进行基本的使用及维护培训，培训内容为如何进行设备调试、维护、排除故障进行指导和演示（以上培训内容包括仪器的原理、操作、日常维护、故障排除、软件使用等）。乙方免费提供仪器现场3-5天的技术培训。培训后甲方仍未熟练掌握仪器的使用方法，则再继续进行培训，直至甲方熟练掌握为止。仪器验收后6个月内回访并免费培训一次。培训期间所产生的消耗品、技术资料和培训费均由乙方承担，培训时间由甲方确定，甲方确定培训时间并提前通知乙方，乙方在规定时间内到场培训。</w:t>
      </w:r>
    </w:p>
    <w:p w14:paraId="57A06432">
      <w:pPr>
        <w:pStyle w:val="8"/>
        <w:keepNext w:val="0"/>
        <w:keepLines w:val="0"/>
        <w:pageBreakBefore w:val="0"/>
        <w:widowControl/>
        <w:kinsoku w:val="0"/>
        <w:wordWrap/>
        <w:overflowPunct/>
        <w:topLinePunct w:val="0"/>
        <w:autoSpaceDE/>
        <w:autoSpaceDN/>
        <w:bidi w:val="0"/>
        <w:adjustRightInd w:val="0"/>
        <w:snapToGrid w:val="0"/>
        <w:spacing w:line="360" w:lineRule="exact"/>
        <w:ind w:left="0" w:firstLine="450" w:firstLineChars="200"/>
        <w:jc w:val="both"/>
        <w:textAlignment w:val="baseline"/>
        <w:outlineLvl w:val="1"/>
        <w:rPr>
          <w:rFonts w:hint="eastAsia" w:ascii="宋体" w:hAnsi="宋体" w:eastAsia="宋体" w:cs="宋体"/>
          <w:color w:val="auto"/>
          <w:sz w:val="21"/>
          <w:szCs w:val="21"/>
        </w:rPr>
      </w:pPr>
      <w:bookmarkStart w:id="23" w:name="bookmark82"/>
      <w:bookmarkEnd w:id="23"/>
      <w:r>
        <w:rPr>
          <w:rFonts w:hint="eastAsia" w:ascii="宋体" w:hAnsi="宋体" w:eastAsia="宋体" w:cs="宋体"/>
          <w:b/>
          <w:bCs/>
          <w:color w:val="auto"/>
          <w:spacing w:val="7"/>
          <w:sz w:val="21"/>
          <w:szCs w:val="21"/>
        </w:rPr>
        <w:t>第八条</w:t>
      </w:r>
      <w:r>
        <w:rPr>
          <w:rFonts w:hint="eastAsia" w:ascii="宋体" w:hAnsi="宋体" w:eastAsia="宋体" w:cs="宋体"/>
          <w:color w:val="auto"/>
          <w:spacing w:val="7"/>
          <w:sz w:val="21"/>
          <w:szCs w:val="21"/>
        </w:rPr>
        <w:t xml:space="preserve">  </w:t>
      </w:r>
      <w:r>
        <w:rPr>
          <w:rFonts w:hint="eastAsia" w:ascii="宋体" w:hAnsi="宋体" w:eastAsia="宋体" w:cs="宋体"/>
          <w:b/>
          <w:bCs/>
          <w:color w:val="auto"/>
          <w:spacing w:val="7"/>
          <w:sz w:val="21"/>
          <w:szCs w:val="21"/>
        </w:rPr>
        <w:t>售后服务、保修期</w:t>
      </w:r>
    </w:p>
    <w:p w14:paraId="0EA3FD0C">
      <w:pPr>
        <w:pStyle w:val="8"/>
        <w:keepNext w:val="0"/>
        <w:keepLines w:val="0"/>
        <w:pageBreakBefore w:val="0"/>
        <w:widowControl/>
        <w:kinsoku w:val="0"/>
        <w:wordWrap/>
        <w:overflowPunct/>
        <w:topLinePunct w:val="0"/>
        <w:autoSpaceDE/>
        <w:autoSpaceDN/>
        <w:bidi w:val="0"/>
        <w:adjustRightInd w:val="0"/>
        <w:snapToGrid w:val="0"/>
        <w:spacing w:line="360" w:lineRule="exact"/>
        <w:ind w:left="8" w:right="70" w:firstLine="448" w:firstLineChars="200"/>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7"/>
          <w:sz w:val="21"/>
          <w:szCs w:val="21"/>
        </w:rPr>
        <w:t>1</w:t>
      </w:r>
      <w:r>
        <w:rPr>
          <w:rFonts w:hint="eastAsia" w:ascii="宋体" w:hAnsi="宋体" w:eastAsia="宋体" w:cs="宋体"/>
          <w:color w:val="auto"/>
          <w:spacing w:val="7"/>
          <w:sz w:val="21"/>
          <w:szCs w:val="21"/>
          <w:lang w:val="en-US" w:eastAsia="zh-CN"/>
        </w:rPr>
        <w:t>.乙方提供货物的保修期</w:t>
      </w:r>
      <w:r>
        <w:rPr>
          <w:rFonts w:hint="eastAsia" w:ascii="宋体" w:hAnsi="宋体" w:eastAsia="宋体" w:cs="宋体"/>
          <w:color w:val="auto"/>
          <w:spacing w:val="7"/>
          <w:sz w:val="21"/>
          <w:szCs w:val="21"/>
        </w:rPr>
        <w:t>按国家有关产品“三包”规定执行“三包”，免费保修期最短不</w:t>
      </w:r>
      <w:r>
        <w:rPr>
          <w:rFonts w:hint="eastAsia" w:ascii="宋体" w:hAnsi="宋体" w:eastAsia="宋体" w:cs="宋体"/>
          <w:color w:val="auto"/>
          <w:spacing w:val="6"/>
          <w:sz w:val="21"/>
          <w:szCs w:val="21"/>
        </w:rPr>
        <w:t>得少于1年（免费保修期自货物安</w:t>
      </w:r>
      <w:r>
        <w:rPr>
          <w:rFonts w:hint="eastAsia" w:ascii="宋体" w:hAnsi="宋体" w:eastAsia="宋体" w:cs="宋体"/>
          <w:color w:val="auto"/>
          <w:spacing w:val="9"/>
          <w:sz w:val="21"/>
          <w:szCs w:val="21"/>
        </w:rPr>
        <w:t>装调试并在验收合格之日起计算</w:t>
      </w:r>
      <w:r>
        <w:rPr>
          <w:rFonts w:hint="eastAsia" w:ascii="宋体" w:hAnsi="宋体" w:eastAsia="宋体" w:cs="宋体"/>
          <w:color w:val="auto"/>
          <w:spacing w:val="26"/>
          <w:sz w:val="21"/>
          <w:szCs w:val="21"/>
        </w:rPr>
        <w:t>），</w:t>
      </w:r>
      <w:r>
        <w:rPr>
          <w:rFonts w:hint="eastAsia" w:ascii="宋体" w:hAnsi="宋体" w:eastAsia="宋体" w:cs="宋体"/>
          <w:color w:val="auto"/>
          <w:spacing w:val="9"/>
          <w:sz w:val="21"/>
          <w:szCs w:val="21"/>
        </w:rPr>
        <w:t>免费保修期内：免费上门维修、更换配件；免费送货上门、安装、调</w:t>
      </w:r>
      <w:r>
        <w:rPr>
          <w:rFonts w:hint="eastAsia" w:ascii="宋体" w:hAnsi="宋体" w:eastAsia="宋体" w:cs="宋体"/>
          <w:color w:val="auto"/>
          <w:spacing w:val="8"/>
          <w:sz w:val="21"/>
          <w:szCs w:val="21"/>
        </w:rPr>
        <w:t>试，免费培训维护人员。厂家规定保修期超过前述标准的，按厂家规定，“采购需求”有规定的，按规定执行。</w:t>
      </w:r>
    </w:p>
    <w:p w14:paraId="0FB11A8C">
      <w:pPr>
        <w:pStyle w:val="8"/>
        <w:keepNext w:val="0"/>
        <w:keepLines w:val="0"/>
        <w:pageBreakBefore w:val="0"/>
        <w:widowControl/>
        <w:kinsoku w:val="0"/>
        <w:wordWrap/>
        <w:overflowPunct/>
        <w:topLinePunct w:val="0"/>
        <w:autoSpaceDE/>
        <w:autoSpaceDN/>
        <w:bidi w:val="0"/>
        <w:adjustRightInd w:val="0"/>
        <w:snapToGrid w:val="0"/>
        <w:spacing w:line="360" w:lineRule="exact"/>
        <w:ind w:left="11" w:right="157" w:firstLine="456" w:firstLineChars="200"/>
        <w:jc w:val="both"/>
        <w:textAlignment w:val="baseline"/>
        <w:rPr>
          <w:rFonts w:hint="eastAsia" w:ascii="宋体" w:hAnsi="宋体" w:eastAsia="宋体" w:cs="宋体"/>
          <w:color w:val="auto"/>
          <w:spacing w:val="7"/>
          <w:sz w:val="21"/>
          <w:szCs w:val="21"/>
          <w:lang w:eastAsia="zh-CN"/>
        </w:rPr>
      </w:pPr>
      <w:r>
        <w:rPr>
          <w:rFonts w:hint="eastAsia" w:ascii="宋体" w:hAnsi="宋体" w:eastAsia="宋体" w:cs="宋体"/>
          <w:color w:val="auto"/>
          <w:spacing w:val="9"/>
          <w:sz w:val="21"/>
          <w:szCs w:val="21"/>
        </w:rPr>
        <w:t>2</w:t>
      </w:r>
      <w:r>
        <w:rPr>
          <w:rFonts w:hint="eastAsia" w:ascii="宋体" w:hAnsi="宋体" w:eastAsia="宋体" w:cs="宋体"/>
          <w:color w:val="auto"/>
          <w:spacing w:val="9"/>
          <w:sz w:val="21"/>
          <w:szCs w:val="21"/>
          <w:lang w:val="en-US" w:eastAsia="zh-CN"/>
        </w:rPr>
        <w:t>.乙方应当提供每周7天、每天24小时的电话支持服务。乙方接到甲方保修通知后2个小时内响应，12个小时内到达现场排除故障。货物出现重大故障或维修时限超过2日的，乙方应在24个小时内免费更换备品备件。并保证后续的正常测量和数据正常传输，所涉及备机须由乙方自行提供。</w:t>
      </w:r>
    </w:p>
    <w:p w14:paraId="1308E7B5">
      <w:pPr>
        <w:pStyle w:val="8"/>
        <w:keepNext w:val="0"/>
        <w:keepLines w:val="0"/>
        <w:pageBreakBefore w:val="0"/>
        <w:widowControl/>
        <w:kinsoku w:val="0"/>
        <w:wordWrap/>
        <w:overflowPunct/>
        <w:topLinePunct w:val="0"/>
        <w:autoSpaceDE/>
        <w:autoSpaceDN/>
        <w:bidi w:val="0"/>
        <w:adjustRightInd w:val="0"/>
        <w:snapToGrid w:val="0"/>
        <w:spacing w:line="360" w:lineRule="exact"/>
        <w:ind w:left="11" w:right="157" w:firstLine="448" w:firstLineChars="200"/>
        <w:jc w:val="both"/>
        <w:textAlignment w:val="baseline"/>
        <w:rPr>
          <w:rFonts w:hint="eastAsia" w:ascii="宋体" w:hAnsi="宋体" w:eastAsia="宋体" w:cs="宋体"/>
          <w:color w:val="auto"/>
          <w:spacing w:val="7"/>
          <w:sz w:val="21"/>
          <w:szCs w:val="21"/>
          <w:lang w:eastAsia="zh-CN"/>
        </w:rPr>
      </w:pPr>
      <w:r>
        <w:rPr>
          <w:rFonts w:hint="eastAsia" w:ascii="宋体" w:hAnsi="宋体" w:eastAsia="宋体" w:cs="宋体"/>
          <w:color w:val="auto"/>
          <w:spacing w:val="7"/>
          <w:sz w:val="21"/>
          <w:szCs w:val="21"/>
          <w:lang w:eastAsia="zh-CN"/>
        </w:rPr>
        <w:t>3</w:t>
      </w:r>
      <w:r>
        <w:rPr>
          <w:rFonts w:hint="eastAsia" w:ascii="宋体" w:hAnsi="宋体" w:eastAsia="宋体" w:cs="宋体"/>
          <w:color w:val="auto"/>
          <w:spacing w:val="7"/>
          <w:sz w:val="21"/>
          <w:szCs w:val="21"/>
          <w:lang w:val="en-US" w:eastAsia="zh-CN"/>
        </w:rPr>
        <w:t>.</w:t>
      </w:r>
      <w:r>
        <w:rPr>
          <w:rFonts w:hint="eastAsia" w:ascii="宋体" w:hAnsi="宋体" w:eastAsia="宋体" w:cs="宋体"/>
          <w:color w:val="auto"/>
          <w:spacing w:val="7"/>
          <w:sz w:val="21"/>
          <w:szCs w:val="21"/>
          <w:lang w:eastAsia="zh-CN"/>
        </w:rPr>
        <w:t>对于质保期内同一站点同一设备连续故障时长≥72小时次数达到2次（含2次）的，乙方需直接更换相应设备。乙方未按约定更换设备的，每逾期一日按</w:t>
      </w:r>
      <w:r>
        <w:rPr>
          <w:rFonts w:hint="eastAsia" w:ascii="宋体" w:hAnsi="宋体" w:eastAsia="宋体" w:cs="宋体"/>
          <w:color w:val="auto"/>
          <w:spacing w:val="7"/>
          <w:sz w:val="21"/>
          <w:szCs w:val="21"/>
          <w:lang w:val="en-US" w:eastAsia="zh-CN"/>
        </w:rPr>
        <w:t>合同金额</w:t>
      </w:r>
      <w:r>
        <w:rPr>
          <w:rFonts w:hint="eastAsia" w:ascii="宋体" w:hAnsi="宋体" w:eastAsia="宋体" w:cs="宋体"/>
          <w:color w:val="auto"/>
          <w:spacing w:val="7"/>
          <w:sz w:val="21"/>
          <w:szCs w:val="21"/>
          <w:lang w:eastAsia="zh-CN"/>
        </w:rPr>
        <w:t>的</w:t>
      </w:r>
      <w:r>
        <w:rPr>
          <w:rFonts w:hint="eastAsia" w:ascii="宋体" w:hAnsi="宋体" w:eastAsia="宋体" w:cs="宋体"/>
          <w:color w:val="auto"/>
          <w:spacing w:val="7"/>
          <w:sz w:val="21"/>
          <w:szCs w:val="21"/>
          <w:lang w:val="en-US" w:eastAsia="zh-CN"/>
        </w:rPr>
        <w:t>0.</w:t>
      </w:r>
      <w:r>
        <w:rPr>
          <w:rFonts w:hint="eastAsia" w:ascii="宋体" w:hAnsi="宋体" w:eastAsia="宋体" w:cs="宋体"/>
          <w:color w:val="auto"/>
          <w:spacing w:val="7"/>
          <w:sz w:val="21"/>
          <w:szCs w:val="21"/>
          <w:lang w:eastAsia="zh-CN"/>
        </w:rPr>
        <w:t>1%向甲方支付违约金。</w:t>
      </w:r>
    </w:p>
    <w:p w14:paraId="45E9F597">
      <w:pPr>
        <w:pStyle w:val="8"/>
        <w:keepNext w:val="0"/>
        <w:keepLines w:val="0"/>
        <w:pageBreakBefore w:val="0"/>
        <w:widowControl/>
        <w:kinsoku w:val="0"/>
        <w:wordWrap/>
        <w:overflowPunct/>
        <w:topLinePunct w:val="0"/>
        <w:autoSpaceDE/>
        <w:autoSpaceDN/>
        <w:bidi w:val="0"/>
        <w:adjustRightInd w:val="0"/>
        <w:snapToGrid w:val="0"/>
        <w:spacing w:line="360" w:lineRule="exact"/>
        <w:ind w:left="11" w:right="157" w:firstLine="448" w:firstLineChars="200"/>
        <w:jc w:val="both"/>
        <w:textAlignment w:val="baseline"/>
        <w:rPr>
          <w:rFonts w:hint="eastAsia" w:ascii="宋体" w:hAnsi="宋体" w:eastAsia="宋体" w:cs="宋体"/>
          <w:color w:val="auto"/>
          <w:spacing w:val="7"/>
          <w:sz w:val="21"/>
          <w:szCs w:val="21"/>
          <w:lang w:eastAsia="zh-CN"/>
        </w:rPr>
      </w:pPr>
      <w:r>
        <w:rPr>
          <w:rFonts w:hint="eastAsia" w:ascii="宋体" w:hAnsi="宋体" w:eastAsia="宋体" w:cs="宋体"/>
          <w:color w:val="auto"/>
          <w:spacing w:val="7"/>
          <w:sz w:val="21"/>
          <w:szCs w:val="21"/>
          <w:lang w:eastAsia="zh-CN"/>
        </w:rPr>
        <w:t>4</w:t>
      </w:r>
      <w:r>
        <w:rPr>
          <w:rFonts w:hint="eastAsia" w:ascii="宋体" w:hAnsi="宋体" w:eastAsia="宋体" w:cs="宋体"/>
          <w:color w:val="auto"/>
          <w:spacing w:val="7"/>
          <w:sz w:val="21"/>
          <w:szCs w:val="21"/>
          <w:lang w:val="en-US" w:eastAsia="zh-CN"/>
        </w:rPr>
        <w:t>.</w:t>
      </w:r>
      <w:r>
        <w:rPr>
          <w:rFonts w:hint="eastAsia" w:ascii="宋体" w:hAnsi="宋体" w:eastAsia="宋体" w:cs="宋体"/>
          <w:color w:val="auto"/>
          <w:spacing w:val="7"/>
          <w:sz w:val="21"/>
          <w:szCs w:val="21"/>
          <w:lang w:eastAsia="zh-CN"/>
        </w:rPr>
        <w:t>质保期结束后，甲方将组织对所有更新改造设备进行仪器性能测试，测试不合格的设备，乙方需更换新设备，并满足性能测试要求。性能测试依据甲方提供的相关文件要求开展。所有测试合格后交付仪器给甲方。</w:t>
      </w:r>
    </w:p>
    <w:p w14:paraId="0C19B6F3">
      <w:pPr>
        <w:pStyle w:val="8"/>
        <w:keepNext w:val="0"/>
        <w:keepLines w:val="0"/>
        <w:pageBreakBefore w:val="0"/>
        <w:widowControl/>
        <w:kinsoku w:val="0"/>
        <w:wordWrap/>
        <w:overflowPunct/>
        <w:topLinePunct w:val="0"/>
        <w:autoSpaceDE/>
        <w:autoSpaceDN/>
        <w:bidi w:val="0"/>
        <w:adjustRightInd w:val="0"/>
        <w:snapToGrid w:val="0"/>
        <w:spacing w:line="360" w:lineRule="exact"/>
        <w:ind w:left="11" w:right="157" w:firstLine="448" w:firstLineChars="200"/>
        <w:jc w:val="both"/>
        <w:textAlignment w:val="baseline"/>
        <w:rPr>
          <w:rFonts w:hint="default"/>
          <w:color w:val="auto"/>
          <w:lang w:val="en-US" w:eastAsia="zh-CN"/>
        </w:rPr>
      </w:pPr>
      <w:r>
        <w:rPr>
          <w:rFonts w:hint="eastAsia" w:ascii="宋体" w:hAnsi="宋体" w:eastAsia="宋体" w:cs="宋体"/>
          <w:color w:val="auto"/>
          <w:spacing w:val="7"/>
          <w:sz w:val="21"/>
          <w:szCs w:val="21"/>
          <w:lang w:val="en-US" w:eastAsia="zh-CN"/>
        </w:rPr>
        <w:t>5.本合同项下两个水站的运维服务，应按照采购文件规定的服务范围、服务内容、服务标准及要求执行。乙方在响应文件中对运维服务所作承诺优于采购文件要求的，以乙方响应文件中的相应承诺为准，乙方应全面履行。</w:t>
      </w:r>
    </w:p>
    <w:p w14:paraId="2A9B2CB9">
      <w:pPr>
        <w:pStyle w:val="8"/>
        <w:keepNext w:val="0"/>
        <w:keepLines w:val="0"/>
        <w:pageBreakBefore w:val="0"/>
        <w:widowControl/>
        <w:kinsoku w:val="0"/>
        <w:wordWrap/>
        <w:overflowPunct/>
        <w:topLinePunct w:val="0"/>
        <w:autoSpaceDE/>
        <w:autoSpaceDN/>
        <w:bidi w:val="0"/>
        <w:adjustRightInd w:val="0"/>
        <w:snapToGrid w:val="0"/>
        <w:spacing w:line="360" w:lineRule="exact"/>
        <w:ind w:left="0" w:firstLine="442" w:firstLineChars="200"/>
        <w:jc w:val="both"/>
        <w:textAlignment w:val="baseline"/>
        <w:outlineLvl w:val="1"/>
        <w:rPr>
          <w:rFonts w:hint="eastAsia" w:ascii="宋体" w:hAnsi="宋体" w:eastAsia="宋体" w:cs="宋体"/>
          <w:color w:val="auto"/>
          <w:sz w:val="21"/>
          <w:szCs w:val="21"/>
        </w:rPr>
      </w:pPr>
      <w:bookmarkStart w:id="24" w:name="bookmark83"/>
      <w:bookmarkEnd w:id="24"/>
      <w:r>
        <w:rPr>
          <w:rFonts w:hint="eastAsia" w:ascii="宋体" w:hAnsi="宋体" w:eastAsia="宋体" w:cs="宋体"/>
          <w:b/>
          <w:bCs/>
          <w:color w:val="auto"/>
          <w:spacing w:val="5"/>
          <w:sz w:val="21"/>
          <w:szCs w:val="21"/>
        </w:rPr>
        <w:t>第九条</w:t>
      </w:r>
      <w:r>
        <w:rPr>
          <w:rFonts w:hint="eastAsia" w:ascii="宋体" w:hAnsi="宋体" w:eastAsia="宋体" w:cs="宋体"/>
          <w:color w:val="auto"/>
          <w:spacing w:val="9"/>
          <w:sz w:val="21"/>
          <w:szCs w:val="21"/>
        </w:rPr>
        <w:t xml:space="preserve">  </w:t>
      </w:r>
      <w:r>
        <w:rPr>
          <w:rFonts w:hint="eastAsia" w:ascii="宋体" w:hAnsi="宋体" w:eastAsia="宋体" w:cs="宋体"/>
          <w:b/>
          <w:bCs/>
          <w:color w:val="auto"/>
          <w:spacing w:val="5"/>
          <w:sz w:val="21"/>
          <w:szCs w:val="21"/>
        </w:rPr>
        <w:t>税费</w:t>
      </w:r>
    </w:p>
    <w:p w14:paraId="1DD4EC8D">
      <w:pPr>
        <w:pStyle w:val="8"/>
        <w:keepNext w:val="0"/>
        <w:keepLines w:val="0"/>
        <w:pageBreakBefore w:val="0"/>
        <w:widowControl/>
        <w:kinsoku w:val="0"/>
        <w:wordWrap/>
        <w:overflowPunct/>
        <w:topLinePunct w:val="0"/>
        <w:autoSpaceDE/>
        <w:autoSpaceDN/>
        <w:bidi w:val="0"/>
        <w:adjustRightInd w:val="0"/>
        <w:snapToGrid w:val="0"/>
        <w:spacing w:line="360" w:lineRule="exact"/>
        <w:ind w:left="0" w:firstLine="452" w:firstLineChars="200"/>
        <w:jc w:val="both"/>
        <w:textAlignment w:val="baseline"/>
        <w:rPr>
          <w:rFonts w:hint="eastAsia" w:ascii="宋体" w:hAnsi="宋体" w:eastAsia="宋体" w:cs="宋体"/>
          <w:b/>
          <w:bCs/>
          <w:color w:val="auto"/>
          <w:spacing w:val="6"/>
          <w:sz w:val="21"/>
          <w:szCs w:val="21"/>
        </w:rPr>
      </w:pPr>
      <w:r>
        <w:rPr>
          <w:rFonts w:hint="eastAsia" w:ascii="宋体" w:hAnsi="宋体" w:eastAsia="宋体" w:cs="宋体"/>
          <w:color w:val="auto"/>
          <w:spacing w:val="8"/>
          <w:sz w:val="21"/>
          <w:szCs w:val="21"/>
        </w:rPr>
        <w:t>本合同执行中相关的一切税费均由乙方负担。</w:t>
      </w:r>
      <w:bookmarkStart w:id="25" w:name="bookmark63"/>
      <w:bookmarkEnd w:id="25"/>
      <w:bookmarkStart w:id="26" w:name="bookmark62"/>
      <w:bookmarkEnd w:id="26"/>
    </w:p>
    <w:p w14:paraId="4366FC55">
      <w:pPr>
        <w:pStyle w:val="8"/>
        <w:keepNext w:val="0"/>
        <w:keepLines w:val="0"/>
        <w:pageBreakBefore w:val="0"/>
        <w:widowControl/>
        <w:kinsoku w:val="0"/>
        <w:wordWrap/>
        <w:overflowPunct/>
        <w:topLinePunct w:val="0"/>
        <w:autoSpaceDE/>
        <w:autoSpaceDN/>
        <w:bidi w:val="0"/>
        <w:adjustRightInd w:val="0"/>
        <w:snapToGrid w:val="0"/>
        <w:spacing w:line="360" w:lineRule="exact"/>
        <w:ind w:left="0" w:firstLine="446" w:firstLineChars="200"/>
        <w:jc w:val="both"/>
        <w:textAlignment w:val="baseline"/>
        <w:outlineLvl w:val="1"/>
        <w:rPr>
          <w:rFonts w:hint="eastAsia" w:ascii="宋体" w:hAnsi="宋体" w:eastAsia="宋体" w:cs="宋体"/>
          <w:color w:val="auto"/>
          <w:sz w:val="21"/>
          <w:szCs w:val="21"/>
        </w:rPr>
      </w:pPr>
      <w:r>
        <w:rPr>
          <w:rFonts w:hint="eastAsia" w:ascii="宋体" w:hAnsi="宋体" w:eastAsia="宋体" w:cs="宋体"/>
          <w:b/>
          <w:bCs/>
          <w:color w:val="auto"/>
          <w:spacing w:val="6"/>
          <w:sz w:val="21"/>
          <w:szCs w:val="21"/>
        </w:rPr>
        <w:t>第十条</w:t>
      </w:r>
      <w:r>
        <w:rPr>
          <w:rFonts w:hint="eastAsia" w:ascii="宋体" w:hAnsi="宋体" w:eastAsia="宋体" w:cs="宋体"/>
          <w:color w:val="auto"/>
          <w:spacing w:val="6"/>
          <w:sz w:val="21"/>
          <w:szCs w:val="21"/>
        </w:rPr>
        <w:t xml:space="preserve">  </w:t>
      </w:r>
      <w:r>
        <w:rPr>
          <w:rFonts w:hint="eastAsia" w:ascii="宋体" w:hAnsi="宋体" w:eastAsia="宋体" w:cs="宋体"/>
          <w:b/>
          <w:bCs/>
          <w:color w:val="auto"/>
          <w:spacing w:val="6"/>
          <w:sz w:val="21"/>
          <w:szCs w:val="21"/>
          <w:highlight w:val="none"/>
        </w:rPr>
        <w:t>付款方式</w:t>
      </w:r>
    </w:p>
    <w:p w14:paraId="5BACACC2">
      <w:pPr>
        <w:pStyle w:val="8"/>
        <w:keepNext w:val="0"/>
        <w:keepLines w:val="0"/>
        <w:pageBreakBefore w:val="0"/>
        <w:widowControl/>
        <w:kinsoku w:val="0"/>
        <w:wordWrap/>
        <w:overflowPunct/>
        <w:topLinePunct w:val="0"/>
        <w:autoSpaceDE/>
        <w:autoSpaceDN/>
        <w:bidi w:val="0"/>
        <w:adjustRightInd w:val="0"/>
        <w:snapToGrid w:val="0"/>
        <w:spacing w:line="360" w:lineRule="exact"/>
        <w:ind w:firstLine="456" w:firstLineChars="200"/>
        <w:jc w:val="both"/>
        <w:textAlignment w:val="baseline"/>
        <w:outlineLvl w:val="9"/>
        <w:rPr>
          <w:rFonts w:hint="eastAsia" w:ascii="宋体" w:hAnsi="宋体" w:eastAsia="宋体" w:cs="宋体"/>
          <w:color w:val="auto"/>
          <w:spacing w:val="9"/>
          <w:sz w:val="21"/>
          <w:szCs w:val="21"/>
        </w:rPr>
      </w:pPr>
      <w:r>
        <w:rPr>
          <w:rFonts w:hint="eastAsia" w:ascii="宋体" w:hAnsi="宋体" w:eastAsia="宋体" w:cs="宋体"/>
          <w:color w:val="auto"/>
          <w:spacing w:val="9"/>
          <w:sz w:val="21"/>
          <w:szCs w:val="21"/>
        </w:rPr>
        <w:t>1.1乙方提交全部改造方案并经甲方书面确认后10个工作日内</w:t>
      </w:r>
      <w:r>
        <w:rPr>
          <w:rFonts w:hint="eastAsia" w:ascii="宋体" w:hAnsi="宋体" w:eastAsia="宋体" w:cs="宋体"/>
          <w:color w:val="auto"/>
          <w:spacing w:val="9"/>
          <w:sz w:val="21"/>
          <w:szCs w:val="21"/>
          <w:lang w:eastAsia="zh-CN"/>
        </w:rPr>
        <w:t>，甲方</w:t>
      </w:r>
      <w:r>
        <w:rPr>
          <w:rFonts w:hint="eastAsia" w:ascii="宋体" w:hAnsi="宋体" w:eastAsia="宋体" w:cs="宋体"/>
          <w:color w:val="auto"/>
          <w:spacing w:val="9"/>
          <w:sz w:val="21"/>
          <w:szCs w:val="21"/>
          <w:lang w:val="en-US" w:eastAsia="zh-CN"/>
        </w:rPr>
        <w:t>向乙方</w:t>
      </w:r>
      <w:r>
        <w:rPr>
          <w:rFonts w:hint="eastAsia" w:ascii="宋体" w:hAnsi="宋体" w:eastAsia="宋体" w:cs="宋体"/>
          <w:color w:val="auto"/>
          <w:spacing w:val="9"/>
          <w:sz w:val="21"/>
          <w:szCs w:val="21"/>
        </w:rPr>
        <w:t>预付40%合同款</w:t>
      </w:r>
      <w:r>
        <w:rPr>
          <w:rFonts w:hint="eastAsia" w:ascii="宋体" w:hAnsi="宋体" w:eastAsia="宋体" w:cs="宋体"/>
          <w:color w:val="auto"/>
          <w:spacing w:val="9"/>
          <w:sz w:val="21"/>
          <w:szCs w:val="21"/>
          <w:lang w:eastAsia="zh-CN"/>
        </w:rPr>
        <w:t>，乙方在收到甲方预付款</w:t>
      </w:r>
      <w:r>
        <w:rPr>
          <w:rFonts w:hint="eastAsia" w:ascii="宋体" w:hAnsi="宋体" w:eastAsia="宋体" w:cs="宋体"/>
          <w:color w:val="auto"/>
          <w:spacing w:val="9"/>
          <w:sz w:val="21"/>
          <w:szCs w:val="21"/>
          <w:lang w:val="en-US" w:eastAsia="zh-CN"/>
        </w:rPr>
        <w:t>5个工作日内开具合同总额40%的发票。货物到达甲方指定地点，甲方对货物初步验收合格</w:t>
      </w:r>
      <w:r>
        <w:rPr>
          <w:rFonts w:hint="eastAsia" w:ascii="宋体" w:hAnsi="宋体" w:eastAsia="宋体" w:cs="宋体"/>
          <w:color w:val="auto"/>
          <w:spacing w:val="9"/>
          <w:sz w:val="21"/>
          <w:szCs w:val="21"/>
          <w:lang w:eastAsia="zh-CN"/>
        </w:rPr>
        <w:t>，乙方</w:t>
      </w:r>
      <w:r>
        <w:rPr>
          <w:rFonts w:hint="eastAsia" w:ascii="宋体" w:hAnsi="宋体" w:eastAsia="宋体" w:cs="宋体"/>
          <w:color w:val="auto"/>
          <w:spacing w:val="9"/>
          <w:sz w:val="21"/>
          <w:szCs w:val="21"/>
        </w:rPr>
        <w:t>委托银行托管60%合同款的运维经费后，</w:t>
      </w:r>
      <w:r>
        <w:rPr>
          <w:rFonts w:hint="eastAsia" w:ascii="宋体" w:hAnsi="宋体" w:eastAsia="宋体" w:cs="宋体"/>
          <w:color w:val="auto"/>
          <w:spacing w:val="9"/>
          <w:sz w:val="21"/>
          <w:szCs w:val="21"/>
          <w:lang w:val="en-US" w:eastAsia="zh-CN"/>
        </w:rPr>
        <w:t>应</w:t>
      </w:r>
      <w:r>
        <w:rPr>
          <w:rFonts w:hint="eastAsia" w:ascii="宋体" w:hAnsi="宋体" w:eastAsia="宋体" w:cs="宋体"/>
          <w:color w:val="auto"/>
          <w:spacing w:val="9"/>
          <w:sz w:val="21"/>
          <w:szCs w:val="21"/>
        </w:rPr>
        <w:t>将银行凭证及合同</w:t>
      </w:r>
      <w:r>
        <w:rPr>
          <w:rFonts w:hint="eastAsia" w:ascii="宋体" w:hAnsi="宋体" w:eastAsia="宋体" w:cs="宋体"/>
          <w:color w:val="auto"/>
          <w:spacing w:val="9"/>
          <w:sz w:val="21"/>
          <w:szCs w:val="21"/>
          <w:lang w:eastAsia="zh-CN"/>
        </w:rPr>
        <w:t>总</w:t>
      </w:r>
      <w:r>
        <w:rPr>
          <w:rFonts w:hint="eastAsia" w:ascii="宋体" w:hAnsi="宋体" w:eastAsia="宋体" w:cs="宋体"/>
          <w:color w:val="auto"/>
          <w:spacing w:val="9"/>
          <w:sz w:val="21"/>
          <w:szCs w:val="21"/>
        </w:rPr>
        <w:t>额</w:t>
      </w:r>
      <w:r>
        <w:rPr>
          <w:rFonts w:hint="eastAsia" w:ascii="宋体" w:hAnsi="宋体" w:eastAsia="宋体" w:cs="宋体"/>
          <w:color w:val="auto"/>
          <w:spacing w:val="9"/>
          <w:sz w:val="21"/>
          <w:szCs w:val="21"/>
          <w:lang w:val="en-US" w:eastAsia="zh-CN"/>
        </w:rPr>
        <w:t>60%的</w:t>
      </w:r>
      <w:r>
        <w:rPr>
          <w:rFonts w:hint="eastAsia" w:ascii="宋体" w:hAnsi="宋体" w:eastAsia="宋体" w:cs="宋体"/>
          <w:color w:val="auto"/>
          <w:spacing w:val="9"/>
          <w:sz w:val="21"/>
          <w:szCs w:val="21"/>
        </w:rPr>
        <w:t>发票</w:t>
      </w:r>
      <w:r>
        <w:rPr>
          <w:rFonts w:hint="eastAsia" w:ascii="宋体" w:hAnsi="宋体" w:eastAsia="宋体" w:cs="宋体"/>
          <w:color w:val="auto"/>
          <w:spacing w:val="9"/>
          <w:sz w:val="21"/>
          <w:szCs w:val="21"/>
          <w:lang w:val="en-US" w:eastAsia="zh-CN"/>
        </w:rPr>
        <w:t>提</w:t>
      </w:r>
      <w:r>
        <w:rPr>
          <w:rFonts w:hint="eastAsia" w:ascii="宋体" w:hAnsi="宋体" w:eastAsia="宋体" w:cs="宋体"/>
          <w:color w:val="auto"/>
          <w:spacing w:val="9"/>
          <w:sz w:val="21"/>
          <w:szCs w:val="21"/>
        </w:rPr>
        <w:t>交</w:t>
      </w:r>
      <w:r>
        <w:rPr>
          <w:rFonts w:hint="eastAsia" w:ascii="宋体" w:hAnsi="宋体" w:eastAsia="宋体" w:cs="宋体"/>
          <w:color w:val="auto"/>
          <w:spacing w:val="9"/>
          <w:sz w:val="21"/>
          <w:szCs w:val="21"/>
          <w:lang w:eastAsia="zh-CN"/>
        </w:rPr>
        <w:t>甲方</w:t>
      </w:r>
      <w:r>
        <w:rPr>
          <w:rFonts w:hint="eastAsia" w:ascii="宋体" w:hAnsi="宋体" w:eastAsia="宋体" w:cs="宋体"/>
          <w:color w:val="auto"/>
          <w:spacing w:val="9"/>
          <w:sz w:val="21"/>
          <w:szCs w:val="21"/>
        </w:rPr>
        <w:t>，</w:t>
      </w:r>
      <w:r>
        <w:rPr>
          <w:rFonts w:hint="eastAsia" w:ascii="宋体" w:hAnsi="宋体" w:eastAsia="宋体" w:cs="宋体"/>
          <w:color w:val="auto"/>
          <w:spacing w:val="9"/>
          <w:sz w:val="21"/>
          <w:szCs w:val="21"/>
          <w:lang w:eastAsia="zh-CN"/>
        </w:rPr>
        <w:t>甲方</w:t>
      </w:r>
      <w:r>
        <w:rPr>
          <w:rFonts w:hint="eastAsia" w:ascii="宋体" w:hAnsi="宋体" w:eastAsia="宋体" w:cs="宋体"/>
          <w:color w:val="auto"/>
          <w:spacing w:val="9"/>
          <w:sz w:val="21"/>
          <w:szCs w:val="21"/>
          <w:lang w:val="en-US" w:eastAsia="zh-CN"/>
        </w:rPr>
        <w:t>据此</w:t>
      </w:r>
      <w:r>
        <w:rPr>
          <w:rFonts w:hint="eastAsia" w:ascii="宋体" w:hAnsi="宋体" w:eastAsia="宋体" w:cs="宋体"/>
          <w:color w:val="auto"/>
          <w:spacing w:val="9"/>
          <w:sz w:val="21"/>
          <w:szCs w:val="21"/>
        </w:rPr>
        <w:t>拨付60%合同款给</w:t>
      </w:r>
      <w:r>
        <w:rPr>
          <w:rFonts w:hint="eastAsia" w:ascii="宋体" w:hAnsi="宋体" w:eastAsia="宋体" w:cs="宋体"/>
          <w:color w:val="auto"/>
          <w:spacing w:val="9"/>
          <w:sz w:val="21"/>
          <w:szCs w:val="21"/>
          <w:lang w:eastAsia="zh-CN"/>
        </w:rPr>
        <w:t>乙方</w:t>
      </w:r>
      <w:r>
        <w:rPr>
          <w:rFonts w:hint="eastAsia" w:ascii="宋体" w:hAnsi="宋体" w:eastAsia="宋体" w:cs="宋体"/>
          <w:color w:val="auto"/>
          <w:spacing w:val="9"/>
          <w:sz w:val="21"/>
          <w:szCs w:val="21"/>
        </w:rPr>
        <w:t>。</w:t>
      </w:r>
      <w:r>
        <w:rPr>
          <w:rFonts w:hint="eastAsia" w:ascii="宋体" w:hAnsi="宋体" w:eastAsia="宋体" w:cs="宋体"/>
          <w:color w:val="auto"/>
          <w:spacing w:val="9"/>
          <w:sz w:val="21"/>
          <w:szCs w:val="21"/>
          <w:lang w:eastAsia="zh-CN"/>
        </w:rPr>
        <w:t>甲方</w:t>
      </w:r>
      <w:r>
        <w:rPr>
          <w:rFonts w:hint="eastAsia" w:ascii="宋体" w:hAnsi="宋体" w:eastAsia="宋体" w:cs="宋体"/>
          <w:color w:val="auto"/>
          <w:spacing w:val="9"/>
          <w:sz w:val="21"/>
          <w:szCs w:val="21"/>
        </w:rPr>
        <w:t>将银行代管60%合同款的运维经费以运维服务</w:t>
      </w:r>
      <w:r>
        <w:rPr>
          <w:rFonts w:hint="eastAsia" w:ascii="宋体" w:hAnsi="宋体" w:eastAsia="宋体" w:cs="宋体"/>
          <w:color w:val="auto"/>
          <w:spacing w:val="9"/>
          <w:sz w:val="21"/>
          <w:szCs w:val="21"/>
          <w:lang w:val="en-US" w:eastAsia="zh-CN"/>
        </w:rPr>
        <w:t>期限</w:t>
      </w:r>
      <w:r>
        <w:rPr>
          <w:rFonts w:hint="eastAsia" w:ascii="宋体" w:hAnsi="宋体" w:eastAsia="宋体" w:cs="宋体"/>
          <w:color w:val="auto"/>
          <w:spacing w:val="9"/>
          <w:sz w:val="21"/>
          <w:szCs w:val="21"/>
        </w:rPr>
        <w:t>分</w:t>
      </w:r>
      <w:r>
        <w:rPr>
          <w:rFonts w:hint="eastAsia" w:ascii="宋体" w:hAnsi="宋体" w:eastAsia="宋体" w:cs="宋体"/>
          <w:color w:val="auto"/>
          <w:spacing w:val="9"/>
          <w:sz w:val="21"/>
          <w:szCs w:val="21"/>
          <w:lang w:val="en-US" w:eastAsia="zh-CN"/>
        </w:rPr>
        <w:t>期</w:t>
      </w:r>
      <w:r>
        <w:rPr>
          <w:rFonts w:hint="eastAsia" w:ascii="宋体" w:hAnsi="宋体" w:eastAsia="宋体" w:cs="宋体"/>
          <w:color w:val="auto"/>
          <w:spacing w:val="9"/>
          <w:sz w:val="21"/>
          <w:szCs w:val="21"/>
        </w:rPr>
        <w:t>结算，</w:t>
      </w:r>
      <w:r>
        <w:rPr>
          <w:rFonts w:hint="eastAsia" w:ascii="宋体" w:hAnsi="宋体" w:eastAsia="宋体" w:cs="宋体"/>
          <w:color w:val="auto"/>
          <w:spacing w:val="9"/>
          <w:sz w:val="21"/>
          <w:szCs w:val="21"/>
          <w:lang w:val="en-US" w:eastAsia="zh-CN"/>
        </w:rPr>
        <w:t>并</w:t>
      </w:r>
      <w:r>
        <w:rPr>
          <w:rFonts w:hint="eastAsia" w:ascii="宋体" w:hAnsi="宋体" w:eastAsia="宋体" w:cs="宋体"/>
          <w:color w:val="auto"/>
          <w:spacing w:val="9"/>
          <w:sz w:val="21"/>
          <w:szCs w:val="21"/>
        </w:rPr>
        <w:t>根据实际运维的考核</w:t>
      </w:r>
      <w:r>
        <w:rPr>
          <w:rFonts w:hint="eastAsia" w:ascii="宋体" w:hAnsi="宋体" w:eastAsia="宋体" w:cs="宋体"/>
          <w:color w:val="auto"/>
          <w:spacing w:val="9"/>
          <w:sz w:val="21"/>
          <w:szCs w:val="21"/>
          <w:lang w:val="en-US" w:eastAsia="zh-CN"/>
        </w:rPr>
        <w:t>结果</w:t>
      </w:r>
      <w:r>
        <w:rPr>
          <w:rFonts w:hint="eastAsia" w:ascii="宋体" w:hAnsi="宋体" w:eastAsia="宋体" w:cs="宋体"/>
          <w:color w:val="auto"/>
          <w:spacing w:val="9"/>
          <w:sz w:val="21"/>
          <w:szCs w:val="21"/>
        </w:rPr>
        <w:t>计算</w:t>
      </w:r>
      <w:r>
        <w:rPr>
          <w:rFonts w:hint="eastAsia" w:ascii="宋体" w:hAnsi="宋体" w:eastAsia="宋体" w:cs="宋体"/>
          <w:color w:val="auto"/>
          <w:spacing w:val="9"/>
          <w:sz w:val="21"/>
          <w:szCs w:val="21"/>
          <w:lang w:val="en-US" w:eastAsia="zh-CN"/>
        </w:rPr>
        <w:t>实际应付的</w:t>
      </w:r>
      <w:r>
        <w:rPr>
          <w:rFonts w:hint="eastAsia" w:ascii="宋体" w:hAnsi="宋体" w:eastAsia="宋体" w:cs="宋体"/>
          <w:color w:val="auto"/>
          <w:spacing w:val="9"/>
          <w:sz w:val="21"/>
          <w:szCs w:val="21"/>
        </w:rPr>
        <w:t>运维费，经</w:t>
      </w:r>
      <w:r>
        <w:rPr>
          <w:rFonts w:hint="eastAsia" w:ascii="宋体" w:hAnsi="宋体" w:eastAsia="宋体" w:cs="宋体"/>
          <w:color w:val="auto"/>
          <w:spacing w:val="9"/>
          <w:sz w:val="21"/>
          <w:szCs w:val="21"/>
          <w:lang w:eastAsia="zh-CN"/>
        </w:rPr>
        <w:t>甲方</w:t>
      </w:r>
      <w:r>
        <w:rPr>
          <w:rFonts w:hint="eastAsia" w:ascii="宋体" w:hAnsi="宋体" w:eastAsia="宋体" w:cs="宋体"/>
          <w:color w:val="auto"/>
          <w:spacing w:val="9"/>
          <w:sz w:val="21"/>
          <w:szCs w:val="21"/>
          <w:lang w:val="en-US" w:eastAsia="zh-CN"/>
        </w:rPr>
        <w:t>书面确认</w:t>
      </w:r>
      <w:r>
        <w:rPr>
          <w:rFonts w:hint="eastAsia" w:ascii="宋体" w:hAnsi="宋体" w:eastAsia="宋体" w:cs="宋体"/>
          <w:color w:val="auto"/>
          <w:spacing w:val="9"/>
          <w:sz w:val="21"/>
          <w:szCs w:val="21"/>
        </w:rPr>
        <w:t>后</w:t>
      </w:r>
      <w:r>
        <w:rPr>
          <w:rFonts w:hint="eastAsia" w:ascii="宋体" w:hAnsi="宋体" w:eastAsia="宋体" w:cs="宋体"/>
          <w:color w:val="auto"/>
          <w:spacing w:val="9"/>
          <w:sz w:val="21"/>
          <w:szCs w:val="21"/>
          <w:lang w:eastAsia="zh-CN"/>
        </w:rPr>
        <w:t>，</w:t>
      </w:r>
      <w:r>
        <w:rPr>
          <w:rFonts w:hint="eastAsia" w:ascii="宋体" w:hAnsi="宋体" w:eastAsia="宋体" w:cs="宋体"/>
          <w:color w:val="auto"/>
          <w:spacing w:val="9"/>
          <w:sz w:val="21"/>
          <w:szCs w:val="21"/>
        </w:rPr>
        <w:t>由银行每三个月代</w:t>
      </w:r>
      <w:r>
        <w:rPr>
          <w:rFonts w:hint="eastAsia" w:ascii="宋体" w:hAnsi="宋体" w:eastAsia="宋体" w:cs="宋体"/>
          <w:color w:val="auto"/>
          <w:spacing w:val="9"/>
          <w:sz w:val="21"/>
          <w:szCs w:val="21"/>
          <w:lang w:val="en-US" w:eastAsia="zh-CN"/>
        </w:rPr>
        <w:t>为</w:t>
      </w:r>
      <w:r>
        <w:rPr>
          <w:rFonts w:hint="eastAsia" w:ascii="宋体" w:hAnsi="宋体" w:eastAsia="宋体" w:cs="宋体"/>
          <w:color w:val="auto"/>
          <w:spacing w:val="9"/>
          <w:sz w:val="21"/>
          <w:szCs w:val="21"/>
        </w:rPr>
        <w:t>拨付实际运维经费</w:t>
      </w:r>
      <w:r>
        <w:rPr>
          <w:rFonts w:hint="eastAsia" w:ascii="宋体" w:hAnsi="宋体" w:eastAsia="宋体" w:cs="宋体"/>
          <w:color w:val="auto"/>
          <w:spacing w:val="9"/>
          <w:sz w:val="21"/>
          <w:szCs w:val="21"/>
          <w:lang w:eastAsia="zh-CN"/>
        </w:rPr>
        <w:t>（不超过合同总额的</w:t>
      </w:r>
      <w:r>
        <w:rPr>
          <w:rFonts w:hint="eastAsia" w:ascii="宋体" w:hAnsi="宋体" w:eastAsia="宋体" w:cs="宋体"/>
          <w:color w:val="auto"/>
          <w:spacing w:val="9"/>
          <w:sz w:val="21"/>
          <w:szCs w:val="21"/>
          <w:lang w:val="en-US" w:eastAsia="zh-CN"/>
        </w:rPr>
        <w:t>5%</w:t>
      </w:r>
      <w:r>
        <w:rPr>
          <w:rFonts w:hint="eastAsia" w:ascii="宋体" w:hAnsi="宋体" w:eastAsia="宋体" w:cs="宋体"/>
          <w:color w:val="auto"/>
          <w:spacing w:val="9"/>
          <w:sz w:val="21"/>
          <w:szCs w:val="21"/>
          <w:lang w:eastAsia="zh-CN"/>
        </w:rPr>
        <w:t>）</w:t>
      </w:r>
      <w:r>
        <w:rPr>
          <w:rFonts w:hint="eastAsia" w:ascii="宋体" w:hAnsi="宋体" w:eastAsia="宋体" w:cs="宋体"/>
          <w:color w:val="auto"/>
          <w:spacing w:val="9"/>
          <w:sz w:val="21"/>
          <w:szCs w:val="21"/>
        </w:rPr>
        <w:t>。每个运维考核周期考核不合格的，甲方有权扣除对应周期运维经费；连续两个考核周期考核不合格的，甲方有权单方解除运维服务相关约定，并要求乙方退还剩余未履约部分的运维经费。</w:t>
      </w:r>
      <w:r>
        <w:rPr>
          <w:rFonts w:hint="eastAsia" w:ascii="宋体" w:hAnsi="宋体" w:eastAsia="宋体" w:cs="宋体"/>
          <w:color w:val="auto"/>
          <w:spacing w:val="9"/>
          <w:sz w:val="21"/>
          <w:szCs w:val="21"/>
          <w:lang w:eastAsia="zh-CN"/>
        </w:rPr>
        <w:t>甲方</w:t>
      </w:r>
      <w:r>
        <w:rPr>
          <w:rFonts w:hint="eastAsia" w:ascii="宋体" w:hAnsi="宋体" w:eastAsia="宋体" w:cs="宋体"/>
          <w:color w:val="auto"/>
          <w:spacing w:val="9"/>
          <w:sz w:val="21"/>
          <w:szCs w:val="21"/>
        </w:rPr>
        <w:t>、</w:t>
      </w:r>
      <w:r>
        <w:rPr>
          <w:rFonts w:hint="eastAsia" w:ascii="宋体" w:hAnsi="宋体" w:eastAsia="宋体" w:cs="宋体"/>
          <w:color w:val="auto"/>
          <w:spacing w:val="9"/>
          <w:sz w:val="21"/>
          <w:szCs w:val="21"/>
          <w:lang w:eastAsia="zh-CN"/>
        </w:rPr>
        <w:t>乙方</w:t>
      </w:r>
      <w:r>
        <w:rPr>
          <w:rFonts w:hint="eastAsia" w:ascii="宋体" w:hAnsi="宋体" w:eastAsia="宋体" w:cs="宋体"/>
          <w:color w:val="auto"/>
          <w:spacing w:val="9"/>
          <w:sz w:val="21"/>
          <w:szCs w:val="21"/>
        </w:rPr>
        <w:t>、银行需同时签署三方协议。</w:t>
      </w:r>
      <w:r>
        <w:rPr>
          <w:rFonts w:hint="eastAsia" w:ascii="宋体" w:hAnsi="宋体" w:eastAsia="宋体" w:cs="宋体"/>
          <w:color w:val="auto"/>
          <w:spacing w:val="9"/>
          <w:sz w:val="21"/>
          <w:szCs w:val="21"/>
          <w:lang w:eastAsia="zh-CN"/>
        </w:rPr>
        <w:t>甲方</w:t>
      </w:r>
      <w:r>
        <w:rPr>
          <w:rFonts w:hint="eastAsia" w:ascii="宋体" w:hAnsi="宋体" w:eastAsia="宋体" w:cs="宋体"/>
          <w:color w:val="auto"/>
          <w:spacing w:val="9"/>
          <w:sz w:val="21"/>
          <w:szCs w:val="21"/>
        </w:rPr>
        <w:t>对</w:t>
      </w:r>
      <w:r>
        <w:rPr>
          <w:rFonts w:hint="eastAsia" w:ascii="宋体" w:hAnsi="宋体" w:eastAsia="宋体" w:cs="宋体"/>
          <w:color w:val="auto"/>
          <w:spacing w:val="9"/>
          <w:sz w:val="21"/>
          <w:szCs w:val="21"/>
          <w:lang w:val="en-US" w:eastAsia="zh-CN"/>
        </w:rPr>
        <w:t>乙</w:t>
      </w:r>
      <w:r>
        <w:rPr>
          <w:rFonts w:hint="eastAsia" w:ascii="宋体" w:hAnsi="宋体" w:eastAsia="宋体" w:cs="宋体"/>
          <w:color w:val="auto"/>
          <w:spacing w:val="9"/>
          <w:sz w:val="21"/>
          <w:szCs w:val="21"/>
          <w:lang w:eastAsia="zh-CN"/>
        </w:rPr>
        <w:t>方</w:t>
      </w:r>
      <w:r>
        <w:rPr>
          <w:rFonts w:hint="eastAsia" w:ascii="宋体" w:hAnsi="宋体" w:eastAsia="宋体" w:cs="宋体"/>
          <w:color w:val="auto"/>
          <w:spacing w:val="9"/>
          <w:sz w:val="21"/>
          <w:szCs w:val="21"/>
        </w:rPr>
        <w:t>的运维考核结果拥有最终解释权，考核结果需经</w:t>
      </w:r>
      <w:r>
        <w:rPr>
          <w:rFonts w:hint="eastAsia" w:ascii="宋体" w:hAnsi="宋体" w:eastAsia="宋体" w:cs="宋体"/>
          <w:color w:val="auto"/>
          <w:spacing w:val="9"/>
          <w:sz w:val="21"/>
          <w:szCs w:val="21"/>
          <w:lang w:eastAsia="zh-CN"/>
        </w:rPr>
        <w:t>甲方</w:t>
      </w:r>
      <w:r>
        <w:rPr>
          <w:rFonts w:hint="eastAsia" w:ascii="宋体" w:hAnsi="宋体" w:eastAsia="宋体" w:cs="宋体"/>
          <w:color w:val="auto"/>
          <w:spacing w:val="9"/>
          <w:sz w:val="21"/>
          <w:szCs w:val="21"/>
        </w:rPr>
        <w:t>书面确认方作为付款依据。乙方对考核结果有异议的，应在收到考核结果之日起7日内以书面形式向甲方提出；逾期未提出的，视为乙方认可该考核结果。</w:t>
      </w:r>
    </w:p>
    <w:p w14:paraId="620BA505">
      <w:pPr>
        <w:pStyle w:val="8"/>
        <w:keepNext w:val="0"/>
        <w:keepLines w:val="0"/>
        <w:pageBreakBefore w:val="0"/>
        <w:widowControl/>
        <w:kinsoku w:val="0"/>
        <w:wordWrap/>
        <w:overflowPunct/>
        <w:topLinePunct w:val="0"/>
        <w:autoSpaceDE/>
        <w:autoSpaceDN/>
        <w:bidi w:val="0"/>
        <w:adjustRightInd w:val="0"/>
        <w:snapToGrid w:val="0"/>
        <w:spacing w:line="360" w:lineRule="exact"/>
        <w:ind w:firstLine="456" w:firstLineChars="200"/>
        <w:jc w:val="both"/>
        <w:textAlignment w:val="baseline"/>
        <w:outlineLvl w:val="9"/>
        <w:rPr>
          <w:rFonts w:hint="eastAsia" w:ascii="宋体" w:hAnsi="宋体" w:eastAsia="宋体" w:cs="宋体"/>
          <w:color w:val="auto"/>
          <w:sz w:val="21"/>
          <w:szCs w:val="21"/>
        </w:rPr>
      </w:pPr>
      <w:r>
        <w:rPr>
          <w:rFonts w:hint="eastAsia" w:ascii="宋体" w:hAnsi="宋体" w:eastAsia="宋体" w:cs="宋体"/>
          <w:color w:val="auto"/>
          <w:spacing w:val="9"/>
          <w:sz w:val="21"/>
          <w:szCs w:val="21"/>
        </w:rPr>
        <w:t>1.2如</w:t>
      </w:r>
      <w:r>
        <w:rPr>
          <w:rFonts w:hint="eastAsia" w:ascii="宋体" w:hAnsi="宋体" w:eastAsia="宋体" w:cs="宋体"/>
          <w:color w:val="auto"/>
          <w:spacing w:val="9"/>
          <w:sz w:val="21"/>
          <w:szCs w:val="21"/>
          <w:lang w:eastAsia="zh-CN"/>
        </w:rPr>
        <w:t>乙方</w:t>
      </w:r>
      <w:r>
        <w:rPr>
          <w:rFonts w:hint="eastAsia" w:ascii="宋体" w:hAnsi="宋体" w:eastAsia="宋体" w:cs="宋体"/>
          <w:color w:val="auto"/>
          <w:spacing w:val="9"/>
          <w:sz w:val="21"/>
          <w:szCs w:val="21"/>
        </w:rPr>
        <w:t>无法履行</w:t>
      </w:r>
      <w:r>
        <w:rPr>
          <w:rFonts w:hint="eastAsia" w:ascii="宋体" w:hAnsi="宋体" w:eastAsia="宋体" w:cs="宋体"/>
          <w:color w:val="auto"/>
          <w:spacing w:val="9"/>
          <w:sz w:val="21"/>
          <w:szCs w:val="21"/>
          <w:lang w:eastAsia="zh-CN"/>
        </w:rPr>
        <w:t>竞标</w:t>
      </w:r>
      <w:r>
        <w:rPr>
          <w:rFonts w:hint="eastAsia" w:ascii="宋体" w:hAnsi="宋体" w:eastAsia="宋体" w:cs="宋体"/>
          <w:color w:val="auto"/>
          <w:spacing w:val="9"/>
          <w:sz w:val="21"/>
          <w:szCs w:val="21"/>
        </w:rPr>
        <w:t>时对运行期限和质保期限的承诺，</w:t>
      </w:r>
      <w:r>
        <w:rPr>
          <w:rFonts w:hint="eastAsia" w:ascii="宋体" w:hAnsi="宋体" w:eastAsia="宋体" w:cs="宋体"/>
          <w:color w:val="auto"/>
          <w:spacing w:val="9"/>
          <w:sz w:val="21"/>
          <w:szCs w:val="21"/>
          <w:lang w:eastAsia="zh-CN"/>
        </w:rPr>
        <w:t>甲方</w:t>
      </w:r>
      <w:r>
        <w:rPr>
          <w:rFonts w:hint="eastAsia" w:ascii="宋体" w:hAnsi="宋体" w:eastAsia="宋体" w:cs="宋体"/>
          <w:color w:val="auto"/>
          <w:spacing w:val="9"/>
          <w:sz w:val="21"/>
          <w:szCs w:val="21"/>
        </w:rPr>
        <w:t>有权要求</w:t>
      </w:r>
      <w:r>
        <w:rPr>
          <w:rFonts w:hint="eastAsia" w:ascii="宋体" w:hAnsi="宋体" w:eastAsia="宋体" w:cs="宋体"/>
          <w:color w:val="auto"/>
          <w:spacing w:val="9"/>
          <w:sz w:val="21"/>
          <w:szCs w:val="21"/>
          <w:lang w:eastAsia="zh-CN"/>
        </w:rPr>
        <w:t>乙方</w:t>
      </w:r>
      <w:r>
        <w:rPr>
          <w:rFonts w:hint="eastAsia" w:ascii="宋体" w:hAnsi="宋体" w:eastAsia="宋体" w:cs="宋体"/>
          <w:color w:val="auto"/>
          <w:spacing w:val="9"/>
          <w:sz w:val="21"/>
          <w:szCs w:val="21"/>
        </w:rPr>
        <w:t>按合同金额退回相应的费用</w:t>
      </w:r>
      <w:r>
        <w:rPr>
          <w:rFonts w:hint="eastAsia" w:ascii="宋体" w:hAnsi="宋体" w:eastAsia="宋体" w:cs="宋体"/>
          <w:color w:val="auto"/>
          <w:spacing w:val="9"/>
          <w:sz w:val="21"/>
          <w:szCs w:val="21"/>
          <w:lang w:eastAsia="zh-CN"/>
        </w:rPr>
        <w:t>，</w:t>
      </w:r>
      <w:r>
        <w:rPr>
          <w:rFonts w:hint="eastAsia" w:ascii="宋体" w:hAnsi="宋体" w:eastAsia="宋体" w:cs="宋体"/>
          <w:color w:val="auto"/>
          <w:spacing w:val="9"/>
          <w:sz w:val="21"/>
          <w:szCs w:val="21"/>
          <w:lang w:val="en-US" w:eastAsia="zh-CN"/>
        </w:rPr>
        <w:t>并</w:t>
      </w:r>
      <w:r>
        <w:rPr>
          <w:rFonts w:hint="eastAsia" w:ascii="宋体" w:hAnsi="宋体" w:eastAsia="宋体" w:cs="宋体"/>
          <w:color w:val="auto"/>
          <w:spacing w:val="9"/>
          <w:sz w:val="21"/>
          <w:szCs w:val="21"/>
        </w:rPr>
        <w:t>向甲方支付合同金额10%的违约金。</w:t>
      </w:r>
    </w:p>
    <w:p w14:paraId="4249B8AE">
      <w:pPr>
        <w:pStyle w:val="8"/>
        <w:keepNext w:val="0"/>
        <w:keepLines w:val="0"/>
        <w:pageBreakBefore w:val="0"/>
        <w:widowControl/>
        <w:kinsoku w:val="0"/>
        <w:wordWrap/>
        <w:overflowPunct/>
        <w:topLinePunct w:val="0"/>
        <w:autoSpaceDE/>
        <w:autoSpaceDN/>
        <w:bidi w:val="0"/>
        <w:adjustRightInd w:val="0"/>
        <w:snapToGrid w:val="0"/>
        <w:spacing w:line="360" w:lineRule="exact"/>
        <w:ind w:left="0" w:firstLine="450" w:firstLineChars="200"/>
        <w:jc w:val="both"/>
        <w:textAlignment w:val="baseline"/>
        <w:outlineLvl w:val="1"/>
        <w:rPr>
          <w:rFonts w:hint="eastAsia" w:ascii="宋体" w:hAnsi="宋体" w:eastAsia="宋体" w:cs="宋体"/>
          <w:color w:val="auto"/>
          <w:sz w:val="21"/>
          <w:szCs w:val="21"/>
        </w:rPr>
      </w:pPr>
      <w:bookmarkStart w:id="27" w:name="bookmark84"/>
      <w:bookmarkEnd w:id="27"/>
      <w:r>
        <w:rPr>
          <w:rFonts w:hint="eastAsia" w:ascii="宋体" w:hAnsi="宋体" w:eastAsia="宋体" w:cs="宋体"/>
          <w:b/>
          <w:bCs/>
          <w:color w:val="auto"/>
          <w:spacing w:val="7"/>
          <w:sz w:val="21"/>
          <w:szCs w:val="21"/>
        </w:rPr>
        <w:t>第十一条</w:t>
      </w:r>
      <w:r>
        <w:rPr>
          <w:rFonts w:hint="eastAsia" w:ascii="宋体" w:hAnsi="宋体" w:eastAsia="宋体" w:cs="宋体"/>
          <w:color w:val="auto"/>
          <w:spacing w:val="7"/>
          <w:sz w:val="21"/>
          <w:szCs w:val="21"/>
        </w:rPr>
        <w:t xml:space="preserve">  </w:t>
      </w:r>
      <w:r>
        <w:rPr>
          <w:rFonts w:hint="eastAsia" w:ascii="宋体" w:hAnsi="宋体" w:eastAsia="宋体" w:cs="宋体"/>
          <w:b/>
          <w:bCs/>
          <w:color w:val="auto"/>
          <w:spacing w:val="7"/>
          <w:sz w:val="21"/>
          <w:szCs w:val="21"/>
        </w:rPr>
        <w:t>违约责任</w:t>
      </w:r>
    </w:p>
    <w:p w14:paraId="1AF46BE8">
      <w:pPr>
        <w:pStyle w:val="8"/>
        <w:keepNext w:val="0"/>
        <w:keepLines w:val="0"/>
        <w:pageBreakBefore w:val="0"/>
        <w:widowControl/>
        <w:kinsoku w:val="0"/>
        <w:wordWrap/>
        <w:overflowPunct/>
        <w:topLinePunct w:val="0"/>
        <w:autoSpaceDE/>
        <w:autoSpaceDN/>
        <w:bidi w:val="0"/>
        <w:adjustRightInd w:val="0"/>
        <w:snapToGrid w:val="0"/>
        <w:spacing w:line="360" w:lineRule="exact"/>
        <w:ind w:left="12" w:right="70" w:firstLine="452" w:firstLineChars="200"/>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8"/>
          <w:sz w:val="21"/>
          <w:szCs w:val="21"/>
        </w:rPr>
        <w:t>1.乙方所提供的货物规格、技术标准、材料等质量不合格的，应及时更换，更换不及时的按逾期交货处罚，乙方应向甲方支付合同金额</w:t>
      </w:r>
      <w:r>
        <w:rPr>
          <w:rFonts w:hint="eastAsia" w:ascii="宋体" w:hAnsi="宋体" w:eastAsia="宋体" w:cs="宋体"/>
          <w:color w:val="auto"/>
          <w:spacing w:val="8"/>
          <w:sz w:val="21"/>
          <w:szCs w:val="21"/>
          <w:u w:val="single" w:color="auto"/>
        </w:rPr>
        <w:t xml:space="preserve"> 0.02  </w:t>
      </w:r>
      <w:r>
        <w:rPr>
          <w:rFonts w:hint="eastAsia" w:ascii="宋体" w:hAnsi="宋体" w:eastAsia="宋体" w:cs="宋体"/>
          <w:color w:val="auto"/>
          <w:spacing w:val="-83"/>
          <w:sz w:val="21"/>
          <w:szCs w:val="21"/>
        </w:rPr>
        <w:t xml:space="preserve"> </w:t>
      </w:r>
      <w:r>
        <w:rPr>
          <w:rFonts w:hint="eastAsia" w:ascii="宋体" w:hAnsi="宋体" w:eastAsia="宋体" w:cs="宋体"/>
          <w:color w:val="auto"/>
          <w:spacing w:val="8"/>
          <w:sz w:val="21"/>
          <w:szCs w:val="21"/>
        </w:rPr>
        <w:t>%违约金并赔偿甲方经济损失。</w:t>
      </w:r>
    </w:p>
    <w:p w14:paraId="7445709E">
      <w:pPr>
        <w:pStyle w:val="8"/>
        <w:keepNext w:val="0"/>
        <w:keepLines w:val="0"/>
        <w:pageBreakBefore w:val="0"/>
        <w:widowControl/>
        <w:kinsoku w:val="0"/>
        <w:wordWrap/>
        <w:overflowPunct/>
        <w:topLinePunct w:val="0"/>
        <w:autoSpaceDE/>
        <w:autoSpaceDN/>
        <w:bidi w:val="0"/>
        <w:adjustRightInd w:val="0"/>
        <w:snapToGrid w:val="0"/>
        <w:spacing w:line="360" w:lineRule="exact"/>
        <w:ind w:left="10" w:right="70" w:firstLine="456" w:firstLineChars="200"/>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9"/>
          <w:sz w:val="21"/>
          <w:szCs w:val="21"/>
        </w:rPr>
        <w:t>2.乙方提供的货物如果侵犯了第三方合法权益而引发的任</w:t>
      </w:r>
      <w:r>
        <w:rPr>
          <w:rFonts w:hint="eastAsia" w:ascii="宋体" w:hAnsi="宋体" w:eastAsia="宋体" w:cs="宋体"/>
          <w:color w:val="auto"/>
          <w:spacing w:val="8"/>
          <w:sz w:val="21"/>
          <w:szCs w:val="21"/>
        </w:rPr>
        <w:t>何纠纷或诉讼，均由乙方负责交涉并承担全</w:t>
      </w:r>
      <w:r>
        <w:rPr>
          <w:rFonts w:hint="eastAsia" w:ascii="宋体" w:hAnsi="宋体" w:eastAsia="宋体" w:cs="宋体"/>
          <w:color w:val="auto"/>
          <w:spacing w:val="4"/>
          <w:sz w:val="21"/>
          <w:szCs w:val="21"/>
        </w:rPr>
        <w:t>部责任。</w:t>
      </w:r>
    </w:p>
    <w:p w14:paraId="52114408">
      <w:pPr>
        <w:pStyle w:val="8"/>
        <w:keepNext w:val="0"/>
        <w:keepLines w:val="0"/>
        <w:pageBreakBefore w:val="0"/>
        <w:widowControl/>
        <w:kinsoku w:val="0"/>
        <w:wordWrap/>
        <w:overflowPunct/>
        <w:topLinePunct w:val="0"/>
        <w:autoSpaceDE/>
        <w:autoSpaceDN/>
        <w:bidi w:val="0"/>
        <w:adjustRightInd w:val="0"/>
        <w:snapToGrid w:val="0"/>
        <w:spacing w:line="360" w:lineRule="exact"/>
        <w:ind w:left="0" w:firstLine="452" w:firstLineChars="200"/>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8"/>
          <w:sz w:val="21"/>
          <w:szCs w:val="21"/>
        </w:rPr>
        <w:t>3. 因包装、运输引起的货物损坏，按质量不合格处理。</w:t>
      </w:r>
    </w:p>
    <w:p w14:paraId="2E7CB8FC">
      <w:pPr>
        <w:keepNext w:val="0"/>
        <w:keepLines w:val="0"/>
        <w:pageBreakBefore w:val="0"/>
        <w:kinsoku w:val="0"/>
        <w:wordWrap/>
        <w:overflowPunct/>
        <w:topLinePunct w:val="0"/>
        <w:autoSpaceDE w:val="0"/>
        <w:autoSpaceDN w:val="0"/>
        <w:bidi w:val="0"/>
        <w:adjustRightInd w:val="0"/>
        <w:snapToGrid w:val="0"/>
        <w:spacing w:line="360" w:lineRule="exact"/>
        <w:ind w:right="157"/>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9"/>
          <w:sz w:val="21"/>
          <w:szCs w:val="21"/>
        </w:rPr>
        <w:t>4.乙方逾期交货的，每</w:t>
      </w:r>
      <w:r>
        <w:rPr>
          <w:rFonts w:hint="eastAsia" w:ascii="宋体" w:hAnsi="宋体" w:eastAsia="宋体" w:cs="宋体"/>
          <w:color w:val="auto"/>
          <w:spacing w:val="8"/>
          <w:sz w:val="21"/>
          <w:szCs w:val="21"/>
        </w:rPr>
        <w:t>天向</w:t>
      </w:r>
      <w:r>
        <w:rPr>
          <w:rFonts w:hint="eastAsia" w:ascii="宋体" w:hAnsi="宋体" w:eastAsia="宋体" w:cs="宋体"/>
          <w:color w:val="auto"/>
          <w:spacing w:val="8"/>
          <w:sz w:val="21"/>
          <w:szCs w:val="21"/>
          <w:lang w:val="en-US" w:eastAsia="zh-CN"/>
        </w:rPr>
        <w:t>甲</w:t>
      </w:r>
      <w:r>
        <w:rPr>
          <w:rFonts w:hint="eastAsia" w:ascii="宋体" w:hAnsi="宋体" w:eastAsia="宋体" w:cs="宋体"/>
          <w:color w:val="auto"/>
          <w:spacing w:val="8"/>
          <w:sz w:val="21"/>
          <w:szCs w:val="21"/>
        </w:rPr>
        <w:t>方偿付违约货款额</w:t>
      </w:r>
      <w:r>
        <w:rPr>
          <w:rFonts w:hint="eastAsia" w:ascii="宋体" w:hAnsi="宋体" w:eastAsia="宋体" w:cs="宋体"/>
          <w:color w:val="auto"/>
          <w:spacing w:val="8"/>
          <w:sz w:val="21"/>
          <w:szCs w:val="21"/>
          <w:u w:val="single" w:color="auto"/>
        </w:rPr>
        <w:t xml:space="preserve">  </w:t>
      </w:r>
      <w:r>
        <w:rPr>
          <w:rFonts w:hint="eastAsia" w:ascii="宋体" w:hAnsi="宋体" w:eastAsia="宋体" w:cs="宋体"/>
          <w:color w:val="auto"/>
          <w:sz w:val="21"/>
          <w:szCs w:val="21"/>
          <w:highlight w:val="none"/>
          <w:u w:val="single"/>
          <w:lang w:eastAsia="zh-CN"/>
        </w:rPr>
        <w:t>0.2</w:t>
      </w:r>
      <w:r>
        <w:rPr>
          <w:rFonts w:hint="eastAsia" w:ascii="宋体" w:hAnsi="宋体" w:eastAsia="宋体" w:cs="宋体"/>
          <w:color w:val="auto"/>
          <w:spacing w:val="8"/>
          <w:sz w:val="21"/>
          <w:szCs w:val="21"/>
          <w:u w:val="single" w:color="auto"/>
        </w:rPr>
        <w:t xml:space="preserve"> ‰</w:t>
      </w:r>
      <w:r>
        <w:rPr>
          <w:rFonts w:hint="eastAsia" w:ascii="宋体" w:hAnsi="宋体" w:eastAsia="宋体" w:cs="宋体"/>
          <w:color w:val="auto"/>
          <w:spacing w:val="8"/>
          <w:sz w:val="21"/>
          <w:szCs w:val="21"/>
        </w:rPr>
        <w:t>违约金，但违约金累计不得超过违约货款额</w:t>
      </w:r>
      <w:r>
        <w:rPr>
          <w:rFonts w:hint="eastAsia" w:ascii="宋体" w:hAnsi="宋体" w:eastAsia="宋体" w:cs="宋体"/>
          <w:color w:val="auto"/>
          <w:spacing w:val="8"/>
          <w:sz w:val="21"/>
          <w:szCs w:val="21"/>
          <w:u w:val="single" w:color="auto"/>
        </w:rPr>
        <w:t xml:space="preserve">  </w:t>
      </w:r>
      <w:r>
        <w:rPr>
          <w:rFonts w:hint="eastAsia" w:ascii="宋体" w:hAnsi="宋体" w:eastAsia="宋体" w:cs="宋体"/>
          <w:color w:val="auto"/>
          <w:sz w:val="21"/>
          <w:szCs w:val="21"/>
          <w:highlight w:val="none"/>
          <w:u w:val="single"/>
          <w:lang w:eastAsia="zh-CN"/>
        </w:rPr>
        <w:t>5</w:t>
      </w:r>
      <w:r>
        <w:rPr>
          <w:rFonts w:hint="eastAsia" w:ascii="宋体" w:hAnsi="宋体" w:eastAsia="宋体" w:cs="宋体"/>
          <w:color w:val="auto"/>
          <w:spacing w:val="8"/>
          <w:sz w:val="21"/>
          <w:szCs w:val="21"/>
          <w:u w:val="single" w:color="auto"/>
        </w:rPr>
        <w:t xml:space="preserve"> %</w:t>
      </w:r>
      <w:r>
        <w:rPr>
          <w:rFonts w:hint="eastAsia" w:ascii="宋体" w:hAnsi="宋体" w:eastAsia="宋体" w:cs="宋体"/>
          <w:color w:val="auto"/>
          <w:spacing w:val="8"/>
          <w:sz w:val="21"/>
          <w:szCs w:val="21"/>
        </w:rPr>
        <w:t>，超过</w:t>
      </w:r>
      <w:r>
        <w:rPr>
          <w:rFonts w:hint="eastAsia" w:ascii="宋体" w:hAnsi="宋体" w:eastAsia="宋体" w:cs="宋体"/>
          <w:color w:val="auto"/>
          <w:spacing w:val="8"/>
          <w:sz w:val="21"/>
          <w:szCs w:val="21"/>
          <w:u w:val="single" w:color="auto"/>
        </w:rPr>
        <w:t xml:space="preserve"> </w:t>
      </w:r>
      <w:r>
        <w:rPr>
          <w:rFonts w:hint="eastAsia" w:ascii="宋体" w:hAnsi="宋体" w:eastAsia="宋体" w:cs="宋体"/>
          <w:color w:val="auto"/>
          <w:sz w:val="21"/>
          <w:szCs w:val="21"/>
          <w:highlight w:val="none"/>
          <w:u w:val="single"/>
          <w:lang w:val="en-US" w:eastAsia="zh-CN"/>
        </w:rPr>
        <w:t>1</w:t>
      </w:r>
      <w:r>
        <w:rPr>
          <w:rFonts w:hint="eastAsia" w:ascii="宋体" w:hAnsi="宋体" w:eastAsia="宋体" w:cs="宋体"/>
          <w:color w:val="auto"/>
          <w:sz w:val="21"/>
          <w:szCs w:val="21"/>
          <w:highlight w:val="none"/>
          <w:u w:val="single"/>
          <w:lang w:eastAsia="zh-CN"/>
        </w:rPr>
        <w:t>0</w:t>
      </w:r>
      <w:r>
        <w:rPr>
          <w:rFonts w:hint="eastAsia" w:ascii="宋体" w:hAnsi="宋体" w:eastAsia="宋体" w:cs="宋体"/>
          <w:color w:val="auto"/>
          <w:spacing w:val="8"/>
          <w:sz w:val="21"/>
          <w:szCs w:val="21"/>
          <w:u w:val="single" w:color="auto"/>
        </w:rPr>
        <w:t xml:space="preserve"> </w:t>
      </w:r>
      <w:r>
        <w:rPr>
          <w:rFonts w:hint="eastAsia" w:ascii="宋体" w:hAnsi="宋体" w:eastAsia="宋体" w:cs="宋体"/>
          <w:color w:val="auto"/>
          <w:spacing w:val="-87"/>
          <w:sz w:val="21"/>
          <w:szCs w:val="21"/>
        </w:rPr>
        <w:t xml:space="preserve"> </w:t>
      </w:r>
      <w:r>
        <w:rPr>
          <w:rFonts w:hint="eastAsia" w:ascii="宋体" w:hAnsi="宋体" w:eastAsia="宋体" w:cs="宋体"/>
          <w:color w:val="auto"/>
          <w:spacing w:val="8"/>
          <w:sz w:val="21"/>
          <w:szCs w:val="21"/>
        </w:rPr>
        <w:t>天</w:t>
      </w:r>
      <w:r>
        <w:rPr>
          <w:rFonts w:hint="eastAsia" w:ascii="宋体" w:hAnsi="宋体" w:eastAsia="宋体" w:cs="宋体"/>
          <w:color w:val="auto"/>
          <w:spacing w:val="8"/>
          <w:sz w:val="21"/>
          <w:szCs w:val="21"/>
          <w:lang w:val="en-US" w:eastAsia="zh-CN"/>
        </w:rPr>
        <w:t>甲</w:t>
      </w:r>
      <w:r>
        <w:rPr>
          <w:rFonts w:hint="eastAsia" w:ascii="宋体" w:hAnsi="宋体" w:eastAsia="宋体" w:cs="宋体"/>
          <w:color w:val="auto"/>
          <w:spacing w:val="8"/>
          <w:sz w:val="21"/>
          <w:szCs w:val="21"/>
        </w:rPr>
        <w:t>方有权解除合同，</w:t>
      </w:r>
      <w:r>
        <w:rPr>
          <w:rFonts w:hint="eastAsia" w:ascii="宋体" w:hAnsi="宋体" w:eastAsia="宋体" w:cs="宋体"/>
          <w:color w:val="auto"/>
          <w:spacing w:val="8"/>
          <w:sz w:val="21"/>
          <w:szCs w:val="21"/>
          <w:lang w:val="en-US" w:eastAsia="zh-CN"/>
        </w:rPr>
        <w:t>乙方</w:t>
      </w:r>
      <w:r>
        <w:rPr>
          <w:rFonts w:hint="eastAsia" w:ascii="宋体" w:hAnsi="宋体" w:eastAsia="宋体" w:cs="宋体"/>
          <w:color w:val="auto"/>
          <w:spacing w:val="8"/>
          <w:sz w:val="21"/>
          <w:szCs w:val="21"/>
        </w:rPr>
        <w:t>承担因此给</w:t>
      </w:r>
      <w:r>
        <w:rPr>
          <w:rFonts w:hint="eastAsia" w:ascii="宋体" w:hAnsi="宋体" w:eastAsia="宋体" w:cs="宋体"/>
          <w:color w:val="auto"/>
          <w:spacing w:val="7"/>
          <w:sz w:val="21"/>
          <w:szCs w:val="21"/>
          <w:lang w:val="en-US" w:eastAsia="zh-CN"/>
        </w:rPr>
        <w:t>甲</w:t>
      </w:r>
      <w:r>
        <w:rPr>
          <w:rFonts w:hint="eastAsia" w:ascii="宋体" w:hAnsi="宋体" w:eastAsia="宋体" w:cs="宋体"/>
          <w:color w:val="auto"/>
          <w:spacing w:val="7"/>
          <w:sz w:val="21"/>
          <w:szCs w:val="21"/>
        </w:rPr>
        <w:t>方造成</w:t>
      </w:r>
      <w:r>
        <w:rPr>
          <w:rFonts w:hint="eastAsia" w:ascii="宋体" w:hAnsi="宋体" w:eastAsia="宋体" w:cs="宋体"/>
          <w:color w:val="auto"/>
          <w:spacing w:val="7"/>
          <w:sz w:val="21"/>
          <w:szCs w:val="21"/>
          <w:lang w:val="en-US" w:eastAsia="zh-CN"/>
        </w:rPr>
        <w:t>的全部</w:t>
      </w:r>
      <w:r>
        <w:rPr>
          <w:rFonts w:hint="eastAsia" w:ascii="宋体" w:hAnsi="宋体" w:eastAsia="宋体" w:cs="宋体"/>
          <w:color w:val="auto"/>
          <w:spacing w:val="7"/>
          <w:sz w:val="21"/>
          <w:szCs w:val="21"/>
        </w:rPr>
        <w:t>经济损失；甲方</w:t>
      </w:r>
      <w:r>
        <w:rPr>
          <w:rFonts w:hint="eastAsia" w:ascii="宋体" w:hAnsi="宋体" w:eastAsia="宋体" w:cs="宋体"/>
          <w:color w:val="auto"/>
          <w:spacing w:val="9"/>
          <w:sz w:val="21"/>
          <w:szCs w:val="21"/>
          <w:lang w:val="en-US" w:eastAsia="zh-CN"/>
        </w:rPr>
        <w:t>逾</w:t>
      </w:r>
      <w:r>
        <w:rPr>
          <w:rFonts w:hint="eastAsia" w:ascii="宋体" w:hAnsi="宋体" w:eastAsia="宋体" w:cs="宋体"/>
          <w:color w:val="auto"/>
          <w:spacing w:val="9"/>
          <w:sz w:val="21"/>
          <w:szCs w:val="21"/>
        </w:rPr>
        <w:t>期付货款的，每天向乙方偿付延期货款额</w:t>
      </w:r>
      <w:r>
        <w:rPr>
          <w:rFonts w:hint="eastAsia" w:ascii="宋体" w:hAnsi="宋体" w:eastAsia="宋体" w:cs="宋体"/>
          <w:color w:val="auto"/>
          <w:spacing w:val="9"/>
          <w:sz w:val="21"/>
          <w:szCs w:val="21"/>
          <w:u w:val="single" w:color="auto"/>
        </w:rPr>
        <w:t xml:space="preserve"> </w:t>
      </w:r>
      <w:r>
        <w:rPr>
          <w:rFonts w:hint="eastAsia" w:ascii="宋体" w:hAnsi="宋体" w:eastAsia="宋体" w:cs="宋体"/>
          <w:color w:val="auto"/>
          <w:sz w:val="21"/>
          <w:szCs w:val="21"/>
          <w:highlight w:val="none"/>
          <w:u w:val="single"/>
          <w:lang w:eastAsia="zh-CN"/>
        </w:rPr>
        <w:t>0.2</w:t>
      </w:r>
      <w:r>
        <w:rPr>
          <w:rFonts w:hint="eastAsia" w:ascii="宋体" w:hAnsi="宋体" w:eastAsia="宋体" w:cs="宋体"/>
          <w:color w:val="auto"/>
          <w:spacing w:val="9"/>
          <w:sz w:val="21"/>
          <w:szCs w:val="21"/>
          <w:u w:val="single" w:color="auto"/>
        </w:rPr>
        <w:t xml:space="preserve">  </w:t>
      </w:r>
      <w:r>
        <w:rPr>
          <w:rFonts w:hint="eastAsia" w:ascii="宋体" w:hAnsi="宋体" w:eastAsia="宋体" w:cs="宋体"/>
          <w:color w:val="auto"/>
          <w:spacing w:val="-85"/>
          <w:sz w:val="21"/>
          <w:szCs w:val="21"/>
        </w:rPr>
        <w:t xml:space="preserve"> </w:t>
      </w:r>
      <w:r>
        <w:rPr>
          <w:rFonts w:hint="eastAsia" w:ascii="宋体" w:hAnsi="宋体" w:eastAsia="宋体" w:cs="宋体"/>
          <w:color w:val="auto"/>
          <w:spacing w:val="9"/>
          <w:sz w:val="21"/>
          <w:szCs w:val="21"/>
        </w:rPr>
        <w:t>‰滞</w:t>
      </w:r>
      <w:r>
        <w:rPr>
          <w:rFonts w:hint="eastAsia" w:ascii="宋体" w:hAnsi="宋体" w:eastAsia="宋体" w:cs="宋体"/>
          <w:color w:val="auto"/>
          <w:spacing w:val="8"/>
          <w:sz w:val="21"/>
          <w:szCs w:val="21"/>
        </w:rPr>
        <w:t>纳金，但滞纳金累计不得超过延期货款额</w:t>
      </w:r>
      <w:r>
        <w:rPr>
          <w:rFonts w:hint="eastAsia" w:ascii="宋体" w:hAnsi="宋体" w:eastAsia="宋体" w:cs="宋体"/>
          <w:color w:val="auto"/>
          <w:spacing w:val="8"/>
          <w:sz w:val="21"/>
          <w:szCs w:val="21"/>
          <w:u w:val="single" w:color="auto"/>
        </w:rPr>
        <w:t xml:space="preserve">  </w:t>
      </w:r>
      <w:r>
        <w:rPr>
          <w:rFonts w:hint="eastAsia" w:ascii="宋体" w:hAnsi="宋体" w:eastAsia="宋体" w:cs="宋体"/>
          <w:color w:val="auto"/>
          <w:sz w:val="21"/>
          <w:szCs w:val="21"/>
          <w:highlight w:val="none"/>
          <w:u w:val="single"/>
          <w:lang w:eastAsia="zh-CN"/>
        </w:rPr>
        <w:t>5</w:t>
      </w:r>
      <w:r>
        <w:rPr>
          <w:rFonts w:hint="eastAsia" w:ascii="宋体" w:hAnsi="宋体" w:eastAsia="宋体" w:cs="宋体"/>
          <w:color w:val="auto"/>
          <w:spacing w:val="8"/>
          <w:sz w:val="21"/>
          <w:szCs w:val="21"/>
          <w:u w:val="single" w:color="auto"/>
        </w:rPr>
        <w:t xml:space="preserve"> %</w:t>
      </w:r>
      <w:r>
        <w:rPr>
          <w:rFonts w:hint="eastAsia" w:ascii="宋体" w:hAnsi="宋体" w:eastAsia="宋体" w:cs="宋体"/>
          <w:color w:val="auto"/>
          <w:spacing w:val="8"/>
          <w:sz w:val="21"/>
          <w:szCs w:val="21"/>
          <w:u w:val="single" w:color="auto"/>
          <w:lang w:eastAsia="zh-CN"/>
        </w:rPr>
        <w:t>；</w:t>
      </w:r>
      <w:r>
        <w:rPr>
          <w:rFonts w:hint="eastAsia" w:ascii="宋体" w:hAnsi="宋体" w:eastAsia="宋体" w:cs="宋体"/>
          <w:color w:val="auto"/>
          <w:spacing w:val="8"/>
          <w:sz w:val="21"/>
          <w:szCs w:val="21"/>
          <w:u w:val="single" w:color="auto"/>
          <w:lang w:val="en-US" w:eastAsia="zh-CN"/>
        </w:rPr>
        <w:t>但因</w:t>
      </w:r>
      <w:r>
        <w:rPr>
          <w:rFonts w:hint="eastAsia" w:ascii="宋体" w:hAnsi="宋体" w:eastAsia="宋体" w:cs="宋体"/>
          <w:color w:val="auto"/>
          <w:spacing w:val="-54"/>
          <w:sz w:val="21"/>
          <w:szCs w:val="21"/>
        </w:rPr>
        <w:t xml:space="preserve"> </w:t>
      </w:r>
      <w:r>
        <w:rPr>
          <w:rFonts w:hint="eastAsia" w:ascii="宋体" w:hAnsi="宋体" w:eastAsia="宋体" w:cs="宋体"/>
          <w:snapToGrid w:val="0"/>
          <w:color w:val="auto"/>
          <w:spacing w:val="8"/>
          <w:kern w:val="2"/>
          <w:sz w:val="21"/>
          <w:szCs w:val="21"/>
          <w:lang w:val="en-US" w:eastAsia="zh-CN" w:bidi="ar"/>
        </w:rPr>
        <w:t>乙方未按约提供合法、有效的发票、收款凭证或其他付款所需资料，导致甲方无法按期付款的，甲方不承担逾期付款责任。</w:t>
      </w:r>
    </w:p>
    <w:p w14:paraId="2A60E093">
      <w:pPr>
        <w:pStyle w:val="8"/>
        <w:keepNext w:val="0"/>
        <w:keepLines w:val="0"/>
        <w:pageBreakBefore w:val="0"/>
        <w:widowControl/>
        <w:kinsoku w:val="0"/>
        <w:wordWrap/>
        <w:overflowPunct/>
        <w:topLinePunct w:val="0"/>
        <w:autoSpaceDE/>
        <w:autoSpaceDN/>
        <w:bidi w:val="0"/>
        <w:adjustRightInd w:val="0"/>
        <w:snapToGrid w:val="0"/>
        <w:spacing w:line="360" w:lineRule="exact"/>
        <w:ind w:left="8" w:right="70" w:firstLine="452" w:firstLineChars="200"/>
        <w:jc w:val="both"/>
        <w:textAlignment w:val="baseline"/>
        <w:rPr>
          <w:rFonts w:hint="eastAsia" w:ascii="宋体" w:hAnsi="宋体" w:eastAsia="宋体" w:cs="宋体"/>
          <w:color w:val="auto"/>
          <w:spacing w:val="6"/>
          <w:sz w:val="21"/>
          <w:szCs w:val="21"/>
        </w:rPr>
      </w:pPr>
      <w:r>
        <w:rPr>
          <w:rFonts w:hint="eastAsia" w:ascii="宋体" w:hAnsi="宋体" w:eastAsia="宋体" w:cs="宋体"/>
          <w:color w:val="auto"/>
          <w:spacing w:val="8"/>
          <w:sz w:val="21"/>
          <w:szCs w:val="21"/>
        </w:rPr>
        <w:t>5.</w:t>
      </w:r>
      <w:r>
        <w:rPr>
          <w:rFonts w:hint="eastAsia" w:ascii="宋体" w:hAnsi="宋体" w:eastAsia="宋体" w:cs="宋体"/>
          <w:color w:val="auto"/>
          <w:sz w:val="21"/>
          <w:szCs w:val="21"/>
          <w:highlight w:val="none"/>
          <w:lang w:eastAsia="zh-CN"/>
        </w:rPr>
        <w:t>乙方未按本合同和响应文件中规定的服务承诺提供售后服务的（包括未按时响应、未按时完成维修等情形），</w:t>
      </w:r>
      <w:r>
        <w:rPr>
          <w:rFonts w:hint="eastAsia" w:ascii="宋体" w:hAnsi="宋体" w:eastAsia="宋体" w:cs="宋体"/>
          <w:color w:val="auto"/>
          <w:sz w:val="21"/>
          <w:szCs w:val="21"/>
          <w:highlight w:val="none"/>
          <w:lang w:val="en-US" w:eastAsia="zh-CN"/>
        </w:rPr>
        <w:t>每次违约</w:t>
      </w:r>
      <w:r>
        <w:rPr>
          <w:rFonts w:hint="eastAsia" w:ascii="宋体" w:hAnsi="宋体" w:eastAsia="宋体" w:cs="宋体"/>
          <w:color w:val="auto"/>
          <w:sz w:val="21"/>
          <w:szCs w:val="21"/>
          <w:highlight w:val="none"/>
          <w:lang w:eastAsia="zh-CN"/>
        </w:rPr>
        <w:t>乙方应按1000元/次向甲方支付违约金</w:t>
      </w:r>
      <w:r>
        <w:rPr>
          <w:rFonts w:hint="eastAsia" w:ascii="宋体" w:hAnsi="宋体" w:eastAsia="宋体" w:cs="宋体"/>
          <w:color w:val="auto"/>
          <w:spacing w:val="6"/>
          <w:sz w:val="21"/>
          <w:szCs w:val="21"/>
        </w:rPr>
        <w:t>。同一违约情形发生两次以上的，甲方有权解除合同并要求乙方退还已支付的全部运维费用。</w:t>
      </w:r>
    </w:p>
    <w:p w14:paraId="503E0A3A">
      <w:pPr>
        <w:pStyle w:val="8"/>
        <w:keepNext w:val="0"/>
        <w:keepLines w:val="0"/>
        <w:pageBreakBefore w:val="0"/>
        <w:widowControl/>
        <w:kinsoku w:val="0"/>
        <w:wordWrap/>
        <w:overflowPunct/>
        <w:topLinePunct w:val="0"/>
        <w:autoSpaceDE/>
        <w:autoSpaceDN/>
        <w:bidi w:val="0"/>
        <w:adjustRightInd w:val="0"/>
        <w:snapToGrid w:val="0"/>
        <w:spacing w:line="360" w:lineRule="exact"/>
        <w:ind w:left="8" w:right="70" w:firstLine="452" w:firstLineChars="200"/>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8"/>
          <w:sz w:val="21"/>
          <w:szCs w:val="21"/>
        </w:rPr>
        <w:t>6</w:t>
      </w:r>
      <w:r>
        <w:rPr>
          <w:rFonts w:hint="eastAsia" w:ascii="宋体" w:hAnsi="宋体" w:eastAsia="宋体" w:cs="宋体"/>
          <w:color w:val="auto"/>
          <w:spacing w:val="6"/>
          <w:sz w:val="21"/>
          <w:szCs w:val="21"/>
        </w:rPr>
        <w:t>.</w:t>
      </w:r>
      <w:r>
        <w:rPr>
          <w:rFonts w:hint="eastAsia" w:ascii="宋体" w:hAnsi="宋体" w:eastAsia="宋体" w:cs="宋体"/>
          <w:color w:val="auto"/>
          <w:spacing w:val="6"/>
          <w:sz w:val="21"/>
          <w:szCs w:val="21"/>
          <w:lang w:val="en-US" w:eastAsia="zh-CN"/>
        </w:rPr>
        <w:t xml:space="preserve"> </w:t>
      </w:r>
      <w:r>
        <w:rPr>
          <w:rFonts w:hint="eastAsia" w:ascii="宋体" w:hAnsi="宋体" w:eastAsia="宋体" w:cs="宋体"/>
          <w:color w:val="auto"/>
          <w:spacing w:val="6"/>
          <w:sz w:val="21"/>
          <w:szCs w:val="21"/>
        </w:rPr>
        <w:t>乙方提供的货物在保修期内，因设计、工艺或材料的缺陷和</w:t>
      </w:r>
      <w:r>
        <w:rPr>
          <w:rFonts w:hint="eastAsia" w:ascii="宋体" w:hAnsi="宋体" w:eastAsia="宋体" w:cs="宋体"/>
          <w:color w:val="auto"/>
          <w:spacing w:val="5"/>
          <w:sz w:val="21"/>
          <w:szCs w:val="21"/>
        </w:rPr>
        <w:t>其他质量原因造成的问题，由乙方负责。</w:t>
      </w:r>
    </w:p>
    <w:p w14:paraId="786A59F7">
      <w:pPr>
        <w:pStyle w:val="8"/>
        <w:keepNext w:val="0"/>
        <w:keepLines w:val="0"/>
        <w:pageBreakBefore w:val="0"/>
        <w:widowControl/>
        <w:kinsoku w:val="0"/>
        <w:wordWrap/>
        <w:overflowPunct/>
        <w:topLinePunct w:val="0"/>
        <w:autoSpaceDE/>
        <w:autoSpaceDN/>
        <w:bidi w:val="0"/>
        <w:adjustRightInd w:val="0"/>
        <w:snapToGrid w:val="0"/>
        <w:spacing w:line="360" w:lineRule="exact"/>
        <w:ind w:left="0" w:firstLine="452" w:firstLineChars="200"/>
        <w:jc w:val="both"/>
        <w:textAlignment w:val="baseline"/>
        <w:rPr>
          <w:rFonts w:hint="eastAsia" w:ascii="宋体" w:hAnsi="宋体" w:eastAsia="宋体" w:cs="宋体"/>
          <w:color w:val="auto"/>
          <w:spacing w:val="8"/>
          <w:sz w:val="21"/>
          <w:szCs w:val="21"/>
        </w:rPr>
      </w:pPr>
      <w:r>
        <w:rPr>
          <w:rFonts w:hint="eastAsia" w:ascii="宋体" w:hAnsi="宋体" w:eastAsia="宋体" w:cs="宋体"/>
          <w:color w:val="auto"/>
          <w:spacing w:val="8"/>
          <w:sz w:val="21"/>
          <w:szCs w:val="21"/>
        </w:rPr>
        <w:t>7. 其他违约行为按违约货款额</w:t>
      </w:r>
      <w:r>
        <w:rPr>
          <w:rFonts w:hint="eastAsia" w:ascii="宋体" w:hAnsi="宋体" w:eastAsia="宋体" w:cs="宋体"/>
          <w:color w:val="auto"/>
          <w:spacing w:val="-92"/>
          <w:sz w:val="21"/>
          <w:szCs w:val="21"/>
        </w:rPr>
        <w:t xml:space="preserve"> </w:t>
      </w:r>
      <w:r>
        <w:rPr>
          <w:rFonts w:hint="eastAsia" w:ascii="宋体" w:hAnsi="宋体" w:eastAsia="宋体" w:cs="宋体"/>
          <w:color w:val="auto"/>
          <w:spacing w:val="5"/>
          <w:sz w:val="21"/>
          <w:szCs w:val="21"/>
          <w:u w:val="single" w:color="auto"/>
        </w:rPr>
        <w:t xml:space="preserve">  5  </w:t>
      </w:r>
      <w:r>
        <w:rPr>
          <w:rFonts w:hint="eastAsia" w:ascii="宋体" w:hAnsi="宋体" w:eastAsia="宋体" w:cs="宋体"/>
          <w:color w:val="auto"/>
          <w:spacing w:val="-97"/>
          <w:sz w:val="21"/>
          <w:szCs w:val="21"/>
        </w:rPr>
        <w:t xml:space="preserve"> </w:t>
      </w:r>
      <w:r>
        <w:rPr>
          <w:rFonts w:hint="eastAsia" w:ascii="宋体" w:hAnsi="宋体" w:eastAsia="宋体" w:cs="宋体"/>
          <w:color w:val="auto"/>
          <w:spacing w:val="8"/>
          <w:sz w:val="21"/>
          <w:szCs w:val="21"/>
        </w:rPr>
        <w:t>%收取违约金并赔偿经济损失</w:t>
      </w:r>
      <w:r>
        <w:rPr>
          <w:rFonts w:hint="eastAsia" w:ascii="宋体" w:hAnsi="宋体" w:eastAsia="宋体" w:cs="宋体"/>
          <w:color w:val="auto"/>
          <w:spacing w:val="8"/>
          <w:sz w:val="21"/>
          <w:szCs w:val="21"/>
          <w:lang w:eastAsia="zh-CN"/>
        </w:rPr>
        <w:t>，赔偿范围包括但不限于甲方因此产生的检测费、鉴定费、差旅费、律师费及因监测数据中断导致的行政罚款（</w:t>
      </w:r>
      <w:r>
        <w:rPr>
          <w:rFonts w:hint="eastAsia" w:ascii="宋体" w:hAnsi="宋体" w:eastAsia="宋体" w:cs="宋体"/>
          <w:color w:val="auto"/>
          <w:spacing w:val="8"/>
          <w:sz w:val="21"/>
          <w:szCs w:val="21"/>
          <w:lang w:val="en-US" w:eastAsia="zh-CN"/>
        </w:rPr>
        <w:t>如有）</w:t>
      </w:r>
      <w:r>
        <w:rPr>
          <w:rFonts w:hint="eastAsia" w:ascii="宋体" w:hAnsi="宋体" w:eastAsia="宋体" w:cs="宋体"/>
          <w:color w:val="auto"/>
          <w:spacing w:val="8"/>
          <w:sz w:val="21"/>
          <w:szCs w:val="21"/>
          <w:lang w:eastAsia="zh-CN"/>
        </w:rPr>
        <w:t>等</w:t>
      </w:r>
      <w:r>
        <w:rPr>
          <w:rFonts w:hint="eastAsia" w:ascii="宋体" w:hAnsi="宋体" w:eastAsia="宋体" w:cs="宋体"/>
          <w:color w:val="auto"/>
          <w:spacing w:val="8"/>
          <w:sz w:val="21"/>
          <w:szCs w:val="21"/>
        </w:rPr>
        <w:t>。</w:t>
      </w:r>
    </w:p>
    <w:p w14:paraId="530415F9">
      <w:pPr>
        <w:pStyle w:val="8"/>
        <w:keepNext w:val="0"/>
        <w:keepLines w:val="0"/>
        <w:pageBreakBefore w:val="0"/>
        <w:widowControl/>
        <w:kinsoku w:val="0"/>
        <w:wordWrap/>
        <w:overflowPunct/>
        <w:topLinePunct w:val="0"/>
        <w:autoSpaceDE/>
        <w:autoSpaceDN/>
        <w:bidi w:val="0"/>
        <w:adjustRightInd w:val="0"/>
        <w:snapToGrid w:val="0"/>
        <w:spacing w:line="360" w:lineRule="exact"/>
        <w:ind w:left="0" w:firstLine="450" w:firstLineChars="200"/>
        <w:jc w:val="both"/>
        <w:textAlignment w:val="baseline"/>
        <w:outlineLvl w:val="1"/>
        <w:rPr>
          <w:rFonts w:hint="eastAsia" w:ascii="宋体" w:hAnsi="宋体" w:eastAsia="宋体" w:cs="宋体"/>
          <w:color w:val="auto"/>
          <w:sz w:val="21"/>
          <w:szCs w:val="21"/>
        </w:rPr>
      </w:pPr>
      <w:bookmarkStart w:id="28" w:name="bookmark64"/>
      <w:bookmarkEnd w:id="28"/>
      <w:r>
        <w:rPr>
          <w:rFonts w:hint="eastAsia" w:ascii="宋体" w:hAnsi="宋体" w:eastAsia="宋体" w:cs="宋体"/>
          <w:b/>
          <w:bCs/>
          <w:color w:val="auto"/>
          <w:spacing w:val="7"/>
          <w:sz w:val="21"/>
          <w:szCs w:val="21"/>
        </w:rPr>
        <w:t>第十二条</w:t>
      </w:r>
      <w:r>
        <w:rPr>
          <w:rFonts w:hint="eastAsia" w:ascii="宋体" w:hAnsi="宋体" w:eastAsia="宋体" w:cs="宋体"/>
          <w:color w:val="auto"/>
          <w:spacing w:val="7"/>
          <w:sz w:val="21"/>
          <w:szCs w:val="21"/>
        </w:rPr>
        <w:t xml:space="preserve">  </w:t>
      </w:r>
      <w:r>
        <w:rPr>
          <w:rFonts w:hint="eastAsia" w:ascii="宋体" w:hAnsi="宋体" w:eastAsia="宋体" w:cs="宋体"/>
          <w:b/>
          <w:bCs/>
          <w:color w:val="auto"/>
          <w:spacing w:val="7"/>
          <w:sz w:val="21"/>
          <w:szCs w:val="21"/>
        </w:rPr>
        <w:t>不可抗力事件处理</w:t>
      </w:r>
    </w:p>
    <w:p w14:paraId="6DEE07B0">
      <w:pPr>
        <w:pStyle w:val="8"/>
        <w:keepNext w:val="0"/>
        <w:keepLines w:val="0"/>
        <w:pageBreakBefore w:val="0"/>
        <w:widowControl/>
        <w:kinsoku w:val="0"/>
        <w:wordWrap/>
        <w:overflowPunct/>
        <w:topLinePunct w:val="0"/>
        <w:autoSpaceDE/>
        <w:autoSpaceDN/>
        <w:bidi w:val="0"/>
        <w:adjustRightInd w:val="0"/>
        <w:snapToGrid w:val="0"/>
        <w:spacing w:line="360" w:lineRule="exact"/>
        <w:ind w:left="8" w:right="157" w:firstLine="456" w:firstLineChars="200"/>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9"/>
          <w:sz w:val="21"/>
          <w:szCs w:val="21"/>
        </w:rPr>
        <w:t>1.在合同有效期内，乙方因不可抗力事件导致不能履行合同，则合同履行期可延长，其延长期与不可</w:t>
      </w:r>
      <w:r>
        <w:rPr>
          <w:rFonts w:hint="eastAsia" w:ascii="宋体" w:hAnsi="宋体" w:eastAsia="宋体" w:cs="宋体"/>
          <w:color w:val="auto"/>
          <w:spacing w:val="7"/>
          <w:sz w:val="21"/>
          <w:szCs w:val="21"/>
        </w:rPr>
        <w:t>抗力影响期相同。</w:t>
      </w:r>
    </w:p>
    <w:p w14:paraId="27666FC6">
      <w:pPr>
        <w:pStyle w:val="8"/>
        <w:keepNext w:val="0"/>
        <w:keepLines w:val="0"/>
        <w:pageBreakBefore w:val="0"/>
        <w:widowControl/>
        <w:kinsoku w:val="0"/>
        <w:wordWrap/>
        <w:overflowPunct/>
        <w:topLinePunct w:val="0"/>
        <w:autoSpaceDE/>
        <w:autoSpaceDN/>
        <w:bidi w:val="0"/>
        <w:adjustRightInd w:val="0"/>
        <w:snapToGrid w:val="0"/>
        <w:spacing w:line="360" w:lineRule="exact"/>
        <w:ind w:left="0" w:firstLine="456" w:firstLineChars="200"/>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9"/>
          <w:sz w:val="21"/>
          <w:szCs w:val="21"/>
        </w:rPr>
        <w:t>2.不可抗力事件发生后，应</w:t>
      </w:r>
      <w:r>
        <w:rPr>
          <w:rFonts w:hint="eastAsia" w:ascii="宋体" w:hAnsi="宋体" w:eastAsia="宋体" w:cs="宋体"/>
          <w:color w:val="auto"/>
          <w:spacing w:val="9"/>
          <w:sz w:val="21"/>
          <w:szCs w:val="21"/>
          <w:lang w:val="en-US" w:eastAsia="zh-CN"/>
        </w:rPr>
        <w:t>24小时内书面</w:t>
      </w:r>
      <w:r>
        <w:rPr>
          <w:rFonts w:hint="eastAsia" w:ascii="宋体" w:hAnsi="宋体" w:eastAsia="宋体" w:cs="宋体"/>
          <w:color w:val="auto"/>
          <w:spacing w:val="9"/>
          <w:sz w:val="21"/>
          <w:szCs w:val="21"/>
        </w:rPr>
        <w:t>通知对方，并</w:t>
      </w:r>
      <w:r>
        <w:rPr>
          <w:rFonts w:hint="eastAsia" w:ascii="宋体" w:hAnsi="宋体" w:eastAsia="宋体" w:cs="宋体"/>
          <w:color w:val="auto"/>
          <w:spacing w:val="9"/>
          <w:sz w:val="21"/>
          <w:szCs w:val="21"/>
          <w:lang w:val="en-US" w:eastAsia="zh-CN"/>
        </w:rPr>
        <w:t>在7日内</w:t>
      </w:r>
      <w:r>
        <w:rPr>
          <w:rFonts w:hint="eastAsia" w:ascii="宋体" w:hAnsi="宋体" w:eastAsia="宋体" w:cs="宋体"/>
          <w:color w:val="auto"/>
          <w:spacing w:val="9"/>
          <w:sz w:val="21"/>
          <w:szCs w:val="21"/>
        </w:rPr>
        <w:t>寄送有关权威机构出具的证明，逾期未履行的，视为未发生不可抗力事件。</w:t>
      </w:r>
    </w:p>
    <w:p w14:paraId="34A8D94C">
      <w:pPr>
        <w:pStyle w:val="8"/>
        <w:keepNext w:val="0"/>
        <w:keepLines w:val="0"/>
        <w:pageBreakBefore w:val="0"/>
        <w:widowControl/>
        <w:kinsoku w:val="0"/>
        <w:wordWrap/>
        <w:overflowPunct/>
        <w:topLinePunct w:val="0"/>
        <w:autoSpaceDE/>
        <w:autoSpaceDN/>
        <w:bidi w:val="0"/>
        <w:adjustRightInd w:val="0"/>
        <w:snapToGrid w:val="0"/>
        <w:spacing w:line="360" w:lineRule="exact"/>
        <w:ind w:left="0" w:firstLine="456" w:firstLineChars="200"/>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9"/>
          <w:sz w:val="21"/>
          <w:szCs w:val="21"/>
        </w:rPr>
        <w:t>3.不可抗力事件延续一百二十天以上，双方应通过友好协商，确定是否继续履行合同。</w:t>
      </w:r>
    </w:p>
    <w:p w14:paraId="5EC96DB2">
      <w:pPr>
        <w:pStyle w:val="8"/>
        <w:keepNext w:val="0"/>
        <w:keepLines w:val="0"/>
        <w:pageBreakBefore w:val="0"/>
        <w:widowControl/>
        <w:kinsoku w:val="0"/>
        <w:wordWrap/>
        <w:overflowPunct/>
        <w:topLinePunct w:val="0"/>
        <w:autoSpaceDE/>
        <w:autoSpaceDN/>
        <w:bidi w:val="0"/>
        <w:adjustRightInd w:val="0"/>
        <w:snapToGrid w:val="0"/>
        <w:spacing w:line="360" w:lineRule="exact"/>
        <w:ind w:left="0" w:firstLine="450" w:firstLineChars="200"/>
        <w:jc w:val="both"/>
        <w:textAlignment w:val="baseline"/>
        <w:outlineLvl w:val="1"/>
        <w:rPr>
          <w:rFonts w:hint="eastAsia" w:ascii="宋体" w:hAnsi="宋体" w:eastAsia="宋体" w:cs="宋体"/>
          <w:color w:val="auto"/>
          <w:sz w:val="21"/>
          <w:szCs w:val="21"/>
        </w:rPr>
      </w:pPr>
      <w:bookmarkStart w:id="29" w:name="bookmark65"/>
      <w:bookmarkEnd w:id="29"/>
      <w:r>
        <w:rPr>
          <w:rFonts w:hint="eastAsia" w:ascii="宋体" w:hAnsi="宋体" w:eastAsia="宋体" w:cs="宋体"/>
          <w:b/>
          <w:bCs/>
          <w:color w:val="auto"/>
          <w:spacing w:val="7"/>
          <w:sz w:val="21"/>
          <w:szCs w:val="21"/>
        </w:rPr>
        <w:t>第十三条</w:t>
      </w:r>
      <w:r>
        <w:rPr>
          <w:rFonts w:hint="eastAsia" w:ascii="宋体" w:hAnsi="宋体" w:eastAsia="宋体" w:cs="宋体"/>
          <w:color w:val="auto"/>
          <w:spacing w:val="7"/>
          <w:sz w:val="21"/>
          <w:szCs w:val="21"/>
        </w:rPr>
        <w:t xml:space="preserve">  </w:t>
      </w:r>
      <w:r>
        <w:rPr>
          <w:rFonts w:hint="eastAsia" w:ascii="宋体" w:hAnsi="宋体" w:eastAsia="宋体" w:cs="宋体"/>
          <w:b/>
          <w:bCs/>
          <w:color w:val="auto"/>
          <w:spacing w:val="7"/>
          <w:sz w:val="21"/>
          <w:szCs w:val="21"/>
        </w:rPr>
        <w:t>合同争议解决</w:t>
      </w:r>
    </w:p>
    <w:p w14:paraId="1849EBDD">
      <w:pPr>
        <w:pStyle w:val="8"/>
        <w:keepNext w:val="0"/>
        <w:keepLines w:val="0"/>
        <w:pageBreakBefore w:val="0"/>
        <w:widowControl/>
        <w:kinsoku w:val="0"/>
        <w:wordWrap/>
        <w:overflowPunct/>
        <w:topLinePunct w:val="0"/>
        <w:autoSpaceDE/>
        <w:autoSpaceDN/>
        <w:bidi w:val="0"/>
        <w:adjustRightInd w:val="0"/>
        <w:snapToGrid w:val="0"/>
        <w:spacing w:line="360" w:lineRule="exact"/>
        <w:ind w:left="25" w:right="157" w:firstLine="456" w:firstLineChars="200"/>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9"/>
          <w:sz w:val="21"/>
          <w:szCs w:val="21"/>
        </w:rPr>
        <w:t>1.因货物质量问题发生争议的，应邀请国家认可的质量检测机构对货物质量进行鉴定。货物符合标准的，鉴定费由甲方承担；货物不符合标准的</w:t>
      </w:r>
      <w:r>
        <w:rPr>
          <w:rFonts w:hint="eastAsia" w:ascii="宋体" w:hAnsi="宋体" w:eastAsia="宋体" w:cs="宋体"/>
          <w:color w:val="auto"/>
          <w:spacing w:val="8"/>
          <w:sz w:val="21"/>
          <w:szCs w:val="21"/>
        </w:rPr>
        <w:t>，鉴定费由乙方承担。</w:t>
      </w:r>
    </w:p>
    <w:p w14:paraId="33D35617">
      <w:pPr>
        <w:pStyle w:val="8"/>
        <w:keepNext w:val="0"/>
        <w:keepLines w:val="0"/>
        <w:pageBreakBefore w:val="0"/>
        <w:widowControl/>
        <w:kinsoku w:val="0"/>
        <w:wordWrap/>
        <w:overflowPunct/>
        <w:topLinePunct w:val="0"/>
        <w:autoSpaceDE/>
        <w:autoSpaceDN/>
        <w:bidi w:val="0"/>
        <w:adjustRightInd w:val="0"/>
        <w:snapToGrid w:val="0"/>
        <w:spacing w:line="360" w:lineRule="exact"/>
        <w:ind w:left="14" w:right="157" w:firstLine="456" w:firstLineChars="200"/>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9"/>
          <w:sz w:val="21"/>
          <w:szCs w:val="21"/>
        </w:rPr>
        <w:t>2.因履行本合同引起的或与本合同有关的争议</w:t>
      </w:r>
      <w:r>
        <w:rPr>
          <w:rFonts w:hint="eastAsia" w:ascii="宋体" w:hAnsi="宋体" w:eastAsia="宋体" w:cs="宋体"/>
          <w:color w:val="auto"/>
          <w:spacing w:val="8"/>
          <w:sz w:val="21"/>
          <w:szCs w:val="21"/>
        </w:rPr>
        <w:t>，甲乙双方应首先通过友好协商解决，如果协商不能解决，可向</w:t>
      </w:r>
      <w:r>
        <w:rPr>
          <w:rFonts w:hint="eastAsia" w:ascii="宋体" w:hAnsi="宋体" w:eastAsia="宋体" w:cs="宋体"/>
          <w:color w:val="auto"/>
          <w:spacing w:val="8"/>
          <w:sz w:val="21"/>
          <w:szCs w:val="21"/>
          <w:lang w:val="en-US" w:eastAsia="zh-CN"/>
        </w:rPr>
        <w:t>甲方</w:t>
      </w:r>
      <w:r>
        <w:rPr>
          <w:rFonts w:hint="eastAsia" w:ascii="宋体" w:hAnsi="宋体" w:eastAsia="宋体" w:cs="宋体"/>
          <w:color w:val="auto"/>
          <w:spacing w:val="8"/>
          <w:sz w:val="21"/>
          <w:szCs w:val="21"/>
        </w:rPr>
        <w:t>所在地辖区人民法院提起诉讼。</w:t>
      </w:r>
    </w:p>
    <w:p w14:paraId="437600D8">
      <w:pPr>
        <w:pStyle w:val="8"/>
        <w:keepNext w:val="0"/>
        <w:keepLines w:val="0"/>
        <w:pageBreakBefore w:val="0"/>
        <w:widowControl/>
        <w:kinsoku w:val="0"/>
        <w:wordWrap/>
        <w:overflowPunct/>
        <w:topLinePunct w:val="0"/>
        <w:autoSpaceDE/>
        <w:autoSpaceDN/>
        <w:bidi w:val="0"/>
        <w:adjustRightInd w:val="0"/>
        <w:snapToGrid w:val="0"/>
        <w:spacing w:line="360" w:lineRule="exact"/>
        <w:ind w:left="0" w:firstLine="448" w:firstLineChars="200"/>
        <w:jc w:val="both"/>
        <w:textAlignment w:val="baseline"/>
        <w:outlineLvl w:val="9"/>
        <w:rPr>
          <w:rFonts w:hint="eastAsia" w:ascii="宋体" w:hAnsi="宋体" w:eastAsia="宋体" w:cs="宋体"/>
          <w:b/>
          <w:bCs/>
          <w:color w:val="auto"/>
          <w:spacing w:val="7"/>
          <w:sz w:val="21"/>
          <w:szCs w:val="21"/>
        </w:rPr>
      </w:pPr>
      <w:r>
        <w:rPr>
          <w:rFonts w:hint="eastAsia" w:ascii="宋体" w:hAnsi="宋体" w:eastAsia="宋体" w:cs="宋体"/>
          <w:color w:val="auto"/>
          <w:spacing w:val="7"/>
          <w:sz w:val="21"/>
          <w:szCs w:val="21"/>
        </w:rPr>
        <w:t>3.诉讼期间，本合同继续履行。</w:t>
      </w:r>
    </w:p>
    <w:p w14:paraId="260150F9">
      <w:pPr>
        <w:pStyle w:val="8"/>
        <w:keepNext w:val="0"/>
        <w:keepLines w:val="0"/>
        <w:pageBreakBefore w:val="0"/>
        <w:widowControl/>
        <w:kinsoku w:val="0"/>
        <w:wordWrap/>
        <w:overflowPunct/>
        <w:topLinePunct w:val="0"/>
        <w:autoSpaceDE/>
        <w:autoSpaceDN/>
        <w:bidi w:val="0"/>
        <w:adjustRightInd w:val="0"/>
        <w:snapToGrid w:val="0"/>
        <w:spacing w:line="360" w:lineRule="exact"/>
        <w:ind w:left="0" w:firstLine="450" w:firstLineChars="200"/>
        <w:jc w:val="both"/>
        <w:textAlignment w:val="baseline"/>
        <w:outlineLvl w:val="1"/>
        <w:rPr>
          <w:rFonts w:hint="eastAsia" w:ascii="宋体" w:hAnsi="宋体" w:eastAsia="宋体" w:cs="宋体"/>
          <w:b/>
          <w:bCs/>
          <w:color w:val="auto"/>
          <w:spacing w:val="7"/>
          <w:sz w:val="21"/>
          <w:szCs w:val="21"/>
        </w:rPr>
      </w:pPr>
      <w:r>
        <w:rPr>
          <w:rFonts w:hint="eastAsia" w:ascii="宋体" w:hAnsi="宋体" w:eastAsia="宋体" w:cs="宋体"/>
          <w:b/>
          <w:bCs/>
          <w:color w:val="auto"/>
          <w:spacing w:val="7"/>
          <w:sz w:val="21"/>
          <w:szCs w:val="21"/>
        </w:rPr>
        <w:t>第十四条</w:t>
      </w:r>
      <w:r>
        <w:rPr>
          <w:rFonts w:hint="eastAsia" w:ascii="宋体" w:hAnsi="宋体" w:eastAsia="宋体" w:cs="宋体"/>
          <w:color w:val="auto"/>
          <w:spacing w:val="7"/>
          <w:sz w:val="21"/>
          <w:szCs w:val="21"/>
        </w:rPr>
        <w:t xml:space="preserve">  </w:t>
      </w:r>
      <w:r>
        <w:rPr>
          <w:rFonts w:hint="eastAsia" w:ascii="宋体" w:hAnsi="宋体" w:eastAsia="宋体" w:cs="宋体"/>
          <w:b/>
          <w:bCs/>
          <w:color w:val="auto"/>
          <w:spacing w:val="7"/>
          <w:sz w:val="21"/>
          <w:szCs w:val="21"/>
        </w:rPr>
        <w:t>合同生效及其它</w:t>
      </w:r>
    </w:p>
    <w:p w14:paraId="140D54F2">
      <w:pPr>
        <w:pStyle w:val="8"/>
        <w:keepNext w:val="0"/>
        <w:keepLines w:val="0"/>
        <w:pageBreakBefore w:val="0"/>
        <w:widowControl/>
        <w:kinsoku w:val="0"/>
        <w:wordWrap/>
        <w:overflowPunct/>
        <w:topLinePunct w:val="0"/>
        <w:autoSpaceDE/>
        <w:autoSpaceDN/>
        <w:bidi w:val="0"/>
        <w:adjustRightInd w:val="0"/>
        <w:snapToGrid w:val="0"/>
        <w:spacing w:line="360" w:lineRule="exact"/>
        <w:ind w:left="0" w:firstLine="452" w:firstLineChars="200"/>
        <w:jc w:val="both"/>
        <w:textAlignment w:val="baseline"/>
        <w:outlineLvl w:val="1"/>
        <w:rPr>
          <w:rFonts w:hint="eastAsia" w:ascii="宋体" w:hAnsi="宋体" w:eastAsia="宋体" w:cs="宋体"/>
          <w:color w:val="auto"/>
          <w:sz w:val="21"/>
          <w:szCs w:val="21"/>
        </w:rPr>
      </w:pPr>
      <w:r>
        <w:rPr>
          <w:rFonts w:hint="eastAsia" w:ascii="宋体" w:hAnsi="宋体" w:eastAsia="宋体" w:cs="宋体"/>
          <w:color w:val="auto"/>
          <w:spacing w:val="8"/>
          <w:sz w:val="21"/>
          <w:szCs w:val="21"/>
        </w:rPr>
        <w:t>1.合同经甲乙双方法定代表人、负责人、自然人或相应的授权代表签字并加盖</w:t>
      </w:r>
      <w:r>
        <w:rPr>
          <w:rFonts w:hint="eastAsia" w:ascii="宋体" w:hAnsi="宋体" w:eastAsia="宋体" w:cs="宋体"/>
          <w:color w:val="auto"/>
          <w:spacing w:val="8"/>
          <w:sz w:val="21"/>
          <w:szCs w:val="21"/>
          <w:lang w:eastAsia="zh-CN"/>
        </w:rPr>
        <w:t>供应商</w:t>
      </w:r>
      <w:r>
        <w:rPr>
          <w:rFonts w:hint="eastAsia" w:ascii="宋体" w:hAnsi="宋体" w:eastAsia="宋体" w:cs="宋体"/>
          <w:color w:val="auto"/>
          <w:spacing w:val="7"/>
          <w:sz w:val="21"/>
          <w:szCs w:val="21"/>
        </w:rPr>
        <w:t>公章后生效。</w:t>
      </w:r>
    </w:p>
    <w:p w14:paraId="0DC8CCAA">
      <w:pPr>
        <w:pStyle w:val="8"/>
        <w:keepNext w:val="0"/>
        <w:keepLines w:val="0"/>
        <w:pageBreakBefore w:val="0"/>
        <w:widowControl/>
        <w:kinsoku w:val="0"/>
        <w:wordWrap/>
        <w:overflowPunct/>
        <w:topLinePunct w:val="0"/>
        <w:autoSpaceDE/>
        <w:autoSpaceDN/>
        <w:bidi w:val="0"/>
        <w:adjustRightInd w:val="0"/>
        <w:snapToGrid w:val="0"/>
        <w:spacing w:line="360" w:lineRule="exact"/>
        <w:ind w:left="6" w:right="88" w:firstLine="460" w:firstLineChars="200"/>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10"/>
          <w:sz w:val="21"/>
          <w:szCs w:val="21"/>
        </w:rPr>
        <w:t>2.合同执行中涉及采购资金和采购内容修改</w:t>
      </w:r>
      <w:r>
        <w:rPr>
          <w:rFonts w:hint="eastAsia" w:ascii="宋体" w:hAnsi="宋体" w:eastAsia="宋体" w:cs="宋体"/>
          <w:color w:val="auto"/>
          <w:spacing w:val="9"/>
          <w:sz w:val="21"/>
          <w:szCs w:val="21"/>
        </w:rPr>
        <w:t>或补充的，需经同级财政部门审批，并签订书面补充协议报同级财政部门备案，方可作为主合同不可分割的一部分。</w:t>
      </w:r>
    </w:p>
    <w:p w14:paraId="19580A43">
      <w:pPr>
        <w:pStyle w:val="8"/>
        <w:keepNext w:val="0"/>
        <w:keepLines w:val="0"/>
        <w:pageBreakBefore w:val="0"/>
        <w:widowControl/>
        <w:kinsoku w:val="0"/>
        <w:wordWrap/>
        <w:overflowPunct/>
        <w:topLinePunct w:val="0"/>
        <w:autoSpaceDE/>
        <w:autoSpaceDN/>
        <w:bidi w:val="0"/>
        <w:adjustRightInd w:val="0"/>
        <w:snapToGrid w:val="0"/>
        <w:spacing w:line="360" w:lineRule="exact"/>
        <w:ind w:left="0" w:firstLine="456" w:firstLineChars="200"/>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9"/>
          <w:sz w:val="21"/>
          <w:szCs w:val="21"/>
        </w:rPr>
        <w:t>3.本合同未尽事宜，遵照《中华人民共和国民法典》有关条</w:t>
      </w:r>
      <w:r>
        <w:rPr>
          <w:rFonts w:hint="eastAsia" w:ascii="宋体" w:hAnsi="宋体" w:eastAsia="宋体" w:cs="宋体"/>
          <w:color w:val="auto"/>
          <w:spacing w:val="8"/>
          <w:sz w:val="21"/>
          <w:szCs w:val="21"/>
        </w:rPr>
        <w:t>文执行。</w:t>
      </w:r>
    </w:p>
    <w:p w14:paraId="7C29A128">
      <w:pPr>
        <w:pStyle w:val="8"/>
        <w:keepNext w:val="0"/>
        <w:keepLines w:val="0"/>
        <w:pageBreakBefore w:val="0"/>
        <w:widowControl/>
        <w:kinsoku w:val="0"/>
        <w:wordWrap/>
        <w:overflowPunct/>
        <w:topLinePunct w:val="0"/>
        <w:autoSpaceDE/>
        <w:autoSpaceDN/>
        <w:bidi w:val="0"/>
        <w:adjustRightInd w:val="0"/>
        <w:snapToGrid w:val="0"/>
        <w:spacing w:line="360" w:lineRule="exact"/>
        <w:ind w:left="0" w:firstLine="450" w:firstLineChars="200"/>
        <w:jc w:val="both"/>
        <w:textAlignment w:val="baseline"/>
        <w:outlineLvl w:val="1"/>
        <w:rPr>
          <w:rFonts w:hint="eastAsia" w:ascii="宋体" w:hAnsi="宋体" w:eastAsia="宋体" w:cs="宋体"/>
          <w:color w:val="auto"/>
          <w:sz w:val="21"/>
          <w:szCs w:val="21"/>
        </w:rPr>
      </w:pPr>
      <w:bookmarkStart w:id="30" w:name="bookmark67"/>
      <w:bookmarkEnd w:id="30"/>
      <w:r>
        <w:rPr>
          <w:rFonts w:hint="eastAsia" w:ascii="宋体" w:hAnsi="宋体" w:eastAsia="宋体" w:cs="宋体"/>
          <w:b/>
          <w:bCs/>
          <w:color w:val="auto"/>
          <w:spacing w:val="7"/>
          <w:sz w:val="21"/>
          <w:szCs w:val="21"/>
        </w:rPr>
        <w:t>第十五条</w:t>
      </w:r>
      <w:r>
        <w:rPr>
          <w:rFonts w:hint="eastAsia" w:ascii="宋体" w:hAnsi="宋体" w:eastAsia="宋体" w:cs="宋体"/>
          <w:color w:val="auto"/>
          <w:spacing w:val="7"/>
          <w:sz w:val="21"/>
          <w:szCs w:val="21"/>
        </w:rPr>
        <w:t xml:space="preserve">  </w:t>
      </w:r>
      <w:r>
        <w:rPr>
          <w:rFonts w:hint="eastAsia" w:ascii="宋体" w:hAnsi="宋体" w:eastAsia="宋体" w:cs="宋体"/>
          <w:b/>
          <w:bCs/>
          <w:color w:val="auto"/>
          <w:spacing w:val="7"/>
          <w:sz w:val="21"/>
          <w:szCs w:val="21"/>
        </w:rPr>
        <w:t>合同的变更、终止与转让</w:t>
      </w:r>
    </w:p>
    <w:p w14:paraId="69A17961">
      <w:pPr>
        <w:pStyle w:val="8"/>
        <w:keepNext w:val="0"/>
        <w:keepLines w:val="0"/>
        <w:pageBreakBefore w:val="0"/>
        <w:widowControl/>
        <w:kinsoku w:val="0"/>
        <w:wordWrap/>
        <w:overflowPunct/>
        <w:topLinePunct w:val="0"/>
        <w:autoSpaceDE/>
        <w:autoSpaceDN/>
        <w:bidi w:val="0"/>
        <w:adjustRightInd w:val="0"/>
        <w:snapToGrid w:val="0"/>
        <w:spacing w:line="360" w:lineRule="exact"/>
        <w:ind w:left="10" w:right="88" w:firstLine="452" w:firstLineChars="200"/>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8"/>
          <w:sz w:val="21"/>
          <w:szCs w:val="21"/>
        </w:rPr>
        <w:t>1.除《中华人民共和国政府采购法》第五十条规定的情形外，本合同一经签订，甲乙双方不得擅自变</w:t>
      </w:r>
      <w:r>
        <w:rPr>
          <w:rFonts w:hint="eastAsia" w:ascii="宋体" w:hAnsi="宋体" w:eastAsia="宋体" w:cs="宋体"/>
          <w:color w:val="auto"/>
          <w:spacing w:val="7"/>
          <w:sz w:val="21"/>
          <w:szCs w:val="21"/>
        </w:rPr>
        <w:t>更，中止或终止。</w:t>
      </w:r>
    </w:p>
    <w:p w14:paraId="678E7115">
      <w:pPr>
        <w:pStyle w:val="8"/>
        <w:keepNext w:val="0"/>
        <w:keepLines w:val="0"/>
        <w:pageBreakBefore w:val="0"/>
        <w:widowControl/>
        <w:kinsoku w:val="0"/>
        <w:wordWrap/>
        <w:overflowPunct/>
        <w:topLinePunct w:val="0"/>
        <w:autoSpaceDE/>
        <w:autoSpaceDN/>
        <w:bidi w:val="0"/>
        <w:adjustRightInd w:val="0"/>
        <w:snapToGrid w:val="0"/>
        <w:spacing w:line="360" w:lineRule="exact"/>
        <w:ind w:left="0" w:firstLine="456" w:firstLineChars="200"/>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9"/>
          <w:sz w:val="21"/>
          <w:szCs w:val="21"/>
        </w:rPr>
        <w:t>2.乙方不得擅自转让(无进口资格的供应商委托进口货物除外)其应履行的</w:t>
      </w:r>
      <w:r>
        <w:rPr>
          <w:rFonts w:hint="eastAsia" w:ascii="宋体" w:hAnsi="宋体" w:eastAsia="宋体" w:cs="宋体"/>
          <w:color w:val="auto"/>
          <w:spacing w:val="8"/>
          <w:sz w:val="21"/>
          <w:szCs w:val="21"/>
        </w:rPr>
        <w:t>合同义务。</w:t>
      </w:r>
    </w:p>
    <w:p w14:paraId="74320D56">
      <w:pPr>
        <w:pStyle w:val="8"/>
        <w:keepNext w:val="0"/>
        <w:keepLines w:val="0"/>
        <w:pageBreakBefore w:val="0"/>
        <w:widowControl/>
        <w:kinsoku w:val="0"/>
        <w:wordWrap/>
        <w:overflowPunct/>
        <w:topLinePunct w:val="0"/>
        <w:autoSpaceDE/>
        <w:autoSpaceDN/>
        <w:bidi w:val="0"/>
        <w:adjustRightInd w:val="0"/>
        <w:snapToGrid w:val="0"/>
        <w:spacing w:line="360" w:lineRule="exact"/>
        <w:ind w:left="0" w:firstLine="450" w:firstLineChars="200"/>
        <w:jc w:val="both"/>
        <w:textAlignment w:val="baseline"/>
        <w:outlineLvl w:val="1"/>
        <w:rPr>
          <w:rFonts w:hint="eastAsia" w:ascii="宋体" w:hAnsi="宋体" w:eastAsia="宋体" w:cs="宋体"/>
          <w:color w:val="auto"/>
          <w:sz w:val="21"/>
          <w:szCs w:val="21"/>
        </w:rPr>
      </w:pPr>
      <w:bookmarkStart w:id="31" w:name="bookmark68"/>
      <w:bookmarkEnd w:id="31"/>
      <w:r>
        <w:rPr>
          <w:rFonts w:hint="eastAsia" w:ascii="宋体" w:hAnsi="宋体" w:eastAsia="宋体" w:cs="宋体"/>
          <w:b/>
          <w:bCs/>
          <w:color w:val="auto"/>
          <w:spacing w:val="7"/>
          <w:sz w:val="21"/>
          <w:szCs w:val="21"/>
        </w:rPr>
        <w:t>第十六条</w:t>
      </w:r>
      <w:r>
        <w:rPr>
          <w:rFonts w:hint="eastAsia" w:ascii="宋体" w:hAnsi="宋体" w:eastAsia="宋体" w:cs="宋体"/>
          <w:color w:val="auto"/>
          <w:spacing w:val="7"/>
          <w:sz w:val="21"/>
          <w:szCs w:val="21"/>
        </w:rPr>
        <w:t xml:space="preserve">  </w:t>
      </w:r>
      <w:r>
        <w:rPr>
          <w:rFonts w:hint="eastAsia" w:ascii="宋体" w:hAnsi="宋体" w:eastAsia="宋体" w:cs="宋体"/>
          <w:b/>
          <w:bCs/>
          <w:color w:val="auto"/>
          <w:spacing w:val="7"/>
          <w:sz w:val="21"/>
          <w:szCs w:val="21"/>
        </w:rPr>
        <w:t>签订本合同依据</w:t>
      </w:r>
    </w:p>
    <w:p w14:paraId="7102A35B">
      <w:pPr>
        <w:pStyle w:val="8"/>
        <w:keepNext w:val="0"/>
        <w:keepLines w:val="0"/>
        <w:pageBreakBefore w:val="0"/>
        <w:widowControl/>
        <w:kinsoku w:val="0"/>
        <w:wordWrap/>
        <w:overflowPunct/>
        <w:topLinePunct w:val="0"/>
        <w:autoSpaceDE/>
        <w:autoSpaceDN/>
        <w:bidi w:val="0"/>
        <w:adjustRightInd w:val="0"/>
        <w:snapToGrid w:val="0"/>
        <w:spacing w:line="360" w:lineRule="exact"/>
        <w:ind w:left="0" w:firstLine="432" w:firstLineChars="200"/>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3"/>
          <w:sz w:val="21"/>
          <w:szCs w:val="21"/>
        </w:rPr>
        <w:t>1.</w:t>
      </w:r>
      <w:r>
        <w:rPr>
          <w:rFonts w:hint="eastAsia" w:ascii="宋体" w:hAnsi="宋体" w:eastAsia="宋体" w:cs="宋体"/>
          <w:color w:val="auto"/>
          <w:spacing w:val="3"/>
          <w:sz w:val="21"/>
          <w:szCs w:val="21"/>
          <w:lang w:eastAsia="zh-CN"/>
        </w:rPr>
        <w:t>谈判</w:t>
      </w:r>
      <w:r>
        <w:rPr>
          <w:rFonts w:hint="eastAsia" w:ascii="宋体" w:hAnsi="宋体" w:eastAsia="宋体" w:cs="宋体"/>
          <w:color w:val="auto"/>
          <w:spacing w:val="3"/>
          <w:sz w:val="21"/>
          <w:szCs w:val="21"/>
        </w:rPr>
        <w:t>文件；</w:t>
      </w:r>
    </w:p>
    <w:p w14:paraId="5C30C90D">
      <w:pPr>
        <w:pStyle w:val="8"/>
        <w:keepNext w:val="0"/>
        <w:keepLines w:val="0"/>
        <w:pageBreakBefore w:val="0"/>
        <w:widowControl/>
        <w:kinsoku w:val="0"/>
        <w:wordWrap/>
        <w:overflowPunct/>
        <w:topLinePunct w:val="0"/>
        <w:autoSpaceDE/>
        <w:autoSpaceDN/>
        <w:bidi w:val="0"/>
        <w:adjustRightInd w:val="0"/>
        <w:snapToGrid w:val="0"/>
        <w:spacing w:line="360" w:lineRule="exact"/>
        <w:ind w:left="0" w:firstLine="448" w:firstLineChars="200"/>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7"/>
          <w:sz w:val="21"/>
          <w:szCs w:val="21"/>
        </w:rPr>
        <w:t>2.乙方提供的</w:t>
      </w:r>
      <w:r>
        <w:rPr>
          <w:rFonts w:hint="eastAsia" w:ascii="宋体" w:hAnsi="宋体" w:eastAsia="宋体" w:cs="宋体"/>
          <w:color w:val="auto"/>
          <w:spacing w:val="7"/>
          <w:sz w:val="21"/>
          <w:szCs w:val="21"/>
          <w:lang w:eastAsia="zh-CN"/>
        </w:rPr>
        <w:t>响应</w:t>
      </w:r>
      <w:r>
        <w:rPr>
          <w:rFonts w:hint="eastAsia" w:ascii="宋体" w:hAnsi="宋体" w:eastAsia="宋体" w:cs="宋体"/>
          <w:color w:val="auto"/>
          <w:spacing w:val="7"/>
          <w:sz w:val="21"/>
          <w:szCs w:val="21"/>
        </w:rPr>
        <w:t>文件；</w:t>
      </w:r>
    </w:p>
    <w:p w14:paraId="4C2D99C2">
      <w:pPr>
        <w:pStyle w:val="8"/>
        <w:keepNext w:val="0"/>
        <w:keepLines w:val="0"/>
        <w:pageBreakBefore w:val="0"/>
        <w:widowControl/>
        <w:kinsoku w:val="0"/>
        <w:wordWrap/>
        <w:overflowPunct/>
        <w:topLinePunct w:val="0"/>
        <w:autoSpaceDE/>
        <w:autoSpaceDN/>
        <w:bidi w:val="0"/>
        <w:adjustRightInd w:val="0"/>
        <w:snapToGrid w:val="0"/>
        <w:spacing w:line="360" w:lineRule="exact"/>
        <w:ind w:left="0" w:firstLine="444" w:firstLineChars="200"/>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6"/>
          <w:sz w:val="21"/>
          <w:szCs w:val="21"/>
        </w:rPr>
        <w:t>3.</w:t>
      </w:r>
      <w:r>
        <w:rPr>
          <w:rFonts w:hint="eastAsia" w:ascii="宋体" w:hAnsi="宋体" w:eastAsia="宋体" w:cs="宋体"/>
          <w:color w:val="auto"/>
          <w:spacing w:val="6"/>
          <w:sz w:val="21"/>
          <w:szCs w:val="21"/>
          <w:lang w:eastAsia="zh-CN"/>
        </w:rPr>
        <w:t>项</w:t>
      </w:r>
      <w:r>
        <w:rPr>
          <w:rFonts w:hint="eastAsia" w:ascii="宋体" w:hAnsi="宋体" w:eastAsia="宋体" w:cs="宋体"/>
          <w:color w:val="auto"/>
          <w:spacing w:val="6"/>
          <w:sz w:val="21"/>
          <w:szCs w:val="21"/>
        </w:rPr>
        <w:t>目实施方案、售后服务承诺；</w:t>
      </w:r>
    </w:p>
    <w:p w14:paraId="00164E91">
      <w:pPr>
        <w:pStyle w:val="8"/>
        <w:keepNext w:val="0"/>
        <w:keepLines w:val="0"/>
        <w:pageBreakBefore w:val="0"/>
        <w:widowControl/>
        <w:kinsoku w:val="0"/>
        <w:wordWrap/>
        <w:overflowPunct/>
        <w:topLinePunct w:val="0"/>
        <w:autoSpaceDE/>
        <w:autoSpaceDN/>
        <w:bidi w:val="0"/>
        <w:adjustRightInd w:val="0"/>
        <w:snapToGrid w:val="0"/>
        <w:spacing w:line="360" w:lineRule="exact"/>
        <w:ind w:left="0" w:firstLine="444" w:firstLineChars="200"/>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6"/>
          <w:sz w:val="21"/>
          <w:szCs w:val="21"/>
        </w:rPr>
        <w:t>4.</w:t>
      </w:r>
      <w:r>
        <w:rPr>
          <w:rFonts w:hint="eastAsia" w:ascii="宋体" w:hAnsi="宋体" w:eastAsia="宋体" w:cs="宋体"/>
          <w:color w:val="auto"/>
          <w:spacing w:val="6"/>
          <w:sz w:val="21"/>
          <w:szCs w:val="21"/>
          <w:lang w:eastAsia="zh-CN"/>
        </w:rPr>
        <w:t>成交</w:t>
      </w:r>
      <w:r>
        <w:rPr>
          <w:rFonts w:hint="eastAsia" w:ascii="宋体" w:hAnsi="宋体" w:eastAsia="宋体" w:cs="宋体"/>
          <w:color w:val="auto"/>
          <w:spacing w:val="6"/>
          <w:sz w:val="21"/>
          <w:szCs w:val="21"/>
        </w:rPr>
        <w:t>通知书。</w:t>
      </w:r>
    </w:p>
    <w:p w14:paraId="36834A0F">
      <w:pPr>
        <w:pStyle w:val="8"/>
        <w:keepNext w:val="0"/>
        <w:keepLines w:val="0"/>
        <w:pageBreakBefore w:val="0"/>
        <w:widowControl/>
        <w:kinsoku w:val="0"/>
        <w:wordWrap/>
        <w:overflowPunct/>
        <w:topLinePunct w:val="0"/>
        <w:autoSpaceDE/>
        <w:autoSpaceDN/>
        <w:bidi w:val="0"/>
        <w:adjustRightInd w:val="0"/>
        <w:snapToGrid w:val="0"/>
        <w:spacing w:line="360" w:lineRule="exact"/>
        <w:ind w:left="8" w:right="85" w:firstLine="452" w:firstLineChars="200"/>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8"/>
          <w:sz w:val="21"/>
          <w:szCs w:val="21"/>
        </w:rPr>
        <w:t>本合同采用电子形式在线签订</w:t>
      </w:r>
      <w:r>
        <w:rPr>
          <w:rFonts w:hint="eastAsia" w:ascii="宋体" w:hAnsi="宋体" w:eastAsia="宋体" w:cs="宋体"/>
          <w:color w:val="auto"/>
          <w:spacing w:val="8"/>
          <w:sz w:val="21"/>
          <w:szCs w:val="21"/>
          <w:lang w:eastAsia="zh-CN"/>
        </w:rPr>
        <w:t>的</w:t>
      </w:r>
      <w:r>
        <w:rPr>
          <w:rFonts w:hint="eastAsia" w:ascii="宋体" w:hAnsi="宋体" w:eastAsia="宋体" w:cs="宋体"/>
          <w:color w:val="auto"/>
          <w:spacing w:val="8"/>
          <w:sz w:val="21"/>
          <w:szCs w:val="21"/>
        </w:rPr>
        <w:t>，甲乙双方在线签章后生效，电子版和纸质版具</w:t>
      </w:r>
      <w:r>
        <w:rPr>
          <w:rFonts w:hint="eastAsia" w:ascii="宋体" w:hAnsi="宋体" w:eastAsia="宋体" w:cs="宋体"/>
          <w:color w:val="auto"/>
          <w:spacing w:val="7"/>
          <w:sz w:val="21"/>
          <w:szCs w:val="21"/>
        </w:rPr>
        <w:t>有同等法律效力。政府</w:t>
      </w:r>
      <w:r>
        <w:rPr>
          <w:rFonts w:hint="eastAsia" w:ascii="宋体" w:hAnsi="宋体" w:eastAsia="宋体" w:cs="宋体"/>
          <w:color w:val="auto"/>
          <w:spacing w:val="9"/>
          <w:sz w:val="21"/>
          <w:szCs w:val="21"/>
        </w:rPr>
        <w:t>采购合同自签订之日起将自动存档于“广西政府采购云平台”上，</w:t>
      </w:r>
      <w:r>
        <w:rPr>
          <w:rFonts w:hint="eastAsia" w:ascii="宋体" w:hAnsi="宋体" w:eastAsia="宋体" w:cs="宋体"/>
          <w:color w:val="auto"/>
          <w:spacing w:val="9"/>
          <w:sz w:val="21"/>
          <w:szCs w:val="21"/>
          <w:lang w:eastAsia="zh-CN"/>
        </w:rPr>
        <w:t>甲方</w:t>
      </w:r>
      <w:r>
        <w:rPr>
          <w:rFonts w:hint="eastAsia" w:ascii="宋体" w:hAnsi="宋体" w:eastAsia="宋体" w:cs="宋体"/>
          <w:color w:val="auto"/>
          <w:spacing w:val="9"/>
          <w:sz w:val="21"/>
          <w:szCs w:val="21"/>
        </w:rPr>
        <w:t>于合同签订之日起七个工作日内</w:t>
      </w:r>
      <w:r>
        <w:rPr>
          <w:rFonts w:hint="eastAsia" w:ascii="宋体" w:hAnsi="宋体" w:eastAsia="宋体" w:cs="宋体"/>
          <w:color w:val="auto"/>
          <w:spacing w:val="8"/>
          <w:sz w:val="21"/>
          <w:szCs w:val="21"/>
        </w:rPr>
        <w:t>将一份合同原件送本级财政部门备案。</w:t>
      </w:r>
    </w:p>
    <w:p w14:paraId="11D8E1DE">
      <w:pPr>
        <w:pageBreakBefore w:val="0"/>
        <w:widowControl/>
        <w:kinsoku w:val="0"/>
        <w:wordWrap/>
        <w:overflowPunct/>
        <w:topLinePunct w:val="0"/>
        <w:autoSpaceDE w:val="0"/>
        <w:autoSpaceDN w:val="0"/>
        <w:bidi w:val="0"/>
        <w:adjustRightInd w:val="0"/>
        <w:snapToGrid w:val="0"/>
        <w:spacing w:line="400" w:lineRule="exact"/>
        <w:jc w:val="both"/>
        <w:textAlignment w:val="baseline"/>
        <w:rPr>
          <w:rFonts w:hint="eastAsia" w:ascii="宋体" w:hAnsi="宋体" w:eastAsia="宋体" w:cs="宋体"/>
          <w:color w:val="auto"/>
          <w:sz w:val="21"/>
          <w:szCs w:val="21"/>
        </w:rPr>
      </w:pPr>
    </w:p>
    <w:p w14:paraId="6AE3EAEE">
      <w:pPr>
        <w:pStyle w:val="8"/>
        <w:pageBreakBefore w:val="0"/>
        <w:widowControl/>
        <w:kinsoku w:val="0"/>
        <w:wordWrap/>
        <w:overflowPunct/>
        <w:topLinePunct w:val="0"/>
        <w:autoSpaceDE w:val="0"/>
        <w:autoSpaceDN w:val="0"/>
        <w:bidi w:val="0"/>
        <w:adjustRightInd w:val="0"/>
        <w:snapToGrid w:val="0"/>
        <w:spacing w:line="400" w:lineRule="exact"/>
        <w:ind w:left="35"/>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2"/>
          <w:sz w:val="21"/>
          <w:szCs w:val="21"/>
        </w:rPr>
        <w:t>甲方（公章</w:t>
      </w:r>
      <w:r>
        <w:rPr>
          <w:rFonts w:hint="eastAsia" w:ascii="宋体" w:hAnsi="宋体" w:eastAsia="宋体" w:cs="宋体"/>
          <w:color w:val="auto"/>
          <w:spacing w:val="12"/>
          <w:sz w:val="21"/>
          <w:szCs w:val="21"/>
        </w:rPr>
        <w:t>）：</w:t>
      </w:r>
      <w:r>
        <w:rPr>
          <w:rFonts w:hint="eastAsia" w:ascii="宋体" w:hAnsi="宋体" w:eastAsia="宋体" w:cs="宋体"/>
          <w:color w:val="auto"/>
          <w:spacing w:val="1"/>
          <w:sz w:val="21"/>
          <w:szCs w:val="21"/>
          <w:u w:val="single" w:color="auto"/>
        </w:rPr>
        <w:t xml:space="preserve">                       </w:t>
      </w:r>
      <w:r>
        <w:rPr>
          <w:rFonts w:hint="eastAsia" w:ascii="宋体" w:hAnsi="宋体" w:eastAsia="宋体" w:cs="宋体"/>
          <w:color w:val="auto"/>
          <w:spacing w:val="10"/>
          <w:sz w:val="21"/>
          <w:szCs w:val="21"/>
        </w:rPr>
        <w:t xml:space="preserve">  </w:t>
      </w:r>
      <w:r>
        <w:rPr>
          <w:rFonts w:hint="eastAsia" w:ascii="宋体" w:hAnsi="宋体" w:eastAsia="宋体" w:cs="宋体"/>
          <w:color w:val="auto"/>
          <w:spacing w:val="10"/>
          <w:sz w:val="21"/>
          <w:szCs w:val="21"/>
          <w:lang w:val="en-US" w:eastAsia="zh-CN"/>
        </w:rPr>
        <w:t xml:space="preserve">       </w:t>
      </w:r>
      <w:r>
        <w:rPr>
          <w:rFonts w:hint="eastAsia" w:ascii="宋体" w:hAnsi="宋体" w:eastAsia="宋体" w:cs="宋体"/>
          <w:color w:val="auto"/>
          <w:spacing w:val="2"/>
          <w:sz w:val="21"/>
          <w:szCs w:val="21"/>
        </w:rPr>
        <w:t>乙方（公章，</w:t>
      </w:r>
      <w:r>
        <w:rPr>
          <w:rFonts w:hint="eastAsia" w:ascii="宋体" w:hAnsi="宋体" w:eastAsia="宋体" w:cs="宋体"/>
          <w:color w:val="auto"/>
          <w:spacing w:val="-45"/>
          <w:sz w:val="21"/>
          <w:szCs w:val="21"/>
        </w:rPr>
        <w:t xml:space="preserve"> </w:t>
      </w:r>
      <w:r>
        <w:rPr>
          <w:rFonts w:hint="eastAsia" w:ascii="宋体" w:hAnsi="宋体" w:eastAsia="宋体" w:cs="宋体"/>
          <w:color w:val="auto"/>
          <w:spacing w:val="2"/>
          <w:sz w:val="21"/>
          <w:szCs w:val="21"/>
        </w:rPr>
        <w:t>自然人除外</w:t>
      </w:r>
      <w:r>
        <w:rPr>
          <w:rFonts w:hint="eastAsia" w:ascii="宋体" w:hAnsi="宋体" w:eastAsia="宋体" w:cs="宋体"/>
          <w:color w:val="auto"/>
          <w:spacing w:val="12"/>
          <w:sz w:val="21"/>
          <w:szCs w:val="21"/>
        </w:rPr>
        <w:t>）：</w:t>
      </w:r>
      <w:r>
        <w:rPr>
          <w:rFonts w:hint="eastAsia" w:ascii="宋体" w:hAnsi="宋体" w:eastAsia="宋体" w:cs="宋体"/>
          <w:color w:val="auto"/>
          <w:sz w:val="21"/>
          <w:szCs w:val="21"/>
          <w:u w:val="single" w:color="auto"/>
        </w:rPr>
        <w:t xml:space="preserve">                        </w:t>
      </w:r>
    </w:p>
    <w:p w14:paraId="07ACFE7A">
      <w:pPr>
        <w:pStyle w:val="8"/>
        <w:pageBreakBefore w:val="0"/>
        <w:widowControl/>
        <w:kinsoku w:val="0"/>
        <w:wordWrap/>
        <w:overflowPunct/>
        <w:topLinePunct w:val="0"/>
        <w:autoSpaceDE w:val="0"/>
        <w:autoSpaceDN w:val="0"/>
        <w:bidi w:val="0"/>
        <w:adjustRightInd w:val="0"/>
        <w:snapToGrid w:val="0"/>
        <w:spacing w:line="400" w:lineRule="exact"/>
        <w:ind w:left="8"/>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7"/>
          <w:sz w:val="21"/>
          <w:szCs w:val="21"/>
        </w:rPr>
        <w:t>法定代表人签字：</w:t>
      </w:r>
      <w:r>
        <w:rPr>
          <w:rFonts w:hint="eastAsia" w:ascii="宋体" w:hAnsi="宋体" w:eastAsia="宋体" w:cs="宋体"/>
          <w:color w:val="auto"/>
          <w:spacing w:val="7"/>
          <w:sz w:val="21"/>
          <w:szCs w:val="21"/>
          <w:u w:val="single" w:color="auto"/>
        </w:rPr>
        <w:t xml:space="preserve">             </w:t>
      </w:r>
      <w:r>
        <w:rPr>
          <w:rFonts w:hint="eastAsia" w:ascii="宋体" w:hAnsi="宋体" w:eastAsia="宋体" w:cs="宋体"/>
          <w:color w:val="auto"/>
          <w:spacing w:val="7"/>
          <w:sz w:val="21"/>
          <w:szCs w:val="21"/>
          <w:u w:val="single" w:color="auto"/>
          <w:lang w:val="en-US" w:eastAsia="zh-CN"/>
        </w:rPr>
        <w:t xml:space="preserve">  </w:t>
      </w:r>
      <w:r>
        <w:rPr>
          <w:rFonts w:hint="eastAsia" w:ascii="宋体" w:hAnsi="宋体" w:eastAsia="宋体" w:cs="宋体"/>
          <w:color w:val="auto"/>
          <w:spacing w:val="7"/>
          <w:sz w:val="21"/>
          <w:szCs w:val="21"/>
          <w:u w:val="single" w:color="auto"/>
        </w:rPr>
        <w:t xml:space="preserve">  </w:t>
      </w:r>
      <w:r>
        <w:rPr>
          <w:rFonts w:hint="eastAsia" w:ascii="宋体" w:hAnsi="宋体" w:eastAsia="宋体" w:cs="宋体"/>
          <w:color w:val="auto"/>
          <w:spacing w:val="7"/>
          <w:sz w:val="21"/>
          <w:szCs w:val="21"/>
        </w:rPr>
        <w:t xml:space="preserve"> </w:t>
      </w:r>
      <w:r>
        <w:rPr>
          <w:rFonts w:hint="eastAsia" w:ascii="宋体" w:hAnsi="宋体" w:eastAsia="宋体" w:cs="宋体"/>
          <w:color w:val="auto"/>
          <w:spacing w:val="7"/>
          <w:sz w:val="21"/>
          <w:szCs w:val="21"/>
          <w:lang w:val="en-US" w:eastAsia="zh-CN"/>
        </w:rPr>
        <w:t xml:space="preserve">          </w:t>
      </w:r>
      <w:r>
        <w:rPr>
          <w:rFonts w:hint="eastAsia" w:ascii="宋体" w:hAnsi="宋体" w:eastAsia="宋体" w:cs="宋体"/>
          <w:color w:val="auto"/>
          <w:spacing w:val="7"/>
          <w:sz w:val="21"/>
          <w:szCs w:val="21"/>
        </w:rPr>
        <w:t>法</w:t>
      </w:r>
      <w:r>
        <w:rPr>
          <w:rFonts w:hint="eastAsia" w:ascii="宋体" w:hAnsi="宋体" w:eastAsia="宋体" w:cs="宋体"/>
          <w:color w:val="auto"/>
          <w:spacing w:val="6"/>
          <w:sz w:val="21"/>
          <w:szCs w:val="21"/>
        </w:rPr>
        <w:t>定代表人（负责人、</w:t>
      </w:r>
      <w:r>
        <w:rPr>
          <w:rFonts w:hint="eastAsia" w:ascii="宋体" w:hAnsi="宋体" w:eastAsia="宋体" w:cs="宋体"/>
          <w:color w:val="auto"/>
          <w:spacing w:val="-50"/>
          <w:sz w:val="21"/>
          <w:szCs w:val="21"/>
        </w:rPr>
        <w:t xml:space="preserve"> </w:t>
      </w:r>
      <w:r>
        <w:rPr>
          <w:rFonts w:hint="eastAsia" w:ascii="宋体" w:hAnsi="宋体" w:eastAsia="宋体" w:cs="宋体"/>
          <w:color w:val="auto"/>
          <w:spacing w:val="6"/>
          <w:sz w:val="21"/>
          <w:szCs w:val="21"/>
        </w:rPr>
        <w:t>自然人）签字</w:t>
      </w:r>
    </w:p>
    <w:p w14:paraId="419EEDF2">
      <w:pPr>
        <w:pStyle w:val="8"/>
        <w:pageBreakBefore w:val="0"/>
        <w:widowControl/>
        <w:kinsoku w:val="0"/>
        <w:wordWrap/>
        <w:overflowPunct/>
        <w:topLinePunct w:val="0"/>
        <w:autoSpaceDE w:val="0"/>
        <w:autoSpaceDN w:val="0"/>
        <w:bidi w:val="0"/>
        <w:adjustRightInd w:val="0"/>
        <w:snapToGrid w:val="0"/>
        <w:spacing w:line="400" w:lineRule="exact"/>
        <w:ind w:firstLine="3774" w:firstLineChars="1700"/>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6"/>
          <w:sz w:val="21"/>
          <w:szCs w:val="21"/>
        </w:rPr>
        <w:t>（属自然人的应在</w:t>
      </w:r>
      <w:r>
        <w:rPr>
          <w:rFonts w:hint="eastAsia" w:ascii="宋体" w:hAnsi="宋体" w:eastAsia="宋体" w:cs="宋体"/>
          <w:color w:val="auto"/>
          <w:spacing w:val="8"/>
          <w:sz w:val="21"/>
          <w:szCs w:val="21"/>
        </w:rPr>
        <w:t>签名处加盖大拇指指印</w:t>
      </w:r>
      <w:r>
        <w:rPr>
          <w:rFonts w:hint="eastAsia" w:ascii="宋体" w:hAnsi="宋体" w:eastAsia="宋体" w:cs="宋体"/>
          <w:color w:val="auto"/>
          <w:spacing w:val="15"/>
          <w:sz w:val="21"/>
          <w:szCs w:val="21"/>
        </w:rPr>
        <w:t>）：</w:t>
      </w:r>
      <w:r>
        <w:rPr>
          <w:rFonts w:hint="eastAsia" w:ascii="宋体" w:hAnsi="宋体" w:eastAsia="宋体" w:cs="宋体"/>
          <w:color w:val="auto"/>
          <w:sz w:val="21"/>
          <w:szCs w:val="21"/>
          <w:u w:val="single" w:color="auto"/>
        </w:rPr>
        <w:t xml:space="preserve">                           </w:t>
      </w:r>
    </w:p>
    <w:p w14:paraId="04AE8FDF">
      <w:pPr>
        <w:pStyle w:val="8"/>
        <w:pageBreakBefore w:val="0"/>
        <w:widowControl/>
        <w:kinsoku w:val="0"/>
        <w:wordWrap/>
        <w:overflowPunct/>
        <w:topLinePunct w:val="0"/>
        <w:autoSpaceDE w:val="0"/>
        <w:autoSpaceDN w:val="0"/>
        <w:bidi w:val="0"/>
        <w:adjustRightInd w:val="0"/>
        <w:snapToGrid w:val="0"/>
        <w:spacing w:line="400" w:lineRule="exact"/>
        <w:ind w:left="7"/>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4"/>
          <w:sz w:val="21"/>
          <w:szCs w:val="21"/>
        </w:rPr>
        <w:t>委托代理人：</w:t>
      </w:r>
      <w:r>
        <w:rPr>
          <w:rFonts w:hint="eastAsia" w:ascii="宋体" w:hAnsi="宋体" w:eastAsia="宋体" w:cs="宋体"/>
          <w:color w:val="auto"/>
          <w:spacing w:val="4"/>
          <w:sz w:val="21"/>
          <w:szCs w:val="21"/>
          <w:u w:val="single" w:color="auto"/>
        </w:rPr>
        <w:t xml:space="preserve">                      </w:t>
      </w:r>
      <w:r>
        <w:rPr>
          <w:rFonts w:hint="eastAsia" w:ascii="宋体" w:hAnsi="宋体" w:eastAsia="宋体" w:cs="宋体"/>
          <w:color w:val="auto"/>
          <w:spacing w:val="4"/>
          <w:sz w:val="21"/>
          <w:szCs w:val="21"/>
          <w:u w:val="single" w:color="auto"/>
          <w:lang w:val="en-US" w:eastAsia="zh-CN"/>
        </w:rPr>
        <w:t xml:space="preserve"> </w:t>
      </w:r>
      <w:r>
        <w:rPr>
          <w:rFonts w:hint="eastAsia" w:ascii="宋体" w:hAnsi="宋体" w:eastAsia="宋体" w:cs="宋体"/>
          <w:color w:val="auto"/>
          <w:spacing w:val="4"/>
          <w:sz w:val="21"/>
          <w:szCs w:val="21"/>
          <w:u w:val="single" w:color="auto"/>
        </w:rPr>
        <w:t xml:space="preserve">   </w:t>
      </w:r>
      <w:r>
        <w:rPr>
          <w:rFonts w:hint="eastAsia" w:ascii="宋体" w:hAnsi="宋体" w:eastAsia="宋体" w:cs="宋体"/>
          <w:color w:val="auto"/>
          <w:spacing w:val="4"/>
          <w:sz w:val="21"/>
          <w:szCs w:val="21"/>
        </w:rPr>
        <w:t xml:space="preserve">  </w:t>
      </w:r>
      <w:r>
        <w:rPr>
          <w:rFonts w:hint="eastAsia" w:ascii="宋体" w:hAnsi="宋体" w:eastAsia="宋体" w:cs="宋体"/>
          <w:color w:val="auto"/>
          <w:spacing w:val="4"/>
          <w:sz w:val="21"/>
          <w:szCs w:val="21"/>
          <w:lang w:val="en-US" w:eastAsia="zh-CN"/>
        </w:rPr>
        <w:t xml:space="preserve">  </w:t>
      </w:r>
      <w:r>
        <w:rPr>
          <w:rFonts w:hint="eastAsia" w:ascii="宋体" w:hAnsi="宋体" w:eastAsia="宋体" w:cs="宋体"/>
          <w:color w:val="auto"/>
          <w:spacing w:val="4"/>
          <w:sz w:val="21"/>
          <w:szCs w:val="21"/>
        </w:rPr>
        <w:t xml:space="preserve"> </w:t>
      </w:r>
      <w:r>
        <w:rPr>
          <w:rFonts w:hint="eastAsia" w:ascii="宋体" w:hAnsi="宋体" w:eastAsia="宋体" w:cs="宋体"/>
          <w:color w:val="auto"/>
          <w:spacing w:val="4"/>
          <w:sz w:val="21"/>
          <w:szCs w:val="21"/>
          <w:lang w:val="en-US" w:eastAsia="zh-CN"/>
        </w:rPr>
        <w:t xml:space="preserve">           </w:t>
      </w:r>
      <w:r>
        <w:rPr>
          <w:rFonts w:hint="eastAsia" w:ascii="宋体" w:hAnsi="宋体" w:eastAsia="宋体" w:cs="宋体"/>
          <w:color w:val="auto"/>
          <w:spacing w:val="4"/>
          <w:sz w:val="21"/>
          <w:szCs w:val="21"/>
        </w:rPr>
        <w:t>委托代理人：</w:t>
      </w:r>
      <w:r>
        <w:rPr>
          <w:rFonts w:hint="eastAsia" w:ascii="宋体" w:hAnsi="宋体" w:eastAsia="宋体" w:cs="宋体"/>
          <w:color w:val="auto"/>
          <w:spacing w:val="4"/>
          <w:sz w:val="21"/>
          <w:szCs w:val="21"/>
          <w:u w:val="single" w:color="auto"/>
        </w:rPr>
        <w:t xml:space="preserve">                                      </w:t>
      </w:r>
    </w:p>
    <w:p w14:paraId="4069D02E">
      <w:pPr>
        <w:pStyle w:val="8"/>
        <w:pageBreakBefore w:val="0"/>
        <w:widowControl/>
        <w:kinsoku w:val="0"/>
        <w:wordWrap/>
        <w:overflowPunct/>
        <w:topLinePunct w:val="0"/>
        <w:autoSpaceDE w:val="0"/>
        <w:autoSpaceDN w:val="0"/>
        <w:bidi w:val="0"/>
        <w:adjustRightInd w:val="0"/>
        <w:snapToGrid w:val="0"/>
        <w:spacing w:line="400" w:lineRule="exact"/>
        <w:ind w:left="32"/>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11"/>
          <w:sz w:val="21"/>
          <w:szCs w:val="21"/>
        </w:rPr>
        <w:t>电</w:t>
      </w:r>
      <w:r>
        <w:rPr>
          <w:rFonts w:hint="eastAsia" w:ascii="宋体" w:hAnsi="宋体" w:eastAsia="宋体" w:cs="宋体"/>
          <w:color w:val="auto"/>
          <w:spacing w:val="8"/>
          <w:sz w:val="21"/>
          <w:szCs w:val="21"/>
        </w:rPr>
        <w:t xml:space="preserve">    </w:t>
      </w:r>
      <w:r>
        <w:rPr>
          <w:rFonts w:hint="eastAsia" w:ascii="宋体" w:hAnsi="宋体" w:eastAsia="宋体" w:cs="宋体"/>
          <w:color w:val="auto"/>
          <w:spacing w:val="-11"/>
          <w:sz w:val="21"/>
          <w:szCs w:val="21"/>
        </w:rPr>
        <w:t>话</w:t>
      </w:r>
      <w:r>
        <w:rPr>
          <w:rFonts w:hint="eastAsia" w:ascii="宋体" w:hAnsi="宋体" w:eastAsia="宋体" w:cs="宋体"/>
          <w:color w:val="auto"/>
          <w:spacing w:val="-74"/>
          <w:sz w:val="21"/>
          <w:szCs w:val="21"/>
        </w:rPr>
        <w:t xml:space="preserve"> </w:t>
      </w:r>
      <w:r>
        <w:rPr>
          <w:rFonts w:hint="eastAsia" w:ascii="宋体" w:hAnsi="宋体" w:eastAsia="宋体" w:cs="宋体"/>
          <w:color w:val="auto"/>
          <w:spacing w:val="-11"/>
          <w:sz w:val="21"/>
          <w:szCs w:val="21"/>
        </w:rPr>
        <w:t>：</w:t>
      </w:r>
      <w:r>
        <w:rPr>
          <w:rFonts w:hint="eastAsia" w:ascii="宋体" w:hAnsi="宋体" w:eastAsia="宋体" w:cs="宋体"/>
          <w:color w:val="auto"/>
          <w:spacing w:val="1"/>
          <w:sz w:val="21"/>
          <w:szCs w:val="21"/>
          <w:u w:val="single" w:color="auto"/>
        </w:rPr>
        <w:t xml:space="preserve">                            </w:t>
      </w:r>
      <w:r>
        <w:rPr>
          <w:rFonts w:hint="eastAsia" w:ascii="宋体" w:hAnsi="宋体" w:eastAsia="宋体" w:cs="宋体"/>
          <w:color w:val="auto"/>
          <w:spacing w:val="-11"/>
          <w:sz w:val="21"/>
          <w:szCs w:val="21"/>
        </w:rPr>
        <w:t xml:space="preserve">    </w:t>
      </w:r>
      <w:r>
        <w:rPr>
          <w:rFonts w:hint="eastAsia" w:ascii="宋体" w:hAnsi="宋体" w:eastAsia="宋体" w:cs="宋体"/>
          <w:color w:val="auto"/>
          <w:spacing w:val="-11"/>
          <w:sz w:val="21"/>
          <w:szCs w:val="21"/>
          <w:lang w:val="en-US" w:eastAsia="zh-CN"/>
        </w:rPr>
        <w:t xml:space="preserve">               </w:t>
      </w:r>
      <w:r>
        <w:rPr>
          <w:rFonts w:hint="eastAsia" w:ascii="宋体" w:hAnsi="宋体" w:eastAsia="宋体" w:cs="宋体"/>
          <w:color w:val="auto"/>
          <w:spacing w:val="-11"/>
          <w:sz w:val="21"/>
          <w:szCs w:val="21"/>
        </w:rPr>
        <w:t>电</w:t>
      </w:r>
      <w:r>
        <w:rPr>
          <w:rFonts w:hint="eastAsia" w:ascii="宋体" w:hAnsi="宋体" w:eastAsia="宋体" w:cs="宋体"/>
          <w:color w:val="auto"/>
          <w:spacing w:val="11"/>
          <w:sz w:val="21"/>
          <w:szCs w:val="21"/>
        </w:rPr>
        <w:t xml:space="preserve">    </w:t>
      </w:r>
      <w:r>
        <w:rPr>
          <w:rFonts w:hint="eastAsia" w:ascii="宋体" w:hAnsi="宋体" w:eastAsia="宋体" w:cs="宋体"/>
          <w:color w:val="auto"/>
          <w:spacing w:val="-11"/>
          <w:sz w:val="21"/>
          <w:szCs w:val="21"/>
        </w:rPr>
        <w:t>话</w:t>
      </w:r>
      <w:r>
        <w:rPr>
          <w:rFonts w:hint="eastAsia" w:ascii="宋体" w:hAnsi="宋体" w:eastAsia="宋体" w:cs="宋体"/>
          <w:color w:val="auto"/>
          <w:spacing w:val="-74"/>
          <w:sz w:val="21"/>
          <w:szCs w:val="21"/>
        </w:rPr>
        <w:t xml:space="preserve"> </w:t>
      </w:r>
      <w:r>
        <w:rPr>
          <w:rFonts w:hint="eastAsia" w:ascii="宋体" w:hAnsi="宋体" w:eastAsia="宋体" w:cs="宋体"/>
          <w:color w:val="auto"/>
          <w:spacing w:val="-11"/>
          <w:sz w:val="21"/>
          <w:szCs w:val="21"/>
        </w:rPr>
        <w:t>：</w:t>
      </w:r>
      <w:r>
        <w:rPr>
          <w:rFonts w:hint="eastAsia" w:ascii="宋体" w:hAnsi="宋体" w:eastAsia="宋体" w:cs="宋体"/>
          <w:color w:val="auto"/>
          <w:spacing w:val="14"/>
          <w:sz w:val="21"/>
          <w:szCs w:val="21"/>
        </w:rPr>
        <w:t xml:space="preserve"> </w:t>
      </w:r>
      <w:r>
        <w:rPr>
          <w:rFonts w:hint="eastAsia" w:ascii="宋体" w:hAnsi="宋体" w:eastAsia="宋体" w:cs="宋体"/>
          <w:color w:val="auto"/>
          <w:sz w:val="21"/>
          <w:szCs w:val="21"/>
          <w:u w:val="single" w:color="auto"/>
        </w:rPr>
        <w:t xml:space="preserve">                                        </w:t>
      </w:r>
    </w:p>
    <w:p w14:paraId="29B7B555">
      <w:pPr>
        <w:pStyle w:val="8"/>
        <w:pageBreakBefore w:val="0"/>
        <w:widowControl/>
        <w:kinsoku w:val="0"/>
        <w:wordWrap/>
        <w:overflowPunct/>
        <w:topLinePunct w:val="0"/>
        <w:autoSpaceDE w:val="0"/>
        <w:autoSpaceDN w:val="0"/>
        <w:bidi w:val="0"/>
        <w:adjustRightInd w:val="0"/>
        <w:snapToGrid w:val="0"/>
        <w:spacing w:line="400" w:lineRule="exact"/>
        <w:ind w:left="8"/>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4"/>
          <w:sz w:val="21"/>
          <w:szCs w:val="21"/>
        </w:rPr>
        <w:t>开户名称：</w:t>
      </w:r>
      <w:r>
        <w:rPr>
          <w:rFonts w:hint="eastAsia" w:ascii="宋体" w:hAnsi="宋体" w:eastAsia="宋体" w:cs="宋体"/>
          <w:color w:val="auto"/>
          <w:spacing w:val="4"/>
          <w:sz w:val="21"/>
          <w:szCs w:val="21"/>
          <w:u w:val="single" w:color="auto"/>
        </w:rPr>
        <w:t xml:space="preserve">                            </w:t>
      </w:r>
      <w:r>
        <w:rPr>
          <w:rFonts w:hint="eastAsia" w:ascii="宋体" w:hAnsi="宋体" w:eastAsia="宋体" w:cs="宋体"/>
          <w:color w:val="auto"/>
          <w:spacing w:val="4"/>
          <w:sz w:val="21"/>
          <w:szCs w:val="21"/>
        </w:rPr>
        <w:t xml:space="preserve">   </w:t>
      </w:r>
      <w:r>
        <w:rPr>
          <w:rFonts w:hint="eastAsia" w:ascii="宋体" w:hAnsi="宋体" w:eastAsia="宋体" w:cs="宋体"/>
          <w:color w:val="auto"/>
          <w:spacing w:val="4"/>
          <w:sz w:val="21"/>
          <w:szCs w:val="21"/>
          <w:lang w:val="en-US" w:eastAsia="zh-CN"/>
        </w:rPr>
        <w:t xml:space="preserve">             </w:t>
      </w:r>
      <w:r>
        <w:rPr>
          <w:rFonts w:hint="eastAsia" w:ascii="宋体" w:hAnsi="宋体" w:eastAsia="宋体" w:cs="宋体"/>
          <w:color w:val="auto"/>
          <w:spacing w:val="4"/>
          <w:sz w:val="21"/>
          <w:szCs w:val="21"/>
        </w:rPr>
        <w:t>开户名称：</w:t>
      </w:r>
      <w:r>
        <w:rPr>
          <w:rFonts w:hint="eastAsia" w:ascii="宋体" w:hAnsi="宋体" w:eastAsia="宋体" w:cs="宋体"/>
          <w:color w:val="auto"/>
          <w:spacing w:val="4"/>
          <w:sz w:val="21"/>
          <w:szCs w:val="21"/>
          <w:u w:val="single" w:color="auto"/>
        </w:rPr>
        <w:t xml:space="preserve">                                        </w:t>
      </w:r>
    </w:p>
    <w:p w14:paraId="1A7D579B">
      <w:pPr>
        <w:pStyle w:val="8"/>
        <w:pageBreakBefore w:val="0"/>
        <w:widowControl/>
        <w:kinsoku w:val="0"/>
        <w:wordWrap/>
        <w:overflowPunct/>
        <w:topLinePunct w:val="0"/>
        <w:autoSpaceDE w:val="0"/>
        <w:autoSpaceDN w:val="0"/>
        <w:bidi w:val="0"/>
        <w:adjustRightInd w:val="0"/>
        <w:snapToGrid w:val="0"/>
        <w:spacing w:line="400" w:lineRule="exact"/>
        <w:ind w:left="8"/>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4"/>
          <w:sz w:val="21"/>
          <w:szCs w:val="21"/>
        </w:rPr>
        <w:t>开户银行：</w:t>
      </w:r>
      <w:r>
        <w:rPr>
          <w:rFonts w:hint="eastAsia" w:ascii="宋体" w:hAnsi="宋体" w:eastAsia="宋体" w:cs="宋体"/>
          <w:color w:val="auto"/>
          <w:spacing w:val="4"/>
          <w:sz w:val="21"/>
          <w:szCs w:val="21"/>
          <w:u w:val="single" w:color="auto"/>
        </w:rPr>
        <w:t xml:space="preserve">                            </w:t>
      </w:r>
      <w:r>
        <w:rPr>
          <w:rFonts w:hint="eastAsia" w:ascii="宋体" w:hAnsi="宋体" w:eastAsia="宋体" w:cs="宋体"/>
          <w:color w:val="auto"/>
          <w:spacing w:val="4"/>
          <w:sz w:val="21"/>
          <w:szCs w:val="21"/>
        </w:rPr>
        <w:t xml:space="preserve">   </w:t>
      </w:r>
      <w:r>
        <w:rPr>
          <w:rFonts w:hint="eastAsia" w:ascii="宋体" w:hAnsi="宋体" w:eastAsia="宋体" w:cs="宋体"/>
          <w:color w:val="auto"/>
          <w:spacing w:val="4"/>
          <w:sz w:val="21"/>
          <w:szCs w:val="21"/>
          <w:lang w:val="en-US" w:eastAsia="zh-CN"/>
        </w:rPr>
        <w:t xml:space="preserve">             </w:t>
      </w:r>
      <w:r>
        <w:rPr>
          <w:rFonts w:hint="eastAsia" w:ascii="宋体" w:hAnsi="宋体" w:eastAsia="宋体" w:cs="宋体"/>
          <w:color w:val="auto"/>
          <w:spacing w:val="4"/>
          <w:sz w:val="21"/>
          <w:szCs w:val="21"/>
        </w:rPr>
        <w:t>开户银行：</w:t>
      </w:r>
      <w:r>
        <w:rPr>
          <w:rFonts w:hint="eastAsia" w:ascii="宋体" w:hAnsi="宋体" w:eastAsia="宋体" w:cs="宋体"/>
          <w:color w:val="auto"/>
          <w:spacing w:val="4"/>
          <w:sz w:val="21"/>
          <w:szCs w:val="21"/>
          <w:u w:val="single" w:color="auto"/>
        </w:rPr>
        <w:t xml:space="preserve">                                        </w:t>
      </w:r>
    </w:p>
    <w:p w14:paraId="5A2FA70F">
      <w:pPr>
        <w:pStyle w:val="8"/>
        <w:pageBreakBefore w:val="0"/>
        <w:widowControl/>
        <w:kinsoku w:val="0"/>
        <w:wordWrap/>
        <w:overflowPunct/>
        <w:topLinePunct w:val="0"/>
        <w:autoSpaceDE w:val="0"/>
        <w:autoSpaceDN w:val="0"/>
        <w:bidi w:val="0"/>
        <w:adjustRightInd w:val="0"/>
        <w:snapToGrid w:val="0"/>
        <w:spacing w:line="400" w:lineRule="exact"/>
        <w:ind w:left="8"/>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4"/>
          <w:sz w:val="21"/>
          <w:szCs w:val="21"/>
        </w:rPr>
        <w:t>银行账号：</w:t>
      </w:r>
      <w:r>
        <w:rPr>
          <w:rFonts w:hint="eastAsia" w:ascii="宋体" w:hAnsi="宋体" w:eastAsia="宋体" w:cs="宋体"/>
          <w:color w:val="auto"/>
          <w:spacing w:val="4"/>
          <w:sz w:val="21"/>
          <w:szCs w:val="21"/>
          <w:u w:val="single" w:color="auto"/>
        </w:rPr>
        <w:t xml:space="preserve">                            </w:t>
      </w:r>
      <w:r>
        <w:rPr>
          <w:rFonts w:hint="eastAsia" w:ascii="宋体" w:hAnsi="宋体" w:eastAsia="宋体" w:cs="宋体"/>
          <w:color w:val="auto"/>
          <w:spacing w:val="4"/>
          <w:sz w:val="21"/>
          <w:szCs w:val="21"/>
        </w:rPr>
        <w:t xml:space="preserve">   </w:t>
      </w:r>
      <w:r>
        <w:rPr>
          <w:rFonts w:hint="eastAsia" w:ascii="宋体" w:hAnsi="宋体" w:eastAsia="宋体" w:cs="宋体"/>
          <w:color w:val="auto"/>
          <w:spacing w:val="4"/>
          <w:sz w:val="21"/>
          <w:szCs w:val="21"/>
          <w:lang w:val="en-US" w:eastAsia="zh-CN"/>
        </w:rPr>
        <w:t xml:space="preserve">             </w:t>
      </w:r>
      <w:r>
        <w:rPr>
          <w:rFonts w:hint="eastAsia" w:ascii="宋体" w:hAnsi="宋体" w:eastAsia="宋体" w:cs="宋体"/>
          <w:color w:val="auto"/>
          <w:spacing w:val="4"/>
          <w:sz w:val="21"/>
          <w:szCs w:val="21"/>
        </w:rPr>
        <w:t>银行账号：</w:t>
      </w:r>
      <w:r>
        <w:rPr>
          <w:rFonts w:hint="eastAsia" w:ascii="宋体" w:hAnsi="宋体" w:eastAsia="宋体" w:cs="宋体"/>
          <w:color w:val="auto"/>
          <w:spacing w:val="4"/>
          <w:sz w:val="21"/>
          <w:szCs w:val="21"/>
          <w:u w:val="single" w:color="auto"/>
        </w:rPr>
        <w:t xml:space="preserve">                                        </w:t>
      </w:r>
    </w:p>
    <w:p w14:paraId="0FBAA3E3">
      <w:pPr>
        <w:pStyle w:val="8"/>
        <w:pageBreakBefore w:val="0"/>
        <w:widowControl/>
        <w:kinsoku w:val="0"/>
        <w:wordWrap/>
        <w:overflowPunct/>
        <w:topLinePunct w:val="0"/>
        <w:autoSpaceDE w:val="0"/>
        <w:autoSpaceDN w:val="0"/>
        <w:bidi w:val="0"/>
        <w:adjustRightInd w:val="0"/>
        <w:snapToGrid w:val="0"/>
        <w:spacing w:line="400" w:lineRule="exact"/>
        <w:jc w:val="both"/>
        <w:textAlignment w:val="baseline"/>
        <w:outlineLvl w:val="9"/>
        <w:rPr>
          <w:rFonts w:hint="eastAsia" w:ascii="宋体" w:hAnsi="宋体" w:eastAsia="宋体" w:cs="宋体"/>
          <w:color w:val="auto"/>
          <w:sz w:val="21"/>
          <w:szCs w:val="21"/>
        </w:rPr>
      </w:pPr>
      <w:r>
        <w:rPr>
          <w:rFonts w:hint="eastAsia" w:ascii="宋体" w:hAnsi="宋体" w:eastAsia="宋体" w:cs="宋体"/>
          <w:color w:val="auto"/>
          <w:spacing w:val="-10"/>
          <w:sz w:val="21"/>
          <w:szCs w:val="21"/>
        </w:rPr>
        <w:t>日</w:t>
      </w:r>
      <w:r>
        <w:rPr>
          <w:rFonts w:hint="eastAsia" w:ascii="宋体" w:hAnsi="宋体" w:eastAsia="宋体" w:cs="宋体"/>
          <w:color w:val="auto"/>
          <w:spacing w:val="10"/>
          <w:sz w:val="21"/>
          <w:szCs w:val="21"/>
        </w:rPr>
        <w:t xml:space="preserve">    </w:t>
      </w:r>
      <w:r>
        <w:rPr>
          <w:rFonts w:hint="eastAsia" w:ascii="宋体" w:hAnsi="宋体" w:eastAsia="宋体" w:cs="宋体"/>
          <w:color w:val="auto"/>
          <w:spacing w:val="-10"/>
          <w:sz w:val="21"/>
          <w:szCs w:val="21"/>
        </w:rPr>
        <w:t>期</w:t>
      </w:r>
      <w:r>
        <w:rPr>
          <w:rFonts w:hint="eastAsia" w:ascii="宋体" w:hAnsi="宋体" w:eastAsia="宋体" w:cs="宋体"/>
          <w:color w:val="auto"/>
          <w:spacing w:val="-74"/>
          <w:sz w:val="21"/>
          <w:szCs w:val="21"/>
        </w:rPr>
        <w:t xml:space="preserve"> </w:t>
      </w:r>
      <w:r>
        <w:rPr>
          <w:rFonts w:hint="eastAsia" w:ascii="宋体" w:hAnsi="宋体" w:eastAsia="宋体" w:cs="宋体"/>
          <w:color w:val="auto"/>
          <w:spacing w:val="-10"/>
          <w:sz w:val="21"/>
          <w:szCs w:val="21"/>
        </w:rPr>
        <w:t>：</w:t>
      </w:r>
      <w:r>
        <w:rPr>
          <w:rFonts w:hint="eastAsia" w:ascii="宋体" w:hAnsi="宋体" w:eastAsia="宋体" w:cs="宋体"/>
          <w:color w:val="auto"/>
          <w:spacing w:val="-10"/>
          <w:sz w:val="21"/>
          <w:szCs w:val="21"/>
          <w:u w:val="single" w:color="auto"/>
        </w:rPr>
        <w:t xml:space="preserve">                         </w:t>
      </w:r>
      <w:r>
        <w:rPr>
          <w:rFonts w:hint="eastAsia" w:ascii="宋体" w:hAnsi="宋体" w:eastAsia="宋体" w:cs="宋体"/>
          <w:color w:val="auto"/>
          <w:spacing w:val="-10"/>
          <w:sz w:val="21"/>
          <w:szCs w:val="21"/>
          <w:u w:val="single" w:color="auto"/>
          <w:lang w:val="en-US" w:eastAsia="zh-CN"/>
        </w:rPr>
        <w:t xml:space="preserve">     </w:t>
      </w:r>
      <w:r>
        <w:rPr>
          <w:rFonts w:hint="eastAsia" w:ascii="宋体" w:hAnsi="宋体" w:eastAsia="宋体" w:cs="宋体"/>
          <w:color w:val="auto"/>
          <w:spacing w:val="-10"/>
          <w:sz w:val="21"/>
          <w:szCs w:val="21"/>
          <w:u w:val="single" w:color="auto"/>
        </w:rPr>
        <w:t xml:space="preserve">  </w:t>
      </w:r>
      <w:r>
        <w:rPr>
          <w:rFonts w:hint="eastAsia" w:ascii="宋体" w:hAnsi="宋体" w:eastAsia="宋体" w:cs="宋体"/>
          <w:color w:val="auto"/>
          <w:spacing w:val="14"/>
          <w:sz w:val="21"/>
          <w:szCs w:val="21"/>
        </w:rPr>
        <w:t xml:space="preserve"> </w:t>
      </w:r>
      <w:r>
        <w:rPr>
          <w:rFonts w:hint="eastAsia" w:ascii="宋体" w:hAnsi="宋体" w:eastAsia="宋体" w:cs="宋体"/>
          <w:color w:val="auto"/>
          <w:spacing w:val="14"/>
          <w:sz w:val="21"/>
          <w:szCs w:val="21"/>
          <w:lang w:val="en-US" w:eastAsia="zh-CN"/>
        </w:rPr>
        <w:t xml:space="preserve">              </w:t>
      </w:r>
      <w:r>
        <w:rPr>
          <w:rFonts w:hint="eastAsia" w:ascii="宋体" w:hAnsi="宋体" w:eastAsia="宋体" w:cs="宋体"/>
          <w:color w:val="auto"/>
          <w:spacing w:val="-10"/>
          <w:sz w:val="21"/>
          <w:szCs w:val="21"/>
        </w:rPr>
        <w:t>日     期：</w:t>
      </w:r>
      <w:r>
        <w:rPr>
          <w:rFonts w:hint="eastAsia" w:ascii="宋体" w:hAnsi="宋体" w:eastAsia="宋体" w:cs="宋体"/>
          <w:color w:val="auto"/>
          <w:sz w:val="21"/>
          <w:szCs w:val="21"/>
          <w:u w:val="single" w:color="auto"/>
        </w:rPr>
        <w:t xml:space="preserve">                                         </w:t>
      </w:r>
    </w:p>
    <w:p w14:paraId="167D6CE1">
      <w:pPr>
        <w:pageBreakBefore w:val="0"/>
        <w:widowControl/>
        <w:kinsoku w:val="0"/>
        <w:wordWrap/>
        <w:overflowPunct/>
        <w:topLinePunct w:val="0"/>
        <w:autoSpaceDE w:val="0"/>
        <w:autoSpaceDN w:val="0"/>
        <w:bidi w:val="0"/>
        <w:adjustRightInd w:val="0"/>
        <w:snapToGrid w:val="0"/>
        <w:spacing w:line="400" w:lineRule="exact"/>
        <w:jc w:val="both"/>
        <w:textAlignment w:val="baseline"/>
        <w:rPr>
          <w:rFonts w:hint="eastAsia" w:ascii="宋体" w:hAnsi="宋体" w:eastAsia="宋体" w:cs="宋体"/>
          <w:color w:val="auto"/>
          <w:highlight w:val="none"/>
          <w:lang w:eastAsia="zh-CN"/>
        </w:rPr>
      </w:pPr>
    </w:p>
    <w:p w14:paraId="0CDEBD82">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665CB837">
      <w:pPr>
        <w:pageBreakBefore w:val="0"/>
        <w:widowControl w:val="0"/>
        <w:overflowPunct/>
        <w:topLinePunct w:val="0"/>
        <w:bidi w:val="0"/>
        <w:spacing w:line="400" w:lineRule="exact"/>
        <w:jc w:val="center"/>
        <w:outlineLvl w:val="0"/>
        <w:rPr>
          <w:rFonts w:hint="eastAsia" w:ascii="宋体" w:hAnsi="宋体" w:eastAsia="宋体" w:cs="宋体"/>
          <w:b/>
          <w:bCs/>
          <w:color w:val="auto"/>
          <w:sz w:val="31"/>
          <w:szCs w:val="31"/>
          <w:highlight w:val="none"/>
          <w:lang w:eastAsia="zh-CN"/>
        </w:rPr>
      </w:pPr>
      <w:bookmarkStart w:id="32" w:name="bookmark6"/>
      <w:bookmarkEnd w:id="32"/>
      <w:bookmarkStart w:id="33" w:name="_Toc20031"/>
    </w:p>
    <w:p w14:paraId="061DC93F">
      <w:pPr>
        <w:pageBreakBefore w:val="0"/>
        <w:widowControl w:val="0"/>
        <w:overflowPunct/>
        <w:topLinePunct w:val="0"/>
        <w:bidi w:val="0"/>
        <w:spacing w:line="400" w:lineRule="exact"/>
        <w:jc w:val="center"/>
        <w:outlineLvl w:val="0"/>
        <w:rPr>
          <w:rFonts w:hint="eastAsia" w:ascii="宋体" w:hAnsi="宋体" w:eastAsia="宋体" w:cs="宋体"/>
          <w:b/>
          <w:bCs/>
          <w:color w:val="auto"/>
          <w:sz w:val="31"/>
          <w:szCs w:val="31"/>
          <w:highlight w:val="none"/>
          <w:lang w:eastAsia="zh-CN"/>
        </w:rPr>
        <w:sectPr>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p w14:paraId="51C43914">
      <w:pPr>
        <w:pageBreakBefore w:val="0"/>
        <w:widowControl w:val="0"/>
        <w:overflowPunct/>
        <w:topLinePunct w:val="0"/>
        <w:bidi w:val="0"/>
        <w:spacing w:line="400" w:lineRule="exact"/>
        <w:jc w:val="center"/>
        <w:outlineLvl w:val="0"/>
        <w:rPr>
          <w:rFonts w:hint="eastAsia" w:ascii="宋体" w:hAnsi="宋体" w:eastAsia="宋体" w:cs="宋体"/>
          <w:b/>
          <w:bCs/>
          <w:color w:val="auto"/>
          <w:sz w:val="31"/>
          <w:szCs w:val="31"/>
          <w:highlight w:val="none"/>
          <w:lang w:eastAsia="zh-CN"/>
        </w:rPr>
      </w:pPr>
    </w:p>
    <w:p w14:paraId="4FCDC69D">
      <w:pPr>
        <w:pageBreakBefore w:val="0"/>
        <w:widowControl w:val="0"/>
        <w:overflowPunct/>
        <w:topLinePunct w:val="0"/>
        <w:bidi w:val="0"/>
        <w:spacing w:line="400" w:lineRule="exact"/>
        <w:jc w:val="center"/>
        <w:outlineLvl w:val="0"/>
        <w:rPr>
          <w:rFonts w:hint="eastAsia" w:ascii="宋体" w:hAnsi="宋体" w:eastAsia="宋体" w:cs="宋体"/>
          <w:b/>
          <w:bCs/>
          <w:color w:val="auto"/>
          <w:sz w:val="31"/>
          <w:szCs w:val="31"/>
          <w:highlight w:val="none"/>
          <w:lang w:eastAsia="zh-CN"/>
        </w:rPr>
      </w:pPr>
    </w:p>
    <w:p w14:paraId="181912CD">
      <w:pPr>
        <w:pageBreakBefore w:val="0"/>
        <w:widowControl w:val="0"/>
        <w:overflowPunct/>
        <w:topLinePunct w:val="0"/>
        <w:bidi w:val="0"/>
        <w:spacing w:line="400" w:lineRule="exact"/>
        <w:jc w:val="center"/>
        <w:outlineLvl w:val="0"/>
        <w:rPr>
          <w:rFonts w:hint="eastAsia" w:ascii="宋体" w:hAnsi="宋体" w:eastAsia="宋体" w:cs="宋体"/>
          <w:color w:val="auto"/>
          <w:sz w:val="31"/>
          <w:szCs w:val="31"/>
          <w:highlight w:val="none"/>
          <w:lang w:eastAsia="zh-CN"/>
        </w:rPr>
      </w:pPr>
      <w:r>
        <w:rPr>
          <w:rFonts w:hint="eastAsia" w:ascii="宋体" w:hAnsi="宋体" w:eastAsia="宋体" w:cs="宋体"/>
          <w:b/>
          <w:bCs/>
          <w:color w:val="auto"/>
          <w:sz w:val="31"/>
          <w:szCs w:val="31"/>
          <w:highlight w:val="none"/>
          <w:lang w:eastAsia="zh-CN"/>
        </w:rPr>
        <w:t>第六章</w:t>
      </w:r>
      <w:r>
        <w:rPr>
          <w:rFonts w:hint="eastAsia" w:ascii="宋体" w:hAnsi="宋体" w:eastAsia="宋体" w:cs="宋体"/>
          <w:color w:val="auto"/>
          <w:sz w:val="31"/>
          <w:szCs w:val="31"/>
          <w:highlight w:val="none"/>
          <w:lang w:eastAsia="zh-CN"/>
        </w:rPr>
        <w:t xml:space="preserve"> </w:t>
      </w:r>
      <w:r>
        <w:rPr>
          <w:rFonts w:hint="eastAsia" w:ascii="宋体" w:hAnsi="宋体" w:eastAsia="宋体" w:cs="宋体"/>
          <w:b/>
          <w:bCs/>
          <w:color w:val="auto"/>
          <w:sz w:val="31"/>
          <w:szCs w:val="31"/>
          <w:highlight w:val="none"/>
          <w:lang w:eastAsia="zh-CN"/>
        </w:rPr>
        <w:t>响应文件（格式）</w:t>
      </w:r>
      <w:bookmarkEnd w:id="33"/>
    </w:p>
    <w:p w14:paraId="2392FE20">
      <w:pPr>
        <w:pageBreakBefore w:val="0"/>
        <w:widowControl w:val="0"/>
        <w:kinsoku/>
        <w:wordWrap w:val="0"/>
        <w:overflowPunct/>
        <w:topLinePunct w:val="0"/>
        <w:bidi w:val="0"/>
        <w:spacing w:before="120" w:beforeLines="50" w:after="50" w:line="400" w:lineRule="exact"/>
        <w:jc w:val="center"/>
        <w:rPr>
          <w:rFonts w:hint="eastAsia" w:ascii="宋体" w:hAnsi="宋体" w:eastAsia="宋体" w:cs="宋体"/>
          <w:b/>
          <w:color w:val="auto"/>
          <w:sz w:val="36"/>
          <w:szCs w:val="36"/>
          <w:highlight w:val="none"/>
          <w:lang w:eastAsia="zh-CN"/>
        </w:rPr>
      </w:pPr>
    </w:p>
    <w:p w14:paraId="36A101F3">
      <w:pPr>
        <w:pStyle w:val="11"/>
        <w:pageBreakBefore w:val="0"/>
        <w:widowControl w:val="0"/>
        <w:kinsoku/>
        <w:wordWrap w:val="0"/>
        <w:overflowPunct/>
        <w:topLinePunct w:val="0"/>
        <w:autoSpaceDE/>
        <w:autoSpaceDN/>
        <w:bidi w:val="0"/>
        <w:adjustRightInd/>
        <w:snapToGrid/>
        <w:spacing w:line="400" w:lineRule="exact"/>
        <w:textAlignment w:val="auto"/>
        <w:rPr>
          <w:rFonts w:hint="eastAsia" w:ascii="宋体" w:hAnsi="宋体" w:eastAsia="宋体" w:cs="宋体"/>
          <w:b/>
          <w:color w:val="auto"/>
          <w:sz w:val="32"/>
          <w:highlight w:val="none"/>
          <w:lang w:eastAsia="zh-CN"/>
        </w:rPr>
      </w:pPr>
      <w:bookmarkStart w:id="34" w:name="_Toc497927069"/>
      <w:bookmarkStart w:id="35" w:name="_Toc21496"/>
      <w:bookmarkStart w:id="36" w:name="_Toc18351"/>
    </w:p>
    <w:p w14:paraId="373D4753">
      <w:pPr>
        <w:pStyle w:val="11"/>
        <w:pageBreakBefore w:val="0"/>
        <w:widowControl w:val="0"/>
        <w:kinsoku/>
        <w:wordWrap w:val="0"/>
        <w:overflowPunct/>
        <w:topLinePunct w:val="0"/>
        <w:autoSpaceDE/>
        <w:autoSpaceDN/>
        <w:bidi w:val="0"/>
        <w:adjustRightInd/>
        <w:snapToGrid/>
        <w:spacing w:line="400" w:lineRule="exact"/>
        <w:textAlignment w:val="auto"/>
        <w:rPr>
          <w:rFonts w:hint="eastAsia" w:ascii="宋体" w:hAnsi="宋体" w:eastAsia="宋体" w:cs="宋体"/>
          <w:b/>
          <w:color w:val="auto"/>
          <w:sz w:val="32"/>
          <w:highlight w:val="none"/>
          <w:lang w:eastAsia="zh-CN"/>
        </w:rPr>
      </w:pPr>
    </w:p>
    <w:p w14:paraId="37F1F7A8">
      <w:pPr>
        <w:pStyle w:val="11"/>
        <w:pageBreakBefore w:val="0"/>
        <w:widowControl w:val="0"/>
        <w:kinsoku/>
        <w:wordWrap w:val="0"/>
        <w:overflowPunct/>
        <w:topLinePunct w:val="0"/>
        <w:autoSpaceDE/>
        <w:autoSpaceDN/>
        <w:bidi w:val="0"/>
        <w:adjustRightInd/>
        <w:snapToGrid/>
        <w:spacing w:line="400" w:lineRule="exact"/>
        <w:textAlignment w:val="auto"/>
        <w:rPr>
          <w:rFonts w:hint="eastAsia" w:ascii="宋体" w:hAnsi="宋体" w:eastAsia="宋体" w:cs="宋体"/>
          <w:b/>
          <w:color w:val="auto"/>
          <w:sz w:val="32"/>
          <w:highlight w:val="none"/>
          <w:lang w:eastAsia="zh-CN"/>
        </w:rPr>
      </w:pPr>
      <w:r>
        <w:rPr>
          <w:rFonts w:hint="eastAsia" w:ascii="宋体" w:hAnsi="宋体" w:eastAsia="宋体" w:cs="宋体"/>
          <w:b/>
          <w:color w:val="auto"/>
          <w:sz w:val="32"/>
          <w:highlight w:val="none"/>
          <w:lang w:eastAsia="zh-CN"/>
        </w:rPr>
        <w:t>一、响应文件封面标记</w:t>
      </w:r>
      <w:bookmarkEnd w:id="34"/>
      <w:bookmarkEnd w:id="35"/>
      <w:bookmarkEnd w:id="36"/>
    </w:p>
    <w:p w14:paraId="56B8DCC6">
      <w:pPr>
        <w:pageBreakBefore w:val="0"/>
        <w:widowControl w:val="0"/>
        <w:kinsoku/>
        <w:wordWrap w:val="0"/>
        <w:overflowPunct/>
        <w:topLinePunct w:val="0"/>
        <w:bidi w:val="0"/>
        <w:spacing w:before="120" w:beforeLines="50" w:after="50" w:line="400" w:lineRule="exact"/>
        <w:jc w:val="center"/>
        <w:rPr>
          <w:rFonts w:hint="eastAsia" w:ascii="宋体" w:hAnsi="宋体" w:eastAsia="宋体" w:cs="宋体"/>
          <w:b/>
          <w:color w:val="auto"/>
          <w:sz w:val="36"/>
          <w:szCs w:val="36"/>
          <w:highlight w:val="none"/>
          <w:lang w:eastAsia="zh-CN"/>
        </w:rPr>
      </w:pPr>
    </w:p>
    <w:p w14:paraId="1514BBDC">
      <w:pPr>
        <w:pageBreakBefore w:val="0"/>
        <w:widowControl w:val="0"/>
        <w:kinsoku/>
        <w:wordWrap w:val="0"/>
        <w:overflowPunct/>
        <w:topLinePunct w:val="0"/>
        <w:bidi w:val="0"/>
        <w:spacing w:before="120" w:beforeLines="50" w:after="50" w:line="400" w:lineRule="exact"/>
        <w:jc w:val="center"/>
        <w:rPr>
          <w:rFonts w:hint="eastAsia" w:ascii="宋体" w:hAnsi="宋体" w:eastAsia="宋体" w:cs="宋体"/>
          <w:b/>
          <w:color w:val="auto"/>
          <w:sz w:val="36"/>
          <w:szCs w:val="36"/>
          <w:highlight w:val="none"/>
          <w:lang w:eastAsia="zh-CN"/>
        </w:rPr>
      </w:pPr>
      <w:r>
        <w:rPr>
          <w:rFonts w:hint="eastAsia" w:ascii="宋体" w:hAnsi="宋体" w:eastAsia="宋体" w:cs="宋体"/>
          <w:b/>
          <w:color w:val="auto"/>
          <w:sz w:val="36"/>
          <w:szCs w:val="36"/>
          <w:highlight w:val="none"/>
          <w:lang w:eastAsia="zh-CN"/>
        </w:rPr>
        <w:t>响 应 文 件</w:t>
      </w:r>
    </w:p>
    <w:p w14:paraId="4CB2D412">
      <w:pPr>
        <w:pageBreakBefore w:val="0"/>
        <w:widowControl w:val="0"/>
        <w:kinsoku/>
        <w:wordWrap w:val="0"/>
        <w:overflowPunct/>
        <w:topLinePunct w:val="0"/>
        <w:bidi w:val="0"/>
        <w:spacing w:before="120" w:beforeLines="50" w:after="50" w:line="400" w:lineRule="exact"/>
        <w:ind w:firstLine="480" w:firstLineChars="150"/>
        <w:rPr>
          <w:rFonts w:hint="eastAsia" w:ascii="宋体" w:hAnsi="宋体" w:eastAsia="宋体" w:cs="宋体"/>
          <w:b/>
          <w:color w:val="auto"/>
          <w:sz w:val="28"/>
          <w:szCs w:val="28"/>
          <w:highlight w:val="none"/>
          <w:lang w:eastAsia="zh-CN"/>
        </w:rPr>
      </w:pPr>
      <w:r>
        <w:rPr>
          <w:rFonts w:hint="eastAsia" w:ascii="宋体" w:hAnsi="宋体" w:eastAsia="宋体" w:cs="宋体"/>
          <w:color w:val="auto"/>
          <w:sz w:val="32"/>
          <w:szCs w:val="32"/>
          <w:highlight w:val="none"/>
          <w:lang w:eastAsia="zh-CN"/>
        </w:rPr>
        <w:t xml:space="preserve">                      </w:t>
      </w:r>
      <w:r>
        <w:rPr>
          <w:rFonts w:hint="eastAsia" w:ascii="宋体" w:hAnsi="宋体" w:eastAsia="宋体" w:cs="宋体"/>
          <w:b/>
          <w:bCs/>
          <w:color w:val="auto"/>
          <w:sz w:val="32"/>
          <w:szCs w:val="32"/>
          <w:highlight w:val="none"/>
          <w:lang w:eastAsia="zh-CN"/>
        </w:rPr>
        <w:t xml:space="preserve"> </w:t>
      </w:r>
    </w:p>
    <w:p w14:paraId="5DDF1725">
      <w:pPr>
        <w:pageBreakBefore w:val="0"/>
        <w:widowControl w:val="0"/>
        <w:kinsoku/>
        <w:wordWrap w:val="0"/>
        <w:overflowPunct/>
        <w:topLinePunct w:val="0"/>
        <w:bidi w:val="0"/>
        <w:spacing w:before="120" w:beforeLines="50" w:after="50" w:line="400" w:lineRule="exact"/>
        <w:ind w:firstLine="422" w:firstLineChars="150"/>
        <w:rPr>
          <w:rFonts w:hint="eastAsia" w:ascii="宋体" w:hAnsi="宋体" w:eastAsia="宋体" w:cs="宋体"/>
          <w:b/>
          <w:color w:val="auto"/>
          <w:sz w:val="28"/>
          <w:szCs w:val="28"/>
          <w:highlight w:val="none"/>
          <w:lang w:eastAsia="zh-CN"/>
        </w:rPr>
      </w:pPr>
    </w:p>
    <w:p w14:paraId="55443794">
      <w:pPr>
        <w:pageBreakBefore w:val="0"/>
        <w:widowControl w:val="0"/>
        <w:kinsoku/>
        <w:wordWrap w:val="0"/>
        <w:overflowPunct/>
        <w:topLinePunct w:val="0"/>
        <w:bidi w:val="0"/>
        <w:spacing w:before="120" w:beforeLines="50" w:after="50" w:line="400" w:lineRule="exact"/>
        <w:ind w:firstLine="422" w:firstLineChars="150"/>
        <w:rPr>
          <w:rFonts w:hint="eastAsia" w:ascii="宋体" w:hAnsi="宋体" w:eastAsia="宋体" w:cs="宋体"/>
          <w:b/>
          <w:color w:val="auto"/>
          <w:sz w:val="28"/>
          <w:szCs w:val="28"/>
          <w:highlight w:val="none"/>
          <w:lang w:eastAsia="zh-CN"/>
        </w:rPr>
      </w:pPr>
    </w:p>
    <w:p w14:paraId="7072C426">
      <w:pPr>
        <w:pageBreakBefore w:val="0"/>
        <w:widowControl w:val="0"/>
        <w:kinsoku/>
        <w:wordWrap w:val="0"/>
        <w:overflowPunct/>
        <w:topLinePunct w:val="0"/>
        <w:bidi w:val="0"/>
        <w:spacing w:before="120" w:beforeLines="50" w:after="50" w:line="400" w:lineRule="exact"/>
        <w:ind w:firstLine="1687" w:firstLineChars="600"/>
        <w:rPr>
          <w:rFonts w:hint="eastAsia" w:ascii="宋体" w:hAnsi="宋体" w:eastAsia="宋体" w:cs="宋体"/>
          <w:b/>
          <w:color w:val="auto"/>
          <w:sz w:val="28"/>
          <w:szCs w:val="28"/>
          <w:highlight w:val="none"/>
          <w:lang w:eastAsia="zh-CN"/>
        </w:rPr>
      </w:pPr>
      <w:r>
        <w:rPr>
          <w:rFonts w:hint="eastAsia" w:ascii="宋体" w:hAnsi="宋体" w:eastAsia="宋体" w:cs="宋体"/>
          <w:b/>
          <w:color w:val="auto"/>
          <w:sz w:val="28"/>
          <w:szCs w:val="28"/>
          <w:highlight w:val="none"/>
          <w:lang w:eastAsia="zh-CN"/>
        </w:rPr>
        <w:t>项目名称：</w:t>
      </w:r>
      <w:r>
        <w:rPr>
          <w:rFonts w:hint="eastAsia" w:ascii="宋体" w:hAnsi="宋体" w:eastAsia="宋体" w:cs="宋体"/>
          <w:b/>
          <w:bCs/>
          <w:color w:val="auto"/>
          <w:sz w:val="28"/>
          <w:szCs w:val="28"/>
          <w:highlight w:val="none"/>
          <w:u w:val="single"/>
          <w:lang w:eastAsia="zh-CN"/>
        </w:rPr>
        <w:t xml:space="preserve">                    </w:t>
      </w:r>
    </w:p>
    <w:p w14:paraId="7170054D">
      <w:pPr>
        <w:pageBreakBefore w:val="0"/>
        <w:widowControl w:val="0"/>
        <w:kinsoku/>
        <w:wordWrap w:val="0"/>
        <w:overflowPunct/>
        <w:topLinePunct w:val="0"/>
        <w:bidi w:val="0"/>
        <w:spacing w:before="120" w:beforeLines="50" w:after="50" w:line="400" w:lineRule="exact"/>
        <w:ind w:firstLine="1687" w:firstLineChars="600"/>
        <w:rPr>
          <w:rFonts w:hint="eastAsia" w:ascii="宋体" w:hAnsi="宋体" w:eastAsia="宋体" w:cs="宋体"/>
          <w:b/>
          <w:color w:val="auto"/>
          <w:sz w:val="28"/>
          <w:szCs w:val="28"/>
          <w:highlight w:val="none"/>
          <w:u w:val="single"/>
          <w:lang w:eastAsia="zh-CN"/>
        </w:rPr>
      </w:pPr>
      <w:r>
        <w:rPr>
          <w:rFonts w:hint="eastAsia" w:ascii="宋体" w:hAnsi="宋体" w:eastAsia="宋体" w:cs="宋体"/>
          <w:b/>
          <w:color w:val="auto"/>
          <w:sz w:val="28"/>
          <w:szCs w:val="28"/>
          <w:highlight w:val="none"/>
          <w:lang w:eastAsia="zh-CN"/>
        </w:rPr>
        <w:t>项目编号：</w:t>
      </w:r>
      <w:r>
        <w:rPr>
          <w:rFonts w:hint="eastAsia" w:ascii="宋体" w:hAnsi="宋体" w:eastAsia="宋体" w:cs="宋体"/>
          <w:b/>
          <w:color w:val="auto"/>
          <w:sz w:val="28"/>
          <w:szCs w:val="28"/>
          <w:highlight w:val="none"/>
          <w:u w:val="single"/>
          <w:lang w:eastAsia="zh-CN"/>
        </w:rPr>
        <w:t xml:space="preserve">                    </w:t>
      </w:r>
    </w:p>
    <w:p w14:paraId="35031A3F">
      <w:pPr>
        <w:pageBreakBefore w:val="0"/>
        <w:widowControl w:val="0"/>
        <w:kinsoku/>
        <w:wordWrap w:val="0"/>
        <w:overflowPunct/>
        <w:topLinePunct w:val="0"/>
        <w:bidi w:val="0"/>
        <w:spacing w:line="400" w:lineRule="exact"/>
        <w:rPr>
          <w:rFonts w:hint="eastAsia" w:ascii="宋体" w:hAnsi="宋体" w:eastAsia="宋体" w:cs="宋体"/>
          <w:b/>
          <w:color w:val="auto"/>
          <w:highlight w:val="none"/>
          <w:lang w:eastAsia="zh-CN"/>
        </w:rPr>
      </w:pPr>
    </w:p>
    <w:p w14:paraId="6F179989">
      <w:pPr>
        <w:pStyle w:val="28"/>
        <w:pageBreakBefore w:val="0"/>
        <w:wordWrap w:val="0"/>
        <w:overflowPunct/>
        <w:topLinePunct w:val="0"/>
        <w:bidi w:val="0"/>
        <w:spacing w:line="400" w:lineRule="exact"/>
        <w:rPr>
          <w:rFonts w:hint="eastAsia" w:ascii="宋体" w:hAnsi="宋体" w:eastAsia="宋体" w:cs="宋体"/>
          <w:b/>
          <w:color w:val="auto"/>
          <w:sz w:val="28"/>
          <w:szCs w:val="28"/>
          <w:highlight w:val="none"/>
        </w:rPr>
      </w:pPr>
    </w:p>
    <w:p w14:paraId="7D0BFA3B">
      <w:pPr>
        <w:pageBreakBefore w:val="0"/>
        <w:widowControl w:val="0"/>
        <w:kinsoku/>
        <w:wordWrap w:val="0"/>
        <w:overflowPunct/>
        <w:topLinePunct w:val="0"/>
        <w:bidi w:val="0"/>
        <w:spacing w:before="120" w:beforeLines="50" w:after="50" w:line="360" w:lineRule="auto"/>
        <w:rPr>
          <w:rFonts w:hint="eastAsia" w:ascii="宋体" w:hAnsi="宋体" w:eastAsia="宋体" w:cs="宋体"/>
          <w:b/>
          <w:color w:val="auto"/>
          <w:sz w:val="28"/>
          <w:szCs w:val="28"/>
          <w:highlight w:val="none"/>
          <w:lang w:eastAsia="zh-CN"/>
        </w:rPr>
      </w:pPr>
    </w:p>
    <w:p w14:paraId="7D11579C">
      <w:pPr>
        <w:pageBreakBefore w:val="0"/>
        <w:widowControl w:val="0"/>
        <w:kinsoku/>
        <w:wordWrap w:val="0"/>
        <w:overflowPunct/>
        <w:topLinePunct w:val="0"/>
        <w:bidi w:val="0"/>
        <w:spacing w:before="120" w:beforeLines="50" w:after="50" w:line="360" w:lineRule="auto"/>
        <w:rPr>
          <w:rFonts w:hint="eastAsia" w:ascii="宋体" w:hAnsi="宋体" w:eastAsia="宋体" w:cs="宋体"/>
          <w:b/>
          <w:color w:val="auto"/>
          <w:sz w:val="28"/>
          <w:szCs w:val="28"/>
          <w:highlight w:val="none"/>
          <w:lang w:eastAsia="zh-CN"/>
        </w:rPr>
      </w:pPr>
    </w:p>
    <w:p w14:paraId="69332928">
      <w:pPr>
        <w:pageBreakBefore w:val="0"/>
        <w:widowControl w:val="0"/>
        <w:kinsoku/>
        <w:wordWrap w:val="0"/>
        <w:overflowPunct/>
        <w:topLinePunct w:val="0"/>
        <w:bidi w:val="0"/>
        <w:spacing w:before="120" w:beforeLines="50" w:after="50" w:line="360" w:lineRule="auto"/>
        <w:rPr>
          <w:rFonts w:hint="eastAsia" w:ascii="宋体" w:hAnsi="宋体" w:eastAsia="宋体" w:cs="宋体"/>
          <w:b/>
          <w:color w:val="auto"/>
          <w:sz w:val="28"/>
          <w:szCs w:val="28"/>
          <w:highlight w:val="none"/>
          <w:u w:val="single"/>
          <w:lang w:eastAsia="zh-CN"/>
        </w:rPr>
      </w:pPr>
      <w:r>
        <w:rPr>
          <w:rFonts w:hint="eastAsia" w:ascii="宋体" w:hAnsi="宋体" w:eastAsia="宋体" w:cs="宋体"/>
          <w:b/>
          <w:color w:val="auto"/>
          <w:sz w:val="28"/>
          <w:szCs w:val="28"/>
          <w:highlight w:val="none"/>
          <w:lang w:eastAsia="zh-CN"/>
        </w:rPr>
        <w:t>采购代理机构：</w:t>
      </w:r>
      <w:r>
        <w:rPr>
          <w:rFonts w:hint="eastAsia" w:ascii="宋体" w:hAnsi="宋体" w:eastAsia="宋体" w:cs="宋体"/>
          <w:b/>
          <w:bCs w:val="0"/>
          <w:color w:val="auto"/>
          <w:sz w:val="28"/>
          <w:szCs w:val="28"/>
          <w:highlight w:val="none"/>
          <w:u w:val="single"/>
          <w:lang w:eastAsia="zh-CN"/>
        </w:rPr>
        <w:t xml:space="preserve"> 大华建设项目管理有限公司   </w:t>
      </w:r>
    </w:p>
    <w:p w14:paraId="3212594C">
      <w:pPr>
        <w:pStyle w:val="9"/>
        <w:pageBreakBefore w:val="0"/>
        <w:widowControl w:val="0"/>
        <w:kinsoku/>
        <w:wordWrap w:val="0"/>
        <w:overflowPunct/>
        <w:topLinePunct w:val="0"/>
        <w:bidi w:val="0"/>
        <w:spacing w:line="360" w:lineRule="auto"/>
        <w:ind w:left="0" w:leftChars="0"/>
        <w:rPr>
          <w:rFonts w:hint="eastAsia" w:ascii="宋体" w:hAnsi="宋体" w:eastAsia="宋体" w:cs="宋体"/>
          <w:bCs/>
          <w:color w:val="auto"/>
          <w:sz w:val="28"/>
          <w:szCs w:val="28"/>
          <w:highlight w:val="none"/>
          <w:lang w:eastAsia="zh-CN"/>
        </w:rPr>
      </w:pPr>
      <w:bookmarkStart w:id="37" w:name="_Toc20319_WPSOffice_Level2"/>
      <w:bookmarkStart w:id="38" w:name="_Toc4932_WPSOffice_Level2"/>
      <w:r>
        <w:rPr>
          <w:rFonts w:hint="eastAsia" w:ascii="宋体" w:hAnsi="宋体" w:eastAsia="宋体" w:cs="宋体"/>
          <w:bCs/>
          <w:color w:val="auto"/>
          <w:sz w:val="28"/>
          <w:szCs w:val="28"/>
          <w:highlight w:val="none"/>
          <w:lang w:eastAsia="zh-CN"/>
        </w:rPr>
        <w:t>供应商[公章(CA签章)、自然人除外]：</w:t>
      </w:r>
      <w:r>
        <w:rPr>
          <w:rFonts w:hint="eastAsia" w:ascii="宋体" w:hAnsi="宋体" w:eastAsia="宋体" w:cs="宋体"/>
          <w:bCs/>
          <w:color w:val="auto"/>
          <w:sz w:val="28"/>
          <w:szCs w:val="28"/>
          <w:highlight w:val="none"/>
          <w:u w:val="single"/>
          <w:lang w:eastAsia="zh-CN"/>
        </w:rPr>
        <w:t xml:space="preserve">                     </w:t>
      </w:r>
      <w:bookmarkEnd w:id="37"/>
      <w:bookmarkEnd w:id="38"/>
    </w:p>
    <w:p w14:paraId="49125ECD">
      <w:pPr>
        <w:pStyle w:val="11"/>
        <w:pageBreakBefore w:val="0"/>
        <w:widowControl w:val="0"/>
        <w:kinsoku/>
        <w:wordWrap w:val="0"/>
        <w:overflowPunct/>
        <w:topLinePunct w:val="0"/>
        <w:bidi w:val="0"/>
        <w:spacing w:line="360" w:lineRule="auto"/>
        <w:rPr>
          <w:rFonts w:hint="eastAsia" w:ascii="宋体" w:hAnsi="宋体" w:eastAsia="宋体" w:cs="宋体"/>
          <w:color w:val="auto"/>
          <w:sz w:val="28"/>
          <w:szCs w:val="28"/>
          <w:highlight w:val="none"/>
          <w:u w:val="single"/>
          <w:lang w:eastAsia="zh-CN"/>
        </w:rPr>
      </w:pPr>
      <w:bookmarkStart w:id="39" w:name="_Toc32056_WPSOffice_Level2"/>
      <w:bookmarkStart w:id="40" w:name="_Toc9622_WPSOffice_Level2"/>
      <w:r>
        <w:rPr>
          <w:rFonts w:hint="eastAsia" w:ascii="宋体" w:hAnsi="宋体" w:eastAsia="宋体" w:cs="宋体"/>
          <w:color w:val="auto"/>
          <w:sz w:val="28"/>
          <w:szCs w:val="28"/>
          <w:highlight w:val="none"/>
          <w:lang w:eastAsia="zh-CN"/>
        </w:rPr>
        <w:t>法定代表人、负责人、自然人或相应的委托代理人签字[或盖章(CA签章)]（属自然人的应在签名处加盖大拇指指印或个人CA签章）：</w:t>
      </w:r>
      <w:r>
        <w:rPr>
          <w:rFonts w:hint="eastAsia" w:ascii="宋体" w:hAnsi="宋体" w:eastAsia="宋体" w:cs="宋体"/>
          <w:color w:val="auto"/>
          <w:sz w:val="28"/>
          <w:szCs w:val="28"/>
          <w:highlight w:val="none"/>
          <w:u w:val="single"/>
          <w:lang w:eastAsia="zh-CN"/>
        </w:rPr>
        <w:t xml:space="preserve">          </w:t>
      </w:r>
    </w:p>
    <w:p w14:paraId="4AF5566F">
      <w:pPr>
        <w:pStyle w:val="9"/>
        <w:pageBreakBefore w:val="0"/>
        <w:widowControl w:val="0"/>
        <w:kinsoku/>
        <w:wordWrap w:val="0"/>
        <w:overflowPunct/>
        <w:topLinePunct w:val="0"/>
        <w:bidi w:val="0"/>
        <w:spacing w:line="360" w:lineRule="auto"/>
        <w:ind w:left="0" w:leftChars="0"/>
        <w:rPr>
          <w:rFonts w:hint="eastAsia" w:ascii="宋体" w:hAnsi="宋体" w:eastAsia="宋体" w:cs="宋体"/>
          <w:bCs/>
          <w:color w:val="auto"/>
          <w:sz w:val="28"/>
          <w:szCs w:val="28"/>
          <w:highlight w:val="none"/>
          <w:u w:val="single"/>
          <w:lang w:eastAsia="zh-CN"/>
        </w:rPr>
      </w:pPr>
      <w:r>
        <w:rPr>
          <w:rFonts w:hint="eastAsia" w:ascii="宋体" w:hAnsi="宋体" w:eastAsia="宋体" w:cs="宋体"/>
          <w:bCs/>
          <w:color w:val="auto"/>
          <w:sz w:val="28"/>
          <w:szCs w:val="28"/>
          <w:highlight w:val="none"/>
          <w:lang w:eastAsia="zh-CN"/>
        </w:rPr>
        <w:t>联系电话：</w:t>
      </w:r>
      <w:bookmarkEnd w:id="39"/>
      <w:bookmarkEnd w:id="40"/>
      <w:r>
        <w:rPr>
          <w:rFonts w:hint="eastAsia" w:ascii="宋体" w:hAnsi="宋体" w:eastAsia="宋体" w:cs="宋体"/>
          <w:bCs/>
          <w:color w:val="auto"/>
          <w:sz w:val="28"/>
          <w:szCs w:val="28"/>
          <w:highlight w:val="none"/>
          <w:u w:val="single"/>
          <w:lang w:eastAsia="zh-CN"/>
        </w:rPr>
        <w:t xml:space="preserve">                                                </w:t>
      </w:r>
    </w:p>
    <w:p w14:paraId="24B58592">
      <w:pPr>
        <w:pStyle w:val="9"/>
        <w:pageBreakBefore w:val="0"/>
        <w:widowControl w:val="0"/>
        <w:kinsoku/>
        <w:wordWrap w:val="0"/>
        <w:overflowPunct/>
        <w:topLinePunct w:val="0"/>
        <w:bidi w:val="0"/>
        <w:spacing w:line="360" w:lineRule="auto"/>
        <w:ind w:left="0" w:leftChars="0"/>
        <w:rPr>
          <w:rFonts w:hint="eastAsia" w:ascii="宋体" w:hAnsi="宋体" w:eastAsia="宋体" w:cs="宋体"/>
          <w:bCs/>
          <w:color w:val="auto"/>
          <w:sz w:val="28"/>
          <w:szCs w:val="28"/>
          <w:highlight w:val="none"/>
          <w:lang w:eastAsia="zh-CN"/>
        </w:rPr>
      </w:pPr>
      <w:bookmarkStart w:id="41" w:name="_Toc15933_WPSOffice_Level2"/>
      <w:bookmarkStart w:id="42" w:name="_Toc26465_WPSOffice_Level2"/>
      <w:r>
        <w:rPr>
          <w:rFonts w:hint="eastAsia" w:ascii="宋体" w:hAnsi="宋体" w:eastAsia="宋体" w:cs="宋体"/>
          <w:bCs/>
          <w:color w:val="auto"/>
          <w:sz w:val="28"/>
          <w:szCs w:val="28"/>
          <w:highlight w:val="none"/>
          <w:lang w:eastAsia="zh-CN"/>
        </w:rPr>
        <w:t>日期：</w:t>
      </w:r>
      <w:r>
        <w:rPr>
          <w:rFonts w:hint="eastAsia" w:ascii="宋体" w:hAnsi="宋体" w:eastAsia="宋体" w:cs="宋体"/>
          <w:bCs/>
          <w:color w:val="auto"/>
          <w:sz w:val="28"/>
          <w:szCs w:val="28"/>
          <w:highlight w:val="none"/>
          <w:u w:val="single"/>
          <w:lang w:eastAsia="zh-CN"/>
        </w:rPr>
        <w:t xml:space="preserve">              </w:t>
      </w:r>
      <w:r>
        <w:rPr>
          <w:rFonts w:hint="eastAsia" w:ascii="宋体" w:hAnsi="宋体" w:eastAsia="宋体" w:cs="宋体"/>
          <w:bCs/>
          <w:color w:val="auto"/>
          <w:sz w:val="28"/>
          <w:szCs w:val="28"/>
          <w:highlight w:val="none"/>
          <w:lang w:eastAsia="zh-CN"/>
        </w:rPr>
        <w:t>年</w:t>
      </w:r>
      <w:r>
        <w:rPr>
          <w:rFonts w:hint="eastAsia" w:ascii="宋体" w:hAnsi="宋体" w:eastAsia="宋体" w:cs="宋体"/>
          <w:bCs/>
          <w:color w:val="auto"/>
          <w:sz w:val="28"/>
          <w:szCs w:val="28"/>
          <w:highlight w:val="none"/>
          <w:u w:val="single"/>
          <w:lang w:eastAsia="zh-CN"/>
        </w:rPr>
        <w:t xml:space="preserve">           </w:t>
      </w:r>
      <w:r>
        <w:rPr>
          <w:rFonts w:hint="eastAsia" w:ascii="宋体" w:hAnsi="宋体" w:eastAsia="宋体" w:cs="宋体"/>
          <w:bCs/>
          <w:color w:val="auto"/>
          <w:sz w:val="28"/>
          <w:szCs w:val="28"/>
          <w:highlight w:val="none"/>
          <w:lang w:eastAsia="zh-CN"/>
        </w:rPr>
        <w:t>月</w:t>
      </w:r>
      <w:r>
        <w:rPr>
          <w:rFonts w:hint="eastAsia" w:ascii="宋体" w:hAnsi="宋体" w:eastAsia="宋体" w:cs="宋体"/>
          <w:bCs/>
          <w:color w:val="auto"/>
          <w:sz w:val="28"/>
          <w:szCs w:val="28"/>
          <w:highlight w:val="none"/>
          <w:u w:val="single"/>
          <w:lang w:eastAsia="zh-CN"/>
        </w:rPr>
        <w:t xml:space="preserve">           </w:t>
      </w:r>
      <w:r>
        <w:rPr>
          <w:rFonts w:hint="eastAsia" w:ascii="宋体" w:hAnsi="宋体" w:eastAsia="宋体" w:cs="宋体"/>
          <w:bCs/>
          <w:color w:val="auto"/>
          <w:sz w:val="28"/>
          <w:szCs w:val="28"/>
          <w:highlight w:val="none"/>
          <w:lang w:eastAsia="zh-CN"/>
        </w:rPr>
        <w:t>日</w:t>
      </w:r>
      <w:bookmarkEnd w:id="41"/>
      <w:bookmarkEnd w:id="42"/>
    </w:p>
    <w:p w14:paraId="41629AA2">
      <w:pPr>
        <w:pageBreakBefore w:val="0"/>
        <w:widowControl w:val="0"/>
        <w:overflowPunct/>
        <w:topLinePunct w:val="0"/>
        <w:bidi w:val="0"/>
        <w:spacing w:line="360" w:lineRule="auto"/>
        <w:ind w:firstLine="620" w:firstLineChars="200"/>
        <w:rPr>
          <w:rFonts w:hint="eastAsia" w:ascii="宋体" w:hAnsi="宋体" w:eastAsia="宋体" w:cs="宋体"/>
          <w:color w:val="auto"/>
          <w:sz w:val="31"/>
          <w:szCs w:val="31"/>
          <w:highlight w:val="none"/>
          <w:lang w:eastAsia="zh-CN"/>
        </w:rPr>
        <w:sectPr>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p w14:paraId="5CC5828E">
      <w:pPr>
        <w:pageBreakBefore w:val="0"/>
        <w:widowControl w:val="0"/>
        <w:overflowPunct/>
        <w:topLinePunct w:val="0"/>
        <w:bidi w:val="0"/>
        <w:spacing w:line="400" w:lineRule="exact"/>
        <w:ind w:firstLine="622" w:firstLineChars="200"/>
        <w:rPr>
          <w:rFonts w:hint="eastAsia" w:ascii="宋体" w:hAnsi="宋体" w:eastAsia="宋体" w:cs="宋体"/>
          <w:color w:val="auto"/>
          <w:sz w:val="31"/>
          <w:szCs w:val="31"/>
          <w:highlight w:val="none"/>
          <w:lang w:eastAsia="zh-CN"/>
        </w:rPr>
      </w:pPr>
      <w:r>
        <w:rPr>
          <w:rFonts w:hint="eastAsia" w:ascii="宋体" w:hAnsi="宋体" w:eastAsia="宋体" w:cs="宋体"/>
          <w:b/>
          <w:bCs/>
          <w:color w:val="auto"/>
          <w:sz w:val="31"/>
          <w:szCs w:val="31"/>
          <w:highlight w:val="none"/>
          <w:lang w:eastAsia="zh-CN"/>
        </w:rPr>
        <w:t>二、响应文件组成</w:t>
      </w:r>
    </w:p>
    <w:p w14:paraId="2D68F16E">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3ED776A6">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0BDDFF47">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1A9FD314">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3FDFE351">
      <w:pPr>
        <w:pageBreakBefore w:val="0"/>
        <w:widowControl w:val="0"/>
        <w:overflowPunct/>
        <w:topLinePunct w:val="0"/>
        <w:bidi w:val="0"/>
        <w:spacing w:line="400" w:lineRule="exact"/>
        <w:ind w:firstLine="482" w:firstLineChars="200"/>
        <w:rPr>
          <w:rFonts w:hint="eastAsia" w:ascii="宋体" w:hAnsi="宋体" w:eastAsia="宋体" w:cs="宋体"/>
          <w:color w:val="auto"/>
          <w:sz w:val="31"/>
          <w:szCs w:val="31"/>
          <w:highlight w:val="none"/>
          <w:lang w:eastAsia="zh-CN"/>
        </w:rPr>
      </w:pPr>
      <w:r>
        <w:rPr>
          <w:rFonts w:hint="eastAsia" w:ascii="宋体" w:hAnsi="宋体" w:eastAsia="宋体" w:cs="宋体"/>
          <w:b/>
          <w:bCs/>
          <w:color w:val="auto"/>
          <w:sz w:val="24"/>
          <w:szCs w:val="24"/>
          <w:highlight w:val="none"/>
          <w:lang w:eastAsia="zh-CN"/>
        </w:rPr>
        <w:t>（一）</w:t>
      </w:r>
      <w:r>
        <w:rPr>
          <w:rFonts w:hint="eastAsia" w:ascii="宋体" w:hAnsi="宋体" w:eastAsia="宋体" w:cs="宋体"/>
          <w:b/>
          <w:bCs/>
          <w:color w:val="auto"/>
          <w:sz w:val="31"/>
          <w:szCs w:val="31"/>
          <w:highlight w:val="none"/>
          <w:lang w:eastAsia="zh-CN"/>
        </w:rPr>
        <w:t>资格性响应证明材料</w:t>
      </w:r>
    </w:p>
    <w:p w14:paraId="3590EE43">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055D36A5">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0B0D6180">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5B3CD0B7">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2D2A6608">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3334B784">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0DE231F6">
      <w:pPr>
        <w:pageBreakBefore w:val="0"/>
        <w:widowControl w:val="0"/>
        <w:overflowPunct/>
        <w:topLinePunct w:val="0"/>
        <w:bidi w:val="0"/>
        <w:spacing w:line="400" w:lineRule="exact"/>
        <w:ind w:firstLine="482" w:firstLineChars="200"/>
        <w:rPr>
          <w:rFonts w:hint="eastAsia" w:ascii="宋体" w:hAnsi="宋体" w:eastAsia="宋体" w:cs="宋体"/>
          <w:color w:val="auto"/>
          <w:sz w:val="31"/>
          <w:szCs w:val="31"/>
          <w:highlight w:val="none"/>
          <w:lang w:eastAsia="zh-CN"/>
        </w:rPr>
      </w:pPr>
      <w:r>
        <w:rPr>
          <w:rFonts w:hint="eastAsia" w:ascii="宋体" w:hAnsi="宋体" w:eastAsia="宋体" w:cs="宋体"/>
          <w:b/>
          <w:bCs/>
          <w:color w:val="auto"/>
          <w:sz w:val="24"/>
          <w:szCs w:val="24"/>
          <w:highlight w:val="none"/>
          <w:lang w:eastAsia="zh-CN"/>
        </w:rPr>
        <w:t>（二）</w:t>
      </w:r>
      <w:r>
        <w:rPr>
          <w:rFonts w:hint="eastAsia" w:ascii="宋体" w:hAnsi="宋体" w:eastAsia="宋体" w:cs="宋体"/>
          <w:b/>
          <w:bCs/>
          <w:color w:val="auto"/>
          <w:sz w:val="31"/>
          <w:szCs w:val="31"/>
          <w:highlight w:val="none"/>
          <w:lang w:eastAsia="zh-CN"/>
        </w:rPr>
        <w:t>符合性响应证明材料</w:t>
      </w:r>
    </w:p>
    <w:p w14:paraId="448B3BA8">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07F9989C">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2496B6A8">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0FD86606">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1FD59321">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515888CF">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0BD1E1A7">
      <w:pPr>
        <w:pageBreakBefore w:val="0"/>
        <w:widowControl w:val="0"/>
        <w:overflowPunct/>
        <w:topLinePunct w:val="0"/>
        <w:bidi w:val="0"/>
        <w:spacing w:line="400" w:lineRule="exact"/>
        <w:ind w:firstLine="482" w:firstLineChars="200"/>
        <w:rPr>
          <w:rFonts w:hint="eastAsia" w:ascii="宋体" w:hAnsi="宋体" w:eastAsia="宋体" w:cs="宋体"/>
          <w:color w:val="auto"/>
          <w:sz w:val="31"/>
          <w:szCs w:val="31"/>
          <w:highlight w:val="none"/>
          <w:lang w:eastAsia="zh-CN"/>
        </w:rPr>
      </w:pPr>
      <w:r>
        <w:rPr>
          <w:rFonts w:hint="eastAsia" w:ascii="宋体" w:hAnsi="宋体" w:eastAsia="宋体" w:cs="宋体"/>
          <w:b/>
          <w:bCs/>
          <w:color w:val="auto"/>
          <w:sz w:val="24"/>
          <w:szCs w:val="24"/>
          <w:highlight w:val="none"/>
          <w:lang w:eastAsia="zh-CN"/>
        </w:rPr>
        <w:t>（三）</w:t>
      </w:r>
      <w:r>
        <w:rPr>
          <w:rFonts w:hint="eastAsia" w:ascii="宋体" w:hAnsi="宋体" w:eastAsia="宋体" w:cs="宋体"/>
          <w:b/>
          <w:bCs/>
          <w:color w:val="auto"/>
          <w:sz w:val="31"/>
          <w:szCs w:val="31"/>
          <w:highlight w:val="none"/>
          <w:lang w:eastAsia="zh-CN"/>
        </w:rPr>
        <w:t>其它有效证明材料</w:t>
      </w:r>
    </w:p>
    <w:p w14:paraId="499CC6CF">
      <w:pPr>
        <w:pageBreakBefore w:val="0"/>
        <w:widowControl w:val="0"/>
        <w:overflowPunct/>
        <w:topLinePunct w:val="0"/>
        <w:bidi w:val="0"/>
        <w:spacing w:line="400" w:lineRule="exact"/>
        <w:ind w:firstLine="620" w:firstLineChars="200"/>
        <w:rPr>
          <w:rFonts w:hint="eastAsia" w:ascii="宋体" w:hAnsi="宋体" w:eastAsia="宋体" w:cs="宋体"/>
          <w:color w:val="auto"/>
          <w:sz w:val="31"/>
          <w:szCs w:val="31"/>
          <w:highlight w:val="none"/>
          <w:lang w:eastAsia="zh-CN"/>
        </w:rPr>
        <w:sectPr>
          <w:footerReference r:id="rId11" w:type="default"/>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p w14:paraId="460E8F07">
      <w:pPr>
        <w:pageBreakBefore w:val="0"/>
        <w:widowControl w:val="0"/>
        <w:overflowPunct/>
        <w:topLinePunct w:val="0"/>
        <w:bidi w:val="0"/>
        <w:spacing w:line="400" w:lineRule="exact"/>
        <w:ind w:firstLine="622" w:firstLineChars="200"/>
        <w:rPr>
          <w:rFonts w:hint="eastAsia" w:ascii="宋体" w:hAnsi="宋体" w:eastAsia="宋体" w:cs="宋体"/>
          <w:color w:val="auto"/>
          <w:sz w:val="31"/>
          <w:szCs w:val="31"/>
          <w:highlight w:val="none"/>
          <w:lang w:eastAsia="zh-CN"/>
        </w:rPr>
      </w:pPr>
      <w:r>
        <w:rPr>
          <w:rFonts w:hint="eastAsia" w:ascii="宋体" w:hAnsi="宋体" w:eastAsia="宋体" w:cs="宋体"/>
          <w:b/>
          <w:bCs/>
          <w:color w:val="auto"/>
          <w:sz w:val="31"/>
          <w:szCs w:val="31"/>
          <w:highlight w:val="none"/>
          <w:lang w:eastAsia="zh-CN"/>
        </w:rPr>
        <w:t>（一）资格性响应证明材料目录</w:t>
      </w:r>
    </w:p>
    <w:p w14:paraId="580359A0">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1.供应商相应的法定代表人(负责人、自然人)身份证正反两面复印件</w:t>
      </w:r>
      <w:r>
        <w:rPr>
          <w:rFonts w:hint="eastAsia" w:ascii="宋体" w:hAnsi="宋体" w:eastAsia="宋体" w:cs="宋体"/>
          <w:b/>
          <w:bCs/>
          <w:color w:val="auto"/>
          <w:highlight w:val="none"/>
          <w:lang w:eastAsia="zh-CN"/>
        </w:rPr>
        <w:t>（必须提供）</w:t>
      </w:r>
      <w:r>
        <w:rPr>
          <w:rFonts w:hint="eastAsia" w:ascii="宋体" w:hAnsi="宋体" w:eastAsia="宋体" w:cs="宋体"/>
          <w:color w:val="auto"/>
          <w:highlight w:val="none"/>
          <w:lang w:eastAsia="zh-CN"/>
        </w:rPr>
        <w:t>；</w:t>
      </w:r>
    </w:p>
    <w:p w14:paraId="7FD7D334">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w:t>
      </w:r>
      <w:r>
        <w:rPr>
          <w:rFonts w:hint="eastAsia" w:ascii="宋体" w:hAnsi="宋体" w:eastAsia="宋体" w:cs="宋体"/>
          <w:color w:val="auto"/>
          <w:szCs w:val="21"/>
        </w:rPr>
        <w:t>供应商的授权委托书原件、委托代理人</w:t>
      </w:r>
      <w:r>
        <w:rPr>
          <w:rFonts w:hint="eastAsia" w:ascii="宋体" w:hAnsi="宋体" w:eastAsia="宋体" w:cs="宋体"/>
          <w:color w:val="auto"/>
        </w:rPr>
        <w:t>身份证正反面</w:t>
      </w:r>
      <w:r>
        <w:rPr>
          <w:rFonts w:hint="eastAsia" w:ascii="宋体" w:hAnsi="宋体" w:eastAsia="宋体" w:cs="宋体"/>
          <w:color w:val="auto"/>
          <w:szCs w:val="21"/>
        </w:rPr>
        <w:t>复印件以及由社保经办机构出具的供应商为委托代理人</w:t>
      </w:r>
      <w:r>
        <w:rPr>
          <w:rFonts w:hint="eastAsia" w:ascii="宋体" w:hAnsi="宋体" w:eastAsia="宋体" w:cs="宋体"/>
          <w:color w:val="auto"/>
          <w:szCs w:val="21"/>
          <w:lang w:eastAsia="zh-CN"/>
        </w:rPr>
        <w:t>2026年</w:t>
      </w:r>
      <w:r>
        <w:rPr>
          <w:rFonts w:hint="eastAsia" w:ascii="宋体" w:hAnsi="宋体" w:eastAsia="宋体" w:cs="宋体"/>
          <w:color w:val="auto"/>
          <w:szCs w:val="21"/>
          <w:lang w:val="en-US" w:eastAsia="zh-CN"/>
        </w:rPr>
        <w:t>6月</w:t>
      </w:r>
      <w:r>
        <w:rPr>
          <w:rFonts w:hint="eastAsia" w:ascii="宋体" w:hAnsi="宋体" w:eastAsia="宋体" w:cs="宋体"/>
          <w:color w:val="auto"/>
          <w:szCs w:val="21"/>
          <w:lang w:eastAsia="zh-CN"/>
        </w:rPr>
        <w:t>以来</w:t>
      </w:r>
      <w:r>
        <w:rPr>
          <w:rFonts w:hint="eastAsia" w:ascii="宋体" w:hAnsi="宋体" w:eastAsia="宋体" w:cs="宋体"/>
          <w:color w:val="auto"/>
          <w:szCs w:val="21"/>
        </w:rPr>
        <w:t>任意一个月交纳的社保证明复印件</w:t>
      </w:r>
      <w:r>
        <w:rPr>
          <w:rFonts w:hint="eastAsia" w:ascii="宋体" w:hAnsi="宋体" w:eastAsia="宋体" w:cs="宋体"/>
          <w:b/>
          <w:color w:val="auto"/>
          <w:szCs w:val="21"/>
        </w:rPr>
        <w:t>【属自然人的应提供由社保经办机构出具的自然人本人及委托代理人所交纳的社保证明复印件】（委托代理时必须提供）</w:t>
      </w:r>
      <w:r>
        <w:rPr>
          <w:rFonts w:hint="eastAsia" w:ascii="宋体" w:hAnsi="宋体" w:eastAsia="宋体" w:cs="宋体"/>
          <w:color w:val="auto"/>
          <w:highlight w:val="none"/>
          <w:lang w:eastAsia="zh-CN"/>
        </w:rPr>
        <w:t>；</w:t>
      </w:r>
    </w:p>
    <w:p w14:paraId="255695B7">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3.供应商的法人或者其他组织营业执照等证明文件复印件</w:t>
      </w:r>
      <w:r>
        <w:rPr>
          <w:rFonts w:hint="eastAsia" w:ascii="宋体" w:hAnsi="宋体" w:eastAsia="宋体" w:cs="宋体"/>
          <w:b/>
          <w:bCs/>
          <w:color w:val="auto"/>
          <w:highlight w:val="none"/>
          <w:lang w:eastAsia="zh-CN"/>
        </w:rPr>
        <w:t>（必须提供，自然人除外）</w:t>
      </w:r>
      <w:r>
        <w:rPr>
          <w:rFonts w:hint="eastAsia" w:ascii="宋体" w:hAnsi="宋体" w:eastAsia="宋体" w:cs="宋体"/>
          <w:color w:val="auto"/>
          <w:highlight w:val="none"/>
          <w:lang w:eastAsia="zh-CN"/>
        </w:rPr>
        <w:t>；</w:t>
      </w:r>
    </w:p>
    <w:p w14:paraId="168B9975">
      <w:pPr>
        <w:pageBreakBefore w:val="0"/>
        <w:widowControl w:val="0"/>
        <w:overflowPunct/>
        <w:topLinePunct w:val="0"/>
        <w:bidi w:val="0"/>
        <w:spacing w:line="400" w:lineRule="exact"/>
        <w:ind w:firstLine="420" w:firstLineChars="20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注：①法人包括企业法人、机关法人、事业单位法人和社会团体法人；其他组织主要包括合伙企业、非企业专业服务机构、个体工商户、农村承包经营户。②如供应商为企业（包括合伙企业），应提供市场监督管理部门（或行政审批部门）注册的有效“企业法人营业执照”或“营业执照；供应商为事业单位，应提供有效的“事业单位法人证书”；供应商为非企业专业服务机构的，应提供执业许可证等证明文件；供应商为个体工商户，应提供有效的“个体工商户营业执照”。③如供应商为企业法人的分支机构的，除应提供营业执照复印件外，还应提供其所属的总公司授权其参加政府采购活动的授权文件或授权其独立开展经营业务活动的证明材料复印件。</w:t>
      </w:r>
    </w:p>
    <w:p w14:paraId="0A71F90E">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b w:val="0"/>
          <w:bCs w:val="0"/>
          <w:color w:val="auto"/>
          <w:highlight w:val="none"/>
          <w:lang w:eastAsia="zh-CN"/>
        </w:rPr>
        <w:t>4.供应商202</w:t>
      </w:r>
      <w:r>
        <w:rPr>
          <w:rFonts w:hint="eastAsia" w:ascii="宋体" w:hAnsi="宋体" w:eastAsia="宋体" w:cs="宋体"/>
          <w:b w:val="0"/>
          <w:bCs w:val="0"/>
          <w:color w:val="auto"/>
          <w:highlight w:val="none"/>
          <w:lang w:val="en-US" w:eastAsia="zh-CN"/>
        </w:rPr>
        <w:t>5</w:t>
      </w:r>
      <w:r>
        <w:rPr>
          <w:rFonts w:hint="eastAsia" w:ascii="宋体" w:hAnsi="宋体" w:eastAsia="宋体" w:cs="宋体"/>
          <w:b w:val="0"/>
          <w:bCs w:val="0"/>
          <w:color w:val="auto"/>
          <w:highlight w:val="none"/>
          <w:lang w:eastAsia="zh-CN"/>
        </w:rPr>
        <w:t>年的财务状况报告复印件（可以是财务报表或2025年以来银行出具的资信证明等）复印件</w:t>
      </w:r>
      <w:r>
        <w:rPr>
          <w:rFonts w:hint="eastAsia" w:ascii="宋体" w:hAnsi="宋体" w:eastAsia="宋体" w:cs="宋体"/>
          <w:b/>
          <w:bCs/>
          <w:color w:val="auto"/>
          <w:highlight w:val="none"/>
          <w:lang w:eastAsia="zh-CN"/>
        </w:rPr>
        <w:t>（必须提供）；</w:t>
      </w:r>
    </w:p>
    <w:p w14:paraId="10842ECB">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b w:val="0"/>
          <w:bCs w:val="0"/>
          <w:color w:val="auto"/>
          <w:highlight w:val="none"/>
          <w:lang w:eastAsia="zh-CN"/>
        </w:rPr>
        <w:t>5.供应商</w:t>
      </w:r>
      <w:r>
        <w:rPr>
          <w:rFonts w:hint="eastAsia" w:ascii="宋体" w:hAnsi="宋体" w:eastAsia="宋体" w:cs="宋体"/>
          <w:color w:val="auto"/>
          <w:szCs w:val="21"/>
        </w:rPr>
        <w:t>202</w:t>
      </w:r>
      <w:r>
        <w:rPr>
          <w:rFonts w:hint="eastAsia" w:ascii="宋体" w:hAnsi="宋体" w:eastAsia="宋体" w:cs="宋体"/>
          <w:color w:val="auto"/>
          <w:szCs w:val="21"/>
          <w:lang w:val="en-US" w:eastAsia="zh-CN"/>
        </w:rPr>
        <w:t>6</w:t>
      </w:r>
      <w:r>
        <w:rPr>
          <w:rFonts w:hint="eastAsia" w:ascii="宋体" w:hAnsi="宋体" w:eastAsia="宋体" w:cs="宋体"/>
          <w:color w:val="auto"/>
          <w:szCs w:val="21"/>
        </w:rPr>
        <w:t>年</w:t>
      </w:r>
      <w:r>
        <w:rPr>
          <w:rFonts w:hint="eastAsia" w:ascii="宋体" w:hAnsi="宋体" w:eastAsia="宋体" w:cs="宋体"/>
          <w:color w:val="auto"/>
          <w:szCs w:val="21"/>
          <w:lang w:val="en-US" w:eastAsia="zh-CN"/>
        </w:rPr>
        <w:t>6月</w:t>
      </w:r>
      <w:r>
        <w:rPr>
          <w:rFonts w:hint="eastAsia" w:ascii="宋体" w:hAnsi="宋体" w:eastAsia="宋体" w:cs="宋体"/>
          <w:b w:val="0"/>
          <w:bCs w:val="0"/>
          <w:color w:val="auto"/>
          <w:highlight w:val="none"/>
          <w:lang w:eastAsia="zh-CN"/>
        </w:rPr>
        <w:t>以来任意一个月依法缴纳税收的相关材料复印件</w:t>
      </w:r>
      <w:r>
        <w:rPr>
          <w:rFonts w:hint="eastAsia" w:ascii="宋体" w:hAnsi="宋体" w:eastAsia="宋体" w:cs="宋体"/>
          <w:b/>
          <w:bCs/>
          <w:color w:val="auto"/>
          <w:highlight w:val="none"/>
          <w:lang w:eastAsia="zh-CN"/>
        </w:rPr>
        <w:t>（必须提供）；</w:t>
      </w:r>
    </w:p>
    <w:p w14:paraId="63806EBD">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6.供应商参加政府采购活动前3年内在经营活动中没有重大违法记录及有关信用信息的书面声明</w:t>
      </w:r>
      <w:r>
        <w:rPr>
          <w:rFonts w:hint="eastAsia" w:ascii="宋体" w:hAnsi="宋体" w:eastAsia="宋体" w:cs="宋体"/>
          <w:b/>
          <w:bCs/>
          <w:color w:val="auto"/>
          <w:highlight w:val="none"/>
          <w:lang w:eastAsia="zh-CN"/>
        </w:rPr>
        <w:t>（必须提供）</w:t>
      </w:r>
      <w:r>
        <w:rPr>
          <w:rFonts w:hint="eastAsia" w:ascii="宋体" w:hAnsi="宋体" w:eastAsia="宋体" w:cs="宋体"/>
          <w:color w:val="auto"/>
          <w:highlight w:val="none"/>
          <w:lang w:eastAsia="zh-CN"/>
        </w:rPr>
        <w:t>；</w:t>
      </w:r>
    </w:p>
    <w:p w14:paraId="71E60DA2">
      <w:pPr>
        <w:pageBreakBefore w:val="0"/>
        <w:widowControl w:val="0"/>
        <w:overflowPunct/>
        <w:topLinePunct w:val="0"/>
        <w:bidi w:val="0"/>
        <w:spacing w:line="400" w:lineRule="exact"/>
        <w:ind w:firstLine="420" w:firstLineChars="200"/>
        <w:rPr>
          <w:rFonts w:hint="eastAsia" w:ascii="宋体" w:hAnsi="宋体" w:eastAsia="宋体" w:cs="宋体"/>
          <w:color w:val="auto"/>
          <w:sz w:val="21"/>
          <w:szCs w:val="21"/>
          <w:lang w:val="en-US" w:eastAsia="zh-CN" w:bidi="ar-SA"/>
        </w:rPr>
      </w:pPr>
      <w:r>
        <w:rPr>
          <w:rFonts w:hint="eastAsia" w:ascii="宋体" w:hAnsi="宋体" w:eastAsia="宋体" w:cs="宋体"/>
          <w:color w:val="auto"/>
          <w:highlight w:val="none"/>
          <w:lang w:eastAsia="zh-CN"/>
        </w:rPr>
        <w:t>7.供应商参加本项目无围标串标行为的承诺函</w:t>
      </w:r>
      <w:r>
        <w:rPr>
          <w:rFonts w:hint="eastAsia" w:ascii="宋体" w:hAnsi="宋体" w:eastAsia="宋体" w:cs="宋体"/>
          <w:b/>
          <w:bCs/>
          <w:color w:val="auto"/>
          <w:highlight w:val="none"/>
          <w:lang w:eastAsia="zh-CN"/>
        </w:rPr>
        <w:t>（必须提供）</w:t>
      </w:r>
      <w:r>
        <w:rPr>
          <w:rFonts w:hint="eastAsia" w:ascii="宋体" w:hAnsi="宋体" w:eastAsia="宋体" w:cs="宋体"/>
          <w:b/>
          <w:bCs/>
          <w:color w:val="auto"/>
          <w:kern w:val="2"/>
          <w:sz w:val="21"/>
          <w:szCs w:val="21"/>
          <w:lang w:val="en-US" w:eastAsia="zh-CN" w:bidi="ar-SA"/>
        </w:rPr>
        <w:t>。</w:t>
      </w:r>
    </w:p>
    <w:p w14:paraId="25729045">
      <w:pPr>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lang w:eastAsia="zh-CN"/>
        </w:rPr>
        <w:br w:type="page"/>
      </w:r>
    </w:p>
    <w:p w14:paraId="6C99C3A9">
      <w:pPr>
        <w:pageBreakBefore w:val="0"/>
        <w:widowControl w:val="0"/>
        <w:overflowPunct/>
        <w:topLinePunct w:val="0"/>
        <w:bidi w:val="0"/>
        <w:spacing w:line="400" w:lineRule="exact"/>
        <w:rPr>
          <w:rFonts w:hint="eastAsia" w:ascii="宋体" w:hAnsi="宋体" w:eastAsia="宋体" w:cs="宋体"/>
          <w:color w:val="auto"/>
          <w:sz w:val="28"/>
          <w:szCs w:val="28"/>
          <w:highlight w:val="none"/>
          <w:lang w:eastAsia="zh-CN"/>
        </w:rPr>
      </w:pPr>
      <w:r>
        <w:rPr>
          <w:rFonts w:hint="eastAsia" w:ascii="宋体" w:hAnsi="宋体" w:eastAsia="宋体" w:cs="宋体"/>
          <w:b/>
          <w:bCs/>
          <w:color w:val="auto"/>
          <w:sz w:val="28"/>
          <w:szCs w:val="28"/>
          <w:highlight w:val="none"/>
          <w:lang w:eastAsia="zh-CN"/>
        </w:rPr>
        <w:t>1.供应商相应的法定代表人(负责人、自然人)身份证正反两面复印件（必须提供）</w:t>
      </w:r>
    </w:p>
    <w:p w14:paraId="45F1605C">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65B33D6C">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450E7028">
      <w:pPr>
        <w:pageBreakBefore w:val="0"/>
        <w:widowControl w:val="0"/>
        <w:overflowPunct/>
        <w:topLinePunct w:val="0"/>
        <w:bidi w:val="0"/>
        <w:spacing w:line="400" w:lineRule="exact"/>
        <w:rPr>
          <w:rFonts w:hint="eastAsia" w:ascii="宋体" w:hAnsi="宋体" w:eastAsia="宋体" w:cs="宋体"/>
          <w:color w:val="auto"/>
          <w:sz w:val="28"/>
          <w:szCs w:val="28"/>
          <w:highlight w:val="none"/>
          <w:lang w:eastAsia="zh-CN"/>
        </w:rPr>
      </w:pPr>
      <w:r>
        <w:rPr>
          <w:rFonts w:hint="eastAsia" w:ascii="宋体" w:hAnsi="宋体" w:eastAsia="宋体" w:cs="宋体"/>
          <w:b/>
          <w:bCs/>
          <w:color w:val="auto"/>
          <w:sz w:val="28"/>
          <w:szCs w:val="28"/>
          <w:highlight w:val="none"/>
          <w:lang w:eastAsia="zh-CN"/>
        </w:rPr>
        <w:t>2.</w:t>
      </w:r>
      <w:r>
        <w:rPr>
          <w:rFonts w:hint="eastAsia" w:ascii="宋体" w:hAnsi="宋体" w:eastAsia="宋体" w:cs="宋体"/>
          <w:b/>
          <w:color w:val="auto"/>
          <w:sz w:val="28"/>
          <w:szCs w:val="28"/>
        </w:rPr>
        <w:t>供应商的授权委托书原件、委托代理人身份证正反面复印件以及由社保经办机构出具的供应商为委托代理人</w:t>
      </w:r>
      <w:r>
        <w:rPr>
          <w:rFonts w:hint="eastAsia" w:ascii="宋体" w:hAnsi="宋体" w:eastAsia="宋体" w:cs="宋体"/>
          <w:b/>
          <w:color w:val="auto"/>
          <w:sz w:val="28"/>
          <w:szCs w:val="28"/>
          <w:lang w:eastAsia="zh-CN"/>
        </w:rPr>
        <w:t>2026年</w:t>
      </w:r>
      <w:r>
        <w:rPr>
          <w:rFonts w:hint="eastAsia" w:ascii="宋体" w:hAnsi="宋体" w:eastAsia="宋体" w:cs="宋体"/>
          <w:b/>
          <w:color w:val="auto"/>
          <w:sz w:val="28"/>
          <w:szCs w:val="28"/>
        </w:rPr>
        <w:t>以来任意一个月交纳的社保证明复印件【属自然人的应提供由社保经办机构出具的自然人本人及委托代理人所交纳的社保证明复印件】（委托代理时必须提供）</w:t>
      </w:r>
    </w:p>
    <w:p w14:paraId="0C4EA892">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06F7AAEC">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5075B0EE">
      <w:pPr>
        <w:pageBreakBefore w:val="0"/>
        <w:widowControl w:val="0"/>
        <w:overflowPunct/>
        <w:topLinePunct w:val="0"/>
        <w:bidi w:val="0"/>
        <w:spacing w:line="400" w:lineRule="exact"/>
        <w:ind w:firstLine="622" w:firstLineChars="200"/>
        <w:rPr>
          <w:rFonts w:hint="eastAsia" w:ascii="宋体" w:hAnsi="宋体" w:eastAsia="宋体" w:cs="宋体"/>
          <w:color w:val="auto"/>
          <w:sz w:val="31"/>
          <w:szCs w:val="31"/>
          <w:highlight w:val="none"/>
          <w:lang w:eastAsia="zh-CN"/>
        </w:rPr>
      </w:pPr>
      <w:r>
        <w:rPr>
          <w:rFonts w:hint="eastAsia" w:ascii="宋体" w:hAnsi="宋体" w:eastAsia="宋体" w:cs="宋体"/>
          <w:b/>
          <w:bCs/>
          <w:color w:val="auto"/>
          <w:sz w:val="31"/>
          <w:szCs w:val="31"/>
          <w:highlight w:val="none"/>
          <w:lang w:eastAsia="zh-CN"/>
        </w:rPr>
        <w:t>附件：</w:t>
      </w:r>
    </w:p>
    <w:p w14:paraId="2BBFCA66">
      <w:pPr>
        <w:pageBreakBefore w:val="0"/>
        <w:widowControl w:val="0"/>
        <w:overflowPunct/>
        <w:topLinePunct w:val="0"/>
        <w:bidi w:val="0"/>
        <w:spacing w:line="400" w:lineRule="exact"/>
        <w:ind w:firstLine="622" w:firstLineChars="200"/>
        <w:jc w:val="center"/>
        <w:rPr>
          <w:rFonts w:hint="eastAsia" w:ascii="宋体" w:hAnsi="宋体" w:eastAsia="宋体" w:cs="宋体"/>
          <w:color w:val="auto"/>
          <w:sz w:val="31"/>
          <w:szCs w:val="31"/>
          <w:highlight w:val="none"/>
          <w:lang w:eastAsia="zh-CN"/>
        </w:rPr>
      </w:pPr>
      <w:r>
        <w:rPr>
          <w:rFonts w:hint="eastAsia" w:ascii="宋体" w:hAnsi="宋体" w:eastAsia="宋体" w:cs="宋体"/>
          <w:b/>
          <w:bCs/>
          <w:color w:val="auto"/>
          <w:sz w:val="31"/>
          <w:szCs w:val="31"/>
          <w:highlight w:val="none"/>
          <w:lang w:eastAsia="zh-CN"/>
        </w:rPr>
        <w:t>授权委托书（格式一）</w:t>
      </w:r>
    </w:p>
    <w:p w14:paraId="0ADC99C7">
      <w:pPr>
        <w:pageBreakBefore w:val="0"/>
        <w:widowControl w:val="0"/>
        <w:overflowPunct/>
        <w:topLinePunct w:val="0"/>
        <w:bidi w:val="0"/>
        <w:spacing w:line="400" w:lineRule="exact"/>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致</w:t>
      </w:r>
      <w:r>
        <w:rPr>
          <w:rFonts w:hint="eastAsia" w:ascii="宋体" w:hAnsi="宋体" w:eastAsia="宋体" w:cs="宋体"/>
          <w:color w:val="auto"/>
          <w:highlight w:val="none"/>
          <w:lang w:eastAsia="zh-CN"/>
        </w:rPr>
        <w:t>：</w:t>
      </w:r>
      <w:r>
        <w:rPr>
          <w:rFonts w:hint="eastAsia" w:ascii="宋体" w:hAnsi="宋体" w:eastAsia="宋体" w:cs="宋体"/>
          <w:color w:val="auto"/>
          <w:highlight w:val="none"/>
          <w:u w:val="single"/>
          <w:lang w:eastAsia="zh-CN"/>
        </w:rPr>
        <w:t>大华建设项目管理有限公司</w:t>
      </w:r>
    </w:p>
    <w:p w14:paraId="1C5880CB">
      <w:pPr>
        <w:pageBreakBefore w:val="0"/>
        <w:widowControl w:val="0"/>
        <w:overflowPunct/>
        <w:topLinePunct w:val="0"/>
        <w:bidi w:val="0"/>
        <w:spacing w:line="400" w:lineRule="exact"/>
        <w:ind w:firstLine="420" w:firstLineChars="20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 xml:space="preserve">我 </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lang w:eastAsia="zh-CN"/>
        </w:rPr>
        <w:t xml:space="preserve">（姓名）系 </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lang w:eastAsia="zh-CN"/>
        </w:rPr>
        <w:t xml:space="preserve">（供应商名称）的法定代表 人（负责人），现授权委托本单位在职职工 </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lang w:eastAsia="zh-CN"/>
        </w:rPr>
        <w:t>（姓名） 以我公司名义参加</w:t>
      </w:r>
      <w:r>
        <w:rPr>
          <w:rFonts w:hint="eastAsia" w:ascii="宋体" w:hAnsi="宋体" w:eastAsia="宋体" w:cs="宋体"/>
          <w:color w:val="auto"/>
          <w:highlight w:val="none"/>
          <w:u w:val="single"/>
          <w:lang w:eastAsia="zh-CN"/>
        </w:rPr>
        <w:t xml:space="preserve">      （项目名称及项目编号）        </w:t>
      </w:r>
      <w:r>
        <w:rPr>
          <w:rFonts w:hint="eastAsia" w:ascii="宋体" w:hAnsi="宋体" w:eastAsia="宋体" w:cs="宋体"/>
          <w:color w:val="auto"/>
          <w:highlight w:val="none"/>
          <w:lang w:eastAsia="zh-CN"/>
        </w:rPr>
        <w:t xml:space="preserve"> 项目的谈判活动，并代表我方全权办理针对上述项目的谈判、签约等具 体事务和签署相关文件。</w:t>
      </w:r>
    </w:p>
    <w:p w14:paraId="43E63CBE">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我方对被授权人的签字事项负全部责任。</w:t>
      </w:r>
    </w:p>
    <w:p w14:paraId="70EDF9A8">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 xml:space="preserve">授权委托代理期限：从 </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lang w:eastAsia="zh-CN"/>
        </w:rPr>
        <w:t xml:space="preserve"> 年 </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lang w:eastAsia="zh-CN"/>
        </w:rPr>
        <w:t xml:space="preserve"> 月 </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lang w:eastAsia="zh-CN"/>
        </w:rPr>
        <w:t xml:space="preserve"> 日起至 </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lang w:eastAsia="zh-CN"/>
        </w:rPr>
        <w:t xml:space="preserve"> 年</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lang w:eastAsia="zh-CN"/>
        </w:rPr>
        <w:t xml:space="preserve"> 月 </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lang w:eastAsia="zh-CN"/>
        </w:rPr>
        <w:t xml:space="preserve"> 日止。</w:t>
      </w:r>
    </w:p>
    <w:p w14:paraId="60E3B50A">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代理人无转委托权,特此委托。</w:t>
      </w:r>
    </w:p>
    <w:p w14:paraId="1E808E9F">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我已在下面签字， 以资证明。</w:t>
      </w:r>
    </w:p>
    <w:p w14:paraId="42E3BC5D">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58A01048">
      <w:pPr>
        <w:pageBreakBefore w:val="0"/>
        <w:widowControl w:val="0"/>
        <w:overflowPunct/>
        <w:topLinePunct w:val="0"/>
        <w:bidi w:val="0"/>
        <w:spacing w:line="400" w:lineRule="exact"/>
        <w:ind w:firstLine="480" w:firstLineChars="200"/>
        <w:rPr>
          <w:rFonts w:hint="eastAsia" w:ascii="宋体" w:hAnsi="宋体" w:eastAsia="宋体" w:cs="宋体"/>
          <w:color w:val="auto"/>
          <w:sz w:val="24"/>
          <w:szCs w:val="24"/>
          <w:highlight w:val="none"/>
          <w:lang w:eastAsia="zh-CN"/>
        </w:rPr>
      </w:pPr>
    </w:p>
    <w:p w14:paraId="5353AA18">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供应商（CA 证书签章）：</w:t>
      </w:r>
    </w:p>
    <w:p w14:paraId="1FEB552E">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71ADFF49">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法定代表人（负责人）签字（或个人 CA 证书签章）：</w:t>
      </w:r>
    </w:p>
    <w:p w14:paraId="5C3EACE0">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0D8C65BD">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年      月     日</w:t>
      </w:r>
    </w:p>
    <w:p w14:paraId="24E2513C">
      <w:pPr>
        <w:pageBreakBefore w:val="0"/>
        <w:widowControl w:val="0"/>
        <w:overflowPunct/>
        <w:topLinePunct w:val="0"/>
        <w:bidi w:val="0"/>
        <w:spacing w:line="400" w:lineRule="exact"/>
        <w:ind w:firstLine="482" w:firstLineChars="20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附：委托代理人身份证正反面复印件以及由社保经办机构出具的供应商为委托代 理人</w:t>
      </w:r>
      <w:r>
        <w:rPr>
          <w:rFonts w:hint="eastAsia" w:ascii="宋体" w:hAnsi="宋体" w:eastAsia="宋体" w:cs="宋体"/>
          <w:b/>
          <w:bCs/>
          <w:color w:val="auto"/>
          <w:sz w:val="24"/>
          <w:szCs w:val="24"/>
          <w:highlight w:val="none"/>
          <w:lang w:val="en-US" w:eastAsia="zh-CN"/>
        </w:rPr>
        <w:t>缴</w:t>
      </w:r>
      <w:r>
        <w:rPr>
          <w:rFonts w:hint="eastAsia" w:ascii="宋体" w:hAnsi="宋体" w:eastAsia="宋体" w:cs="宋体"/>
          <w:b/>
          <w:bCs/>
          <w:color w:val="auto"/>
          <w:sz w:val="24"/>
          <w:szCs w:val="24"/>
          <w:highlight w:val="none"/>
          <w:lang w:eastAsia="zh-CN"/>
        </w:rPr>
        <w:t>纳社保证明复印件（委托代理时必须提供）。</w:t>
      </w:r>
    </w:p>
    <w:p w14:paraId="58758D28">
      <w:pPr>
        <w:pageBreakBefore w:val="0"/>
        <w:widowControl w:val="0"/>
        <w:overflowPunct/>
        <w:topLinePunct w:val="0"/>
        <w:bidi w:val="0"/>
        <w:spacing w:line="400" w:lineRule="exact"/>
        <w:ind w:firstLine="480" w:firstLineChars="200"/>
        <w:rPr>
          <w:rFonts w:hint="eastAsia" w:ascii="宋体" w:hAnsi="宋体" w:eastAsia="宋体" w:cs="宋体"/>
          <w:color w:val="auto"/>
          <w:sz w:val="24"/>
          <w:szCs w:val="24"/>
          <w:highlight w:val="none"/>
          <w:lang w:eastAsia="zh-CN"/>
        </w:rPr>
        <w:sectPr>
          <w:footerReference r:id="rId12" w:type="default"/>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p w14:paraId="5E40D6B2">
      <w:pPr>
        <w:pageBreakBefore w:val="0"/>
        <w:widowControl w:val="0"/>
        <w:overflowPunct/>
        <w:topLinePunct w:val="0"/>
        <w:bidi w:val="0"/>
        <w:spacing w:line="400" w:lineRule="exact"/>
        <w:ind w:firstLine="622" w:firstLineChars="200"/>
        <w:jc w:val="center"/>
        <w:rPr>
          <w:rFonts w:hint="eastAsia" w:ascii="宋体" w:hAnsi="宋体" w:eastAsia="宋体" w:cs="宋体"/>
          <w:color w:val="auto"/>
          <w:sz w:val="31"/>
          <w:szCs w:val="31"/>
          <w:highlight w:val="none"/>
          <w:lang w:eastAsia="zh-CN"/>
        </w:rPr>
      </w:pPr>
      <w:r>
        <w:rPr>
          <w:rFonts w:hint="eastAsia" w:ascii="宋体" w:hAnsi="宋体" w:eastAsia="宋体" w:cs="宋体"/>
          <w:b/>
          <w:bCs/>
          <w:color w:val="auto"/>
          <w:sz w:val="31"/>
          <w:szCs w:val="31"/>
          <w:highlight w:val="none"/>
          <w:lang w:eastAsia="zh-CN"/>
        </w:rPr>
        <w:t>授权委托书（格式二）</w:t>
      </w:r>
    </w:p>
    <w:p w14:paraId="14E6FECF">
      <w:pPr>
        <w:pageBreakBefore w:val="0"/>
        <w:widowControl w:val="0"/>
        <w:overflowPunct/>
        <w:topLinePunct w:val="0"/>
        <w:bidi w:val="0"/>
        <w:spacing w:line="400" w:lineRule="exact"/>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致</w:t>
      </w:r>
      <w:r>
        <w:rPr>
          <w:rFonts w:hint="eastAsia" w:ascii="宋体" w:hAnsi="宋体" w:eastAsia="宋体" w:cs="宋体"/>
          <w:color w:val="auto"/>
          <w:highlight w:val="none"/>
          <w:lang w:eastAsia="zh-CN"/>
        </w:rPr>
        <w:t>：</w:t>
      </w:r>
      <w:r>
        <w:rPr>
          <w:rFonts w:hint="eastAsia" w:ascii="宋体" w:hAnsi="宋体" w:eastAsia="宋体" w:cs="宋体"/>
          <w:color w:val="auto"/>
          <w:highlight w:val="none"/>
          <w:u w:val="single"/>
          <w:lang w:eastAsia="zh-CN"/>
        </w:rPr>
        <w:t>大华建设项目管理有限公司</w:t>
      </w:r>
    </w:p>
    <w:p w14:paraId="3169A6CC">
      <w:pPr>
        <w:pageBreakBefore w:val="0"/>
        <w:widowControl w:val="0"/>
        <w:tabs>
          <w:tab w:val="left" w:pos="118"/>
        </w:tabs>
        <w:overflowPunct/>
        <w:topLinePunct w:val="0"/>
        <w:bidi w:val="0"/>
        <w:spacing w:line="400" w:lineRule="exact"/>
        <w:ind w:firstLine="420" w:firstLineChars="20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 xml:space="preserve">我 </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lang w:eastAsia="zh-CN"/>
        </w:rPr>
        <w:t xml:space="preserve">（姓名）系自然人，现授权委托 </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lang w:eastAsia="zh-CN"/>
        </w:rPr>
        <w:t xml:space="preserve">（姓 名） 以本人名义参加 </w:t>
      </w:r>
      <w:r>
        <w:rPr>
          <w:rFonts w:hint="eastAsia" w:ascii="宋体" w:hAnsi="宋体" w:eastAsia="宋体" w:cs="宋体"/>
          <w:color w:val="auto"/>
          <w:highlight w:val="none"/>
          <w:u w:val="single"/>
          <w:lang w:eastAsia="zh-CN"/>
        </w:rPr>
        <w:tab/>
      </w:r>
      <w:r>
        <w:rPr>
          <w:rFonts w:hint="eastAsia" w:ascii="宋体" w:hAnsi="宋体" w:eastAsia="宋体" w:cs="宋体"/>
          <w:color w:val="auto"/>
          <w:highlight w:val="none"/>
          <w:u w:val="single"/>
          <w:lang w:eastAsia="zh-CN"/>
        </w:rPr>
        <w:t xml:space="preserve">（项目名称及项目编号）        </w:t>
      </w:r>
      <w:r>
        <w:rPr>
          <w:rFonts w:hint="eastAsia" w:ascii="宋体" w:hAnsi="宋体" w:eastAsia="宋体" w:cs="宋体"/>
          <w:color w:val="auto"/>
          <w:highlight w:val="none"/>
          <w:lang w:eastAsia="zh-CN"/>
        </w:rPr>
        <w:t xml:space="preserve"> 项目的谈判活动，并代表本人全权办理针对上述项目的谈判、签 约等具体事务和签署相关文件。</w:t>
      </w:r>
    </w:p>
    <w:p w14:paraId="6BEB9008">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本人对被授权人的签字事项负全部责任。</w:t>
      </w:r>
    </w:p>
    <w:p w14:paraId="0D1533CB">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 xml:space="preserve">授权委托代理期限：从 </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lang w:eastAsia="zh-CN"/>
        </w:rPr>
        <w:t xml:space="preserve"> 年 </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lang w:eastAsia="zh-CN"/>
        </w:rPr>
        <w:t xml:space="preserve"> 月 </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lang w:eastAsia="zh-CN"/>
        </w:rPr>
        <w:t xml:space="preserve"> 日起至 </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lang w:eastAsia="zh-CN"/>
        </w:rPr>
        <w:t xml:space="preserve"> 年</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lang w:eastAsia="zh-CN"/>
        </w:rPr>
        <w:t xml:space="preserve"> 月 </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lang w:eastAsia="zh-CN"/>
        </w:rPr>
        <w:t xml:space="preserve"> 日止。</w:t>
      </w:r>
    </w:p>
    <w:p w14:paraId="4FEC3391">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代理人无转委托权,特此委托。</w:t>
      </w:r>
    </w:p>
    <w:p w14:paraId="748B751A">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我已在下面签字， 以资证明。</w:t>
      </w:r>
    </w:p>
    <w:p w14:paraId="274F090D">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37B0E4A0">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2F5DDD6C">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自然人签字（或个人 CA 证书签章）：</w:t>
      </w:r>
      <w:r>
        <w:rPr>
          <w:rFonts w:hint="eastAsia" w:ascii="宋体" w:hAnsi="宋体" w:eastAsia="宋体" w:cs="宋体"/>
          <w:color w:val="auto"/>
          <w:highlight w:val="none"/>
          <w:u w:val="single"/>
          <w:lang w:eastAsia="zh-CN"/>
        </w:rPr>
        <w:t xml:space="preserve">                   </w:t>
      </w:r>
    </w:p>
    <w:p w14:paraId="14BD6CB6">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0BFD2E07">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7187C31C">
      <w:pPr>
        <w:pageBreakBefore w:val="0"/>
        <w:widowControl w:val="0"/>
        <w:tabs>
          <w:tab w:val="left" w:pos="1260"/>
        </w:tabs>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u w:val="single"/>
          <w:lang w:eastAsia="zh-CN"/>
        </w:rPr>
        <w:tab/>
      </w:r>
      <w:r>
        <w:rPr>
          <w:rFonts w:hint="eastAsia" w:ascii="宋体" w:hAnsi="宋体" w:eastAsia="宋体" w:cs="宋体"/>
          <w:color w:val="auto"/>
          <w:highlight w:val="none"/>
          <w:lang w:eastAsia="zh-CN"/>
        </w:rPr>
        <w:t xml:space="preserve"> 年</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lang w:eastAsia="zh-CN"/>
        </w:rPr>
        <w:t xml:space="preserve"> 月</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lang w:eastAsia="zh-CN"/>
        </w:rPr>
        <w:t xml:space="preserve"> 日</w:t>
      </w:r>
    </w:p>
    <w:p w14:paraId="11A8B3BE">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469E58E6">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4DDAD480">
      <w:pPr>
        <w:pageBreakBefore w:val="0"/>
        <w:widowControl w:val="0"/>
        <w:overflowPunct/>
        <w:topLinePunct w:val="0"/>
        <w:bidi w:val="0"/>
        <w:spacing w:line="400" w:lineRule="exact"/>
        <w:ind w:firstLine="482" w:firstLineChars="200"/>
        <w:rPr>
          <w:rFonts w:hint="eastAsia"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附：委托代理人身份证正反面复印件（委托代理时必须提供）。</w:t>
      </w:r>
    </w:p>
    <w:p w14:paraId="1680D008">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63C883B6">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7AC55D6C">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17E49071">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4104305D">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53398731">
      <w:pPr>
        <w:pageBreakBefore w:val="0"/>
        <w:widowControl w:val="0"/>
        <w:overflowPunct/>
        <w:topLinePunct w:val="0"/>
        <w:bidi w:val="0"/>
        <w:spacing w:line="400" w:lineRule="exact"/>
        <w:rPr>
          <w:rFonts w:hint="eastAsia" w:ascii="宋体" w:hAnsi="宋体" w:eastAsia="宋体" w:cs="宋体"/>
          <w:color w:val="auto"/>
          <w:sz w:val="28"/>
          <w:szCs w:val="28"/>
          <w:highlight w:val="none"/>
          <w:lang w:eastAsia="zh-CN"/>
        </w:rPr>
      </w:pPr>
      <w:r>
        <w:rPr>
          <w:rFonts w:hint="eastAsia" w:ascii="宋体" w:hAnsi="宋体" w:eastAsia="宋体" w:cs="宋体"/>
          <w:b/>
          <w:bCs/>
          <w:color w:val="auto"/>
          <w:sz w:val="28"/>
          <w:szCs w:val="28"/>
          <w:highlight w:val="none"/>
          <w:lang w:eastAsia="zh-CN"/>
        </w:rPr>
        <w:t>3.供应商的法人或者其他组织营业执照等证明文件复印件（必须提供，</w:t>
      </w:r>
      <w:r>
        <w:rPr>
          <w:rFonts w:hint="eastAsia" w:ascii="宋体" w:hAnsi="宋体" w:eastAsia="宋体" w:cs="宋体"/>
          <w:color w:val="auto"/>
          <w:sz w:val="28"/>
          <w:szCs w:val="28"/>
          <w:highlight w:val="none"/>
          <w:lang w:eastAsia="zh-CN"/>
        </w:rPr>
        <w:t xml:space="preserve"> </w:t>
      </w:r>
      <w:r>
        <w:rPr>
          <w:rFonts w:hint="eastAsia" w:ascii="宋体" w:hAnsi="宋体" w:eastAsia="宋体" w:cs="宋体"/>
          <w:b/>
          <w:bCs/>
          <w:color w:val="auto"/>
          <w:sz w:val="28"/>
          <w:szCs w:val="28"/>
          <w:highlight w:val="none"/>
          <w:lang w:eastAsia="zh-CN"/>
        </w:rPr>
        <w:t>自然人除外）</w:t>
      </w:r>
    </w:p>
    <w:p w14:paraId="3DA04837">
      <w:pPr>
        <w:pageBreakBefore w:val="0"/>
        <w:widowControl w:val="0"/>
        <w:overflowPunct/>
        <w:topLinePunct w:val="0"/>
        <w:bidi w:val="0"/>
        <w:spacing w:line="400" w:lineRule="exact"/>
        <w:ind w:firstLine="402" w:firstLineChars="200"/>
        <w:jc w:val="both"/>
        <w:rPr>
          <w:rFonts w:hint="eastAsia" w:ascii="宋体" w:hAnsi="宋体" w:eastAsia="宋体" w:cs="宋体"/>
          <w:color w:val="auto"/>
          <w:sz w:val="20"/>
          <w:szCs w:val="20"/>
          <w:highlight w:val="none"/>
          <w:lang w:eastAsia="zh-CN"/>
        </w:rPr>
      </w:pPr>
      <w:r>
        <w:rPr>
          <w:rFonts w:hint="eastAsia" w:ascii="宋体" w:hAnsi="宋体" w:eastAsia="宋体" w:cs="宋体"/>
          <w:b/>
          <w:bCs/>
          <w:color w:val="auto"/>
          <w:sz w:val="20"/>
          <w:szCs w:val="20"/>
          <w:highlight w:val="none"/>
          <w:lang w:eastAsia="zh-CN"/>
        </w:rPr>
        <w:t>注：①法人包括企业法人、机关法人、事业单位法人和社会团体法人；其他组织主要包括合伙</w:t>
      </w:r>
      <w:r>
        <w:rPr>
          <w:rFonts w:hint="eastAsia" w:ascii="宋体" w:hAnsi="宋体" w:eastAsia="宋体" w:cs="宋体"/>
          <w:color w:val="auto"/>
          <w:sz w:val="20"/>
          <w:szCs w:val="20"/>
          <w:highlight w:val="none"/>
          <w:lang w:eastAsia="zh-CN"/>
        </w:rPr>
        <w:t xml:space="preserve">  </w:t>
      </w:r>
      <w:r>
        <w:rPr>
          <w:rFonts w:hint="eastAsia" w:ascii="宋体" w:hAnsi="宋体" w:eastAsia="宋体" w:cs="宋体"/>
          <w:b/>
          <w:bCs/>
          <w:color w:val="auto"/>
          <w:sz w:val="20"/>
          <w:szCs w:val="20"/>
          <w:highlight w:val="none"/>
          <w:lang w:eastAsia="zh-CN"/>
        </w:rPr>
        <w:t>企业、非企业专业服务机构、个体工商户、农村承包经营户。②如供应商为企业（包括合伙企业），</w:t>
      </w:r>
      <w:r>
        <w:rPr>
          <w:rFonts w:hint="eastAsia" w:ascii="宋体" w:hAnsi="宋体" w:eastAsia="宋体" w:cs="宋体"/>
          <w:color w:val="auto"/>
          <w:sz w:val="20"/>
          <w:szCs w:val="20"/>
          <w:highlight w:val="none"/>
          <w:lang w:eastAsia="zh-CN"/>
        </w:rPr>
        <w:t xml:space="preserve"> </w:t>
      </w:r>
      <w:r>
        <w:rPr>
          <w:rFonts w:hint="eastAsia" w:ascii="宋体" w:hAnsi="宋体" w:eastAsia="宋体" w:cs="宋体"/>
          <w:b/>
          <w:bCs/>
          <w:color w:val="auto"/>
          <w:sz w:val="20"/>
          <w:szCs w:val="20"/>
          <w:highlight w:val="none"/>
          <w:lang w:eastAsia="zh-CN"/>
        </w:rPr>
        <w:t>应提供市场监督管理部门（或行政审批部门）注册的有效“企业法人营业执照</w:t>
      </w:r>
      <w:r>
        <w:rPr>
          <w:rFonts w:hint="eastAsia" w:ascii="宋体" w:hAnsi="宋体" w:eastAsia="宋体" w:cs="宋体"/>
          <w:color w:val="auto"/>
          <w:sz w:val="20"/>
          <w:szCs w:val="20"/>
          <w:highlight w:val="none"/>
          <w:lang w:eastAsia="zh-CN"/>
        </w:rPr>
        <w:t xml:space="preserve"> </w:t>
      </w:r>
      <w:r>
        <w:rPr>
          <w:rFonts w:hint="eastAsia" w:ascii="宋体" w:hAnsi="宋体" w:eastAsia="宋体" w:cs="宋体"/>
          <w:b/>
          <w:bCs/>
          <w:color w:val="auto"/>
          <w:sz w:val="20"/>
          <w:szCs w:val="20"/>
          <w:highlight w:val="none"/>
          <w:lang w:eastAsia="zh-CN"/>
        </w:rPr>
        <w:t>”或“营业执照；供</w:t>
      </w:r>
      <w:r>
        <w:rPr>
          <w:rFonts w:hint="eastAsia" w:ascii="宋体" w:hAnsi="宋体" w:eastAsia="宋体" w:cs="宋体"/>
          <w:color w:val="auto"/>
          <w:sz w:val="20"/>
          <w:szCs w:val="20"/>
          <w:highlight w:val="none"/>
          <w:lang w:eastAsia="zh-CN"/>
        </w:rPr>
        <w:t xml:space="preserve">  </w:t>
      </w:r>
      <w:r>
        <w:rPr>
          <w:rFonts w:hint="eastAsia" w:ascii="宋体" w:hAnsi="宋体" w:eastAsia="宋体" w:cs="宋体"/>
          <w:b/>
          <w:bCs/>
          <w:color w:val="auto"/>
          <w:sz w:val="20"/>
          <w:szCs w:val="20"/>
          <w:highlight w:val="none"/>
          <w:lang w:eastAsia="zh-CN"/>
        </w:rPr>
        <w:t>应商为事业单位，应提供有效的“事业单位法人证书</w:t>
      </w:r>
      <w:r>
        <w:rPr>
          <w:rFonts w:hint="eastAsia" w:ascii="宋体" w:hAnsi="宋体" w:eastAsia="宋体" w:cs="宋体"/>
          <w:color w:val="auto"/>
          <w:sz w:val="20"/>
          <w:szCs w:val="20"/>
          <w:highlight w:val="none"/>
          <w:lang w:eastAsia="zh-CN"/>
        </w:rPr>
        <w:t xml:space="preserve"> </w:t>
      </w:r>
      <w:r>
        <w:rPr>
          <w:rFonts w:hint="eastAsia" w:ascii="宋体" w:hAnsi="宋体" w:eastAsia="宋体" w:cs="宋体"/>
          <w:b/>
          <w:bCs/>
          <w:color w:val="auto"/>
          <w:sz w:val="20"/>
          <w:szCs w:val="20"/>
          <w:highlight w:val="none"/>
          <w:lang w:eastAsia="zh-CN"/>
        </w:rPr>
        <w:t>”；供应商为非企业专业服务机构的，应提供</w:t>
      </w:r>
      <w:r>
        <w:rPr>
          <w:rFonts w:hint="eastAsia" w:ascii="宋体" w:hAnsi="宋体" w:eastAsia="宋体" w:cs="宋体"/>
          <w:color w:val="auto"/>
          <w:sz w:val="20"/>
          <w:szCs w:val="20"/>
          <w:highlight w:val="none"/>
          <w:lang w:eastAsia="zh-CN"/>
        </w:rPr>
        <w:t xml:space="preserve">  </w:t>
      </w:r>
      <w:r>
        <w:rPr>
          <w:rFonts w:hint="eastAsia" w:ascii="宋体" w:hAnsi="宋体" w:eastAsia="宋体" w:cs="宋体"/>
          <w:b/>
          <w:bCs/>
          <w:color w:val="auto"/>
          <w:sz w:val="20"/>
          <w:szCs w:val="20"/>
          <w:highlight w:val="none"/>
          <w:lang w:eastAsia="zh-CN"/>
        </w:rPr>
        <w:t>执业许可证等证明文件；供应商为个体工商户，应提供有效的“个体工商户营业执照</w:t>
      </w:r>
      <w:r>
        <w:rPr>
          <w:rFonts w:hint="eastAsia" w:ascii="宋体" w:hAnsi="宋体" w:eastAsia="宋体" w:cs="宋体"/>
          <w:color w:val="auto"/>
          <w:sz w:val="20"/>
          <w:szCs w:val="20"/>
          <w:highlight w:val="none"/>
          <w:lang w:eastAsia="zh-CN"/>
        </w:rPr>
        <w:t xml:space="preserve"> </w:t>
      </w:r>
      <w:r>
        <w:rPr>
          <w:rFonts w:hint="eastAsia" w:ascii="宋体" w:hAnsi="宋体" w:eastAsia="宋体" w:cs="宋体"/>
          <w:b/>
          <w:bCs/>
          <w:color w:val="auto"/>
          <w:sz w:val="20"/>
          <w:szCs w:val="20"/>
          <w:highlight w:val="none"/>
          <w:lang w:eastAsia="zh-CN"/>
        </w:rPr>
        <w:t>”。③如供应</w:t>
      </w:r>
      <w:r>
        <w:rPr>
          <w:rFonts w:hint="eastAsia" w:ascii="宋体" w:hAnsi="宋体" w:eastAsia="宋体" w:cs="宋体"/>
          <w:color w:val="auto"/>
          <w:sz w:val="20"/>
          <w:szCs w:val="20"/>
          <w:highlight w:val="none"/>
          <w:lang w:eastAsia="zh-CN"/>
        </w:rPr>
        <w:t xml:space="preserve">  </w:t>
      </w:r>
      <w:r>
        <w:rPr>
          <w:rFonts w:hint="eastAsia" w:ascii="宋体" w:hAnsi="宋体" w:eastAsia="宋体" w:cs="宋体"/>
          <w:b/>
          <w:bCs/>
          <w:color w:val="auto"/>
          <w:sz w:val="20"/>
          <w:szCs w:val="20"/>
          <w:highlight w:val="none"/>
          <w:lang w:eastAsia="zh-CN"/>
        </w:rPr>
        <w:t>商为企业法人的分支机构的，除应提供营业执照复印件外，还应提供其所属的总公司授权其参加政</w:t>
      </w:r>
      <w:r>
        <w:rPr>
          <w:rFonts w:hint="eastAsia" w:ascii="宋体" w:hAnsi="宋体" w:eastAsia="宋体" w:cs="宋体"/>
          <w:color w:val="auto"/>
          <w:sz w:val="20"/>
          <w:szCs w:val="20"/>
          <w:highlight w:val="none"/>
          <w:lang w:eastAsia="zh-CN"/>
        </w:rPr>
        <w:t xml:space="preserve">  </w:t>
      </w:r>
      <w:r>
        <w:rPr>
          <w:rFonts w:hint="eastAsia" w:ascii="宋体" w:hAnsi="宋体" w:eastAsia="宋体" w:cs="宋体"/>
          <w:b/>
          <w:bCs/>
          <w:color w:val="auto"/>
          <w:sz w:val="20"/>
          <w:szCs w:val="20"/>
          <w:highlight w:val="none"/>
          <w:lang w:eastAsia="zh-CN"/>
        </w:rPr>
        <w:t>府采购活动的授权文件或授权其独立开展经营业务活动的证明材料复印件。</w:t>
      </w:r>
    </w:p>
    <w:p w14:paraId="5802C912">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sectPr>
          <w:footerReference r:id="rId13" w:type="default"/>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p w14:paraId="4FB39398">
      <w:pPr>
        <w:pageBreakBefore w:val="0"/>
        <w:widowControl w:val="0"/>
        <w:overflowPunct/>
        <w:topLinePunct w:val="0"/>
        <w:bidi w:val="0"/>
        <w:spacing w:line="400" w:lineRule="exact"/>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lang w:eastAsia="zh-CN"/>
        </w:rPr>
        <w:t>4.供应商20</w:t>
      </w:r>
      <w:r>
        <w:rPr>
          <w:rFonts w:hint="eastAsia" w:ascii="宋体" w:hAnsi="宋体" w:eastAsia="宋体" w:cs="宋体"/>
          <w:b/>
          <w:bCs/>
          <w:color w:val="auto"/>
          <w:sz w:val="28"/>
          <w:szCs w:val="28"/>
          <w:highlight w:val="none"/>
          <w:lang w:val="en-US" w:eastAsia="zh-CN"/>
        </w:rPr>
        <w:t>25</w:t>
      </w:r>
      <w:r>
        <w:rPr>
          <w:rFonts w:hint="eastAsia" w:ascii="宋体" w:hAnsi="宋体" w:eastAsia="宋体" w:cs="宋体"/>
          <w:b/>
          <w:bCs/>
          <w:color w:val="auto"/>
          <w:sz w:val="28"/>
          <w:szCs w:val="28"/>
          <w:highlight w:val="none"/>
          <w:lang w:eastAsia="zh-CN"/>
        </w:rPr>
        <w:t>年的财务状况报告复印件（可以是财务报表或2025年以来银行出具的资信证明等）复印件（必须提供）；</w:t>
      </w:r>
    </w:p>
    <w:p w14:paraId="4893341C">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4F445066">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42472284">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6C6B195E">
      <w:pPr>
        <w:pageBreakBefore w:val="0"/>
        <w:widowControl w:val="0"/>
        <w:overflowPunct/>
        <w:topLinePunct w:val="0"/>
        <w:bidi w:val="0"/>
        <w:spacing w:line="400" w:lineRule="exact"/>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lang w:eastAsia="zh-CN"/>
        </w:rPr>
        <w:t>5.供应商2026年6月以来任意一个月依法缴纳税收的相关材料复印件（必须提供）</w:t>
      </w:r>
    </w:p>
    <w:p w14:paraId="7E67319A">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2CD0E7D9">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251B5A7D">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09AA8A38">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506F70B4">
      <w:pPr>
        <w:pageBreakBefore w:val="0"/>
        <w:widowControl w:val="0"/>
        <w:overflowPunct/>
        <w:topLinePunct w:val="0"/>
        <w:bidi w:val="0"/>
        <w:spacing w:line="400" w:lineRule="exact"/>
        <w:rPr>
          <w:rFonts w:hint="eastAsia" w:ascii="宋体" w:hAnsi="宋体" w:eastAsia="宋体" w:cs="宋体"/>
          <w:color w:val="auto"/>
          <w:sz w:val="28"/>
          <w:szCs w:val="28"/>
          <w:highlight w:val="none"/>
          <w:lang w:eastAsia="zh-CN"/>
        </w:rPr>
      </w:pPr>
      <w:r>
        <w:rPr>
          <w:rFonts w:hint="eastAsia" w:ascii="宋体" w:hAnsi="宋体" w:eastAsia="宋体" w:cs="宋体"/>
          <w:b/>
          <w:bCs/>
          <w:color w:val="auto"/>
          <w:sz w:val="28"/>
          <w:szCs w:val="28"/>
          <w:highlight w:val="none"/>
          <w:lang w:eastAsia="zh-CN"/>
        </w:rPr>
        <w:t>6.供应商参加政府采购活动前</w:t>
      </w:r>
      <w:r>
        <w:rPr>
          <w:rFonts w:hint="eastAsia" w:ascii="宋体" w:hAnsi="宋体" w:eastAsia="宋体" w:cs="宋体"/>
          <w:color w:val="auto"/>
          <w:sz w:val="28"/>
          <w:szCs w:val="28"/>
          <w:highlight w:val="none"/>
          <w:lang w:eastAsia="zh-CN"/>
        </w:rPr>
        <w:t xml:space="preserve"> </w:t>
      </w:r>
      <w:r>
        <w:rPr>
          <w:rFonts w:hint="eastAsia" w:ascii="宋体" w:hAnsi="宋体" w:eastAsia="宋体" w:cs="宋体"/>
          <w:b/>
          <w:bCs/>
          <w:color w:val="auto"/>
          <w:sz w:val="28"/>
          <w:szCs w:val="28"/>
          <w:highlight w:val="none"/>
          <w:lang w:eastAsia="zh-CN"/>
        </w:rPr>
        <w:t>3</w:t>
      </w:r>
      <w:r>
        <w:rPr>
          <w:rFonts w:hint="eastAsia" w:ascii="宋体" w:hAnsi="宋体" w:eastAsia="宋体" w:cs="宋体"/>
          <w:color w:val="auto"/>
          <w:sz w:val="28"/>
          <w:szCs w:val="28"/>
          <w:highlight w:val="none"/>
          <w:lang w:eastAsia="zh-CN"/>
        </w:rPr>
        <w:t xml:space="preserve"> </w:t>
      </w:r>
      <w:r>
        <w:rPr>
          <w:rFonts w:hint="eastAsia" w:ascii="宋体" w:hAnsi="宋体" w:eastAsia="宋体" w:cs="宋体"/>
          <w:b/>
          <w:bCs/>
          <w:color w:val="auto"/>
          <w:sz w:val="28"/>
          <w:szCs w:val="28"/>
          <w:highlight w:val="none"/>
          <w:lang w:eastAsia="zh-CN"/>
        </w:rPr>
        <w:t>年内在经营活动中没有重大违法记录及有关信用信息的书面声明（必须提供）</w:t>
      </w:r>
    </w:p>
    <w:p w14:paraId="01FD6F4E">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507D3ED7">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13992F7D">
      <w:pPr>
        <w:pageBreakBefore w:val="0"/>
        <w:widowControl w:val="0"/>
        <w:overflowPunct/>
        <w:topLinePunct w:val="0"/>
        <w:bidi w:val="0"/>
        <w:spacing w:line="400" w:lineRule="exact"/>
        <w:ind w:firstLine="622" w:firstLineChars="200"/>
        <w:rPr>
          <w:rFonts w:hint="eastAsia" w:ascii="宋体" w:hAnsi="宋体" w:eastAsia="宋体" w:cs="宋体"/>
          <w:color w:val="auto"/>
          <w:sz w:val="31"/>
          <w:szCs w:val="31"/>
          <w:highlight w:val="none"/>
          <w:lang w:eastAsia="zh-CN"/>
        </w:rPr>
      </w:pPr>
      <w:r>
        <w:rPr>
          <w:rFonts w:hint="eastAsia" w:ascii="宋体" w:hAnsi="宋体" w:eastAsia="宋体" w:cs="宋体"/>
          <w:b/>
          <w:bCs/>
          <w:color w:val="auto"/>
          <w:sz w:val="31"/>
          <w:szCs w:val="31"/>
          <w:highlight w:val="none"/>
          <w:lang w:eastAsia="zh-CN"/>
        </w:rPr>
        <w:t>附件：</w:t>
      </w:r>
    </w:p>
    <w:p w14:paraId="1239A806">
      <w:pPr>
        <w:pageBreakBefore w:val="0"/>
        <w:widowControl w:val="0"/>
        <w:overflowPunct/>
        <w:topLinePunct w:val="0"/>
        <w:bidi w:val="0"/>
        <w:spacing w:line="400" w:lineRule="exact"/>
        <w:ind w:firstLine="622" w:firstLineChars="200"/>
        <w:jc w:val="center"/>
        <w:rPr>
          <w:rFonts w:hint="eastAsia" w:ascii="宋体" w:hAnsi="宋体" w:eastAsia="宋体" w:cs="宋体"/>
          <w:color w:val="auto"/>
          <w:sz w:val="31"/>
          <w:szCs w:val="31"/>
          <w:highlight w:val="none"/>
          <w:lang w:eastAsia="zh-CN"/>
        </w:rPr>
      </w:pPr>
      <w:r>
        <w:rPr>
          <w:rFonts w:hint="eastAsia" w:ascii="宋体" w:hAnsi="宋体" w:eastAsia="宋体" w:cs="宋体"/>
          <w:b/>
          <w:bCs/>
          <w:color w:val="auto"/>
          <w:sz w:val="31"/>
          <w:szCs w:val="31"/>
          <w:highlight w:val="none"/>
          <w:lang w:eastAsia="zh-CN"/>
        </w:rPr>
        <w:t>声</w:t>
      </w:r>
      <w:r>
        <w:rPr>
          <w:rFonts w:hint="eastAsia" w:ascii="宋体" w:hAnsi="宋体" w:eastAsia="宋体" w:cs="宋体"/>
          <w:color w:val="auto"/>
          <w:sz w:val="31"/>
          <w:szCs w:val="31"/>
          <w:highlight w:val="none"/>
          <w:lang w:eastAsia="zh-CN"/>
        </w:rPr>
        <w:t xml:space="preserve">   </w:t>
      </w:r>
      <w:r>
        <w:rPr>
          <w:rFonts w:hint="eastAsia" w:ascii="宋体" w:hAnsi="宋体" w:eastAsia="宋体" w:cs="宋体"/>
          <w:b/>
          <w:bCs/>
          <w:color w:val="auto"/>
          <w:sz w:val="31"/>
          <w:szCs w:val="31"/>
          <w:highlight w:val="none"/>
          <w:lang w:eastAsia="zh-CN"/>
        </w:rPr>
        <w:t>明（格式）</w:t>
      </w:r>
    </w:p>
    <w:p w14:paraId="6150E497">
      <w:pPr>
        <w:pageBreakBefore w:val="0"/>
        <w:widowControl w:val="0"/>
        <w:overflowPunct/>
        <w:topLinePunct w:val="0"/>
        <w:bidi w:val="0"/>
        <w:spacing w:line="400" w:lineRule="exact"/>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致</w:t>
      </w:r>
      <w:r>
        <w:rPr>
          <w:rFonts w:hint="eastAsia" w:ascii="宋体" w:hAnsi="宋体" w:eastAsia="宋体" w:cs="宋体"/>
          <w:color w:val="auto"/>
          <w:highlight w:val="none"/>
          <w:lang w:eastAsia="zh-CN"/>
        </w:rPr>
        <w:t>：</w:t>
      </w:r>
      <w:r>
        <w:rPr>
          <w:rFonts w:hint="eastAsia" w:ascii="宋体" w:hAnsi="宋体" w:eastAsia="宋体" w:cs="宋体"/>
          <w:color w:val="auto"/>
          <w:highlight w:val="none"/>
          <w:u w:val="single"/>
          <w:lang w:eastAsia="zh-CN"/>
        </w:rPr>
        <w:t>大华建设项目管理有限公司</w:t>
      </w:r>
    </w:p>
    <w:p w14:paraId="7C7FF8B5">
      <w:pPr>
        <w:pageBreakBefore w:val="0"/>
        <w:widowControl w:val="0"/>
        <w:overflowPunct/>
        <w:topLinePunct w:val="0"/>
        <w:bidi w:val="0"/>
        <w:spacing w:line="400" w:lineRule="exact"/>
        <w:ind w:firstLine="420" w:firstLineChars="200"/>
        <w:jc w:val="both"/>
        <w:rPr>
          <w:rFonts w:hint="eastAsia" w:ascii="宋体" w:hAnsi="宋体" w:eastAsia="宋体" w:cs="宋体"/>
          <w:color w:val="auto"/>
          <w:highlight w:val="none"/>
          <w:lang w:eastAsia="zh-CN"/>
        </w:rPr>
      </w:pPr>
    </w:p>
    <w:p w14:paraId="09D03F38">
      <w:pPr>
        <w:pageBreakBefore w:val="0"/>
        <w:widowControl w:val="0"/>
        <w:overflowPunct/>
        <w:topLinePunct w:val="0"/>
        <w:bidi w:val="0"/>
        <w:spacing w:line="400" w:lineRule="exact"/>
        <w:ind w:firstLine="420" w:firstLineChars="20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我（公司）郑重声明，在参加本项目政府采购活动前3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639027C7">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666FE482">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供应商</w:t>
      </w:r>
      <w:r>
        <w:rPr>
          <w:rFonts w:hint="eastAsia" w:ascii="宋体" w:hAnsi="宋体" w:eastAsia="宋体" w:cs="宋体"/>
          <w:b/>
          <w:bCs/>
          <w:color w:val="auto"/>
          <w:highlight w:val="none"/>
          <w:lang w:eastAsia="zh-CN"/>
        </w:rPr>
        <w:t>（CA证书签章）</w:t>
      </w:r>
      <w:r>
        <w:rPr>
          <w:rFonts w:hint="eastAsia" w:ascii="宋体" w:hAnsi="宋体" w:eastAsia="宋体" w:cs="宋体"/>
          <w:color w:val="auto"/>
          <w:highlight w:val="none"/>
          <w:lang w:eastAsia="zh-CN"/>
        </w:rPr>
        <w:t>：</w:t>
      </w:r>
    </w:p>
    <w:p w14:paraId="000EA740">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法定代表人(负责人、自然人)或委托代理人签字</w:t>
      </w:r>
      <w:r>
        <w:rPr>
          <w:rFonts w:hint="eastAsia" w:ascii="宋体" w:hAnsi="宋体" w:eastAsia="宋体" w:cs="宋体"/>
          <w:b/>
          <w:bCs/>
          <w:color w:val="auto"/>
          <w:highlight w:val="none"/>
          <w:lang w:eastAsia="zh-CN"/>
        </w:rPr>
        <w:t>（或个人CA证书签章）</w:t>
      </w:r>
      <w:r>
        <w:rPr>
          <w:rFonts w:hint="eastAsia" w:ascii="宋体" w:hAnsi="宋体" w:eastAsia="宋体" w:cs="宋体"/>
          <w:color w:val="auto"/>
          <w:highlight w:val="none"/>
          <w:lang w:eastAsia="zh-CN"/>
        </w:rPr>
        <w:t>：</w:t>
      </w:r>
    </w:p>
    <w:p w14:paraId="70505DD9">
      <w:pPr>
        <w:pageBreakBefore w:val="0"/>
        <w:widowControl w:val="0"/>
        <w:overflowPunct/>
        <w:topLinePunct w:val="0"/>
        <w:bidi w:val="0"/>
        <w:spacing w:line="400" w:lineRule="exact"/>
        <w:ind w:firstLine="400" w:firstLineChars="200"/>
        <w:rPr>
          <w:rFonts w:hint="eastAsia" w:ascii="宋体" w:hAnsi="宋体" w:eastAsia="宋体" w:cs="宋体"/>
          <w:color w:val="auto"/>
          <w:highlight w:val="none"/>
          <w:lang w:eastAsia="zh-CN"/>
        </w:rPr>
      </w:pPr>
      <w:r>
        <w:rPr>
          <w:rFonts w:hint="eastAsia" w:ascii="宋体" w:hAnsi="宋体" w:eastAsia="宋体" w:cs="宋体"/>
          <w:color w:val="auto"/>
          <w:sz w:val="20"/>
          <w:szCs w:val="20"/>
          <w:highlight w:val="none"/>
          <w:lang w:eastAsia="zh-CN"/>
        </w:rPr>
        <w:t>日          期：</w:t>
      </w:r>
    </w:p>
    <w:p w14:paraId="4BE8BF4F">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3CD9F7F3">
      <w:pPr>
        <w:pageBreakBefore w:val="0"/>
        <w:widowControl w:val="0"/>
        <w:overflowPunct/>
        <w:topLinePunct w:val="0"/>
        <w:bidi w:val="0"/>
        <w:spacing w:line="400" w:lineRule="exact"/>
        <w:ind w:firstLine="402" w:firstLineChars="200"/>
        <w:jc w:val="both"/>
        <w:rPr>
          <w:rFonts w:hint="eastAsia" w:ascii="宋体" w:hAnsi="宋体" w:eastAsia="宋体" w:cs="宋体"/>
          <w:color w:val="auto"/>
          <w:sz w:val="20"/>
          <w:szCs w:val="20"/>
          <w:highlight w:val="none"/>
          <w:lang w:eastAsia="zh-CN"/>
        </w:rPr>
      </w:pPr>
      <w:r>
        <w:rPr>
          <w:rFonts w:hint="eastAsia" w:ascii="宋体" w:hAnsi="宋体" w:eastAsia="宋体" w:cs="宋体"/>
          <w:b/>
          <w:bCs/>
          <w:color w:val="auto"/>
          <w:sz w:val="20"/>
          <w:szCs w:val="20"/>
          <w:highlight w:val="none"/>
          <w:lang w:eastAsia="zh-CN"/>
        </w:rPr>
        <w:t>注：供应商参加政府采购活动前3年内在经营活动中没有重大违法记录及有关信用信息的书面声明须由法定代表人(负责人、自然人)或相应的委托代理人签字（或个人CA证书签章）并加盖供应商公章（CA证书签章）。</w:t>
      </w:r>
    </w:p>
    <w:p w14:paraId="3BD3FD03">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sectPr>
          <w:footerReference r:id="rId14" w:type="default"/>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p w14:paraId="754865E3">
      <w:pPr>
        <w:pageBreakBefore w:val="0"/>
        <w:widowControl w:val="0"/>
        <w:overflowPunct/>
        <w:topLinePunct w:val="0"/>
        <w:bidi w:val="0"/>
        <w:spacing w:line="400" w:lineRule="exact"/>
        <w:rPr>
          <w:rFonts w:hint="eastAsia" w:ascii="宋体" w:hAnsi="宋体" w:eastAsia="宋体" w:cs="宋体"/>
          <w:color w:val="auto"/>
          <w:sz w:val="28"/>
          <w:szCs w:val="28"/>
          <w:highlight w:val="none"/>
          <w:lang w:eastAsia="zh-CN"/>
        </w:rPr>
      </w:pPr>
      <w:r>
        <w:rPr>
          <w:rFonts w:hint="eastAsia" w:ascii="宋体" w:hAnsi="宋体" w:eastAsia="宋体" w:cs="宋体"/>
          <w:b/>
          <w:bCs/>
          <w:color w:val="auto"/>
          <w:sz w:val="28"/>
          <w:szCs w:val="28"/>
          <w:highlight w:val="none"/>
          <w:lang w:eastAsia="zh-CN"/>
        </w:rPr>
        <w:t>7.供应商参加本项目无围标串标行为的承诺函（必须提供）</w:t>
      </w:r>
    </w:p>
    <w:p w14:paraId="6788AA59">
      <w:pPr>
        <w:pageBreakBefore w:val="0"/>
        <w:widowControl w:val="0"/>
        <w:overflowPunct/>
        <w:topLinePunct w:val="0"/>
        <w:bidi w:val="0"/>
        <w:spacing w:line="400" w:lineRule="exact"/>
        <w:rPr>
          <w:rFonts w:hint="eastAsia" w:ascii="宋体" w:hAnsi="宋体" w:eastAsia="宋体" w:cs="宋体"/>
          <w:color w:val="auto"/>
          <w:sz w:val="31"/>
          <w:szCs w:val="31"/>
          <w:highlight w:val="none"/>
          <w:lang w:eastAsia="zh-CN"/>
        </w:rPr>
      </w:pPr>
      <w:r>
        <w:rPr>
          <w:rFonts w:hint="eastAsia" w:ascii="宋体" w:hAnsi="宋体" w:eastAsia="宋体" w:cs="宋体"/>
          <w:b/>
          <w:bCs/>
          <w:color w:val="auto"/>
          <w:sz w:val="31"/>
          <w:szCs w:val="31"/>
          <w:highlight w:val="none"/>
          <w:lang w:eastAsia="zh-CN"/>
        </w:rPr>
        <w:t>附件：</w:t>
      </w:r>
    </w:p>
    <w:p w14:paraId="15113241">
      <w:pPr>
        <w:pageBreakBefore w:val="0"/>
        <w:widowControl w:val="0"/>
        <w:overflowPunct/>
        <w:topLinePunct w:val="0"/>
        <w:bidi w:val="0"/>
        <w:spacing w:line="400" w:lineRule="exact"/>
        <w:ind w:firstLine="622" w:firstLineChars="200"/>
        <w:rPr>
          <w:rFonts w:hint="eastAsia" w:ascii="宋体" w:hAnsi="宋体" w:eastAsia="宋体" w:cs="宋体"/>
          <w:color w:val="auto"/>
          <w:sz w:val="31"/>
          <w:szCs w:val="31"/>
          <w:highlight w:val="none"/>
          <w:lang w:eastAsia="zh-CN"/>
        </w:rPr>
      </w:pPr>
      <w:r>
        <w:rPr>
          <w:rFonts w:hint="eastAsia" w:ascii="宋体" w:hAnsi="宋体" w:eastAsia="宋体" w:cs="宋体"/>
          <w:b/>
          <w:bCs/>
          <w:color w:val="auto"/>
          <w:sz w:val="31"/>
          <w:szCs w:val="31"/>
          <w:highlight w:val="none"/>
          <w:lang w:eastAsia="zh-CN"/>
        </w:rPr>
        <w:t>供应商参加本项目无围标串标行为的承诺函（格式）</w:t>
      </w:r>
    </w:p>
    <w:p w14:paraId="7BAAF229">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一、我（公司）承诺无下列相互串通的情形：</w:t>
      </w:r>
    </w:p>
    <w:p w14:paraId="6E7AB029">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1.不同供应商的响应文件由同一单位或者个人编制；</w:t>
      </w:r>
    </w:p>
    <w:p w14:paraId="7698CA2B">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2.不同供应商委托同一单位或者个人办理谈判事宜；</w:t>
      </w:r>
    </w:p>
    <w:p w14:paraId="17BA307C">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3.不同的供应商的响应文件载明的项目管理员为同一个人；</w:t>
      </w:r>
    </w:p>
    <w:p w14:paraId="33E6531F">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4.不同供应商的响应文件异常一致或谈判报价呈规律性差异；</w:t>
      </w:r>
    </w:p>
    <w:p w14:paraId="5BD7075B">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5.不同供应商的响应文件相互混装；</w:t>
      </w:r>
    </w:p>
    <w:p w14:paraId="24951536">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二、我（公司）承诺无下列恶意串通的情形：</w:t>
      </w:r>
    </w:p>
    <w:p w14:paraId="1602F00D">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1.供应商直接或者间接从采购人或者采购代理机构处获得其他供应商的相关信息并修改其响应文件或者响应文件；</w:t>
      </w:r>
    </w:p>
    <w:p w14:paraId="1F68F7CB">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2.供应商按照采购人或者采购代理机构的授意撤换、修改响应文件或者响应文件；</w:t>
      </w:r>
    </w:p>
    <w:p w14:paraId="0809A40D">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3.供应商之间协商报价、技术方案等响应文件或者响应文件的实质性内容；</w:t>
      </w:r>
    </w:p>
    <w:p w14:paraId="0C78556C">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4.属于同一集团、协会、商会等组织成员的供应商按照该组织要求协同参加政府采购活动；</w:t>
      </w:r>
    </w:p>
    <w:p w14:paraId="402BA758">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5.供应商之间事先约定一致抬高或者压低谈判报价,或者在采购项目中事先约定轮流以高价位或者低价位成交，或者事先约定由某一特定供应商成交，然后再参加采购；</w:t>
      </w:r>
    </w:p>
    <w:p w14:paraId="784566B2">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6.供应商之间商定部分供应商放弃参加政府采购活动或者放弃成交；</w:t>
      </w:r>
    </w:p>
    <w:p w14:paraId="0E45F3E8">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7.供应商与采购人或者采购代理机构之间、供应商相互之间，为谋求特定供应商成交或者排斥其他供应商的其他串通行为。</w:t>
      </w:r>
    </w:p>
    <w:p w14:paraId="7E119970">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以上情形一经核查属实，我方愿意承担一切后果，并不再寻求任何旨在减轻或免除法律责任的辩解。</w:t>
      </w:r>
    </w:p>
    <w:p w14:paraId="07CF513F">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4F8CDAA0">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供应商</w:t>
      </w:r>
      <w:r>
        <w:rPr>
          <w:rFonts w:hint="eastAsia" w:ascii="宋体" w:hAnsi="宋体" w:eastAsia="宋体" w:cs="宋体"/>
          <w:b/>
          <w:bCs/>
          <w:color w:val="auto"/>
          <w:highlight w:val="none"/>
          <w:lang w:eastAsia="zh-CN"/>
        </w:rPr>
        <w:t>（CA证书签章）</w:t>
      </w:r>
      <w:r>
        <w:rPr>
          <w:rFonts w:hint="eastAsia" w:ascii="宋体" w:hAnsi="宋体" w:eastAsia="宋体" w:cs="宋体"/>
          <w:color w:val="auto"/>
          <w:highlight w:val="none"/>
          <w:lang w:eastAsia="zh-CN"/>
        </w:rPr>
        <w:t>：</w:t>
      </w:r>
    </w:p>
    <w:p w14:paraId="428B8507">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法定代表人(负责人、自然人)或委托代理人签字</w:t>
      </w:r>
      <w:r>
        <w:rPr>
          <w:rFonts w:hint="eastAsia" w:ascii="宋体" w:hAnsi="宋体" w:eastAsia="宋体" w:cs="宋体"/>
          <w:b/>
          <w:bCs/>
          <w:color w:val="auto"/>
          <w:highlight w:val="none"/>
          <w:lang w:eastAsia="zh-CN"/>
        </w:rPr>
        <w:t>（或个人CA证书签章）</w:t>
      </w:r>
      <w:r>
        <w:rPr>
          <w:rFonts w:hint="eastAsia" w:ascii="宋体" w:hAnsi="宋体" w:eastAsia="宋体" w:cs="宋体"/>
          <w:color w:val="auto"/>
          <w:highlight w:val="none"/>
          <w:lang w:eastAsia="zh-CN"/>
        </w:rPr>
        <w:t>：</w:t>
      </w:r>
    </w:p>
    <w:p w14:paraId="1D6C3B24">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日          期：</w:t>
      </w:r>
    </w:p>
    <w:p w14:paraId="4A1A8D97">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0E9E39F2">
      <w:pPr>
        <w:pageBreakBefore w:val="0"/>
        <w:widowControl w:val="0"/>
        <w:overflowPunct/>
        <w:topLinePunct w:val="0"/>
        <w:bidi w:val="0"/>
        <w:spacing w:line="400" w:lineRule="exact"/>
        <w:ind w:firstLine="402" w:firstLineChars="200"/>
        <w:rPr>
          <w:rFonts w:hint="eastAsia" w:ascii="宋体" w:hAnsi="宋体" w:eastAsia="宋体" w:cs="宋体"/>
          <w:color w:val="auto"/>
          <w:sz w:val="20"/>
          <w:szCs w:val="20"/>
          <w:highlight w:val="none"/>
          <w:lang w:eastAsia="zh-CN"/>
        </w:rPr>
      </w:pPr>
      <w:r>
        <w:rPr>
          <w:rFonts w:hint="eastAsia" w:ascii="宋体" w:hAnsi="宋体" w:eastAsia="宋体" w:cs="宋体"/>
          <w:b/>
          <w:bCs/>
          <w:color w:val="auto"/>
          <w:sz w:val="20"/>
          <w:szCs w:val="20"/>
          <w:highlight w:val="none"/>
          <w:lang w:eastAsia="zh-CN"/>
        </w:rPr>
        <w:t>注：供应商参加本项目无围标串标行为的承诺函须由法定代表人(负责人、自然人)或相应的委托代</w:t>
      </w:r>
      <w:r>
        <w:rPr>
          <w:rFonts w:hint="eastAsia" w:ascii="宋体" w:hAnsi="宋体" w:eastAsia="宋体" w:cs="宋体"/>
          <w:color w:val="auto"/>
          <w:sz w:val="20"/>
          <w:szCs w:val="20"/>
          <w:highlight w:val="none"/>
          <w:lang w:eastAsia="zh-CN"/>
        </w:rPr>
        <w:t xml:space="preserve"> </w:t>
      </w:r>
      <w:r>
        <w:rPr>
          <w:rFonts w:hint="eastAsia" w:ascii="宋体" w:hAnsi="宋体" w:eastAsia="宋体" w:cs="宋体"/>
          <w:b/>
          <w:bCs/>
          <w:color w:val="auto"/>
          <w:sz w:val="20"/>
          <w:szCs w:val="20"/>
          <w:highlight w:val="none"/>
          <w:lang w:eastAsia="zh-CN"/>
        </w:rPr>
        <w:t>理人签字（或个人</w:t>
      </w:r>
      <w:r>
        <w:rPr>
          <w:rFonts w:hint="eastAsia" w:ascii="宋体" w:hAnsi="宋体" w:eastAsia="宋体" w:cs="宋体"/>
          <w:color w:val="auto"/>
          <w:sz w:val="20"/>
          <w:szCs w:val="20"/>
          <w:highlight w:val="none"/>
          <w:lang w:eastAsia="zh-CN"/>
        </w:rPr>
        <w:t xml:space="preserve"> </w:t>
      </w:r>
      <w:r>
        <w:rPr>
          <w:rFonts w:hint="eastAsia" w:ascii="宋体" w:hAnsi="宋体" w:eastAsia="宋体" w:cs="宋体"/>
          <w:b/>
          <w:bCs/>
          <w:color w:val="auto"/>
          <w:sz w:val="20"/>
          <w:szCs w:val="20"/>
          <w:highlight w:val="none"/>
          <w:lang w:eastAsia="zh-CN"/>
        </w:rPr>
        <w:t>CA</w:t>
      </w:r>
      <w:r>
        <w:rPr>
          <w:rFonts w:hint="eastAsia" w:ascii="宋体" w:hAnsi="宋体" w:eastAsia="宋体" w:cs="宋体"/>
          <w:color w:val="auto"/>
          <w:sz w:val="20"/>
          <w:szCs w:val="20"/>
          <w:highlight w:val="none"/>
          <w:lang w:eastAsia="zh-CN"/>
        </w:rPr>
        <w:t xml:space="preserve"> </w:t>
      </w:r>
      <w:r>
        <w:rPr>
          <w:rFonts w:hint="eastAsia" w:ascii="宋体" w:hAnsi="宋体" w:eastAsia="宋体" w:cs="宋体"/>
          <w:b/>
          <w:bCs/>
          <w:color w:val="auto"/>
          <w:sz w:val="20"/>
          <w:szCs w:val="20"/>
          <w:highlight w:val="none"/>
          <w:lang w:eastAsia="zh-CN"/>
        </w:rPr>
        <w:t>证书签章）并加盖供应商公章（CA</w:t>
      </w:r>
      <w:r>
        <w:rPr>
          <w:rFonts w:hint="eastAsia" w:ascii="宋体" w:hAnsi="宋体" w:eastAsia="宋体" w:cs="宋体"/>
          <w:color w:val="auto"/>
          <w:sz w:val="20"/>
          <w:szCs w:val="20"/>
          <w:highlight w:val="none"/>
          <w:lang w:eastAsia="zh-CN"/>
        </w:rPr>
        <w:t xml:space="preserve"> </w:t>
      </w:r>
      <w:r>
        <w:rPr>
          <w:rFonts w:hint="eastAsia" w:ascii="宋体" w:hAnsi="宋体" w:eastAsia="宋体" w:cs="宋体"/>
          <w:b/>
          <w:bCs/>
          <w:color w:val="auto"/>
          <w:sz w:val="20"/>
          <w:szCs w:val="20"/>
          <w:highlight w:val="none"/>
          <w:lang w:eastAsia="zh-CN"/>
        </w:rPr>
        <w:t>证书签章）。</w:t>
      </w:r>
    </w:p>
    <w:p w14:paraId="582E2228">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sectPr>
          <w:footerReference r:id="rId15" w:type="default"/>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p w14:paraId="0AF4AFA0">
      <w:pPr>
        <w:pageBreakBefore w:val="0"/>
        <w:widowControl w:val="0"/>
        <w:overflowPunct/>
        <w:topLinePunct w:val="0"/>
        <w:bidi w:val="0"/>
        <w:spacing w:line="400" w:lineRule="exact"/>
        <w:ind w:firstLine="622" w:firstLineChars="200"/>
        <w:rPr>
          <w:rFonts w:hint="eastAsia" w:ascii="宋体" w:hAnsi="宋体" w:eastAsia="宋体" w:cs="宋体"/>
          <w:color w:val="auto"/>
          <w:highlight w:val="none"/>
          <w:lang w:eastAsia="zh-CN"/>
        </w:rPr>
      </w:pPr>
      <w:r>
        <w:rPr>
          <w:rFonts w:hint="eastAsia" w:ascii="宋体" w:hAnsi="宋体" w:eastAsia="宋体" w:cs="宋体"/>
          <w:b/>
          <w:bCs/>
          <w:color w:val="auto"/>
          <w:sz w:val="31"/>
          <w:szCs w:val="31"/>
          <w:highlight w:val="none"/>
          <w:lang w:eastAsia="zh-CN"/>
        </w:rPr>
        <w:t>（二）符合性响应证明材料目录</w:t>
      </w:r>
    </w:p>
    <w:p w14:paraId="62CCC04B">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2162E437">
      <w:pPr>
        <w:pageBreakBefore w:val="0"/>
        <w:widowControl w:val="0"/>
        <w:overflowPunct/>
        <w:topLinePunct w:val="0"/>
        <w:bidi w:val="0"/>
        <w:spacing w:line="400" w:lineRule="exact"/>
        <w:ind w:firstLine="420" w:firstLineChars="200"/>
        <w:rPr>
          <w:rFonts w:hint="eastAsia" w:ascii="宋体" w:hAnsi="宋体" w:eastAsia="宋体" w:cs="宋体"/>
          <w:b/>
          <w:bCs/>
          <w:color w:val="auto"/>
          <w:highlight w:val="none"/>
          <w:lang w:eastAsia="zh-CN"/>
        </w:rPr>
      </w:pPr>
      <w:r>
        <w:rPr>
          <w:rFonts w:hint="eastAsia" w:ascii="宋体" w:hAnsi="宋体" w:eastAsia="宋体" w:cs="宋体"/>
          <w:color w:val="auto"/>
          <w:highlight w:val="none"/>
          <w:lang w:eastAsia="zh-CN"/>
        </w:rPr>
        <w:t>1.响应函</w:t>
      </w:r>
      <w:r>
        <w:rPr>
          <w:rFonts w:hint="eastAsia" w:ascii="宋体" w:hAnsi="宋体" w:eastAsia="宋体" w:cs="宋体"/>
          <w:b/>
          <w:bCs/>
          <w:color w:val="auto"/>
          <w:highlight w:val="none"/>
          <w:lang w:eastAsia="zh-CN"/>
        </w:rPr>
        <w:t>（必须提供）；</w:t>
      </w:r>
    </w:p>
    <w:p w14:paraId="599DB5A9">
      <w:pPr>
        <w:pageBreakBefore w:val="0"/>
        <w:widowControl w:val="0"/>
        <w:overflowPunct/>
        <w:topLinePunct w:val="0"/>
        <w:bidi w:val="0"/>
        <w:spacing w:line="400" w:lineRule="exact"/>
        <w:ind w:firstLine="420" w:firstLineChars="200"/>
        <w:rPr>
          <w:rFonts w:hint="eastAsia" w:ascii="宋体" w:hAnsi="宋体" w:eastAsia="宋体" w:cs="宋体"/>
          <w:b/>
          <w:bCs/>
          <w:color w:val="auto"/>
          <w:highlight w:val="none"/>
          <w:lang w:eastAsia="zh-CN"/>
        </w:rPr>
      </w:pPr>
      <w:r>
        <w:rPr>
          <w:rFonts w:hint="eastAsia" w:ascii="宋体" w:hAnsi="宋体" w:eastAsia="宋体" w:cs="宋体"/>
          <w:color w:val="auto"/>
          <w:highlight w:val="none"/>
          <w:lang w:eastAsia="zh-CN"/>
        </w:rPr>
        <w:t>2.谈判报价表</w:t>
      </w:r>
      <w:r>
        <w:rPr>
          <w:rFonts w:hint="eastAsia" w:ascii="宋体" w:hAnsi="宋体" w:eastAsia="宋体" w:cs="宋体"/>
          <w:b/>
          <w:bCs/>
          <w:color w:val="auto"/>
          <w:highlight w:val="none"/>
          <w:lang w:eastAsia="zh-CN"/>
        </w:rPr>
        <w:t>（必须提供）；</w:t>
      </w:r>
    </w:p>
    <w:p w14:paraId="71630DDD">
      <w:pPr>
        <w:pageBreakBefore w:val="0"/>
        <w:widowControl w:val="0"/>
        <w:overflowPunct/>
        <w:topLinePunct w:val="0"/>
        <w:bidi w:val="0"/>
        <w:spacing w:line="400" w:lineRule="exact"/>
        <w:ind w:firstLine="420" w:firstLineChars="200"/>
        <w:rPr>
          <w:rFonts w:hint="eastAsia" w:ascii="宋体" w:hAnsi="宋体" w:eastAsia="宋体" w:cs="宋体"/>
          <w:b/>
          <w:bCs/>
          <w:color w:val="auto"/>
          <w:highlight w:val="none"/>
          <w:lang w:eastAsia="zh-CN"/>
        </w:rPr>
      </w:pPr>
      <w:r>
        <w:rPr>
          <w:rFonts w:hint="eastAsia" w:ascii="宋体" w:hAnsi="宋体" w:eastAsia="宋体" w:cs="宋体"/>
          <w:color w:val="auto"/>
          <w:highlight w:val="none"/>
          <w:lang w:eastAsia="zh-CN"/>
        </w:rPr>
        <w:t>3.技术规格偏离表</w:t>
      </w:r>
      <w:r>
        <w:rPr>
          <w:rFonts w:hint="eastAsia" w:ascii="宋体" w:hAnsi="宋体" w:eastAsia="宋体" w:cs="宋体"/>
          <w:b/>
          <w:bCs/>
          <w:color w:val="auto"/>
          <w:highlight w:val="none"/>
          <w:lang w:eastAsia="zh-CN"/>
        </w:rPr>
        <w:t>（必须提供）；</w:t>
      </w:r>
    </w:p>
    <w:p w14:paraId="53CBA4D8">
      <w:pPr>
        <w:pageBreakBefore w:val="0"/>
        <w:widowControl w:val="0"/>
        <w:overflowPunct/>
        <w:topLinePunct w:val="0"/>
        <w:bidi w:val="0"/>
        <w:spacing w:line="400" w:lineRule="exact"/>
        <w:ind w:firstLine="420" w:firstLineChars="200"/>
        <w:rPr>
          <w:rFonts w:hint="eastAsia" w:ascii="宋体" w:hAnsi="宋体" w:eastAsia="宋体" w:cs="宋体"/>
          <w:b/>
          <w:bCs/>
          <w:color w:val="auto"/>
          <w:highlight w:val="none"/>
          <w:lang w:eastAsia="zh-CN"/>
        </w:rPr>
      </w:pPr>
      <w:r>
        <w:rPr>
          <w:rFonts w:hint="eastAsia" w:ascii="宋体" w:hAnsi="宋体" w:eastAsia="宋体" w:cs="宋体"/>
          <w:color w:val="auto"/>
          <w:highlight w:val="none"/>
          <w:lang w:eastAsia="zh-CN"/>
        </w:rPr>
        <w:t>4.商务响应表</w:t>
      </w:r>
      <w:r>
        <w:rPr>
          <w:rFonts w:hint="eastAsia" w:ascii="宋体" w:hAnsi="宋体" w:eastAsia="宋体" w:cs="宋体"/>
          <w:b/>
          <w:bCs/>
          <w:color w:val="auto"/>
          <w:highlight w:val="none"/>
          <w:lang w:eastAsia="zh-CN"/>
        </w:rPr>
        <w:t>（必须提供）；</w:t>
      </w:r>
    </w:p>
    <w:p w14:paraId="03EB89D6">
      <w:pPr>
        <w:pageBreakBefore w:val="0"/>
        <w:widowControl w:val="0"/>
        <w:overflowPunct/>
        <w:topLinePunct w:val="0"/>
        <w:bidi w:val="0"/>
        <w:spacing w:line="400" w:lineRule="exact"/>
        <w:ind w:firstLine="420" w:firstLineChars="200"/>
        <w:rPr>
          <w:rFonts w:hint="eastAsia" w:ascii="宋体" w:hAnsi="宋体" w:eastAsia="宋体" w:cs="宋体"/>
          <w:b/>
          <w:bCs/>
          <w:color w:val="auto"/>
          <w:highlight w:val="none"/>
          <w:lang w:eastAsia="zh-CN"/>
        </w:rPr>
      </w:pPr>
      <w:r>
        <w:rPr>
          <w:rFonts w:hint="eastAsia" w:ascii="宋体" w:hAnsi="宋体" w:eastAsia="宋体" w:cs="宋体"/>
          <w:b w:val="0"/>
          <w:bCs w:val="0"/>
          <w:color w:val="auto"/>
          <w:highlight w:val="none"/>
          <w:lang w:eastAsia="zh-CN"/>
        </w:rPr>
        <w:t>5.项目实施方案</w:t>
      </w:r>
      <w:r>
        <w:rPr>
          <w:rFonts w:hint="eastAsia" w:ascii="宋体" w:hAnsi="宋体" w:eastAsia="宋体" w:cs="宋体"/>
          <w:b/>
          <w:bCs/>
          <w:color w:val="auto"/>
          <w:highlight w:val="none"/>
          <w:lang w:eastAsia="zh-CN"/>
        </w:rPr>
        <w:t>（必须提供）</w:t>
      </w:r>
    </w:p>
    <w:p w14:paraId="7ADDC7A1">
      <w:pPr>
        <w:pageBreakBefore w:val="0"/>
        <w:widowControl w:val="0"/>
        <w:overflowPunct/>
        <w:topLinePunct w:val="0"/>
        <w:bidi w:val="0"/>
        <w:spacing w:line="400" w:lineRule="exact"/>
        <w:ind w:firstLine="420" w:firstLineChars="200"/>
        <w:rPr>
          <w:rFonts w:hint="eastAsia" w:ascii="宋体" w:hAnsi="宋体" w:eastAsia="宋体" w:cs="宋体"/>
          <w:b/>
          <w:bCs/>
          <w:color w:val="auto"/>
          <w:highlight w:val="none"/>
          <w:lang w:eastAsia="zh-CN"/>
        </w:rPr>
      </w:pP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lang w:eastAsia="zh-CN"/>
        </w:rPr>
        <w:t>.售后服务承诺书</w:t>
      </w:r>
      <w:r>
        <w:rPr>
          <w:rFonts w:hint="eastAsia" w:ascii="宋体" w:hAnsi="宋体" w:eastAsia="宋体" w:cs="宋体"/>
          <w:b/>
          <w:bCs/>
          <w:color w:val="auto"/>
          <w:highlight w:val="none"/>
          <w:lang w:eastAsia="zh-CN"/>
        </w:rPr>
        <w:t>（必须提供）；</w:t>
      </w:r>
    </w:p>
    <w:p w14:paraId="3E20F613">
      <w:pPr>
        <w:pageBreakBefore w:val="0"/>
        <w:widowControl w:val="0"/>
        <w:overflowPunct/>
        <w:topLinePunct w:val="0"/>
        <w:bidi w:val="0"/>
        <w:spacing w:line="400" w:lineRule="exact"/>
        <w:ind w:firstLine="420" w:firstLineChars="200"/>
        <w:rPr>
          <w:rFonts w:hint="default"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val="en-US" w:eastAsia="zh-CN"/>
        </w:rPr>
        <w:t>7.项目实施人员一览表</w:t>
      </w:r>
      <w:r>
        <w:rPr>
          <w:rFonts w:hint="eastAsia" w:ascii="宋体" w:hAnsi="宋体" w:eastAsia="宋体" w:cs="宋体"/>
          <w:b/>
          <w:bCs/>
          <w:color w:val="auto"/>
          <w:highlight w:val="none"/>
          <w:lang w:eastAsia="zh-CN"/>
        </w:rPr>
        <w:t>（必须提供）；</w:t>
      </w:r>
    </w:p>
    <w:p w14:paraId="546BEE23">
      <w:pPr>
        <w:pStyle w:val="3"/>
        <w:pageBreakBefore w:val="0"/>
        <w:overflowPunct/>
        <w:topLinePunct w:val="0"/>
        <w:bidi w:val="0"/>
        <w:spacing w:line="400" w:lineRule="exact"/>
        <w:ind w:firstLine="420" w:firstLineChars="200"/>
        <w:rPr>
          <w:rFonts w:hint="eastAsia" w:ascii="宋体" w:hAnsi="宋体" w:eastAsia="宋体" w:cs="宋体"/>
          <w:b w:val="0"/>
          <w:snapToGrid w:val="0"/>
          <w:color w:val="auto"/>
          <w:kern w:val="0"/>
          <w:sz w:val="21"/>
          <w:szCs w:val="21"/>
          <w:highlight w:val="none"/>
          <w:lang w:val="en-US" w:eastAsia="zh-CN" w:bidi="ar-SA"/>
        </w:rPr>
      </w:pPr>
      <w:r>
        <w:rPr>
          <w:rFonts w:hint="eastAsia" w:ascii="宋体" w:hAnsi="宋体" w:cs="宋体"/>
          <w:b w:val="0"/>
          <w:snapToGrid w:val="0"/>
          <w:color w:val="auto"/>
          <w:kern w:val="0"/>
          <w:sz w:val="21"/>
          <w:szCs w:val="21"/>
          <w:highlight w:val="none"/>
          <w:lang w:val="en-US" w:eastAsia="zh-CN" w:bidi="ar-SA"/>
        </w:rPr>
        <w:t>8</w:t>
      </w:r>
      <w:r>
        <w:rPr>
          <w:rFonts w:hint="eastAsia" w:ascii="宋体" w:hAnsi="宋体" w:eastAsia="宋体" w:cs="宋体"/>
          <w:b w:val="0"/>
          <w:snapToGrid w:val="0"/>
          <w:color w:val="auto"/>
          <w:kern w:val="0"/>
          <w:sz w:val="21"/>
          <w:szCs w:val="21"/>
          <w:highlight w:val="none"/>
          <w:lang w:val="en-US" w:eastAsia="zh-CN" w:bidi="ar-SA"/>
        </w:rPr>
        <w:t>.“采购需求”需提供的有效证明文件</w:t>
      </w:r>
      <w:r>
        <w:rPr>
          <w:rFonts w:hint="eastAsia" w:ascii="宋体" w:hAnsi="宋体" w:eastAsia="宋体" w:cs="宋体"/>
          <w:b/>
          <w:bCs/>
          <w:snapToGrid w:val="0"/>
          <w:color w:val="auto"/>
          <w:kern w:val="0"/>
          <w:sz w:val="21"/>
          <w:szCs w:val="21"/>
          <w:highlight w:val="none"/>
          <w:lang w:val="en-US" w:eastAsia="zh-CN" w:bidi="ar-SA"/>
        </w:rPr>
        <w:t>（按采购需求要求提供）。</w:t>
      </w:r>
    </w:p>
    <w:p w14:paraId="4DCB5E9A">
      <w:pPr>
        <w:pageBreakBefore w:val="0"/>
        <w:widowControl w:val="0"/>
        <w:overflowPunct/>
        <w:topLinePunct w:val="0"/>
        <w:bidi w:val="0"/>
        <w:spacing w:line="400" w:lineRule="exact"/>
        <w:ind w:firstLine="422" w:firstLineChars="200"/>
        <w:rPr>
          <w:rFonts w:hint="eastAsia" w:ascii="宋体" w:hAnsi="宋体" w:eastAsia="宋体" w:cs="宋体"/>
          <w:b/>
          <w:bCs/>
          <w:color w:val="auto"/>
          <w:highlight w:val="none"/>
          <w:lang w:val="en-US" w:eastAsia="zh-CN"/>
        </w:rPr>
      </w:pPr>
    </w:p>
    <w:p w14:paraId="6E1D3651">
      <w:pPr>
        <w:pageBreakBefore w:val="0"/>
        <w:widowControl w:val="0"/>
        <w:overflowPunct/>
        <w:topLinePunct w:val="0"/>
        <w:bidi w:val="0"/>
        <w:spacing w:line="400" w:lineRule="exact"/>
        <w:ind w:firstLine="402" w:firstLineChars="200"/>
        <w:rPr>
          <w:rFonts w:hint="eastAsia" w:ascii="宋体" w:hAnsi="宋体" w:eastAsia="宋体" w:cs="宋体"/>
          <w:b/>
          <w:bCs/>
          <w:color w:val="auto"/>
          <w:sz w:val="20"/>
          <w:szCs w:val="20"/>
          <w:highlight w:val="none"/>
          <w:lang w:eastAsia="zh-CN"/>
        </w:rPr>
        <w:sectPr>
          <w:footerReference r:id="rId16" w:type="default"/>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p w14:paraId="397583ED">
      <w:pPr>
        <w:pageBreakBefore w:val="0"/>
        <w:widowControl w:val="0"/>
        <w:overflowPunct/>
        <w:topLinePunct w:val="0"/>
        <w:bidi w:val="0"/>
        <w:spacing w:line="400" w:lineRule="exact"/>
        <w:rPr>
          <w:rFonts w:hint="eastAsia" w:ascii="宋体" w:hAnsi="宋体" w:eastAsia="宋体" w:cs="宋体"/>
          <w:color w:val="auto"/>
          <w:sz w:val="28"/>
          <w:szCs w:val="28"/>
          <w:highlight w:val="none"/>
          <w:lang w:eastAsia="zh-CN"/>
        </w:rPr>
      </w:pPr>
      <w:r>
        <w:rPr>
          <w:rFonts w:hint="eastAsia" w:ascii="宋体" w:hAnsi="宋体" w:eastAsia="宋体" w:cs="宋体"/>
          <w:b/>
          <w:bCs/>
          <w:color w:val="auto"/>
          <w:sz w:val="28"/>
          <w:szCs w:val="28"/>
          <w:highlight w:val="none"/>
          <w:lang w:eastAsia="zh-CN"/>
        </w:rPr>
        <w:t>1.响应函（必须提供）</w:t>
      </w:r>
    </w:p>
    <w:p w14:paraId="27350335">
      <w:pPr>
        <w:pageBreakBefore w:val="0"/>
        <w:widowControl w:val="0"/>
        <w:overflowPunct/>
        <w:topLinePunct w:val="0"/>
        <w:bidi w:val="0"/>
        <w:spacing w:line="400" w:lineRule="exact"/>
        <w:ind w:firstLine="622" w:firstLineChars="200"/>
        <w:jc w:val="center"/>
        <w:rPr>
          <w:rFonts w:hint="eastAsia" w:ascii="宋体" w:hAnsi="宋体" w:eastAsia="宋体" w:cs="宋体"/>
          <w:color w:val="auto"/>
          <w:sz w:val="31"/>
          <w:szCs w:val="31"/>
          <w:highlight w:val="none"/>
          <w:lang w:eastAsia="zh-CN"/>
        </w:rPr>
      </w:pPr>
      <w:r>
        <w:rPr>
          <w:rFonts w:hint="eastAsia" w:ascii="宋体" w:hAnsi="宋体" w:eastAsia="宋体" w:cs="宋体"/>
          <w:b/>
          <w:bCs/>
          <w:color w:val="auto"/>
          <w:sz w:val="31"/>
          <w:szCs w:val="31"/>
          <w:highlight w:val="none"/>
          <w:lang w:eastAsia="zh-CN"/>
        </w:rPr>
        <w:t>响</w:t>
      </w:r>
      <w:r>
        <w:rPr>
          <w:rFonts w:hint="eastAsia" w:ascii="宋体" w:hAnsi="宋体" w:eastAsia="宋体" w:cs="宋体"/>
          <w:color w:val="auto"/>
          <w:sz w:val="31"/>
          <w:szCs w:val="31"/>
          <w:highlight w:val="none"/>
          <w:lang w:eastAsia="zh-CN"/>
        </w:rPr>
        <w:t xml:space="preserve"> </w:t>
      </w:r>
      <w:r>
        <w:rPr>
          <w:rFonts w:hint="eastAsia" w:ascii="宋体" w:hAnsi="宋体" w:eastAsia="宋体" w:cs="宋体"/>
          <w:b/>
          <w:bCs/>
          <w:color w:val="auto"/>
          <w:sz w:val="31"/>
          <w:szCs w:val="31"/>
          <w:highlight w:val="none"/>
          <w:lang w:eastAsia="zh-CN"/>
        </w:rPr>
        <w:t>应</w:t>
      </w:r>
      <w:r>
        <w:rPr>
          <w:rFonts w:hint="eastAsia" w:ascii="宋体" w:hAnsi="宋体" w:eastAsia="宋体" w:cs="宋体"/>
          <w:color w:val="auto"/>
          <w:sz w:val="31"/>
          <w:szCs w:val="31"/>
          <w:highlight w:val="none"/>
          <w:lang w:eastAsia="zh-CN"/>
        </w:rPr>
        <w:t xml:space="preserve"> </w:t>
      </w:r>
      <w:r>
        <w:rPr>
          <w:rFonts w:hint="eastAsia" w:ascii="宋体" w:hAnsi="宋体" w:eastAsia="宋体" w:cs="宋体"/>
          <w:b/>
          <w:bCs/>
          <w:color w:val="auto"/>
          <w:sz w:val="31"/>
          <w:szCs w:val="31"/>
          <w:highlight w:val="none"/>
          <w:lang w:eastAsia="zh-CN"/>
        </w:rPr>
        <w:t>函</w:t>
      </w:r>
      <w:r>
        <w:rPr>
          <w:rFonts w:hint="eastAsia" w:ascii="宋体" w:hAnsi="宋体" w:eastAsia="宋体" w:cs="宋体"/>
          <w:color w:val="auto"/>
          <w:sz w:val="31"/>
          <w:szCs w:val="31"/>
          <w:highlight w:val="none"/>
          <w:lang w:eastAsia="zh-CN"/>
        </w:rPr>
        <w:t xml:space="preserve"> </w:t>
      </w:r>
      <w:r>
        <w:rPr>
          <w:rFonts w:hint="eastAsia" w:ascii="宋体" w:hAnsi="宋体" w:eastAsia="宋体" w:cs="宋体"/>
          <w:b/>
          <w:bCs/>
          <w:color w:val="auto"/>
          <w:sz w:val="31"/>
          <w:szCs w:val="31"/>
          <w:highlight w:val="none"/>
          <w:lang w:eastAsia="zh-CN"/>
        </w:rPr>
        <w:t>（格</w:t>
      </w:r>
      <w:r>
        <w:rPr>
          <w:rFonts w:hint="eastAsia" w:ascii="宋体" w:hAnsi="宋体" w:eastAsia="宋体" w:cs="宋体"/>
          <w:color w:val="auto"/>
          <w:sz w:val="31"/>
          <w:szCs w:val="31"/>
          <w:highlight w:val="none"/>
          <w:lang w:eastAsia="zh-CN"/>
        </w:rPr>
        <w:t xml:space="preserve"> </w:t>
      </w:r>
      <w:r>
        <w:rPr>
          <w:rFonts w:hint="eastAsia" w:ascii="宋体" w:hAnsi="宋体" w:eastAsia="宋体" w:cs="宋体"/>
          <w:b/>
          <w:bCs/>
          <w:color w:val="auto"/>
          <w:sz w:val="31"/>
          <w:szCs w:val="31"/>
          <w:highlight w:val="none"/>
          <w:lang w:eastAsia="zh-CN"/>
        </w:rPr>
        <w:t>式）</w:t>
      </w:r>
    </w:p>
    <w:p w14:paraId="36CD5069">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致：</w:t>
      </w:r>
      <w:r>
        <w:rPr>
          <w:rFonts w:hint="eastAsia" w:ascii="宋体" w:hAnsi="宋体" w:eastAsia="宋体" w:cs="宋体"/>
          <w:color w:val="auto"/>
          <w:highlight w:val="none"/>
          <w:u w:val="single"/>
          <w:lang w:eastAsia="zh-CN"/>
        </w:rPr>
        <w:t>大华建设项目管理有限公司</w:t>
      </w:r>
    </w:p>
    <w:p w14:paraId="54885656">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 xml:space="preserve">根据贵方项目谈判文件，项目编号 </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lang w:eastAsia="zh-CN"/>
        </w:rPr>
        <w:t xml:space="preserve"> ，签字代表 </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lang w:eastAsia="zh-CN"/>
        </w:rPr>
        <w:t>（姓名）经正式授 权并代表供应商</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lang w:eastAsia="zh-CN"/>
        </w:rPr>
        <w:t>供应商单位名称），提交响应文件。</w:t>
      </w:r>
    </w:p>
    <w:p w14:paraId="68F1AD0C">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据此函，签字代表宣布同意如下：</w:t>
      </w:r>
    </w:p>
    <w:p w14:paraId="0CD40836">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1.按谈判文件采购需求和谈判报价表：</w:t>
      </w:r>
    </w:p>
    <w:p w14:paraId="1D3226C9">
      <w:pPr>
        <w:pageBreakBefore w:val="0"/>
        <w:widowControl w:val="0"/>
        <w:overflowPunct/>
        <w:topLinePunct w:val="0"/>
        <w:bidi w:val="0"/>
        <w:spacing w:line="400" w:lineRule="exact"/>
        <w:ind w:firstLine="422" w:firstLineChars="200"/>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谈判报价（大写）</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lang w:eastAsia="zh-CN"/>
        </w:rPr>
        <w:t xml:space="preserve"> </w:t>
      </w:r>
      <w:r>
        <w:rPr>
          <w:rFonts w:hint="eastAsia" w:ascii="宋体" w:hAnsi="宋体" w:eastAsia="宋体" w:cs="宋体"/>
          <w:b/>
          <w:bCs/>
          <w:color w:val="auto"/>
          <w:highlight w:val="none"/>
          <w:lang w:eastAsia="zh-CN"/>
        </w:rPr>
        <w:t>元人民币(¥</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lang w:eastAsia="zh-CN"/>
        </w:rPr>
        <w:t xml:space="preserve"> </w:t>
      </w:r>
      <w:r>
        <w:rPr>
          <w:rFonts w:hint="eastAsia" w:ascii="宋体" w:hAnsi="宋体" w:eastAsia="宋体" w:cs="宋体"/>
          <w:b/>
          <w:bCs/>
          <w:color w:val="auto"/>
          <w:highlight w:val="none"/>
          <w:lang w:eastAsia="zh-CN"/>
        </w:rPr>
        <w:t>)。</w:t>
      </w:r>
    </w:p>
    <w:p w14:paraId="14EA92D0">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2.我方承诺已具备谈判文件规定的供应商资格条件。</w:t>
      </w:r>
    </w:p>
    <w:p w14:paraId="0D533498">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3.我方已详细审核谈判文件，包括修改文件（如有的话）和有关附件，将自行承担因对全部谈判文件理解不正确或误解而产生的相应后果。</w:t>
      </w:r>
    </w:p>
    <w:p w14:paraId="24263E58">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4.响应文件有效期为自响应文件提交截止时间之日起90天。</w:t>
      </w:r>
    </w:p>
    <w:p w14:paraId="007202DA">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5.如我方成交：</w:t>
      </w:r>
    </w:p>
    <w:p w14:paraId="4EB072EF">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（1）我方承诺在收到成交通知书后，在成交通知书规定的期限内与采购人签订合同。</w:t>
      </w:r>
    </w:p>
    <w:p w14:paraId="079309AF">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（2）我方承诺按照谈判文件规定提交履约担保。</w:t>
      </w:r>
    </w:p>
    <w:p w14:paraId="49F52EB0">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（3）我方承诺本响应文件至本项目合同履行完毕止均保持有效，按谈判文件及政府采购法律、法规的规定履行合同责任和义务。</w:t>
      </w:r>
    </w:p>
    <w:p w14:paraId="0321CBEE">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与本响应有关的正式通讯地址为：</w:t>
      </w:r>
    </w:p>
    <w:p w14:paraId="12C1A02E">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地址：</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lang w:eastAsia="zh-CN"/>
        </w:rPr>
        <w:t xml:space="preserve"> 邮编：</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lang w:eastAsia="zh-CN"/>
        </w:rPr>
        <w:t xml:space="preserve"> 邮箱：</w:t>
      </w:r>
    </w:p>
    <w:p w14:paraId="7EB2F377">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办公电话：</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lang w:eastAsia="zh-CN"/>
        </w:rPr>
        <w:t xml:space="preserve"> 传真：</w:t>
      </w:r>
      <w:r>
        <w:rPr>
          <w:rFonts w:hint="eastAsia" w:ascii="宋体" w:hAnsi="宋体" w:eastAsia="宋体" w:cs="宋体"/>
          <w:color w:val="auto"/>
          <w:highlight w:val="none"/>
          <w:u w:val="single"/>
          <w:lang w:eastAsia="zh-CN"/>
        </w:rPr>
        <w:t xml:space="preserve">                                  </w:t>
      </w:r>
    </w:p>
    <w:p w14:paraId="5A40E657">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u w:val="single"/>
          <w:lang w:eastAsia="zh-CN"/>
        </w:rPr>
      </w:pPr>
      <w:r>
        <w:rPr>
          <w:rFonts w:hint="eastAsia" w:ascii="宋体" w:hAnsi="宋体" w:eastAsia="宋体" w:cs="宋体"/>
          <w:color w:val="auto"/>
          <w:highlight w:val="none"/>
          <w:lang w:eastAsia="zh-CN"/>
        </w:rPr>
        <w:t>委托代理人联系电话：</w:t>
      </w:r>
      <w:r>
        <w:rPr>
          <w:rFonts w:hint="eastAsia" w:ascii="宋体" w:hAnsi="宋体" w:eastAsia="宋体" w:cs="宋体"/>
          <w:color w:val="auto"/>
          <w:highlight w:val="none"/>
          <w:u w:val="single"/>
          <w:lang w:eastAsia="zh-CN"/>
        </w:rPr>
        <w:t xml:space="preserve">                                  </w:t>
      </w:r>
    </w:p>
    <w:p w14:paraId="73EA964F">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开户名称：</w:t>
      </w:r>
      <w:r>
        <w:rPr>
          <w:rFonts w:hint="eastAsia" w:ascii="宋体" w:hAnsi="宋体" w:eastAsia="宋体" w:cs="宋体"/>
          <w:color w:val="auto"/>
          <w:highlight w:val="none"/>
          <w:u w:val="single"/>
          <w:lang w:eastAsia="zh-CN"/>
        </w:rPr>
        <w:t xml:space="preserve">                                  </w:t>
      </w:r>
    </w:p>
    <w:p w14:paraId="325495E3">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开户银行：</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lang w:eastAsia="zh-CN"/>
        </w:rPr>
        <w:t>账号：</w:t>
      </w:r>
      <w:r>
        <w:rPr>
          <w:rFonts w:hint="eastAsia" w:ascii="宋体" w:hAnsi="宋体" w:eastAsia="宋体" w:cs="宋体"/>
          <w:color w:val="auto"/>
          <w:highlight w:val="none"/>
          <w:u w:val="single"/>
          <w:lang w:eastAsia="zh-CN"/>
        </w:rPr>
        <w:t xml:space="preserve">                                          </w:t>
      </w:r>
    </w:p>
    <w:p w14:paraId="0A11B400">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270892C3">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u w:val="single"/>
          <w:lang w:eastAsia="zh-CN"/>
        </w:rPr>
      </w:pPr>
      <w:r>
        <w:rPr>
          <w:rFonts w:hint="eastAsia" w:ascii="宋体" w:hAnsi="宋体" w:eastAsia="宋体" w:cs="宋体"/>
          <w:color w:val="auto"/>
          <w:highlight w:val="none"/>
          <w:lang w:eastAsia="zh-CN"/>
        </w:rPr>
        <w:t>供应商（CA 证书签章）：</w:t>
      </w:r>
    </w:p>
    <w:p w14:paraId="504D90D4">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法定代表人(负责人、 自然人)或相应的委托代理人签字（或个人 CA 证书签章）：</w:t>
      </w:r>
    </w:p>
    <w:p w14:paraId="5F8F68A2">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响应日期：</w:t>
      </w:r>
    </w:p>
    <w:p w14:paraId="169532FB">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pPr>
    </w:p>
    <w:p w14:paraId="41BAD5B5">
      <w:pPr>
        <w:pageBreakBefore w:val="0"/>
        <w:widowControl w:val="0"/>
        <w:overflowPunct/>
        <w:topLinePunct w:val="0"/>
        <w:bidi w:val="0"/>
        <w:spacing w:line="40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注：1.未按照本响应函（格式）要求填报的</w:t>
      </w:r>
      <w:r>
        <w:rPr>
          <w:rFonts w:hint="eastAsia" w:ascii="宋体" w:hAnsi="宋体" w:eastAsia="宋体" w:cs="宋体"/>
          <w:color w:val="auto"/>
          <w:sz w:val="21"/>
          <w:szCs w:val="21"/>
          <w:highlight w:val="none"/>
          <w:lang w:val="en-US" w:eastAsia="zh-CN"/>
        </w:rPr>
        <w:t>响</w:t>
      </w:r>
      <w:r>
        <w:rPr>
          <w:rFonts w:hint="eastAsia" w:ascii="宋体" w:hAnsi="宋体" w:eastAsia="宋体" w:cs="宋体"/>
          <w:color w:val="auto"/>
          <w:sz w:val="21"/>
          <w:szCs w:val="21"/>
          <w:highlight w:val="none"/>
          <w:lang w:eastAsia="zh-CN"/>
        </w:rPr>
        <w:t>应函将被视为非实质性响应竞争性谈判文件要求，从而导致该响应被拒绝。</w:t>
      </w:r>
    </w:p>
    <w:p w14:paraId="42EA3DC8">
      <w:pPr>
        <w:pageBreakBefore w:val="0"/>
        <w:widowControl w:val="0"/>
        <w:overflowPunct/>
        <w:topLinePunct w:val="0"/>
        <w:bidi w:val="0"/>
        <w:spacing w:line="40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2.供应商必须按本响应函（格式）要求注明清楚联系方式（包括地址、邮编、邮箱、电话等），从而确保成交结果等相关信息能及时通知到位。</w:t>
      </w:r>
    </w:p>
    <w:p w14:paraId="7A22026F">
      <w:pPr>
        <w:pageBreakBefore w:val="0"/>
        <w:widowControl w:val="0"/>
        <w:overflowPunct/>
        <w:topLinePunct w:val="0"/>
        <w:bidi w:val="0"/>
        <w:spacing w:line="400" w:lineRule="exact"/>
        <w:ind w:firstLine="42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1"/>
          <w:szCs w:val="21"/>
          <w:highlight w:val="none"/>
          <w:lang w:eastAsia="zh-CN"/>
        </w:rPr>
        <w:t>3.响应函须由法定代表人(负责人、自然人)或相应的委托代理人签字（或个人CA证书签章）并加盖供应商公章（CA证书签章）</w:t>
      </w:r>
      <w:r>
        <w:rPr>
          <w:rFonts w:hint="eastAsia" w:ascii="宋体" w:hAnsi="宋体" w:eastAsia="宋体" w:cs="宋体"/>
          <w:color w:val="auto"/>
          <w:sz w:val="22"/>
          <w:szCs w:val="22"/>
          <w:highlight w:val="none"/>
          <w:lang w:eastAsia="zh-CN"/>
        </w:rPr>
        <w:t>。</w:t>
      </w:r>
    </w:p>
    <w:p w14:paraId="0E256FA0">
      <w:pPr>
        <w:pageBreakBefore w:val="0"/>
        <w:widowControl w:val="0"/>
        <w:overflowPunct/>
        <w:topLinePunct w:val="0"/>
        <w:bidi w:val="0"/>
        <w:spacing w:line="400" w:lineRule="exact"/>
        <w:rPr>
          <w:rFonts w:hint="eastAsia" w:ascii="宋体" w:hAnsi="宋体" w:eastAsia="宋体" w:cs="宋体"/>
          <w:b/>
          <w:bCs/>
          <w:color w:val="auto"/>
          <w:sz w:val="28"/>
          <w:szCs w:val="28"/>
          <w:highlight w:val="none"/>
          <w:lang w:eastAsia="zh-CN"/>
        </w:rPr>
      </w:pPr>
    </w:p>
    <w:p w14:paraId="2F2F3591">
      <w:pPr>
        <w:pageBreakBefore w:val="0"/>
        <w:widowControl w:val="0"/>
        <w:overflowPunct/>
        <w:topLinePunct w:val="0"/>
        <w:bidi w:val="0"/>
        <w:spacing w:line="400" w:lineRule="exact"/>
        <w:rPr>
          <w:rFonts w:hint="eastAsia" w:ascii="宋体" w:hAnsi="宋体" w:eastAsia="宋体" w:cs="宋体"/>
          <w:color w:val="auto"/>
          <w:highlight w:val="none"/>
          <w:lang w:eastAsia="zh-CN"/>
        </w:rPr>
      </w:pPr>
      <w:r>
        <w:rPr>
          <w:rFonts w:hint="eastAsia" w:ascii="宋体" w:hAnsi="宋体" w:eastAsia="宋体" w:cs="宋体"/>
          <w:b/>
          <w:bCs/>
          <w:color w:val="auto"/>
          <w:sz w:val="28"/>
          <w:szCs w:val="28"/>
          <w:highlight w:val="none"/>
          <w:lang w:eastAsia="zh-CN"/>
        </w:rPr>
        <w:t>2.谈判报价表（必须提供）</w:t>
      </w:r>
    </w:p>
    <w:p w14:paraId="7BEA2FD1">
      <w:pPr>
        <w:pageBreakBefore w:val="0"/>
        <w:widowControl w:val="0"/>
        <w:overflowPunct/>
        <w:topLinePunct w:val="0"/>
        <w:bidi w:val="0"/>
        <w:spacing w:line="400" w:lineRule="exact"/>
        <w:ind w:firstLine="602" w:firstLineChars="200"/>
        <w:rPr>
          <w:rFonts w:hint="eastAsia" w:ascii="宋体" w:hAnsi="宋体" w:eastAsia="宋体" w:cs="宋体"/>
          <w:color w:val="auto"/>
          <w:sz w:val="30"/>
          <w:szCs w:val="30"/>
          <w:highlight w:val="none"/>
          <w:lang w:eastAsia="zh-CN"/>
        </w:rPr>
      </w:pPr>
      <w:r>
        <w:rPr>
          <w:rFonts w:hint="eastAsia" w:ascii="宋体" w:hAnsi="宋体" w:eastAsia="宋体" w:cs="宋体"/>
          <w:b/>
          <w:bCs/>
          <w:color w:val="auto"/>
          <w:sz w:val="30"/>
          <w:szCs w:val="30"/>
          <w:highlight w:val="none"/>
          <w:lang w:eastAsia="zh-CN"/>
        </w:rPr>
        <w:t>附件：</w:t>
      </w:r>
    </w:p>
    <w:p w14:paraId="15165613">
      <w:pPr>
        <w:pageBreakBefore w:val="0"/>
        <w:widowControl w:val="0"/>
        <w:overflowPunct/>
        <w:topLinePunct w:val="0"/>
        <w:bidi w:val="0"/>
        <w:spacing w:line="400" w:lineRule="exact"/>
        <w:ind w:firstLine="622" w:firstLineChars="200"/>
        <w:jc w:val="center"/>
        <w:rPr>
          <w:rFonts w:hint="eastAsia" w:ascii="宋体" w:hAnsi="宋体" w:eastAsia="宋体" w:cs="宋体"/>
          <w:color w:val="auto"/>
          <w:sz w:val="31"/>
          <w:szCs w:val="31"/>
          <w:highlight w:val="none"/>
          <w:lang w:eastAsia="zh-CN"/>
        </w:rPr>
      </w:pPr>
      <w:r>
        <w:rPr>
          <w:rFonts w:hint="eastAsia" w:ascii="宋体" w:hAnsi="宋体" w:eastAsia="宋体" w:cs="宋体"/>
          <w:b/>
          <w:bCs/>
          <w:color w:val="auto"/>
          <w:sz w:val="31"/>
          <w:szCs w:val="31"/>
          <w:highlight w:val="none"/>
          <w:lang w:eastAsia="zh-CN"/>
        </w:rPr>
        <w:t>谈判报价表（格式）</w:t>
      </w:r>
    </w:p>
    <w:tbl>
      <w:tblPr>
        <w:tblStyle w:val="20"/>
        <w:tblW w:w="961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39"/>
        <w:gridCol w:w="809"/>
        <w:gridCol w:w="813"/>
        <w:gridCol w:w="612"/>
        <w:gridCol w:w="837"/>
        <w:gridCol w:w="612"/>
        <w:gridCol w:w="612"/>
        <w:gridCol w:w="1210"/>
        <w:gridCol w:w="2427"/>
        <w:gridCol w:w="1044"/>
      </w:tblGrid>
      <w:tr w14:paraId="2EB301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9" w:type="dxa"/>
            <w:tcBorders>
              <w:top w:val="single" w:color="auto" w:sz="4" w:space="0"/>
              <w:left w:val="single" w:color="auto" w:sz="4" w:space="0"/>
              <w:bottom w:val="single" w:color="auto" w:sz="4" w:space="0"/>
              <w:right w:val="single" w:color="auto" w:sz="4" w:space="0"/>
            </w:tcBorders>
            <w:vAlign w:val="center"/>
          </w:tcPr>
          <w:p w14:paraId="643719F1">
            <w:pPr>
              <w:pageBreakBefore w:val="0"/>
              <w:overflowPunct/>
              <w:topLinePunct w:val="0"/>
              <w:bidi w:val="0"/>
              <w:snapToGrid w:val="0"/>
              <w:spacing w:line="400" w:lineRule="exact"/>
              <w:jc w:val="center"/>
              <w:rPr>
                <w:rFonts w:hint="eastAsia" w:ascii="宋体" w:hAnsi="宋体" w:eastAsia="宋体" w:cs="宋体"/>
                <w:color w:val="auto"/>
              </w:rPr>
            </w:pPr>
            <w:r>
              <w:rPr>
                <w:rFonts w:hint="eastAsia" w:ascii="宋体" w:hAnsi="宋体" w:eastAsia="宋体" w:cs="宋体"/>
                <w:color w:val="auto"/>
              </w:rPr>
              <w:t>项号</w:t>
            </w:r>
          </w:p>
        </w:tc>
        <w:tc>
          <w:tcPr>
            <w:tcW w:w="809" w:type="dxa"/>
            <w:tcBorders>
              <w:top w:val="single" w:color="auto" w:sz="4" w:space="0"/>
              <w:left w:val="single" w:color="auto" w:sz="4" w:space="0"/>
              <w:bottom w:val="single" w:color="auto" w:sz="4" w:space="0"/>
              <w:right w:val="single" w:color="auto" w:sz="4" w:space="0"/>
            </w:tcBorders>
            <w:vAlign w:val="center"/>
          </w:tcPr>
          <w:p w14:paraId="1AF0BF97">
            <w:pPr>
              <w:pageBreakBefore w:val="0"/>
              <w:overflowPunct/>
              <w:topLinePunct w:val="0"/>
              <w:bidi w:val="0"/>
              <w:snapToGrid w:val="0"/>
              <w:spacing w:line="400" w:lineRule="exact"/>
              <w:jc w:val="center"/>
              <w:rPr>
                <w:rFonts w:hint="eastAsia" w:ascii="宋体" w:hAnsi="宋体" w:eastAsia="宋体" w:cs="宋体"/>
                <w:color w:val="auto"/>
              </w:rPr>
            </w:pPr>
            <w:r>
              <w:rPr>
                <w:rFonts w:hint="eastAsia" w:ascii="宋体" w:hAnsi="宋体" w:eastAsia="宋体" w:cs="宋体"/>
                <w:color w:val="auto"/>
              </w:rPr>
              <w:t>货物名称</w:t>
            </w:r>
          </w:p>
        </w:tc>
        <w:tc>
          <w:tcPr>
            <w:tcW w:w="813" w:type="dxa"/>
            <w:tcBorders>
              <w:top w:val="single" w:color="auto" w:sz="4" w:space="0"/>
              <w:left w:val="single" w:color="auto" w:sz="4" w:space="0"/>
              <w:bottom w:val="single" w:color="auto" w:sz="4" w:space="0"/>
              <w:right w:val="single" w:color="auto" w:sz="4" w:space="0"/>
            </w:tcBorders>
            <w:vAlign w:val="center"/>
          </w:tcPr>
          <w:p w14:paraId="299B47B4">
            <w:pPr>
              <w:pageBreakBefore w:val="0"/>
              <w:overflowPunct/>
              <w:topLinePunct w:val="0"/>
              <w:bidi w:val="0"/>
              <w:snapToGrid w:val="0"/>
              <w:spacing w:line="400" w:lineRule="exact"/>
              <w:jc w:val="center"/>
              <w:rPr>
                <w:rFonts w:hint="eastAsia" w:ascii="宋体" w:hAnsi="宋体" w:eastAsia="宋体" w:cs="宋体"/>
                <w:color w:val="auto"/>
              </w:rPr>
            </w:pPr>
            <w:r>
              <w:rPr>
                <w:rFonts w:hint="eastAsia" w:ascii="宋体" w:hAnsi="宋体" w:eastAsia="宋体" w:cs="宋体"/>
                <w:color w:val="auto"/>
              </w:rPr>
              <w:t>生产厂家</w:t>
            </w:r>
          </w:p>
        </w:tc>
        <w:tc>
          <w:tcPr>
            <w:tcW w:w="612" w:type="dxa"/>
            <w:tcBorders>
              <w:top w:val="single" w:color="auto" w:sz="4" w:space="0"/>
              <w:left w:val="single" w:color="auto" w:sz="4" w:space="0"/>
              <w:bottom w:val="single" w:color="auto" w:sz="4" w:space="0"/>
              <w:right w:val="single" w:color="auto" w:sz="4" w:space="0"/>
            </w:tcBorders>
            <w:vAlign w:val="center"/>
          </w:tcPr>
          <w:p w14:paraId="7CC3F1C9">
            <w:pPr>
              <w:pageBreakBefore w:val="0"/>
              <w:overflowPunct/>
              <w:topLinePunct w:val="0"/>
              <w:bidi w:val="0"/>
              <w:snapToGrid w:val="0"/>
              <w:spacing w:line="400" w:lineRule="exact"/>
              <w:jc w:val="center"/>
              <w:rPr>
                <w:rFonts w:hint="eastAsia" w:ascii="宋体" w:hAnsi="宋体" w:eastAsia="宋体" w:cs="宋体"/>
                <w:color w:val="auto"/>
              </w:rPr>
            </w:pPr>
            <w:r>
              <w:rPr>
                <w:rFonts w:hint="eastAsia" w:ascii="宋体" w:hAnsi="宋体" w:eastAsia="宋体" w:cs="宋体"/>
                <w:color w:val="auto"/>
              </w:rPr>
              <w:t>品牌</w:t>
            </w:r>
          </w:p>
        </w:tc>
        <w:tc>
          <w:tcPr>
            <w:tcW w:w="837" w:type="dxa"/>
            <w:tcBorders>
              <w:top w:val="single" w:color="auto" w:sz="4" w:space="0"/>
              <w:left w:val="single" w:color="auto" w:sz="4" w:space="0"/>
              <w:bottom w:val="single" w:color="auto" w:sz="4" w:space="0"/>
              <w:right w:val="single" w:color="auto" w:sz="4" w:space="0"/>
            </w:tcBorders>
            <w:vAlign w:val="center"/>
          </w:tcPr>
          <w:p w14:paraId="467C45C2">
            <w:pPr>
              <w:pageBreakBefore w:val="0"/>
              <w:overflowPunct/>
              <w:topLinePunct w:val="0"/>
              <w:bidi w:val="0"/>
              <w:snapToGrid w:val="0"/>
              <w:spacing w:line="400" w:lineRule="exact"/>
              <w:jc w:val="center"/>
              <w:rPr>
                <w:rFonts w:hint="eastAsia" w:ascii="宋体" w:hAnsi="宋体" w:eastAsia="宋体" w:cs="宋体"/>
                <w:color w:val="auto"/>
              </w:rPr>
            </w:pPr>
            <w:r>
              <w:rPr>
                <w:rFonts w:hint="eastAsia" w:ascii="宋体" w:hAnsi="宋体" w:eastAsia="宋体" w:cs="宋体"/>
                <w:color w:val="auto"/>
              </w:rPr>
              <w:t>规格型号</w:t>
            </w:r>
          </w:p>
        </w:tc>
        <w:tc>
          <w:tcPr>
            <w:tcW w:w="612" w:type="dxa"/>
            <w:tcBorders>
              <w:top w:val="single" w:color="auto" w:sz="4" w:space="0"/>
              <w:left w:val="single" w:color="auto" w:sz="4" w:space="0"/>
              <w:bottom w:val="single" w:color="auto" w:sz="4" w:space="0"/>
              <w:right w:val="single" w:color="auto" w:sz="4" w:space="0"/>
            </w:tcBorders>
            <w:vAlign w:val="center"/>
          </w:tcPr>
          <w:p w14:paraId="69C19BE3">
            <w:pPr>
              <w:pageBreakBefore w:val="0"/>
              <w:overflowPunct/>
              <w:topLinePunct w:val="0"/>
              <w:bidi w:val="0"/>
              <w:snapToGrid w:val="0"/>
              <w:spacing w:line="400" w:lineRule="exact"/>
              <w:jc w:val="center"/>
              <w:rPr>
                <w:rFonts w:hint="eastAsia" w:ascii="宋体" w:hAnsi="宋体" w:eastAsia="宋体" w:cs="宋体"/>
                <w:color w:val="auto"/>
              </w:rPr>
            </w:pPr>
            <w:r>
              <w:rPr>
                <w:rFonts w:hint="eastAsia" w:ascii="宋体" w:hAnsi="宋体" w:eastAsia="宋体" w:cs="宋体"/>
                <w:color w:val="auto"/>
              </w:rPr>
              <w:t>数量</w:t>
            </w:r>
          </w:p>
          <w:p w14:paraId="0403093B">
            <w:pPr>
              <w:pageBreakBefore w:val="0"/>
              <w:overflowPunct/>
              <w:topLinePunct w:val="0"/>
              <w:bidi w:val="0"/>
              <w:snapToGrid w:val="0"/>
              <w:spacing w:line="400" w:lineRule="exact"/>
              <w:jc w:val="center"/>
              <w:rPr>
                <w:rFonts w:hint="eastAsia" w:ascii="宋体" w:hAnsi="宋体" w:eastAsia="宋体" w:cs="宋体"/>
                <w:color w:val="auto"/>
              </w:rPr>
            </w:pPr>
            <w:r>
              <w:rPr>
                <w:rFonts w:hint="eastAsia" w:ascii="宋体" w:hAnsi="宋体" w:eastAsia="宋体" w:cs="宋体"/>
                <w:color w:val="auto"/>
                <w:szCs w:val="21"/>
              </w:rPr>
              <w:t>①</w:t>
            </w:r>
          </w:p>
        </w:tc>
        <w:tc>
          <w:tcPr>
            <w:tcW w:w="612" w:type="dxa"/>
            <w:tcBorders>
              <w:top w:val="single" w:color="auto" w:sz="4" w:space="0"/>
              <w:left w:val="single" w:color="auto" w:sz="4" w:space="0"/>
              <w:bottom w:val="single" w:color="auto" w:sz="4" w:space="0"/>
              <w:right w:val="single" w:color="auto" w:sz="4" w:space="0"/>
            </w:tcBorders>
            <w:vAlign w:val="center"/>
          </w:tcPr>
          <w:p w14:paraId="47D4A460">
            <w:pPr>
              <w:pageBreakBefore w:val="0"/>
              <w:overflowPunct/>
              <w:topLinePunct w:val="0"/>
              <w:bidi w:val="0"/>
              <w:snapToGrid w:val="0"/>
              <w:spacing w:line="400" w:lineRule="exact"/>
              <w:jc w:val="center"/>
              <w:rPr>
                <w:rFonts w:hint="eastAsia" w:ascii="宋体" w:hAnsi="宋体" w:eastAsia="宋体" w:cs="宋体"/>
                <w:color w:val="auto"/>
              </w:rPr>
            </w:pPr>
            <w:r>
              <w:rPr>
                <w:rFonts w:hint="eastAsia" w:ascii="宋体" w:hAnsi="宋体" w:eastAsia="宋体" w:cs="宋体"/>
                <w:color w:val="auto"/>
              </w:rPr>
              <w:t>单位</w:t>
            </w:r>
          </w:p>
        </w:tc>
        <w:tc>
          <w:tcPr>
            <w:tcW w:w="1210" w:type="dxa"/>
            <w:tcBorders>
              <w:top w:val="single" w:color="auto" w:sz="4" w:space="0"/>
              <w:left w:val="single" w:color="auto" w:sz="4" w:space="0"/>
              <w:bottom w:val="single" w:color="auto" w:sz="4" w:space="0"/>
              <w:right w:val="single" w:color="auto" w:sz="4" w:space="0"/>
            </w:tcBorders>
            <w:vAlign w:val="center"/>
          </w:tcPr>
          <w:p w14:paraId="43D234F0">
            <w:pPr>
              <w:pageBreakBefore w:val="0"/>
              <w:overflowPunct/>
              <w:topLinePunct w:val="0"/>
              <w:bidi w:val="0"/>
              <w:snapToGrid w:val="0"/>
              <w:spacing w:line="400" w:lineRule="exact"/>
              <w:jc w:val="center"/>
              <w:rPr>
                <w:rFonts w:hint="eastAsia" w:ascii="宋体" w:hAnsi="宋体" w:eastAsia="宋体" w:cs="宋体"/>
                <w:color w:val="auto"/>
              </w:rPr>
            </w:pPr>
            <w:r>
              <w:rPr>
                <w:rFonts w:hint="eastAsia" w:ascii="宋体" w:hAnsi="宋体" w:eastAsia="宋体" w:cs="宋体"/>
                <w:color w:val="auto"/>
              </w:rPr>
              <w:t>单价</w:t>
            </w:r>
          </w:p>
          <w:p w14:paraId="67CFDF26">
            <w:pPr>
              <w:pageBreakBefore w:val="0"/>
              <w:overflowPunct/>
              <w:topLinePunct w:val="0"/>
              <w:bidi w:val="0"/>
              <w:snapToGrid w:val="0"/>
              <w:spacing w:line="400" w:lineRule="exact"/>
              <w:jc w:val="center"/>
              <w:rPr>
                <w:rFonts w:hint="eastAsia" w:ascii="宋体" w:hAnsi="宋体" w:eastAsia="宋体" w:cs="宋体"/>
                <w:color w:val="auto"/>
              </w:rPr>
            </w:pPr>
            <w:r>
              <w:rPr>
                <w:rFonts w:hint="eastAsia" w:ascii="宋体" w:hAnsi="宋体" w:eastAsia="宋体" w:cs="宋体"/>
                <w:color w:val="auto"/>
              </w:rPr>
              <w:t>（元）</w:t>
            </w:r>
          </w:p>
          <w:p w14:paraId="236A545B">
            <w:pPr>
              <w:pageBreakBefore w:val="0"/>
              <w:overflowPunct/>
              <w:topLinePunct w:val="0"/>
              <w:bidi w:val="0"/>
              <w:snapToGrid w:val="0"/>
              <w:spacing w:line="400" w:lineRule="exact"/>
              <w:jc w:val="center"/>
              <w:rPr>
                <w:rFonts w:hint="eastAsia" w:ascii="宋体" w:hAnsi="宋体" w:eastAsia="宋体" w:cs="宋体"/>
                <w:color w:val="auto"/>
              </w:rPr>
            </w:pPr>
            <w:r>
              <w:rPr>
                <w:rFonts w:hint="eastAsia" w:ascii="宋体" w:hAnsi="宋体" w:eastAsia="宋体" w:cs="宋体"/>
                <w:color w:val="auto"/>
                <w:szCs w:val="21"/>
              </w:rPr>
              <w:t>②</w:t>
            </w:r>
          </w:p>
        </w:tc>
        <w:tc>
          <w:tcPr>
            <w:tcW w:w="2427" w:type="dxa"/>
            <w:tcBorders>
              <w:top w:val="single" w:color="auto" w:sz="4" w:space="0"/>
              <w:left w:val="single" w:color="auto" w:sz="4" w:space="0"/>
              <w:bottom w:val="single" w:color="auto" w:sz="4" w:space="0"/>
            </w:tcBorders>
            <w:vAlign w:val="center"/>
          </w:tcPr>
          <w:p w14:paraId="7516EDAC">
            <w:pPr>
              <w:pageBreakBefore w:val="0"/>
              <w:overflowPunct/>
              <w:topLinePunct w:val="0"/>
              <w:bidi w:val="0"/>
              <w:snapToGrid w:val="0"/>
              <w:spacing w:line="400" w:lineRule="exact"/>
              <w:jc w:val="center"/>
              <w:rPr>
                <w:rFonts w:hint="eastAsia" w:ascii="宋体" w:hAnsi="宋体" w:eastAsia="宋体" w:cs="宋体"/>
                <w:color w:val="auto"/>
              </w:rPr>
            </w:pPr>
            <w:r>
              <w:rPr>
                <w:rFonts w:hint="eastAsia" w:ascii="宋体" w:hAnsi="宋体" w:eastAsia="宋体" w:cs="宋体"/>
                <w:color w:val="auto"/>
              </w:rPr>
              <w:t>单项合计=数量×单价</w:t>
            </w:r>
          </w:p>
          <w:p w14:paraId="6C3B1A78">
            <w:pPr>
              <w:pageBreakBefore w:val="0"/>
              <w:overflowPunct/>
              <w:topLinePunct w:val="0"/>
              <w:bidi w:val="0"/>
              <w:snapToGrid w:val="0"/>
              <w:spacing w:line="400" w:lineRule="exact"/>
              <w:jc w:val="center"/>
              <w:rPr>
                <w:rFonts w:hint="eastAsia" w:ascii="宋体" w:hAnsi="宋体" w:eastAsia="宋体" w:cs="宋体"/>
                <w:color w:val="auto"/>
              </w:rPr>
            </w:pPr>
            <w:r>
              <w:rPr>
                <w:rFonts w:hint="eastAsia" w:ascii="宋体" w:hAnsi="宋体" w:eastAsia="宋体" w:cs="宋体"/>
                <w:color w:val="auto"/>
                <w:szCs w:val="21"/>
              </w:rPr>
              <w:t>③＝①×②</w:t>
            </w:r>
          </w:p>
        </w:tc>
        <w:tc>
          <w:tcPr>
            <w:tcW w:w="1044" w:type="dxa"/>
            <w:tcBorders>
              <w:top w:val="single" w:color="auto" w:sz="4" w:space="0"/>
              <w:left w:val="single" w:color="auto" w:sz="4" w:space="0"/>
              <w:bottom w:val="single" w:color="auto" w:sz="4" w:space="0"/>
            </w:tcBorders>
            <w:vAlign w:val="center"/>
          </w:tcPr>
          <w:p w14:paraId="74E86514">
            <w:pPr>
              <w:pageBreakBefore w:val="0"/>
              <w:overflowPunct/>
              <w:topLinePunct w:val="0"/>
              <w:bidi w:val="0"/>
              <w:snapToGrid w:val="0"/>
              <w:spacing w:line="400" w:lineRule="exact"/>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备注：</w:t>
            </w:r>
          </w:p>
        </w:tc>
      </w:tr>
      <w:tr w14:paraId="768CC5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615" w:type="dxa"/>
            <w:gridSpan w:val="10"/>
            <w:tcBorders>
              <w:top w:val="single" w:color="auto" w:sz="4" w:space="0"/>
              <w:left w:val="single" w:color="auto" w:sz="4" w:space="0"/>
              <w:bottom w:val="single" w:color="auto" w:sz="4" w:space="0"/>
            </w:tcBorders>
            <w:vAlign w:val="center"/>
          </w:tcPr>
          <w:p w14:paraId="1CCE02CF">
            <w:pPr>
              <w:pageBreakBefore w:val="0"/>
              <w:overflowPunct/>
              <w:topLinePunct w:val="0"/>
              <w:bidi w:val="0"/>
              <w:snapToGrid w:val="0"/>
              <w:spacing w:line="400" w:lineRule="exact"/>
              <w:jc w:val="left"/>
              <w:rPr>
                <w:rFonts w:hint="eastAsia" w:ascii="宋体" w:hAnsi="宋体" w:eastAsia="宋体" w:cs="宋体"/>
                <w:b/>
                <w:bCs/>
                <w:color w:val="auto"/>
                <w:lang w:eastAsia="zh-CN"/>
              </w:rPr>
            </w:pPr>
            <w:r>
              <w:rPr>
                <w:rFonts w:hint="eastAsia" w:ascii="宋体" w:hAnsi="宋体" w:eastAsia="宋体" w:cs="宋体"/>
                <w:b/>
                <w:bCs/>
                <w:color w:val="auto"/>
                <w:lang w:eastAsia="zh-CN"/>
              </w:rPr>
              <w:t>一、</w:t>
            </w:r>
            <w:r>
              <w:rPr>
                <w:rFonts w:hint="eastAsia" w:ascii="宋体" w:hAnsi="宋体" w:eastAsia="宋体" w:cs="宋体"/>
                <w:color w:val="auto"/>
                <w:szCs w:val="21"/>
              </w:rPr>
              <w:t>...</w:t>
            </w:r>
          </w:p>
        </w:tc>
      </w:tr>
      <w:tr w14:paraId="034747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9" w:type="dxa"/>
            <w:tcBorders>
              <w:top w:val="single" w:color="auto" w:sz="4" w:space="0"/>
              <w:left w:val="single" w:color="auto" w:sz="4" w:space="0"/>
              <w:bottom w:val="single" w:color="auto" w:sz="4" w:space="0"/>
              <w:right w:val="single" w:color="auto" w:sz="4" w:space="0"/>
            </w:tcBorders>
            <w:vAlign w:val="center"/>
          </w:tcPr>
          <w:p w14:paraId="59518820">
            <w:pPr>
              <w:pageBreakBefore w:val="0"/>
              <w:overflowPunct/>
              <w:topLinePunct w:val="0"/>
              <w:bidi w:val="0"/>
              <w:snapToGrid w:val="0"/>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809" w:type="dxa"/>
            <w:tcBorders>
              <w:top w:val="single" w:color="auto" w:sz="4" w:space="0"/>
              <w:left w:val="single" w:color="auto" w:sz="4" w:space="0"/>
              <w:bottom w:val="single" w:color="auto" w:sz="4" w:space="0"/>
              <w:right w:val="single" w:color="auto" w:sz="4" w:space="0"/>
            </w:tcBorders>
            <w:vAlign w:val="center"/>
          </w:tcPr>
          <w:p w14:paraId="06A2FF86">
            <w:pPr>
              <w:pageBreakBefore w:val="0"/>
              <w:overflowPunct/>
              <w:topLinePunct w:val="0"/>
              <w:bidi w:val="0"/>
              <w:snapToGrid w:val="0"/>
              <w:spacing w:line="400" w:lineRule="exact"/>
              <w:jc w:val="center"/>
              <w:rPr>
                <w:rFonts w:hint="eastAsia" w:ascii="宋体" w:hAnsi="宋体" w:eastAsia="宋体" w:cs="宋体"/>
                <w:color w:val="auto"/>
              </w:rPr>
            </w:pPr>
          </w:p>
        </w:tc>
        <w:tc>
          <w:tcPr>
            <w:tcW w:w="813" w:type="dxa"/>
            <w:tcBorders>
              <w:top w:val="single" w:color="auto" w:sz="4" w:space="0"/>
              <w:left w:val="single" w:color="auto" w:sz="4" w:space="0"/>
              <w:bottom w:val="single" w:color="auto" w:sz="4" w:space="0"/>
              <w:right w:val="single" w:color="auto" w:sz="4" w:space="0"/>
            </w:tcBorders>
            <w:vAlign w:val="center"/>
          </w:tcPr>
          <w:p w14:paraId="5A02ACC1">
            <w:pPr>
              <w:pageBreakBefore w:val="0"/>
              <w:overflowPunct/>
              <w:topLinePunct w:val="0"/>
              <w:bidi w:val="0"/>
              <w:snapToGrid w:val="0"/>
              <w:spacing w:line="400" w:lineRule="exact"/>
              <w:jc w:val="center"/>
              <w:rPr>
                <w:rFonts w:hint="eastAsia" w:ascii="宋体" w:hAnsi="宋体" w:eastAsia="宋体" w:cs="宋体"/>
                <w:color w:val="auto"/>
              </w:rPr>
            </w:pPr>
          </w:p>
        </w:tc>
        <w:tc>
          <w:tcPr>
            <w:tcW w:w="612" w:type="dxa"/>
            <w:tcBorders>
              <w:top w:val="single" w:color="auto" w:sz="4" w:space="0"/>
              <w:left w:val="single" w:color="auto" w:sz="4" w:space="0"/>
              <w:bottom w:val="single" w:color="auto" w:sz="4" w:space="0"/>
              <w:right w:val="single" w:color="auto" w:sz="4" w:space="0"/>
            </w:tcBorders>
            <w:vAlign w:val="center"/>
          </w:tcPr>
          <w:p w14:paraId="44672CA1">
            <w:pPr>
              <w:pageBreakBefore w:val="0"/>
              <w:overflowPunct/>
              <w:topLinePunct w:val="0"/>
              <w:bidi w:val="0"/>
              <w:snapToGrid w:val="0"/>
              <w:spacing w:line="400" w:lineRule="exact"/>
              <w:jc w:val="center"/>
              <w:rPr>
                <w:rFonts w:hint="eastAsia" w:ascii="宋体" w:hAnsi="宋体" w:eastAsia="宋体" w:cs="宋体"/>
                <w:color w:val="auto"/>
              </w:rPr>
            </w:pPr>
          </w:p>
        </w:tc>
        <w:tc>
          <w:tcPr>
            <w:tcW w:w="837" w:type="dxa"/>
            <w:tcBorders>
              <w:top w:val="single" w:color="auto" w:sz="4" w:space="0"/>
              <w:left w:val="single" w:color="auto" w:sz="4" w:space="0"/>
              <w:bottom w:val="single" w:color="auto" w:sz="4" w:space="0"/>
              <w:right w:val="single" w:color="auto" w:sz="4" w:space="0"/>
            </w:tcBorders>
            <w:vAlign w:val="center"/>
          </w:tcPr>
          <w:p w14:paraId="0BE6847C">
            <w:pPr>
              <w:pageBreakBefore w:val="0"/>
              <w:overflowPunct/>
              <w:topLinePunct w:val="0"/>
              <w:bidi w:val="0"/>
              <w:snapToGrid w:val="0"/>
              <w:spacing w:line="400" w:lineRule="exact"/>
              <w:jc w:val="center"/>
              <w:rPr>
                <w:rFonts w:hint="eastAsia" w:ascii="宋体" w:hAnsi="宋体" w:eastAsia="宋体" w:cs="宋体"/>
                <w:color w:val="auto"/>
              </w:rPr>
            </w:pPr>
          </w:p>
        </w:tc>
        <w:tc>
          <w:tcPr>
            <w:tcW w:w="612" w:type="dxa"/>
            <w:tcBorders>
              <w:top w:val="single" w:color="auto" w:sz="4" w:space="0"/>
              <w:left w:val="single" w:color="auto" w:sz="4" w:space="0"/>
              <w:bottom w:val="single" w:color="auto" w:sz="4" w:space="0"/>
              <w:right w:val="single" w:color="auto" w:sz="4" w:space="0"/>
            </w:tcBorders>
            <w:vAlign w:val="center"/>
          </w:tcPr>
          <w:p w14:paraId="181FC0AB">
            <w:pPr>
              <w:pageBreakBefore w:val="0"/>
              <w:overflowPunct/>
              <w:topLinePunct w:val="0"/>
              <w:bidi w:val="0"/>
              <w:snapToGrid w:val="0"/>
              <w:spacing w:line="400" w:lineRule="exact"/>
              <w:jc w:val="center"/>
              <w:rPr>
                <w:rFonts w:hint="eastAsia" w:ascii="宋体" w:hAnsi="宋体" w:eastAsia="宋体" w:cs="宋体"/>
                <w:color w:val="auto"/>
                <w:szCs w:val="21"/>
              </w:rPr>
            </w:pPr>
          </w:p>
        </w:tc>
        <w:tc>
          <w:tcPr>
            <w:tcW w:w="612" w:type="dxa"/>
            <w:tcBorders>
              <w:top w:val="single" w:color="auto" w:sz="4" w:space="0"/>
              <w:left w:val="single" w:color="auto" w:sz="4" w:space="0"/>
              <w:bottom w:val="single" w:color="auto" w:sz="4" w:space="0"/>
              <w:right w:val="single" w:color="auto" w:sz="4" w:space="0"/>
            </w:tcBorders>
            <w:vAlign w:val="center"/>
          </w:tcPr>
          <w:p w14:paraId="3898BC84">
            <w:pPr>
              <w:pageBreakBefore w:val="0"/>
              <w:overflowPunct/>
              <w:topLinePunct w:val="0"/>
              <w:bidi w:val="0"/>
              <w:snapToGrid w:val="0"/>
              <w:spacing w:line="400" w:lineRule="exact"/>
              <w:jc w:val="center"/>
              <w:rPr>
                <w:rFonts w:hint="eastAsia" w:ascii="宋体" w:hAnsi="宋体" w:eastAsia="宋体" w:cs="宋体"/>
                <w:color w:val="auto"/>
                <w:szCs w:val="21"/>
              </w:rPr>
            </w:pPr>
          </w:p>
        </w:tc>
        <w:tc>
          <w:tcPr>
            <w:tcW w:w="1210" w:type="dxa"/>
            <w:tcBorders>
              <w:top w:val="single" w:color="auto" w:sz="4" w:space="0"/>
              <w:left w:val="single" w:color="auto" w:sz="4" w:space="0"/>
              <w:bottom w:val="single" w:color="auto" w:sz="4" w:space="0"/>
              <w:right w:val="single" w:color="auto" w:sz="4" w:space="0"/>
            </w:tcBorders>
            <w:vAlign w:val="center"/>
          </w:tcPr>
          <w:p w14:paraId="1659A783">
            <w:pPr>
              <w:pageBreakBefore w:val="0"/>
              <w:overflowPunct/>
              <w:topLinePunct w:val="0"/>
              <w:bidi w:val="0"/>
              <w:snapToGrid w:val="0"/>
              <w:spacing w:line="400" w:lineRule="exact"/>
              <w:jc w:val="center"/>
              <w:rPr>
                <w:rFonts w:hint="eastAsia" w:ascii="宋体" w:hAnsi="宋体" w:eastAsia="宋体" w:cs="宋体"/>
                <w:b/>
                <w:bCs/>
                <w:color w:val="auto"/>
              </w:rPr>
            </w:pPr>
          </w:p>
        </w:tc>
        <w:tc>
          <w:tcPr>
            <w:tcW w:w="2427" w:type="dxa"/>
            <w:tcBorders>
              <w:top w:val="single" w:color="auto" w:sz="4" w:space="0"/>
              <w:left w:val="single" w:color="auto" w:sz="4" w:space="0"/>
              <w:bottom w:val="single" w:color="auto" w:sz="4" w:space="0"/>
            </w:tcBorders>
            <w:vAlign w:val="center"/>
          </w:tcPr>
          <w:p w14:paraId="1CF6322D">
            <w:pPr>
              <w:pageBreakBefore w:val="0"/>
              <w:overflowPunct/>
              <w:topLinePunct w:val="0"/>
              <w:bidi w:val="0"/>
              <w:snapToGrid w:val="0"/>
              <w:spacing w:line="400" w:lineRule="exact"/>
              <w:jc w:val="center"/>
              <w:rPr>
                <w:rFonts w:hint="eastAsia" w:ascii="宋体" w:hAnsi="宋体" w:eastAsia="宋体" w:cs="宋体"/>
                <w:b/>
                <w:bCs/>
                <w:color w:val="auto"/>
              </w:rPr>
            </w:pPr>
          </w:p>
        </w:tc>
        <w:tc>
          <w:tcPr>
            <w:tcW w:w="1044" w:type="dxa"/>
            <w:tcBorders>
              <w:top w:val="single" w:color="auto" w:sz="4" w:space="0"/>
              <w:left w:val="single" w:color="auto" w:sz="4" w:space="0"/>
              <w:bottom w:val="single" w:color="auto" w:sz="4" w:space="0"/>
            </w:tcBorders>
            <w:vAlign w:val="center"/>
          </w:tcPr>
          <w:p w14:paraId="2B9917BF">
            <w:pPr>
              <w:pageBreakBefore w:val="0"/>
              <w:overflowPunct/>
              <w:topLinePunct w:val="0"/>
              <w:bidi w:val="0"/>
              <w:snapToGrid w:val="0"/>
              <w:spacing w:line="400" w:lineRule="exact"/>
              <w:jc w:val="center"/>
              <w:rPr>
                <w:rFonts w:hint="eastAsia" w:ascii="宋体" w:hAnsi="宋体" w:eastAsia="宋体" w:cs="宋体"/>
                <w:b/>
                <w:bCs/>
                <w:color w:val="auto"/>
              </w:rPr>
            </w:pPr>
          </w:p>
        </w:tc>
      </w:tr>
      <w:tr w14:paraId="67BFF6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9" w:type="dxa"/>
            <w:tcBorders>
              <w:top w:val="single" w:color="auto" w:sz="4" w:space="0"/>
              <w:left w:val="single" w:color="auto" w:sz="4" w:space="0"/>
              <w:bottom w:val="single" w:color="auto" w:sz="4" w:space="0"/>
              <w:right w:val="single" w:color="auto" w:sz="4" w:space="0"/>
            </w:tcBorders>
            <w:vAlign w:val="center"/>
          </w:tcPr>
          <w:p w14:paraId="7C7E706C">
            <w:pPr>
              <w:pageBreakBefore w:val="0"/>
              <w:overflowPunct/>
              <w:topLinePunct w:val="0"/>
              <w:bidi w:val="0"/>
              <w:snapToGrid w:val="0"/>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809" w:type="dxa"/>
            <w:tcBorders>
              <w:top w:val="single" w:color="auto" w:sz="4" w:space="0"/>
              <w:left w:val="single" w:color="auto" w:sz="4" w:space="0"/>
              <w:bottom w:val="single" w:color="auto" w:sz="4" w:space="0"/>
              <w:right w:val="single" w:color="auto" w:sz="4" w:space="0"/>
            </w:tcBorders>
            <w:vAlign w:val="center"/>
          </w:tcPr>
          <w:p w14:paraId="3D9C49D3">
            <w:pPr>
              <w:pageBreakBefore w:val="0"/>
              <w:overflowPunct/>
              <w:topLinePunct w:val="0"/>
              <w:bidi w:val="0"/>
              <w:snapToGrid w:val="0"/>
              <w:spacing w:line="400" w:lineRule="exact"/>
              <w:jc w:val="center"/>
              <w:rPr>
                <w:rFonts w:hint="eastAsia" w:ascii="宋体" w:hAnsi="宋体" w:eastAsia="宋体" w:cs="宋体"/>
                <w:color w:val="auto"/>
              </w:rPr>
            </w:pPr>
          </w:p>
        </w:tc>
        <w:tc>
          <w:tcPr>
            <w:tcW w:w="813" w:type="dxa"/>
            <w:tcBorders>
              <w:top w:val="single" w:color="auto" w:sz="4" w:space="0"/>
              <w:left w:val="single" w:color="auto" w:sz="4" w:space="0"/>
              <w:bottom w:val="single" w:color="auto" w:sz="4" w:space="0"/>
              <w:right w:val="single" w:color="auto" w:sz="4" w:space="0"/>
            </w:tcBorders>
            <w:vAlign w:val="center"/>
          </w:tcPr>
          <w:p w14:paraId="0D3B0258">
            <w:pPr>
              <w:pageBreakBefore w:val="0"/>
              <w:overflowPunct/>
              <w:topLinePunct w:val="0"/>
              <w:bidi w:val="0"/>
              <w:snapToGrid w:val="0"/>
              <w:spacing w:line="400" w:lineRule="exact"/>
              <w:jc w:val="center"/>
              <w:rPr>
                <w:rFonts w:hint="eastAsia" w:ascii="宋体" w:hAnsi="宋体" w:eastAsia="宋体" w:cs="宋体"/>
                <w:color w:val="auto"/>
              </w:rPr>
            </w:pPr>
          </w:p>
        </w:tc>
        <w:tc>
          <w:tcPr>
            <w:tcW w:w="612" w:type="dxa"/>
            <w:tcBorders>
              <w:top w:val="single" w:color="auto" w:sz="4" w:space="0"/>
              <w:left w:val="single" w:color="auto" w:sz="4" w:space="0"/>
              <w:bottom w:val="single" w:color="auto" w:sz="4" w:space="0"/>
              <w:right w:val="single" w:color="auto" w:sz="4" w:space="0"/>
            </w:tcBorders>
            <w:vAlign w:val="center"/>
          </w:tcPr>
          <w:p w14:paraId="2859E23B">
            <w:pPr>
              <w:pageBreakBefore w:val="0"/>
              <w:overflowPunct/>
              <w:topLinePunct w:val="0"/>
              <w:bidi w:val="0"/>
              <w:snapToGrid w:val="0"/>
              <w:spacing w:line="400" w:lineRule="exact"/>
              <w:jc w:val="center"/>
              <w:rPr>
                <w:rFonts w:hint="eastAsia" w:ascii="宋体" w:hAnsi="宋体" w:eastAsia="宋体" w:cs="宋体"/>
                <w:color w:val="auto"/>
              </w:rPr>
            </w:pPr>
          </w:p>
        </w:tc>
        <w:tc>
          <w:tcPr>
            <w:tcW w:w="837" w:type="dxa"/>
            <w:tcBorders>
              <w:top w:val="single" w:color="auto" w:sz="4" w:space="0"/>
              <w:left w:val="single" w:color="auto" w:sz="4" w:space="0"/>
              <w:bottom w:val="single" w:color="auto" w:sz="4" w:space="0"/>
              <w:right w:val="single" w:color="auto" w:sz="4" w:space="0"/>
            </w:tcBorders>
            <w:vAlign w:val="center"/>
          </w:tcPr>
          <w:p w14:paraId="55D25F74">
            <w:pPr>
              <w:pageBreakBefore w:val="0"/>
              <w:overflowPunct/>
              <w:topLinePunct w:val="0"/>
              <w:bidi w:val="0"/>
              <w:snapToGrid w:val="0"/>
              <w:spacing w:line="400" w:lineRule="exact"/>
              <w:jc w:val="center"/>
              <w:rPr>
                <w:rFonts w:hint="eastAsia" w:ascii="宋体" w:hAnsi="宋体" w:eastAsia="宋体" w:cs="宋体"/>
                <w:color w:val="auto"/>
              </w:rPr>
            </w:pPr>
          </w:p>
        </w:tc>
        <w:tc>
          <w:tcPr>
            <w:tcW w:w="612" w:type="dxa"/>
            <w:tcBorders>
              <w:top w:val="single" w:color="auto" w:sz="4" w:space="0"/>
              <w:left w:val="single" w:color="auto" w:sz="4" w:space="0"/>
              <w:bottom w:val="single" w:color="auto" w:sz="4" w:space="0"/>
              <w:right w:val="single" w:color="auto" w:sz="4" w:space="0"/>
            </w:tcBorders>
            <w:vAlign w:val="center"/>
          </w:tcPr>
          <w:p w14:paraId="643F9911">
            <w:pPr>
              <w:pageBreakBefore w:val="0"/>
              <w:overflowPunct/>
              <w:topLinePunct w:val="0"/>
              <w:bidi w:val="0"/>
              <w:snapToGrid w:val="0"/>
              <w:spacing w:line="400" w:lineRule="exact"/>
              <w:jc w:val="center"/>
              <w:rPr>
                <w:rFonts w:hint="eastAsia" w:ascii="宋体" w:hAnsi="宋体" w:eastAsia="宋体" w:cs="宋体"/>
                <w:color w:val="auto"/>
                <w:szCs w:val="21"/>
              </w:rPr>
            </w:pPr>
          </w:p>
        </w:tc>
        <w:tc>
          <w:tcPr>
            <w:tcW w:w="612" w:type="dxa"/>
            <w:tcBorders>
              <w:top w:val="single" w:color="auto" w:sz="4" w:space="0"/>
              <w:left w:val="single" w:color="auto" w:sz="4" w:space="0"/>
              <w:bottom w:val="single" w:color="auto" w:sz="4" w:space="0"/>
              <w:right w:val="single" w:color="auto" w:sz="4" w:space="0"/>
            </w:tcBorders>
            <w:vAlign w:val="center"/>
          </w:tcPr>
          <w:p w14:paraId="60522DCF">
            <w:pPr>
              <w:pageBreakBefore w:val="0"/>
              <w:overflowPunct/>
              <w:topLinePunct w:val="0"/>
              <w:bidi w:val="0"/>
              <w:snapToGrid w:val="0"/>
              <w:spacing w:line="400" w:lineRule="exact"/>
              <w:jc w:val="center"/>
              <w:rPr>
                <w:rFonts w:hint="eastAsia" w:ascii="宋体" w:hAnsi="宋体" w:eastAsia="宋体" w:cs="宋体"/>
                <w:color w:val="auto"/>
                <w:szCs w:val="21"/>
              </w:rPr>
            </w:pPr>
          </w:p>
        </w:tc>
        <w:tc>
          <w:tcPr>
            <w:tcW w:w="1210" w:type="dxa"/>
            <w:tcBorders>
              <w:top w:val="single" w:color="auto" w:sz="4" w:space="0"/>
              <w:left w:val="single" w:color="auto" w:sz="4" w:space="0"/>
              <w:bottom w:val="single" w:color="auto" w:sz="4" w:space="0"/>
              <w:right w:val="single" w:color="auto" w:sz="4" w:space="0"/>
            </w:tcBorders>
            <w:vAlign w:val="center"/>
          </w:tcPr>
          <w:p w14:paraId="46605FBD">
            <w:pPr>
              <w:pageBreakBefore w:val="0"/>
              <w:overflowPunct/>
              <w:topLinePunct w:val="0"/>
              <w:bidi w:val="0"/>
              <w:snapToGrid w:val="0"/>
              <w:spacing w:line="400" w:lineRule="exact"/>
              <w:jc w:val="center"/>
              <w:rPr>
                <w:rFonts w:hint="eastAsia" w:ascii="宋体" w:hAnsi="宋体" w:eastAsia="宋体" w:cs="宋体"/>
                <w:b/>
                <w:bCs/>
                <w:color w:val="auto"/>
              </w:rPr>
            </w:pPr>
          </w:p>
        </w:tc>
        <w:tc>
          <w:tcPr>
            <w:tcW w:w="2427" w:type="dxa"/>
            <w:tcBorders>
              <w:top w:val="single" w:color="auto" w:sz="4" w:space="0"/>
              <w:left w:val="single" w:color="auto" w:sz="4" w:space="0"/>
              <w:bottom w:val="single" w:color="auto" w:sz="4" w:space="0"/>
            </w:tcBorders>
            <w:vAlign w:val="center"/>
          </w:tcPr>
          <w:p w14:paraId="197E5D7A">
            <w:pPr>
              <w:pageBreakBefore w:val="0"/>
              <w:overflowPunct/>
              <w:topLinePunct w:val="0"/>
              <w:bidi w:val="0"/>
              <w:snapToGrid w:val="0"/>
              <w:spacing w:line="400" w:lineRule="exact"/>
              <w:jc w:val="center"/>
              <w:rPr>
                <w:rFonts w:hint="eastAsia" w:ascii="宋体" w:hAnsi="宋体" w:eastAsia="宋体" w:cs="宋体"/>
                <w:b/>
                <w:bCs/>
                <w:color w:val="auto"/>
              </w:rPr>
            </w:pPr>
          </w:p>
        </w:tc>
        <w:tc>
          <w:tcPr>
            <w:tcW w:w="1044" w:type="dxa"/>
            <w:tcBorders>
              <w:top w:val="single" w:color="auto" w:sz="4" w:space="0"/>
              <w:left w:val="single" w:color="auto" w:sz="4" w:space="0"/>
              <w:bottom w:val="single" w:color="auto" w:sz="4" w:space="0"/>
            </w:tcBorders>
            <w:vAlign w:val="center"/>
          </w:tcPr>
          <w:p w14:paraId="226BBDC4">
            <w:pPr>
              <w:pageBreakBefore w:val="0"/>
              <w:overflowPunct/>
              <w:topLinePunct w:val="0"/>
              <w:bidi w:val="0"/>
              <w:snapToGrid w:val="0"/>
              <w:spacing w:line="400" w:lineRule="exact"/>
              <w:jc w:val="center"/>
              <w:rPr>
                <w:rFonts w:hint="eastAsia" w:ascii="宋体" w:hAnsi="宋体" w:eastAsia="宋体" w:cs="宋体"/>
                <w:b/>
                <w:bCs/>
                <w:color w:val="auto"/>
              </w:rPr>
            </w:pPr>
          </w:p>
        </w:tc>
      </w:tr>
      <w:tr w14:paraId="6838BA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9" w:type="dxa"/>
            <w:tcBorders>
              <w:top w:val="single" w:color="auto" w:sz="4" w:space="0"/>
              <w:left w:val="single" w:color="auto" w:sz="4" w:space="0"/>
              <w:bottom w:val="single" w:color="auto" w:sz="4" w:space="0"/>
              <w:right w:val="single" w:color="auto" w:sz="4" w:space="0"/>
            </w:tcBorders>
            <w:vAlign w:val="center"/>
          </w:tcPr>
          <w:p w14:paraId="6FAFB5BD">
            <w:pPr>
              <w:pageBreakBefore w:val="0"/>
              <w:overflowPunct/>
              <w:topLinePunct w:val="0"/>
              <w:bidi w:val="0"/>
              <w:snapToGrid w:val="0"/>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809" w:type="dxa"/>
            <w:tcBorders>
              <w:top w:val="single" w:color="auto" w:sz="4" w:space="0"/>
              <w:left w:val="single" w:color="auto" w:sz="4" w:space="0"/>
              <w:bottom w:val="single" w:color="auto" w:sz="4" w:space="0"/>
              <w:right w:val="single" w:color="auto" w:sz="4" w:space="0"/>
            </w:tcBorders>
            <w:vAlign w:val="center"/>
          </w:tcPr>
          <w:p w14:paraId="2634B599">
            <w:pPr>
              <w:pageBreakBefore w:val="0"/>
              <w:overflowPunct/>
              <w:topLinePunct w:val="0"/>
              <w:bidi w:val="0"/>
              <w:snapToGrid w:val="0"/>
              <w:spacing w:line="400" w:lineRule="exact"/>
              <w:jc w:val="center"/>
              <w:rPr>
                <w:rFonts w:hint="eastAsia" w:ascii="宋体" w:hAnsi="宋体" w:eastAsia="宋体" w:cs="宋体"/>
                <w:color w:val="auto"/>
              </w:rPr>
            </w:pPr>
          </w:p>
        </w:tc>
        <w:tc>
          <w:tcPr>
            <w:tcW w:w="813" w:type="dxa"/>
            <w:tcBorders>
              <w:top w:val="single" w:color="auto" w:sz="4" w:space="0"/>
              <w:left w:val="single" w:color="auto" w:sz="4" w:space="0"/>
              <w:bottom w:val="single" w:color="auto" w:sz="4" w:space="0"/>
              <w:right w:val="single" w:color="auto" w:sz="4" w:space="0"/>
            </w:tcBorders>
            <w:vAlign w:val="center"/>
          </w:tcPr>
          <w:p w14:paraId="32CB79DA">
            <w:pPr>
              <w:pageBreakBefore w:val="0"/>
              <w:overflowPunct/>
              <w:topLinePunct w:val="0"/>
              <w:bidi w:val="0"/>
              <w:snapToGrid w:val="0"/>
              <w:spacing w:line="400" w:lineRule="exact"/>
              <w:jc w:val="center"/>
              <w:rPr>
                <w:rFonts w:hint="eastAsia" w:ascii="宋体" w:hAnsi="宋体" w:eastAsia="宋体" w:cs="宋体"/>
                <w:color w:val="auto"/>
              </w:rPr>
            </w:pPr>
          </w:p>
        </w:tc>
        <w:tc>
          <w:tcPr>
            <w:tcW w:w="612" w:type="dxa"/>
            <w:tcBorders>
              <w:top w:val="single" w:color="auto" w:sz="4" w:space="0"/>
              <w:left w:val="single" w:color="auto" w:sz="4" w:space="0"/>
              <w:bottom w:val="single" w:color="auto" w:sz="4" w:space="0"/>
              <w:right w:val="single" w:color="auto" w:sz="4" w:space="0"/>
            </w:tcBorders>
            <w:vAlign w:val="center"/>
          </w:tcPr>
          <w:p w14:paraId="325257DE">
            <w:pPr>
              <w:pageBreakBefore w:val="0"/>
              <w:overflowPunct/>
              <w:topLinePunct w:val="0"/>
              <w:bidi w:val="0"/>
              <w:snapToGrid w:val="0"/>
              <w:spacing w:line="400" w:lineRule="exact"/>
              <w:jc w:val="center"/>
              <w:rPr>
                <w:rFonts w:hint="eastAsia" w:ascii="宋体" w:hAnsi="宋体" w:eastAsia="宋体" w:cs="宋体"/>
                <w:color w:val="auto"/>
              </w:rPr>
            </w:pPr>
          </w:p>
        </w:tc>
        <w:tc>
          <w:tcPr>
            <w:tcW w:w="837" w:type="dxa"/>
            <w:tcBorders>
              <w:top w:val="single" w:color="auto" w:sz="4" w:space="0"/>
              <w:left w:val="single" w:color="auto" w:sz="4" w:space="0"/>
              <w:bottom w:val="single" w:color="auto" w:sz="4" w:space="0"/>
              <w:right w:val="single" w:color="auto" w:sz="4" w:space="0"/>
            </w:tcBorders>
            <w:vAlign w:val="center"/>
          </w:tcPr>
          <w:p w14:paraId="24A03047">
            <w:pPr>
              <w:pageBreakBefore w:val="0"/>
              <w:overflowPunct/>
              <w:topLinePunct w:val="0"/>
              <w:bidi w:val="0"/>
              <w:snapToGrid w:val="0"/>
              <w:spacing w:line="400" w:lineRule="exact"/>
              <w:jc w:val="center"/>
              <w:rPr>
                <w:rFonts w:hint="eastAsia" w:ascii="宋体" w:hAnsi="宋体" w:eastAsia="宋体" w:cs="宋体"/>
                <w:color w:val="auto"/>
              </w:rPr>
            </w:pPr>
          </w:p>
        </w:tc>
        <w:tc>
          <w:tcPr>
            <w:tcW w:w="612" w:type="dxa"/>
            <w:tcBorders>
              <w:top w:val="single" w:color="auto" w:sz="4" w:space="0"/>
              <w:left w:val="single" w:color="auto" w:sz="4" w:space="0"/>
              <w:bottom w:val="single" w:color="auto" w:sz="4" w:space="0"/>
              <w:right w:val="single" w:color="auto" w:sz="4" w:space="0"/>
            </w:tcBorders>
            <w:vAlign w:val="center"/>
          </w:tcPr>
          <w:p w14:paraId="5905F407">
            <w:pPr>
              <w:pageBreakBefore w:val="0"/>
              <w:overflowPunct/>
              <w:topLinePunct w:val="0"/>
              <w:bidi w:val="0"/>
              <w:snapToGrid w:val="0"/>
              <w:spacing w:line="400" w:lineRule="exact"/>
              <w:jc w:val="center"/>
              <w:rPr>
                <w:rFonts w:hint="eastAsia" w:ascii="宋体" w:hAnsi="宋体" w:eastAsia="宋体" w:cs="宋体"/>
                <w:color w:val="auto"/>
                <w:szCs w:val="21"/>
              </w:rPr>
            </w:pPr>
          </w:p>
        </w:tc>
        <w:tc>
          <w:tcPr>
            <w:tcW w:w="612" w:type="dxa"/>
            <w:tcBorders>
              <w:top w:val="single" w:color="auto" w:sz="4" w:space="0"/>
              <w:left w:val="single" w:color="auto" w:sz="4" w:space="0"/>
              <w:bottom w:val="single" w:color="auto" w:sz="4" w:space="0"/>
              <w:right w:val="single" w:color="auto" w:sz="4" w:space="0"/>
            </w:tcBorders>
            <w:vAlign w:val="center"/>
          </w:tcPr>
          <w:p w14:paraId="485E25EB">
            <w:pPr>
              <w:pageBreakBefore w:val="0"/>
              <w:overflowPunct/>
              <w:topLinePunct w:val="0"/>
              <w:bidi w:val="0"/>
              <w:snapToGrid w:val="0"/>
              <w:spacing w:line="400" w:lineRule="exact"/>
              <w:jc w:val="center"/>
              <w:rPr>
                <w:rFonts w:hint="eastAsia" w:ascii="宋体" w:hAnsi="宋体" w:eastAsia="宋体" w:cs="宋体"/>
                <w:color w:val="auto"/>
                <w:szCs w:val="21"/>
              </w:rPr>
            </w:pPr>
          </w:p>
        </w:tc>
        <w:tc>
          <w:tcPr>
            <w:tcW w:w="1210" w:type="dxa"/>
            <w:tcBorders>
              <w:top w:val="single" w:color="auto" w:sz="4" w:space="0"/>
              <w:left w:val="single" w:color="auto" w:sz="4" w:space="0"/>
              <w:bottom w:val="single" w:color="auto" w:sz="4" w:space="0"/>
              <w:right w:val="single" w:color="auto" w:sz="4" w:space="0"/>
            </w:tcBorders>
            <w:vAlign w:val="center"/>
          </w:tcPr>
          <w:p w14:paraId="43DDFE20">
            <w:pPr>
              <w:pageBreakBefore w:val="0"/>
              <w:overflowPunct/>
              <w:topLinePunct w:val="0"/>
              <w:bidi w:val="0"/>
              <w:snapToGrid w:val="0"/>
              <w:spacing w:line="400" w:lineRule="exact"/>
              <w:jc w:val="center"/>
              <w:rPr>
                <w:rFonts w:hint="eastAsia" w:ascii="宋体" w:hAnsi="宋体" w:eastAsia="宋体" w:cs="宋体"/>
                <w:b/>
                <w:bCs/>
                <w:color w:val="auto"/>
              </w:rPr>
            </w:pPr>
          </w:p>
        </w:tc>
        <w:tc>
          <w:tcPr>
            <w:tcW w:w="2427" w:type="dxa"/>
            <w:tcBorders>
              <w:top w:val="single" w:color="auto" w:sz="4" w:space="0"/>
              <w:left w:val="single" w:color="auto" w:sz="4" w:space="0"/>
              <w:bottom w:val="single" w:color="auto" w:sz="4" w:space="0"/>
            </w:tcBorders>
            <w:vAlign w:val="center"/>
          </w:tcPr>
          <w:p w14:paraId="06B5F7DA">
            <w:pPr>
              <w:pageBreakBefore w:val="0"/>
              <w:overflowPunct/>
              <w:topLinePunct w:val="0"/>
              <w:bidi w:val="0"/>
              <w:snapToGrid w:val="0"/>
              <w:spacing w:line="400" w:lineRule="exact"/>
              <w:jc w:val="center"/>
              <w:rPr>
                <w:rFonts w:hint="eastAsia" w:ascii="宋体" w:hAnsi="宋体" w:eastAsia="宋体" w:cs="宋体"/>
                <w:b/>
                <w:bCs/>
                <w:color w:val="auto"/>
              </w:rPr>
            </w:pPr>
          </w:p>
        </w:tc>
        <w:tc>
          <w:tcPr>
            <w:tcW w:w="1044" w:type="dxa"/>
            <w:tcBorders>
              <w:top w:val="single" w:color="auto" w:sz="4" w:space="0"/>
              <w:left w:val="single" w:color="auto" w:sz="4" w:space="0"/>
              <w:bottom w:val="single" w:color="auto" w:sz="4" w:space="0"/>
            </w:tcBorders>
            <w:vAlign w:val="center"/>
          </w:tcPr>
          <w:p w14:paraId="49781E56">
            <w:pPr>
              <w:pageBreakBefore w:val="0"/>
              <w:overflowPunct/>
              <w:topLinePunct w:val="0"/>
              <w:bidi w:val="0"/>
              <w:snapToGrid w:val="0"/>
              <w:spacing w:line="400" w:lineRule="exact"/>
              <w:jc w:val="center"/>
              <w:rPr>
                <w:rFonts w:hint="eastAsia" w:ascii="宋体" w:hAnsi="宋体" w:eastAsia="宋体" w:cs="宋体"/>
                <w:b/>
                <w:bCs/>
                <w:color w:val="auto"/>
              </w:rPr>
            </w:pPr>
          </w:p>
        </w:tc>
      </w:tr>
      <w:tr w14:paraId="31239D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4" w:hRule="atLeast"/>
          <w:jc w:val="center"/>
        </w:trPr>
        <w:tc>
          <w:tcPr>
            <w:tcW w:w="9615" w:type="dxa"/>
            <w:gridSpan w:val="10"/>
            <w:tcBorders>
              <w:top w:val="single" w:color="auto" w:sz="4" w:space="0"/>
              <w:left w:val="single" w:color="auto" w:sz="4" w:space="0"/>
              <w:bottom w:val="single" w:color="auto" w:sz="4" w:space="0"/>
            </w:tcBorders>
            <w:vAlign w:val="center"/>
          </w:tcPr>
          <w:p w14:paraId="1CD73CB1">
            <w:pPr>
              <w:pageBreakBefore w:val="0"/>
              <w:overflowPunct/>
              <w:topLinePunct w:val="0"/>
              <w:bidi w:val="0"/>
              <w:snapToGrid w:val="0"/>
              <w:spacing w:line="400" w:lineRule="exact"/>
              <w:jc w:val="both"/>
              <w:rPr>
                <w:rFonts w:hint="eastAsia" w:ascii="宋体" w:hAnsi="宋体" w:eastAsia="宋体" w:cs="宋体"/>
                <w:b/>
                <w:bCs/>
                <w:color w:val="auto"/>
              </w:rPr>
            </w:pPr>
            <w:r>
              <w:rPr>
                <w:rFonts w:hint="eastAsia" w:ascii="宋体" w:hAnsi="宋体" w:eastAsia="宋体" w:cs="宋体"/>
                <w:b/>
                <w:bCs/>
                <w:color w:val="auto"/>
                <w:lang w:eastAsia="zh-CN"/>
              </w:rPr>
              <w:t>二、</w:t>
            </w:r>
            <w:r>
              <w:rPr>
                <w:rFonts w:hint="eastAsia" w:ascii="宋体" w:hAnsi="宋体" w:eastAsia="宋体" w:cs="宋体"/>
                <w:color w:val="auto"/>
                <w:szCs w:val="21"/>
              </w:rPr>
              <w:t>...</w:t>
            </w:r>
          </w:p>
        </w:tc>
      </w:tr>
      <w:tr w14:paraId="20249E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9" w:type="dxa"/>
            <w:tcBorders>
              <w:top w:val="single" w:color="auto" w:sz="4" w:space="0"/>
              <w:left w:val="single" w:color="auto" w:sz="4" w:space="0"/>
              <w:bottom w:val="single" w:color="auto" w:sz="4" w:space="0"/>
              <w:right w:val="single" w:color="auto" w:sz="4" w:space="0"/>
            </w:tcBorders>
            <w:vAlign w:val="center"/>
          </w:tcPr>
          <w:p w14:paraId="6414ED27">
            <w:pPr>
              <w:pageBreakBefore w:val="0"/>
              <w:overflowPunct/>
              <w:topLinePunct w:val="0"/>
              <w:bidi w:val="0"/>
              <w:snapToGrid w:val="0"/>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809" w:type="dxa"/>
            <w:tcBorders>
              <w:top w:val="single" w:color="auto" w:sz="4" w:space="0"/>
              <w:left w:val="single" w:color="auto" w:sz="4" w:space="0"/>
              <w:bottom w:val="single" w:color="auto" w:sz="4" w:space="0"/>
              <w:right w:val="single" w:color="auto" w:sz="4" w:space="0"/>
            </w:tcBorders>
            <w:vAlign w:val="center"/>
          </w:tcPr>
          <w:p w14:paraId="71275A85">
            <w:pPr>
              <w:pageBreakBefore w:val="0"/>
              <w:overflowPunct/>
              <w:topLinePunct w:val="0"/>
              <w:bidi w:val="0"/>
              <w:snapToGrid w:val="0"/>
              <w:spacing w:line="400" w:lineRule="exact"/>
              <w:jc w:val="center"/>
              <w:rPr>
                <w:rFonts w:hint="eastAsia" w:ascii="宋体" w:hAnsi="宋体" w:eastAsia="宋体" w:cs="宋体"/>
                <w:color w:val="auto"/>
              </w:rPr>
            </w:pPr>
          </w:p>
        </w:tc>
        <w:tc>
          <w:tcPr>
            <w:tcW w:w="813" w:type="dxa"/>
            <w:tcBorders>
              <w:top w:val="single" w:color="auto" w:sz="4" w:space="0"/>
              <w:left w:val="single" w:color="auto" w:sz="4" w:space="0"/>
              <w:bottom w:val="single" w:color="auto" w:sz="4" w:space="0"/>
              <w:right w:val="single" w:color="auto" w:sz="4" w:space="0"/>
            </w:tcBorders>
            <w:vAlign w:val="center"/>
          </w:tcPr>
          <w:p w14:paraId="235EE670">
            <w:pPr>
              <w:pageBreakBefore w:val="0"/>
              <w:overflowPunct/>
              <w:topLinePunct w:val="0"/>
              <w:bidi w:val="0"/>
              <w:snapToGrid w:val="0"/>
              <w:spacing w:line="400" w:lineRule="exact"/>
              <w:jc w:val="center"/>
              <w:rPr>
                <w:rFonts w:hint="eastAsia" w:ascii="宋体" w:hAnsi="宋体" w:eastAsia="宋体" w:cs="宋体"/>
                <w:color w:val="auto"/>
              </w:rPr>
            </w:pPr>
          </w:p>
        </w:tc>
        <w:tc>
          <w:tcPr>
            <w:tcW w:w="612" w:type="dxa"/>
            <w:tcBorders>
              <w:top w:val="single" w:color="auto" w:sz="4" w:space="0"/>
              <w:left w:val="single" w:color="auto" w:sz="4" w:space="0"/>
              <w:bottom w:val="single" w:color="auto" w:sz="4" w:space="0"/>
              <w:right w:val="single" w:color="auto" w:sz="4" w:space="0"/>
            </w:tcBorders>
            <w:vAlign w:val="center"/>
          </w:tcPr>
          <w:p w14:paraId="58464B42">
            <w:pPr>
              <w:pageBreakBefore w:val="0"/>
              <w:overflowPunct/>
              <w:topLinePunct w:val="0"/>
              <w:bidi w:val="0"/>
              <w:snapToGrid w:val="0"/>
              <w:spacing w:line="400" w:lineRule="exact"/>
              <w:jc w:val="center"/>
              <w:rPr>
                <w:rFonts w:hint="eastAsia" w:ascii="宋体" w:hAnsi="宋体" w:eastAsia="宋体" w:cs="宋体"/>
                <w:color w:val="auto"/>
              </w:rPr>
            </w:pPr>
          </w:p>
        </w:tc>
        <w:tc>
          <w:tcPr>
            <w:tcW w:w="837" w:type="dxa"/>
            <w:tcBorders>
              <w:top w:val="single" w:color="auto" w:sz="4" w:space="0"/>
              <w:left w:val="single" w:color="auto" w:sz="4" w:space="0"/>
              <w:bottom w:val="single" w:color="auto" w:sz="4" w:space="0"/>
              <w:right w:val="single" w:color="auto" w:sz="4" w:space="0"/>
            </w:tcBorders>
            <w:vAlign w:val="center"/>
          </w:tcPr>
          <w:p w14:paraId="3065B652">
            <w:pPr>
              <w:pageBreakBefore w:val="0"/>
              <w:overflowPunct/>
              <w:topLinePunct w:val="0"/>
              <w:bidi w:val="0"/>
              <w:snapToGrid w:val="0"/>
              <w:spacing w:line="400" w:lineRule="exact"/>
              <w:jc w:val="center"/>
              <w:rPr>
                <w:rFonts w:hint="eastAsia" w:ascii="宋体" w:hAnsi="宋体" w:eastAsia="宋体" w:cs="宋体"/>
                <w:color w:val="auto"/>
              </w:rPr>
            </w:pPr>
          </w:p>
        </w:tc>
        <w:tc>
          <w:tcPr>
            <w:tcW w:w="612" w:type="dxa"/>
            <w:tcBorders>
              <w:top w:val="single" w:color="auto" w:sz="4" w:space="0"/>
              <w:left w:val="single" w:color="auto" w:sz="4" w:space="0"/>
              <w:bottom w:val="single" w:color="auto" w:sz="4" w:space="0"/>
              <w:right w:val="single" w:color="auto" w:sz="4" w:space="0"/>
            </w:tcBorders>
            <w:vAlign w:val="center"/>
          </w:tcPr>
          <w:p w14:paraId="56A5BBAB">
            <w:pPr>
              <w:pageBreakBefore w:val="0"/>
              <w:overflowPunct/>
              <w:topLinePunct w:val="0"/>
              <w:bidi w:val="0"/>
              <w:snapToGrid w:val="0"/>
              <w:spacing w:line="400" w:lineRule="exact"/>
              <w:jc w:val="center"/>
              <w:rPr>
                <w:rFonts w:hint="eastAsia" w:ascii="宋体" w:hAnsi="宋体" w:eastAsia="宋体" w:cs="宋体"/>
                <w:color w:val="auto"/>
                <w:szCs w:val="21"/>
              </w:rPr>
            </w:pPr>
          </w:p>
        </w:tc>
        <w:tc>
          <w:tcPr>
            <w:tcW w:w="612" w:type="dxa"/>
            <w:tcBorders>
              <w:top w:val="single" w:color="auto" w:sz="4" w:space="0"/>
              <w:left w:val="single" w:color="auto" w:sz="4" w:space="0"/>
              <w:bottom w:val="single" w:color="auto" w:sz="4" w:space="0"/>
              <w:right w:val="single" w:color="auto" w:sz="4" w:space="0"/>
            </w:tcBorders>
            <w:vAlign w:val="center"/>
          </w:tcPr>
          <w:p w14:paraId="57124CE2">
            <w:pPr>
              <w:pageBreakBefore w:val="0"/>
              <w:overflowPunct/>
              <w:topLinePunct w:val="0"/>
              <w:bidi w:val="0"/>
              <w:snapToGrid w:val="0"/>
              <w:spacing w:line="400" w:lineRule="exact"/>
              <w:jc w:val="center"/>
              <w:rPr>
                <w:rFonts w:hint="eastAsia" w:ascii="宋体" w:hAnsi="宋体" w:eastAsia="宋体" w:cs="宋体"/>
                <w:color w:val="auto"/>
                <w:szCs w:val="21"/>
              </w:rPr>
            </w:pPr>
          </w:p>
        </w:tc>
        <w:tc>
          <w:tcPr>
            <w:tcW w:w="1210" w:type="dxa"/>
            <w:tcBorders>
              <w:top w:val="single" w:color="auto" w:sz="4" w:space="0"/>
              <w:left w:val="single" w:color="auto" w:sz="4" w:space="0"/>
              <w:bottom w:val="single" w:color="auto" w:sz="4" w:space="0"/>
              <w:right w:val="single" w:color="auto" w:sz="4" w:space="0"/>
            </w:tcBorders>
            <w:vAlign w:val="center"/>
          </w:tcPr>
          <w:p w14:paraId="5C2554D5">
            <w:pPr>
              <w:pageBreakBefore w:val="0"/>
              <w:overflowPunct/>
              <w:topLinePunct w:val="0"/>
              <w:bidi w:val="0"/>
              <w:snapToGrid w:val="0"/>
              <w:spacing w:line="400" w:lineRule="exact"/>
              <w:jc w:val="center"/>
              <w:rPr>
                <w:rFonts w:hint="eastAsia" w:ascii="宋体" w:hAnsi="宋体" w:eastAsia="宋体" w:cs="宋体"/>
                <w:b/>
                <w:bCs/>
                <w:color w:val="auto"/>
              </w:rPr>
            </w:pPr>
          </w:p>
        </w:tc>
        <w:tc>
          <w:tcPr>
            <w:tcW w:w="2427" w:type="dxa"/>
            <w:tcBorders>
              <w:top w:val="single" w:color="auto" w:sz="4" w:space="0"/>
              <w:left w:val="single" w:color="auto" w:sz="4" w:space="0"/>
              <w:bottom w:val="single" w:color="auto" w:sz="4" w:space="0"/>
            </w:tcBorders>
            <w:vAlign w:val="center"/>
          </w:tcPr>
          <w:p w14:paraId="23B3EE80">
            <w:pPr>
              <w:pageBreakBefore w:val="0"/>
              <w:overflowPunct/>
              <w:topLinePunct w:val="0"/>
              <w:bidi w:val="0"/>
              <w:snapToGrid w:val="0"/>
              <w:spacing w:line="400" w:lineRule="exact"/>
              <w:jc w:val="center"/>
              <w:rPr>
                <w:rFonts w:hint="eastAsia" w:ascii="宋体" w:hAnsi="宋体" w:eastAsia="宋体" w:cs="宋体"/>
                <w:b/>
                <w:bCs/>
                <w:color w:val="auto"/>
              </w:rPr>
            </w:pPr>
          </w:p>
        </w:tc>
        <w:tc>
          <w:tcPr>
            <w:tcW w:w="1044" w:type="dxa"/>
            <w:tcBorders>
              <w:top w:val="single" w:color="auto" w:sz="4" w:space="0"/>
              <w:left w:val="single" w:color="auto" w:sz="4" w:space="0"/>
              <w:bottom w:val="single" w:color="auto" w:sz="4" w:space="0"/>
            </w:tcBorders>
            <w:vAlign w:val="center"/>
          </w:tcPr>
          <w:p w14:paraId="4D2738A0">
            <w:pPr>
              <w:pageBreakBefore w:val="0"/>
              <w:overflowPunct/>
              <w:topLinePunct w:val="0"/>
              <w:bidi w:val="0"/>
              <w:snapToGrid w:val="0"/>
              <w:spacing w:line="400" w:lineRule="exact"/>
              <w:jc w:val="center"/>
              <w:rPr>
                <w:rFonts w:hint="eastAsia" w:ascii="宋体" w:hAnsi="宋体" w:eastAsia="宋体" w:cs="宋体"/>
                <w:b/>
                <w:bCs/>
                <w:color w:val="auto"/>
              </w:rPr>
            </w:pPr>
          </w:p>
        </w:tc>
      </w:tr>
      <w:tr w14:paraId="5050A3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9" w:type="dxa"/>
            <w:tcBorders>
              <w:top w:val="single" w:color="auto" w:sz="4" w:space="0"/>
              <w:left w:val="single" w:color="auto" w:sz="4" w:space="0"/>
              <w:bottom w:val="single" w:color="auto" w:sz="4" w:space="0"/>
              <w:right w:val="single" w:color="auto" w:sz="4" w:space="0"/>
            </w:tcBorders>
            <w:vAlign w:val="center"/>
          </w:tcPr>
          <w:p w14:paraId="07701C84">
            <w:pPr>
              <w:pageBreakBefore w:val="0"/>
              <w:overflowPunct/>
              <w:topLinePunct w:val="0"/>
              <w:bidi w:val="0"/>
              <w:snapToGrid w:val="0"/>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809" w:type="dxa"/>
            <w:tcBorders>
              <w:top w:val="single" w:color="auto" w:sz="4" w:space="0"/>
              <w:left w:val="single" w:color="auto" w:sz="4" w:space="0"/>
              <w:bottom w:val="single" w:color="auto" w:sz="4" w:space="0"/>
              <w:right w:val="single" w:color="auto" w:sz="4" w:space="0"/>
            </w:tcBorders>
            <w:vAlign w:val="center"/>
          </w:tcPr>
          <w:p w14:paraId="53D89ACD">
            <w:pPr>
              <w:pageBreakBefore w:val="0"/>
              <w:overflowPunct/>
              <w:topLinePunct w:val="0"/>
              <w:bidi w:val="0"/>
              <w:snapToGrid w:val="0"/>
              <w:spacing w:line="400" w:lineRule="exact"/>
              <w:jc w:val="center"/>
              <w:rPr>
                <w:rFonts w:hint="eastAsia" w:ascii="宋体" w:hAnsi="宋体" w:eastAsia="宋体" w:cs="宋体"/>
                <w:color w:val="auto"/>
              </w:rPr>
            </w:pPr>
          </w:p>
        </w:tc>
        <w:tc>
          <w:tcPr>
            <w:tcW w:w="813" w:type="dxa"/>
            <w:tcBorders>
              <w:top w:val="single" w:color="auto" w:sz="4" w:space="0"/>
              <w:left w:val="single" w:color="auto" w:sz="4" w:space="0"/>
              <w:bottom w:val="single" w:color="auto" w:sz="4" w:space="0"/>
              <w:right w:val="single" w:color="auto" w:sz="4" w:space="0"/>
            </w:tcBorders>
            <w:vAlign w:val="center"/>
          </w:tcPr>
          <w:p w14:paraId="1DCA1901">
            <w:pPr>
              <w:pageBreakBefore w:val="0"/>
              <w:overflowPunct/>
              <w:topLinePunct w:val="0"/>
              <w:bidi w:val="0"/>
              <w:snapToGrid w:val="0"/>
              <w:spacing w:line="400" w:lineRule="exact"/>
              <w:jc w:val="center"/>
              <w:rPr>
                <w:rFonts w:hint="eastAsia" w:ascii="宋体" w:hAnsi="宋体" w:eastAsia="宋体" w:cs="宋体"/>
                <w:color w:val="auto"/>
              </w:rPr>
            </w:pPr>
          </w:p>
        </w:tc>
        <w:tc>
          <w:tcPr>
            <w:tcW w:w="612" w:type="dxa"/>
            <w:tcBorders>
              <w:top w:val="single" w:color="auto" w:sz="4" w:space="0"/>
              <w:left w:val="single" w:color="auto" w:sz="4" w:space="0"/>
              <w:bottom w:val="single" w:color="auto" w:sz="4" w:space="0"/>
              <w:right w:val="single" w:color="auto" w:sz="4" w:space="0"/>
            </w:tcBorders>
            <w:vAlign w:val="center"/>
          </w:tcPr>
          <w:p w14:paraId="1DEDEABB">
            <w:pPr>
              <w:pageBreakBefore w:val="0"/>
              <w:overflowPunct/>
              <w:topLinePunct w:val="0"/>
              <w:bidi w:val="0"/>
              <w:snapToGrid w:val="0"/>
              <w:spacing w:line="400" w:lineRule="exact"/>
              <w:jc w:val="center"/>
              <w:rPr>
                <w:rFonts w:hint="eastAsia" w:ascii="宋体" w:hAnsi="宋体" w:eastAsia="宋体" w:cs="宋体"/>
                <w:color w:val="auto"/>
              </w:rPr>
            </w:pPr>
          </w:p>
        </w:tc>
        <w:tc>
          <w:tcPr>
            <w:tcW w:w="837" w:type="dxa"/>
            <w:tcBorders>
              <w:top w:val="single" w:color="auto" w:sz="4" w:space="0"/>
              <w:left w:val="single" w:color="auto" w:sz="4" w:space="0"/>
              <w:bottom w:val="single" w:color="auto" w:sz="4" w:space="0"/>
              <w:right w:val="single" w:color="auto" w:sz="4" w:space="0"/>
            </w:tcBorders>
            <w:vAlign w:val="center"/>
          </w:tcPr>
          <w:p w14:paraId="1C23F3D6">
            <w:pPr>
              <w:pageBreakBefore w:val="0"/>
              <w:overflowPunct/>
              <w:topLinePunct w:val="0"/>
              <w:bidi w:val="0"/>
              <w:snapToGrid w:val="0"/>
              <w:spacing w:line="400" w:lineRule="exact"/>
              <w:jc w:val="center"/>
              <w:rPr>
                <w:rFonts w:hint="eastAsia" w:ascii="宋体" w:hAnsi="宋体" w:eastAsia="宋体" w:cs="宋体"/>
                <w:color w:val="auto"/>
              </w:rPr>
            </w:pPr>
          </w:p>
        </w:tc>
        <w:tc>
          <w:tcPr>
            <w:tcW w:w="612" w:type="dxa"/>
            <w:tcBorders>
              <w:top w:val="single" w:color="auto" w:sz="4" w:space="0"/>
              <w:left w:val="single" w:color="auto" w:sz="4" w:space="0"/>
              <w:bottom w:val="single" w:color="auto" w:sz="4" w:space="0"/>
              <w:right w:val="single" w:color="auto" w:sz="4" w:space="0"/>
            </w:tcBorders>
            <w:vAlign w:val="center"/>
          </w:tcPr>
          <w:p w14:paraId="4CAACDA0">
            <w:pPr>
              <w:pageBreakBefore w:val="0"/>
              <w:overflowPunct/>
              <w:topLinePunct w:val="0"/>
              <w:bidi w:val="0"/>
              <w:snapToGrid w:val="0"/>
              <w:spacing w:line="400" w:lineRule="exact"/>
              <w:jc w:val="center"/>
              <w:rPr>
                <w:rFonts w:hint="eastAsia" w:ascii="宋体" w:hAnsi="宋体" w:eastAsia="宋体" w:cs="宋体"/>
                <w:color w:val="auto"/>
                <w:szCs w:val="21"/>
              </w:rPr>
            </w:pPr>
          </w:p>
        </w:tc>
        <w:tc>
          <w:tcPr>
            <w:tcW w:w="612" w:type="dxa"/>
            <w:tcBorders>
              <w:top w:val="single" w:color="auto" w:sz="4" w:space="0"/>
              <w:left w:val="single" w:color="auto" w:sz="4" w:space="0"/>
              <w:bottom w:val="single" w:color="auto" w:sz="4" w:space="0"/>
              <w:right w:val="single" w:color="auto" w:sz="4" w:space="0"/>
            </w:tcBorders>
            <w:vAlign w:val="center"/>
          </w:tcPr>
          <w:p w14:paraId="3A4B1E7F">
            <w:pPr>
              <w:pageBreakBefore w:val="0"/>
              <w:overflowPunct/>
              <w:topLinePunct w:val="0"/>
              <w:bidi w:val="0"/>
              <w:snapToGrid w:val="0"/>
              <w:spacing w:line="400" w:lineRule="exact"/>
              <w:jc w:val="center"/>
              <w:rPr>
                <w:rFonts w:hint="eastAsia" w:ascii="宋体" w:hAnsi="宋体" w:eastAsia="宋体" w:cs="宋体"/>
                <w:color w:val="auto"/>
                <w:szCs w:val="21"/>
              </w:rPr>
            </w:pPr>
          </w:p>
        </w:tc>
        <w:tc>
          <w:tcPr>
            <w:tcW w:w="1210" w:type="dxa"/>
            <w:tcBorders>
              <w:top w:val="single" w:color="auto" w:sz="4" w:space="0"/>
              <w:left w:val="single" w:color="auto" w:sz="4" w:space="0"/>
              <w:bottom w:val="single" w:color="auto" w:sz="4" w:space="0"/>
              <w:right w:val="single" w:color="auto" w:sz="4" w:space="0"/>
            </w:tcBorders>
            <w:vAlign w:val="center"/>
          </w:tcPr>
          <w:p w14:paraId="4D2DB210">
            <w:pPr>
              <w:pageBreakBefore w:val="0"/>
              <w:overflowPunct/>
              <w:topLinePunct w:val="0"/>
              <w:bidi w:val="0"/>
              <w:snapToGrid w:val="0"/>
              <w:spacing w:line="400" w:lineRule="exact"/>
              <w:jc w:val="center"/>
              <w:rPr>
                <w:rFonts w:hint="eastAsia" w:ascii="宋体" w:hAnsi="宋体" w:eastAsia="宋体" w:cs="宋体"/>
                <w:b/>
                <w:bCs/>
                <w:color w:val="auto"/>
              </w:rPr>
            </w:pPr>
          </w:p>
        </w:tc>
        <w:tc>
          <w:tcPr>
            <w:tcW w:w="2427" w:type="dxa"/>
            <w:tcBorders>
              <w:top w:val="single" w:color="auto" w:sz="4" w:space="0"/>
              <w:left w:val="single" w:color="auto" w:sz="4" w:space="0"/>
              <w:bottom w:val="single" w:color="auto" w:sz="4" w:space="0"/>
            </w:tcBorders>
            <w:vAlign w:val="center"/>
          </w:tcPr>
          <w:p w14:paraId="71913D5F">
            <w:pPr>
              <w:pageBreakBefore w:val="0"/>
              <w:overflowPunct/>
              <w:topLinePunct w:val="0"/>
              <w:bidi w:val="0"/>
              <w:snapToGrid w:val="0"/>
              <w:spacing w:line="400" w:lineRule="exact"/>
              <w:jc w:val="center"/>
              <w:rPr>
                <w:rFonts w:hint="eastAsia" w:ascii="宋体" w:hAnsi="宋体" w:eastAsia="宋体" w:cs="宋体"/>
                <w:b/>
                <w:bCs/>
                <w:color w:val="auto"/>
              </w:rPr>
            </w:pPr>
          </w:p>
        </w:tc>
        <w:tc>
          <w:tcPr>
            <w:tcW w:w="1044" w:type="dxa"/>
            <w:tcBorders>
              <w:top w:val="single" w:color="auto" w:sz="4" w:space="0"/>
              <w:left w:val="single" w:color="auto" w:sz="4" w:space="0"/>
              <w:bottom w:val="single" w:color="auto" w:sz="4" w:space="0"/>
            </w:tcBorders>
            <w:vAlign w:val="center"/>
          </w:tcPr>
          <w:p w14:paraId="0903E86B">
            <w:pPr>
              <w:pageBreakBefore w:val="0"/>
              <w:overflowPunct/>
              <w:topLinePunct w:val="0"/>
              <w:bidi w:val="0"/>
              <w:snapToGrid w:val="0"/>
              <w:spacing w:line="400" w:lineRule="exact"/>
              <w:jc w:val="center"/>
              <w:rPr>
                <w:rFonts w:hint="eastAsia" w:ascii="宋体" w:hAnsi="宋体" w:eastAsia="宋体" w:cs="宋体"/>
                <w:b/>
                <w:bCs/>
                <w:color w:val="auto"/>
              </w:rPr>
            </w:pPr>
          </w:p>
        </w:tc>
      </w:tr>
      <w:tr w14:paraId="4FF6B6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9" w:type="dxa"/>
            <w:tcBorders>
              <w:top w:val="single" w:color="auto" w:sz="4" w:space="0"/>
              <w:left w:val="single" w:color="auto" w:sz="4" w:space="0"/>
              <w:bottom w:val="single" w:color="auto" w:sz="4" w:space="0"/>
              <w:right w:val="single" w:color="auto" w:sz="4" w:space="0"/>
            </w:tcBorders>
            <w:vAlign w:val="center"/>
          </w:tcPr>
          <w:p w14:paraId="34F2F986">
            <w:pPr>
              <w:pageBreakBefore w:val="0"/>
              <w:overflowPunct/>
              <w:topLinePunct w:val="0"/>
              <w:bidi w:val="0"/>
              <w:snapToGrid w:val="0"/>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809" w:type="dxa"/>
            <w:tcBorders>
              <w:top w:val="single" w:color="auto" w:sz="4" w:space="0"/>
              <w:left w:val="single" w:color="auto" w:sz="4" w:space="0"/>
              <w:bottom w:val="single" w:color="auto" w:sz="4" w:space="0"/>
              <w:right w:val="single" w:color="auto" w:sz="4" w:space="0"/>
            </w:tcBorders>
            <w:vAlign w:val="center"/>
          </w:tcPr>
          <w:p w14:paraId="478D011D">
            <w:pPr>
              <w:pageBreakBefore w:val="0"/>
              <w:overflowPunct/>
              <w:topLinePunct w:val="0"/>
              <w:bidi w:val="0"/>
              <w:snapToGrid w:val="0"/>
              <w:spacing w:line="400" w:lineRule="exact"/>
              <w:jc w:val="center"/>
              <w:rPr>
                <w:rFonts w:hint="eastAsia" w:ascii="宋体" w:hAnsi="宋体" w:eastAsia="宋体" w:cs="宋体"/>
                <w:color w:val="auto"/>
              </w:rPr>
            </w:pPr>
          </w:p>
        </w:tc>
        <w:tc>
          <w:tcPr>
            <w:tcW w:w="813" w:type="dxa"/>
            <w:tcBorders>
              <w:top w:val="single" w:color="auto" w:sz="4" w:space="0"/>
              <w:left w:val="single" w:color="auto" w:sz="4" w:space="0"/>
              <w:bottom w:val="single" w:color="auto" w:sz="4" w:space="0"/>
              <w:right w:val="single" w:color="auto" w:sz="4" w:space="0"/>
            </w:tcBorders>
            <w:vAlign w:val="center"/>
          </w:tcPr>
          <w:p w14:paraId="2ABB9059">
            <w:pPr>
              <w:pageBreakBefore w:val="0"/>
              <w:overflowPunct/>
              <w:topLinePunct w:val="0"/>
              <w:bidi w:val="0"/>
              <w:snapToGrid w:val="0"/>
              <w:spacing w:line="400" w:lineRule="exact"/>
              <w:jc w:val="center"/>
              <w:rPr>
                <w:rFonts w:hint="eastAsia" w:ascii="宋体" w:hAnsi="宋体" w:eastAsia="宋体" w:cs="宋体"/>
                <w:color w:val="auto"/>
              </w:rPr>
            </w:pPr>
          </w:p>
        </w:tc>
        <w:tc>
          <w:tcPr>
            <w:tcW w:w="612" w:type="dxa"/>
            <w:tcBorders>
              <w:top w:val="single" w:color="auto" w:sz="4" w:space="0"/>
              <w:left w:val="single" w:color="auto" w:sz="4" w:space="0"/>
              <w:bottom w:val="single" w:color="auto" w:sz="4" w:space="0"/>
              <w:right w:val="single" w:color="auto" w:sz="4" w:space="0"/>
            </w:tcBorders>
            <w:vAlign w:val="center"/>
          </w:tcPr>
          <w:p w14:paraId="428A29D9">
            <w:pPr>
              <w:pageBreakBefore w:val="0"/>
              <w:overflowPunct/>
              <w:topLinePunct w:val="0"/>
              <w:bidi w:val="0"/>
              <w:snapToGrid w:val="0"/>
              <w:spacing w:line="400" w:lineRule="exact"/>
              <w:jc w:val="center"/>
              <w:rPr>
                <w:rFonts w:hint="eastAsia" w:ascii="宋体" w:hAnsi="宋体" w:eastAsia="宋体" w:cs="宋体"/>
                <w:color w:val="auto"/>
              </w:rPr>
            </w:pPr>
          </w:p>
        </w:tc>
        <w:tc>
          <w:tcPr>
            <w:tcW w:w="837" w:type="dxa"/>
            <w:tcBorders>
              <w:top w:val="single" w:color="auto" w:sz="4" w:space="0"/>
              <w:left w:val="single" w:color="auto" w:sz="4" w:space="0"/>
              <w:bottom w:val="single" w:color="auto" w:sz="4" w:space="0"/>
              <w:right w:val="single" w:color="auto" w:sz="4" w:space="0"/>
            </w:tcBorders>
            <w:vAlign w:val="center"/>
          </w:tcPr>
          <w:p w14:paraId="4D27F221">
            <w:pPr>
              <w:pageBreakBefore w:val="0"/>
              <w:overflowPunct/>
              <w:topLinePunct w:val="0"/>
              <w:bidi w:val="0"/>
              <w:snapToGrid w:val="0"/>
              <w:spacing w:line="400" w:lineRule="exact"/>
              <w:jc w:val="center"/>
              <w:rPr>
                <w:rFonts w:hint="eastAsia" w:ascii="宋体" w:hAnsi="宋体" w:eastAsia="宋体" w:cs="宋体"/>
                <w:color w:val="auto"/>
              </w:rPr>
            </w:pPr>
          </w:p>
        </w:tc>
        <w:tc>
          <w:tcPr>
            <w:tcW w:w="612" w:type="dxa"/>
            <w:tcBorders>
              <w:top w:val="single" w:color="auto" w:sz="4" w:space="0"/>
              <w:left w:val="single" w:color="auto" w:sz="4" w:space="0"/>
              <w:bottom w:val="single" w:color="auto" w:sz="4" w:space="0"/>
              <w:right w:val="single" w:color="auto" w:sz="4" w:space="0"/>
            </w:tcBorders>
            <w:vAlign w:val="center"/>
          </w:tcPr>
          <w:p w14:paraId="5EAB01EE">
            <w:pPr>
              <w:pageBreakBefore w:val="0"/>
              <w:overflowPunct/>
              <w:topLinePunct w:val="0"/>
              <w:bidi w:val="0"/>
              <w:snapToGrid w:val="0"/>
              <w:spacing w:line="400" w:lineRule="exact"/>
              <w:jc w:val="center"/>
              <w:rPr>
                <w:rFonts w:hint="eastAsia" w:ascii="宋体" w:hAnsi="宋体" w:eastAsia="宋体" w:cs="宋体"/>
                <w:color w:val="auto"/>
                <w:szCs w:val="21"/>
              </w:rPr>
            </w:pPr>
          </w:p>
        </w:tc>
        <w:tc>
          <w:tcPr>
            <w:tcW w:w="612" w:type="dxa"/>
            <w:tcBorders>
              <w:top w:val="single" w:color="auto" w:sz="4" w:space="0"/>
              <w:left w:val="single" w:color="auto" w:sz="4" w:space="0"/>
              <w:bottom w:val="single" w:color="auto" w:sz="4" w:space="0"/>
              <w:right w:val="single" w:color="auto" w:sz="4" w:space="0"/>
            </w:tcBorders>
            <w:vAlign w:val="center"/>
          </w:tcPr>
          <w:p w14:paraId="2DFE883B">
            <w:pPr>
              <w:pageBreakBefore w:val="0"/>
              <w:overflowPunct/>
              <w:topLinePunct w:val="0"/>
              <w:bidi w:val="0"/>
              <w:snapToGrid w:val="0"/>
              <w:spacing w:line="400" w:lineRule="exact"/>
              <w:jc w:val="center"/>
              <w:rPr>
                <w:rFonts w:hint="eastAsia" w:ascii="宋体" w:hAnsi="宋体" w:eastAsia="宋体" w:cs="宋体"/>
                <w:color w:val="auto"/>
                <w:szCs w:val="21"/>
              </w:rPr>
            </w:pPr>
          </w:p>
        </w:tc>
        <w:tc>
          <w:tcPr>
            <w:tcW w:w="1210" w:type="dxa"/>
            <w:tcBorders>
              <w:top w:val="single" w:color="auto" w:sz="4" w:space="0"/>
              <w:left w:val="single" w:color="auto" w:sz="4" w:space="0"/>
              <w:bottom w:val="single" w:color="auto" w:sz="4" w:space="0"/>
              <w:right w:val="single" w:color="auto" w:sz="4" w:space="0"/>
            </w:tcBorders>
            <w:vAlign w:val="center"/>
          </w:tcPr>
          <w:p w14:paraId="74C57E0D">
            <w:pPr>
              <w:pageBreakBefore w:val="0"/>
              <w:overflowPunct/>
              <w:topLinePunct w:val="0"/>
              <w:bidi w:val="0"/>
              <w:snapToGrid w:val="0"/>
              <w:spacing w:line="400" w:lineRule="exact"/>
              <w:jc w:val="center"/>
              <w:rPr>
                <w:rFonts w:hint="eastAsia" w:ascii="宋体" w:hAnsi="宋体" w:eastAsia="宋体" w:cs="宋体"/>
                <w:b/>
                <w:bCs/>
                <w:color w:val="auto"/>
              </w:rPr>
            </w:pPr>
          </w:p>
        </w:tc>
        <w:tc>
          <w:tcPr>
            <w:tcW w:w="2427" w:type="dxa"/>
            <w:tcBorders>
              <w:top w:val="single" w:color="auto" w:sz="4" w:space="0"/>
              <w:left w:val="single" w:color="auto" w:sz="4" w:space="0"/>
              <w:bottom w:val="single" w:color="auto" w:sz="4" w:space="0"/>
            </w:tcBorders>
            <w:vAlign w:val="center"/>
          </w:tcPr>
          <w:p w14:paraId="1EC98627">
            <w:pPr>
              <w:pageBreakBefore w:val="0"/>
              <w:overflowPunct/>
              <w:topLinePunct w:val="0"/>
              <w:bidi w:val="0"/>
              <w:snapToGrid w:val="0"/>
              <w:spacing w:line="400" w:lineRule="exact"/>
              <w:jc w:val="center"/>
              <w:rPr>
                <w:rFonts w:hint="eastAsia" w:ascii="宋体" w:hAnsi="宋体" w:eastAsia="宋体" w:cs="宋体"/>
                <w:b/>
                <w:bCs/>
                <w:color w:val="auto"/>
              </w:rPr>
            </w:pPr>
          </w:p>
        </w:tc>
        <w:tc>
          <w:tcPr>
            <w:tcW w:w="1044" w:type="dxa"/>
            <w:tcBorders>
              <w:top w:val="single" w:color="auto" w:sz="4" w:space="0"/>
              <w:left w:val="single" w:color="auto" w:sz="4" w:space="0"/>
              <w:bottom w:val="single" w:color="auto" w:sz="4" w:space="0"/>
            </w:tcBorders>
            <w:vAlign w:val="center"/>
          </w:tcPr>
          <w:p w14:paraId="0658C9B9">
            <w:pPr>
              <w:pageBreakBefore w:val="0"/>
              <w:overflowPunct/>
              <w:topLinePunct w:val="0"/>
              <w:bidi w:val="0"/>
              <w:snapToGrid w:val="0"/>
              <w:spacing w:line="400" w:lineRule="exact"/>
              <w:jc w:val="center"/>
              <w:rPr>
                <w:rFonts w:hint="eastAsia" w:ascii="宋体" w:hAnsi="宋体" w:eastAsia="宋体" w:cs="宋体"/>
                <w:b/>
                <w:bCs/>
                <w:color w:val="auto"/>
              </w:rPr>
            </w:pPr>
          </w:p>
        </w:tc>
      </w:tr>
      <w:tr w14:paraId="282031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615" w:type="dxa"/>
            <w:gridSpan w:val="10"/>
            <w:tcBorders>
              <w:top w:val="single" w:color="auto" w:sz="4" w:space="0"/>
              <w:left w:val="single" w:color="auto" w:sz="4" w:space="0"/>
              <w:bottom w:val="single" w:color="auto" w:sz="4" w:space="0"/>
            </w:tcBorders>
            <w:vAlign w:val="center"/>
          </w:tcPr>
          <w:p w14:paraId="300AA56E">
            <w:pPr>
              <w:pageBreakBefore w:val="0"/>
              <w:overflowPunct/>
              <w:topLinePunct w:val="0"/>
              <w:bidi w:val="0"/>
              <w:snapToGrid w:val="0"/>
              <w:spacing w:line="400" w:lineRule="exact"/>
              <w:jc w:val="left"/>
              <w:rPr>
                <w:rFonts w:hint="eastAsia" w:ascii="宋体" w:hAnsi="宋体" w:eastAsia="宋体" w:cs="宋体"/>
                <w:b/>
                <w:bCs/>
                <w:color w:val="auto"/>
                <w:lang w:eastAsia="zh-CN"/>
              </w:rPr>
            </w:pPr>
            <w:r>
              <w:rPr>
                <w:rFonts w:hint="eastAsia" w:ascii="宋体" w:hAnsi="宋体" w:eastAsia="宋体" w:cs="宋体"/>
                <w:color w:val="auto"/>
                <w:szCs w:val="21"/>
              </w:rPr>
              <w:t>...</w:t>
            </w:r>
          </w:p>
        </w:tc>
      </w:tr>
      <w:tr w14:paraId="5AD023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9" w:type="dxa"/>
            <w:tcBorders>
              <w:top w:val="single" w:color="auto" w:sz="4" w:space="0"/>
              <w:left w:val="single" w:color="auto" w:sz="4" w:space="0"/>
              <w:bottom w:val="single" w:color="auto" w:sz="4" w:space="0"/>
              <w:right w:val="single" w:color="auto" w:sz="4" w:space="0"/>
            </w:tcBorders>
            <w:vAlign w:val="center"/>
          </w:tcPr>
          <w:p w14:paraId="7A779A1D">
            <w:pPr>
              <w:pageBreakBefore w:val="0"/>
              <w:overflowPunct/>
              <w:topLinePunct w:val="0"/>
              <w:bidi w:val="0"/>
              <w:snapToGrid w:val="0"/>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809" w:type="dxa"/>
            <w:tcBorders>
              <w:top w:val="single" w:color="auto" w:sz="4" w:space="0"/>
              <w:left w:val="single" w:color="auto" w:sz="4" w:space="0"/>
              <w:bottom w:val="single" w:color="auto" w:sz="4" w:space="0"/>
              <w:right w:val="single" w:color="auto" w:sz="4" w:space="0"/>
            </w:tcBorders>
            <w:vAlign w:val="center"/>
          </w:tcPr>
          <w:p w14:paraId="241AF76E">
            <w:pPr>
              <w:pageBreakBefore w:val="0"/>
              <w:overflowPunct/>
              <w:topLinePunct w:val="0"/>
              <w:bidi w:val="0"/>
              <w:snapToGrid w:val="0"/>
              <w:spacing w:line="400" w:lineRule="exact"/>
              <w:jc w:val="center"/>
              <w:rPr>
                <w:rFonts w:hint="eastAsia" w:ascii="宋体" w:hAnsi="宋体" w:eastAsia="宋体" w:cs="宋体"/>
                <w:color w:val="auto"/>
              </w:rPr>
            </w:pPr>
          </w:p>
        </w:tc>
        <w:tc>
          <w:tcPr>
            <w:tcW w:w="813" w:type="dxa"/>
            <w:tcBorders>
              <w:top w:val="single" w:color="auto" w:sz="4" w:space="0"/>
              <w:left w:val="single" w:color="auto" w:sz="4" w:space="0"/>
              <w:bottom w:val="single" w:color="auto" w:sz="4" w:space="0"/>
              <w:right w:val="single" w:color="auto" w:sz="4" w:space="0"/>
            </w:tcBorders>
            <w:vAlign w:val="center"/>
          </w:tcPr>
          <w:p w14:paraId="4E43EC76">
            <w:pPr>
              <w:pageBreakBefore w:val="0"/>
              <w:overflowPunct/>
              <w:topLinePunct w:val="0"/>
              <w:bidi w:val="0"/>
              <w:snapToGrid w:val="0"/>
              <w:spacing w:line="400" w:lineRule="exact"/>
              <w:jc w:val="center"/>
              <w:rPr>
                <w:rFonts w:hint="eastAsia" w:ascii="宋体" w:hAnsi="宋体" w:eastAsia="宋体" w:cs="宋体"/>
                <w:color w:val="auto"/>
              </w:rPr>
            </w:pPr>
          </w:p>
        </w:tc>
        <w:tc>
          <w:tcPr>
            <w:tcW w:w="612" w:type="dxa"/>
            <w:tcBorders>
              <w:top w:val="single" w:color="auto" w:sz="4" w:space="0"/>
              <w:left w:val="single" w:color="auto" w:sz="4" w:space="0"/>
              <w:bottom w:val="single" w:color="auto" w:sz="4" w:space="0"/>
              <w:right w:val="single" w:color="auto" w:sz="4" w:space="0"/>
            </w:tcBorders>
            <w:vAlign w:val="center"/>
          </w:tcPr>
          <w:p w14:paraId="3E546733">
            <w:pPr>
              <w:pageBreakBefore w:val="0"/>
              <w:overflowPunct/>
              <w:topLinePunct w:val="0"/>
              <w:bidi w:val="0"/>
              <w:snapToGrid w:val="0"/>
              <w:spacing w:line="400" w:lineRule="exact"/>
              <w:jc w:val="center"/>
              <w:rPr>
                <w:rFonts w:hint="eastAsia" w:ascii="宋体" w:hAnsi="宋体" w:eastAsia="宋体" w:cs="宋体"/>
                <w:color w:val="auto"/>
              </w:rPr>
            </w:pPr>
          </w:p>
        </w:tc>
        <w:tc>
          <w:tcPr>
            <w:tcW w:w="837" w:type="dxa"/>
            <w:tcBorders>
              <w:top w:val="single" w:color="auto" w:sz="4" w:space="0"/>
              <w:left w:val="single" w:color="auto" w:sz="4" w:space="0"/>
              <w:bottom w:val="single" w:color="auto" w:sz="4" w:space="0"/>
              <w:right w:val="single" w:color="auto" w:sz="4" w:space="0"/>
            </w:tcBorders>
            <w:vAlign w:val="center"/>
          </w:tcPr>
          <w:p w14:paraId="7DDD2EDB">
            <w:pPr>
              <w:pageBreakBefore w:val="0"/>
              <w:overflowPunct/>
              <w:topLinePunct w:val="0"/>
              <w:bidi w:val="0"/>
              <w:snapToGrid w:val="0"/>
              <w:spacing w:line="400" w:lineRule="exact"/>
              <w:jc w:val="center"/>
              <w:rPr>
                <w:rFonts w:hint="eastAsia" w:ascii="宋体" w:hAnsi="宋体" w:eastAsia="宋体" w:cs="宋体"/>
                <w:color w:val="auto"/>
              </w:rPr>
            </w:pPr>
          </w:p>
        </w:tc>
        <w:tc>
          <w:tcPr>
            <w:tcW w:w="612" w:type="dxa"/>
            <w:tcBorders>
              <w:top w:val="single" w:color="auto" w:sz="4" w:space="0"/>
              <w:left w:val="single" w:color="auto" w:sz="4" w:space="0"/>
              <w:bottom w:val="single" w:color="auto" w:sz="4" w:space="0"/>
              <w:right w:val="single" w:color="auto" w:sz="4" w:space="0"/>
            </w:tcBorders>
            <w:vAlign w:val="center"/>
          </w:tcPr>
          <w:p w14:paraId="426BF117">
            <w:pPr>
              <w:pageBreakBefore w:val="0"/>
              <w:overflowPunct/>
              <w:topLinePunct w:val="0"/>
              <w:bidi w:val="0"/>
              <w:snapToGrid w:val="0"/>
              <w:spacing w:line="400" w:lineRule="exact"/>
              <w:jc w:val="center"/>
              <w:rPr>
                <w:rFonts w:hint="eastAsia" w:ascii="宋体" w:hAnsi="宋体" w:eastAsia="宋体" w:cs="宋体"/>
                <w:color w:val="auto"/>
                <w:szCs w:val="21"/>
              </w:rPr>
            </w:pPr>
          </w:p>
        </w:tc>
        <w:tc>
          <w:tcPr>
            <w:tcW w:w="612" w:type="dxa"/>
            <w:tcBorders>
              <w:top w:val="single" w:color="auto" w:sz="4" w:space="0"/>
              <w:left w:val="single" w:color="auto" w:sz="4" w:space="0"/>
              <w:bottom w:val="single" w:color="auto" w:sz="4" w:space="0"/>
              <w:right w:val="single" w:color="auto" w:sz="4" w:space="0"/>
            </w:tcBorders>
            <w:vAlign w:val="center"/>
          </w:tcPr>
          <w:p w14:paraId="077EC672">
            <w:pPr>
              <w:pageBreakBefore w:val="0"/>
              <w:overflowPunct/>
              <w:topLinePunct w:val="0"/>
              <w:bidi w:val="0"/>
              <w:snapToGrid w:val="0"/>
              <w:spacing w:line="400" w:lineRule="exact"/>
              <w:jc w:val="center"/>
              <w:rPr>
                <w:rFonts w:hint="eastAsia" w:ascii="宋体" w:hAnsi="宋体" w:eastAsia="宋体" w:cs="宋体"/>
                <w:color w:val="auto"/>
                <w:szCs w:val="21"/>
              </w:rPr>
            </w:pPr>
          </w:p>
        </w:tc>
        <w:tc>
          <w:tcPr>
            <w:tcW w:w="1210" w:type="dxa"/>
            <w:tcBorders>
              <w:top w:val="single" w:color="auto" w:sz="4" w:space="0"/>
              <w:left w:val="single" w:color="auto" w:sz="4" w:space="0"/>
              <w:bottom w:val="single" w:color="auto" w:sz="4" w:space="0"/>
              <w:right w:val="single" w:color="auto" w:sz="4" w:space="0"/>
            </w:tcBorders>
            <w:vAlign w:val="center"/>
          </w:tcPr>
          <w:p w14:paraId="04C2D493">
            <w:pPr>
              <w:pageBreakBefore w:val="0"/>
              <w:overflowPunct/>
              <w:topLinePunct w:val="0"/>
              <w:bidi w:val="0"/>
              <w:snapToGrid w:val="0"/>
              <w:spacing w:line="400" w:lineRule="exact"/>
              <w:jc w:val="center"/>
              <w:rPr>
                <w:rFonts w:hint="eastAsia" w:ascii="宋体" w:hAnsi="宋体" w:eastAsia="宋体" w:cs="宋体"/>
                <w:b/>
                <w:bCs/>
                <w:color w:val="auto"/>
              </w:rPr>
            </w:pPr>
          </w:p>
        </w:tc>
        <w:tc>
          <w:tcPr>
            <w:tcW w:w="2427" w:type="dxa"/>
            <w:tcBorders>
              <w:top w:val="single" w:color="auto" w:sz="4" w:space="0"/>
              <w:left w:val="single" w:color="auto" w:sz="4" w:space="0"/>
              <w:bottom w:val="single" w:color="auto" w:sz="4" w:space="0"/>
            </w:tcBorders>
            <w:vAlign w:val="center"/>
          </w:tcPr>
          <w:p w14:paraId="46921635">
            <w:pPr>
              <w:pageBreakBefore w:val="0"/>
              <w:overflowPunct/>
              <w:topLinePunct w:val="0"/>
              <w:bidi w:val="0"/>
              <w:snapToGrid w:val="0"/>
              <w:spacing w:line="400" w:lineRule="exact"/>
              <w:jc w:val="center"/>
              <w:rPr>
                <w:rFonts w:hint="eastAsia" w:ascii="宋体" w:hAnsi="宋体" w:eastAsia="宋体" w:cs="宋体"/>
                <w:b/>
                <w:bCs/>
                <w:color w:val="auto"/>
              </w:rPr>
            </w:pPr>
          </w:p>
        </w:tc>
        <w:tc>
          <w:tcPr>
            <w:tcW w:w="1044" w:type="dxa"/>
            <w:tcBorders>
              <w:top w:val="single" w:color="auto" w:sz="4" w:space="0"/>
              <w:left w:val="single" w:color="auto" w:sz="4" w:space="0"/>
              <w:bottom w:val="single" w:color="auto" w:sz="4" w:space="0"/>
            </w:tcBorders>
            <w:vAlign w:val="center"/>
          </w:tcPr>
          <w:p w14:paraId="76CCF1EC">
            <w:pPr>
              <w:pageBreakBefore w:val="0"/>
              <w:overflowPunct/>
              <w:topLinePunct w:val="0"/>
              <w:bidi w:val="0"/>
              <w:snapToGrid w:val="0"/>
              <w:spacing w:line="400" w:lineRule="exact"/>
              <w:jc w:val="center"/>
              <w:rPr>
                <w:rFonts w:hint="eastAsia" w:ascii="宋体" w:hAnsi="宋体" w:eastAsia="宋体" w:cs="宋体"/>
                <w:b/>
                <w:bCs/>
                <w:color w:val="auto"/>
              </w:rPr>
            </w:pPr>
          </w:p>
        </w:tc>
      </w:tr>
      <w:tr w14:paraId="025980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9" w:type="dxa"/>
            <w:tcBorders>
              <w:top w:val="single" w:color="auto" w:sz="4" w:space="0"/>
              <w:left w:val="single" w:color="auto" w:sz="4" w:space="0"/>
              <w:bottom w:val="single" w:color="auto" w:sz="4" w:space="0"/>
              <w:right w:val="single" w:color="auto" w:sz="4" w:space="0"/>
            </w:tcBorders>
            <w:vAlign w:val="center"/>
          </w:tcPr>
          <w:p w14:paraId="1BD01BB6">
            <w:pPr>
              <w:pageBreakBefore w:val="0"/>
              <w:overflowPunct/>
              <w:topLinePunct w:val="0"/>
              <w:bidi w:val="0"/>
              <w:snapToGrid w:val="0"/>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809" w:type="dxa"/>
            <w:tcBorders>
              <w:top w:val="single" w:color="auto" w:sz="4" w:space="0"/>
              <w:left w:val="single" w:color="auto" w:sz="4" w:space="0"/>
              <w:bottom w:val="single" w:color="auto" w:sz="4" w:space="0"/>
              <w:right w:val="single" w:color="auto" w:sz="4" w:space="0"/>
            </w:tcBorders>
            <w:vAlign w:val="center"/>
          </w:tcPr>
          <w:p w14:paraId="72BC1F26">
            <w:pPr>
              <w:pageBreakBefore w:val="0"/>
              <w:overflowPunct/>
              <w:topLinePunct w:val="0"/>
              <w:bidi w:val="0"/>
              <w:snapToGrid w:val="0"/>
              <w:spacing w:line="400" w:lineRule="exact"/>
              <w:jc w:val="center"/>
              <w:rPr>
                <w:rFonts w:hint="eastAsia" w:ascii="宋体" w:hAnsi="宋体" w:eastAsia="宋体" w:cs="宋体"/>
                <w:color w:val="auto"/>
              </w:rPr>
            </w:pPr>
          </w:p>
        </w:tc>
        <w:tc>
          <w:tcPr>
            <w:tcW w:w="813" w:type="dxa"/>
            <w:tcBorders>
              <w:top w:val="single" w:color="auto" w:sz="4" w:space="0"/>
              <w:left w:val="single" w:color="auto" w:sz="4" w:space="0"/>
              <w:bottom w:val="single" w:color="auto" w:sz="4" w:space="0"/>
              <w:right w:val="single" w:color="auto" w:sz="4" w:space="0"/>
            </w:tcBorders>
            <w:vAlign w:val="center"/>
          </w:tcPr>
          <w:p w14:paraId="42C2BF5F">
            <w:pPr>
              <w:pageBreakBefore w:val="0"/>
              <w:overflowPunct/>
              <w:topLinePunct w:val="0"/>
              <w:bidi w:val="0"/>
              <w:snapToGrid w:val="0"/>
              <w:spacing w:line="400" w:lineRule="exact"/>
              <w:jc w:val="center"/>
              <w:rPr>
                <w:rFonts w:hint="eastAsia" w:ascii="宋体" w:hAnsi="宋体" w:eastAsia="宋体" w:cs="宋体"/>
                <w:color w:val="auto"/>
              </w:rPr>
            </w:pPr>
          </w:p>
        </w:tc>
        <w:tc>
          <w:tcPr>
            <w:tcW w:w="612" w:type="dxa"/>
            <w:tcBorders>
              <w:top w:val="single" w:color="auto" w:sz="4" w:space="0"/>
              <w:left w:val="single" w:color="auto" w:sz="4" w:space="0"/>
              <w:bottom w:val="single" w:color="auto" w:sz="4" w:space="0"/>
              <w:right w:val="single" w:color="auto" w:sz="4" w:space="0"/>
            </w:tcBorders>
            <w:vAlign w:val="center"/>
          </w:tcPr>
          <w:p w14:paraId="59727521">
            <w:pPr>
              <w:pageBreakBefore w:val="0"/>
              <w:overflowPunct/>
              <w:topLinePunct w:val="0"/>
              <w:bidi w:val="0"/>
              <w:snapToGrid w:val="0"/>
              <w:spacing w:line="400" w:lineRule="exact"/>
              <w:jc w:val="center"/>
              <w:rPr>
                <w:rFonts w:hint="eastAsia" w:ascii="宋体" w:hAnsi="宋体" w:eastAsia="宋体" w:cs="宋体"/>
                <w:color w:val="auto"/>
              </w:rPr>
            </w:pPr>
          </w:p>
        </w:tc>
        <w:tc>
          <w:tcPr>
            <w:tcW w:w="837" w:type="dxa"/>
            <w:tcBorders>
              <w:top w:val="single" w:color="auto" w:sz="4" w:space="0"/>
              <w:left w:val="single" w:color="auto" w:sz="4" w:space="0"/>
              <w:bottom w:val="single" w:color="auto" w:sz="4" w:space="0"/>
              <w:right w:val="single" w:color="auto" w:sz="4" w:space="0"/>
            </w:tcBorders>
            <w:vAlign w:val="center"/>
          </w:tcPr>
          <w:p w14:paraId="2A127EED">
            <w:pPr>
              <w:pageBreakBefore w:val="0"/>
              <w:overflowPunct/>
              <w:topLinePunct w:val="0"/>
              <w:bidi w:val="0"/>
              <w:snapToGrid w:val="0"/>
              <w:spacing w:line="400" w:lineRule="exact"/>
              <w:jc w:val="center"/>
              <w:rPr>
                <w:rFonts w:hint="eastAsia" w:ascii="宋体" w:hAnsi="宋体" w:eastAsia="宋体" w:cs="宋体"/>
                <w:color w:val="auto"/>
              </w:rPr>
            </w:pPr>
          </w:p>
        </w:tc>
        <w:tc>
          <w:tcPr>
            <w:tcW w:w="612" w:type="dxa"/>
            <w:tcBorders>
              <w:top w:val="single" w:color="auto" w:sz="4" w:space="0"/>
              <w:left w:val="single" w:color="auto" w:sz="4" w:space="0"/>
              <w:bottom w:val="single" w:color="auto" w:sz="4" w:space="0"/>
              <w:right w:val="single" w:color="auto" w:sz="4" w:space="0"/>
            </w:tcBorders>
            <w:vAlign w:val="center"/>
          </w:tcPr>
          <w:p w14:paraId="72540F2C">
            <w:pPr>
              <w:pageBreakBefore w:val="0"/>
              <w:overflowPunct/>
              <w:topLinePunct w:val="0"/>
              <w:bidi w:val="0"/>
              <w:snapToGrid w:val="0"/>
              <w:spacing w:line="400" w:lineRule="exact"/>
              <w:jc w:val="center"/>
              <w:rPr>
                <w:rFonts w:hint="eastAsia" w:ascii="宋体" w:hAnsi="宋体" w:eastAsia="宋体" w:cs="宋体"/>
                <w:color w:val="auto"/>
                <w:szCs w:val="21"/>
              </w:rPr>
            </w:pPr>
          </w:p>
        </w:tc>
        <w:tc>
          <w:tcPr>
            <w:tcW w:w="612" w:type="dxa"/>
            <w:tcBorders>
              <w:top w:val="single" w:color="auto" w:sz="4" w:space="0"/>
              <w:left w:val="single" w:color="auto" w:sz="4" w:space="0"/>
              <w:bottom w:val="single" w:color="auto" w:sz="4" w:space="0"/>
              <w:right w:val="single" w:color="auto" w:sz="4" w:space="0"/>
            </w:tcBorders>
            <w:vAlign w:val="center"/>
          </w:tcPr>
          <w:p w14:paraId="4F480FCC">
            <w:pPr>
              <w:pageBreakBefore w:val="0"/>
              <w:overflowPunct/>
              <w:topLinePunct w:val="0"/>
              <w:bidi w:val="0"/>
              <w:snapToGrid w:val="0"/>
              <w:spacing w:line="400" w:lineRule="exact"/>
              <w:jc w:val="center"/>
              <w:rPr>
                <w:rFonts w:hint="eastAsia" w:ascii="宋体" w:hAnsi="宋体" w:eastAsia="宋体" w:cs="宋体"/>
                <w:color w:val="auto"/>
                <w:szCs w:val="21"/>
              </w:rPr>
            </w:pPr>
          </w:p>
        </w:tc>
        <w:tc>
          <w:tcPr>
            <w:tcW w:w="1210" w:type="dxa"/>
            <w:tcBorders>
              <w:top w:val="single" w:color="auto" w:sz="4" w:space="0"/>
              <w:left w:val="single" w:color="auto" w:sz="4" w:space="0"/>
              <w:bottom w:val="single" w:color="auto" w:sz="4" w:space="0"/>
              <w:right w:val="single" w:color="auto" w:sz="4" w:space="0"/>
            </w:tcBorders>
            <w:vAlign w:val="center"/>
          </w:tcPr>
          <w:p w14:paraId="1B5F752B">
            <w:pPr>
              <w:pageBreakBefore w:val="0"/>
              <w:overflowPunct/>
              <w:topLinePunct w:val="0"/>
              <w:bidi w:val="0"/>
              <w:snapToGrid w:val="0"/>
              <w:spacing w:line="400" w:lineRule="exact"/>
              <w:jc w:val="center"/>
              <w:rPr>
                <w:rFonts w:hint="eastAsia" w:ascii="宋体" w:hAnsi="宋体" w:eastAsia="宋体" w:cs="宋体"/>
                <w:b/>
                <w:bCs/>
                <w:color w:val="auto"/>
              </w:rPr>
            </w:pPr>
          </w:p>
        </w:tc>
        <w:tc>
          <w:tcPr>
            <w:tcW w:w="2427" w:type="dxa"/>
            <w:tcBorders>
              <w:top w:val="single" w:color="auto" w:sz="4" w:space="0"/>
              <w:left w:val="single" w:color="auto" w:sz="4" w:space="0"/>
              <w:bottom w:val="single" w:color="auto" w:sz="4" w:space="0"/>
            </w:tcBorders>
            <w:vAlign w:val="center"/>
          </w:tcPr>
          <w:p w14:paraId="7CD37157">
            <w:pPr>
              <w:pageBreakBefore w:val="0"/>
              <w:overflowPunct/>
              <w:topLinePunct w:val="0"/>
              <w:bidi w:val="0"/>
              <w:snapToGrid w:val="0"/>
              <w:spacing w:line="400" w:lineRule="exact"/>
              <w:jc w:val="center"/>
              <w:rPr>
                <w:rFonts w:hint="eastAsia" w:ascii="宋体" w:hAnsi="宋体" w:eastAsia="宋体" w:cs="宋体"/>
                <w:b/>
                <w:bCs/>
                <w:color w:val="auto"/>
              </w:rPr>
            </w:pPr>
          </w:p>
        </w:tc>
        <w:tc>
          <w:tcPr>
            <w:tcW w:w="1044" w:type="dxa"/>
            <w:tcBorders>
              <w:top w:val="single" w:color="auto" w:sz="4" w:space="0"/>
              <w:left w:val="single" w:color="auto" w:sz="4" w:space="0"/>
              <w:bottom w:val="single" w:color="auto" w:sz="4" w:space="0"/>
            </w:tcBorders>
            <w:vAlign w:val="center"/>
          </w:tcPr>
          <w:p w14:paraId="3246B3C1">
            <w:pPr>
              <w:pageBreakBefore w:val="0"/>
              <w:overflowPunct/>
              <w:topLinePunct w:val="0"/>
              <w:bidi w:val="0"/>
              <w:snapToGrid w:val="0"/>
              <w:spacing w:line="400" w:lineRule="exact"/>
              <w:jc w:val="center"/>
              <w:rPr>
                <w:rFonts w:hint="eastAsia" w:ascii="宋体" w:hAnsi="宋体" w:eastAsia="宋体" w:cs="宋体"/>
                <w:b/>
                <w:bCs/>
                <w:color w:val="auto"/>
              </w:rPr>
            </w:pPr>
          </w:p>
        </w:tc>
      </w:tr>
      <w:tr w14:paraId="522DC5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9" w:type="dxa"/>
            <w:tcBorders>
              <w:top w:val="single" w:color="auto" w:sz="4" w:space="0"/>
              <w:left w:val="single" w:color="auto" w:sz="4" w:space="0"/>
              <w:bottom w:val="single" w:color="auto" w:sz="4" w:space="0"/>
              <w:right w:val="single" w:color="auto" w:sz="4" w:space="0"/>
            </w:tcBorders>
            <w:vAlign w:val="center"/>
          </w:tcPr>
          <w:p w14:paraId="41CD13D6">
            <w:pPr>
              <w:pageBreakBefore w:val="0"/>
              <w:overflowPunct/>
              <w:topLinePunct w:val="0"/>
              <w:bidi w:val="0"/>
              <w:snapToGrid w:val="0"/>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809" w:type="dxa"/>
            <w:tcBorders>
              <w:top w:val="single" w:color="auto" w:sz="4" w:space="0"/>
              <w:left w:val="single" w:color="auto" w:sz="4" w:space="0"/>
              <w:bottom w:val="single" w:color="auto" w:sz="4" w:space="0"/>
              <w:right w:val="single" w:color="auto" w:sz="4" w:space="0"/>
            </w:tcBorders>
            <w:vAlign w:val="center"/>
          </w:tcPr>
          <w:p w14:paraId="368D1A88">
            <w:pPr>
              <w:pageBreakBefore w:val="0"/>
              <w:overflowPunct/>
              <w:topLinePunct w:val="0"/>
              <w:bidi w:val="0"/>
              <w:snapToGrid w:val="0"/>
              <w:spacing w:line="400" w:lineRule="exact"/>
              <w:jc w:val="center"/>
              <w:rPr>
                <w:rFonts w:hint="eastAsia" w:ascii="宋体" w:hAnsi="宋体" w:eastAsia="宋体" w:cs="宋体"/>
                <w:color w:val="auto"/>
              </w:rPr>
            </w:pPr>
          </w:p>
        </w:tc>
        <w:tc>
          <w:tcPr>
            <w:tcW w:w="813" w:type="dxa"/>
            <w:tcBorders>
              <w:top w:val="single" w:color="auto" w:sz="4" w:space="0"/>
              <w:left w:val="single" w:color="auto" w:sz="4" w:space="0"/>
              <w:bottom w:val="single" w:color="auto" w:sz="4" w:space="0"/>
              <w:right w:val="single" w:color="auto" w:sz="4" w:space="0"/>
            </w:tcBorders>
            <w:vAlign w:val="center"/>
          </w:tcPr>
          <w:p w14:paraId="5FABF3BF">
            <w:pPr>
              <w:pageBreakBefore w:val="0"/>
              <w:overflowPunct/>
              <w:topLinePunct w:val="0"/>
              <w:bidi w:val="0"/>
              <w:snapToGrid w:val="0"/>
              <w:spacing w:line="400" w:lineRule="exact"/>
              <w:jc w:val="center"/>
              <w:rPr>
                <w:rFonts w:hint="eastAsia" w:ascii="宋体" w:hAnsi="宋体" w:eastAsia="宋体" w:cs="宋体"/>
                <w:color w:val="auto"/>
              </w:rPr>
            </w:pPr>
          </w:p>
        </w:tc>
        <w:tc>
          <w:tcPr>
            <w:tcW w:w="612" w:type="dxa"/>
            <w:tcBorders>
              <w:top w:val="single" w:color="auto" w:sz="4" w:space="0"/>
              <w:left w:val="single" w:color="auto" w:sz="4" w:space="0"/>
              <w:bottom w:val="single" w:color="auto" w:sz="4" w:space="0"/>
              <w:right w:val="single" w:color="auto" w:sz="4" w:space="0"/>
            </w:tcBorders>
            <w:vAlign w:val="center"/>
          </w:tcPr>
          <w:p w14:paraId="622DCE03">
            <w:pPr>
              <w:pageBreakBefore w:val="0"/>
              <w:overflowPunct/>
              <w:topLinePunct w:val="0"/>
              <w:bidi w:val="0"/>
              <w:snapToGrid w:val="0"/>
              <w:spacing w:line="400" w:lineRule="exact"/>
              <w:jc w:val="center"/>
              <w:rPr>
                <w:rFonts w:hint="eastAsia" w:ascii="宋体" w:hAnsi="宋体" w:eastAsia="宋体" w:cs="宋体"/>
                <w:color w:val="auto"/>
              </w:rPr>
            </w:pPr>
          </w:p>
        </w:tc>
        <w:tc>
          <w:tcPr>
            <w:tcW w:w="837" w:type="dxa"/>
            <w:tcBorders>
              <w:top w:val="single" w:color="auto" w:sz="4" w:space="0"/>
              <w:left w:val="single" w:color="auto" w:sz="4" w:space="0"/>
              <w:bottom w:val="single" w:color="auto" w:sz="4" w:space="0"/>
              <w:right w:val="single" w:color="auto" w:sz="4" w:space="0"/>
            </w:tcBorders>
            <w:vAlign w:val="center"/>
          </w:tcPr>
          <w:p w14:paraId="46454954">
            <w:pPr>
              <w:pageBreakBefore w:val="0"/>
              <w:overflowPunct/>
              <w:topLinePunct w:val="0"/>
              <w:bidi w:val="0"/>
              <w:snapToGrid w:val="0"/>
              <w:spacing w:line="400" w:lineRule="exact"/>
              <w:jc w:val="center"/>
              <w:rPr>
                <w:rFonts w:hint="eastAsia" w:ascii="宋体" w:hAnsi="宋体" w:eastAsia="宋体" w:cs="宋体"/>
                <w:color w:val="auto"/>
              </w:rPr>
            </w:pPr>
          </w:p>
        </w:tc>
        <w:tc>
          <w:tcPr>
            <w:tcW w:w="612" w:type="dxa"/>
            <w:tcBorders>
              <w:top w:val="single" w:color="auto" w:sz="4" w:space="0"/>
              <w:left w:val="single" w:color="auto" w:sz="4" w:space="0"/>
              <w:bottom w:val="single" w:color="auto" w:sz="4" w:space="0"/>
              <w:right w:val="single" w:color="auto" w:sz="4" w:space="0"/>
            </w:tcBorders>
            <w:vAlign w:val="center"/>
          </w:tcPr>
          <w:p w14:paraId="0D2FD562">
            <w:pPr>
              <w:pageBreakBefore w:val="0"/>
              <w:overflowPunct/>
              <w:topLinePunct w:val="0"/>
              <w:bidi w:val="0"/>
              <w:snapToGrid w:val="0"/>
              <w:spacing w:line="400" w:lineRule="exact"/>
              <w:jc w:val="center"/>
              <w:rPr>
                <w:rFonts w:hint="eastAsia" w:ascii="宋体" w:hAnsi="宋体" w:eastAsia="宋体" w:cs="宋体"/>
                <w:color w:val="auto"/>
                <w:szCs w:val="21"/>
              </w:rPr>
            </w:pPr>
          </w:p>
        </w:tc>
        <w:tc>
          <w:tcPr>
            <w:tcW w:w="612" w:type="dxa"/>
            <w:tcBorders>
              <w:top w:val="single" w:color="auto" w:sz="4" w:space="0"/>
              <w:left w:val="single" w:color="auto" w:sz="4" w:space="0"/>
              <w:bottom w:val="single" w:color="auto" w:sz="4" w:space="0"/>
              <w:right w:val="single" w:color="auto" w:sz="4" w:space="0"/>
            </w:tcBorders>
            <w:vAlign w:val="center"/>
          </w:tcPr>
          <w:p w14:paraId="691F9EB7">
            <w:pPr>
              <w:pageBreakBefore w:val="0"/>
              <w:overflowPunct/>
              <w:topLinePunct w:val="0"/>
              <w:bidi w:val="0"/>
              <w:snapToGrid w:val="0"/>
              <w:spacing w:line="400" w:lineRule="exact"/>
              <w:jc w:val="center"/>
              <w:rPr>
                <w:rFonts w:hint="eastAsia" w:ascii="宋体" w:hAnsi="宋体" w:eastAsia="宋体" w:cs="宋体"/>
                <w:color w:val="auto"/>
                <w:szCs w:val="21"/>
              </w:rPr>
            </w:pPr>
          </w:p>
        </w:tc>
        <w:tc>
          <w:tcPr>
            <w:tcW w:w="1210" w:type="dxa"/>
            <w:tcBorders>
              <w:top w:val="single" w:color="auto" w:sz="4" w:space="0"/>
              <w:left w:val="single" w:color="auto" w:sz="4" w:space="0"/>
              <w:bottom w:val="single" w:color="auto" w:sz="4" w:space="0"/>
              <w:right w:val="single" w:color="auto" w:sz="4" w:space="0"/>
            </w:tcBorders>
            <w:vAlign w:val="center"/>
          </w:tcPr>
          <w:p w14:paraId="72C55412">
            <w:pPr>
              <w:pageBreakBefore w:val="0"/>
              <w:overflowPunct/>
              <w:topLinePunct w:val="0"/>
              <w:bidi w:val="0"/>
              <w:snapToGrid w:val="0"/>
              <w:spacing w:line="400" w:lineRule="exact"/>
              <w:jc w:val="center"/>
              <w:rPr>
                <w:rFonts w:hint="eastAsia" w:ascii="宋体" w:hAnsi="宋体" w:eastAsia="宋体" w:cs="宋体"/>
                <w:b/>
                <w:bCs/>
                <w:color w:val="auto"/>
              </w:rPr>
            </w:pPr>
          </w:p>
        </w:tc>
        <w:tc>
          <w:tcPr>
            <w:tcW w:w="2427" w:type="dxa"/>
            <w:tcBorders>
              <w:top w:val="single" w:color="auto" w:sz="4" w:space="0"/>
              <w:left w:val="single" w:color="auto" w:sz="4" w:space="0"/>
              <w:bottom w:val="single" w:color="auto" w:sz="4" w:space="0"/>
            </w:tcBorders>
            <w:vAlign w:val="center"/>
          </w:tcPr>
          <w:p w14:paraId="66887810">
            <w:pPr>
              <w:pageBreakBefore w:val="0"/>
              <w:overflowPunct/>
              <w:topLinePunct w:val="0"/>
              <w:bidi w:val="0"/>
              <w:snapToGrid w:val="0"/>
              <w:spacing w:line="400" w:lineRule="exact"/>
              <w:jc w:val="center"/>
              <w:rPr>
                <w:rFonts w:hint="eastAsia" w:ascii="宋体" w:hAnsi="宋体" w:eastAsia="宋体" w:cs="宋体"/>
                <w:b/>
                <w:bCs/>
                <w:color w:val="auto"/>
              </w:rPr>
            </w:pPr>
          </w:p>
        </w:tc>
        <w:tc>
          <w:tcPr>
            <w:tcW w:w="1044" w:type="dxa"/>
            <w:tcBorders>
              <w:top w:val="single" w:color="auto" w:sz="4" w:space="0"/>
              <w:left w:val="single" w:color="auto" w:sz="4" w:space="0"/>
              <w:bottom w:val="single" w:color="auto" w:sz="4" w:space="0"/>
            </w:tcBorders>
            <w:vAlign w:val="center"/>
          </w:tcPr>
          <w:p w14:paraId="65DFD9EF">
            <w:pPr>
              <w:pageBreakBefore w:val="0"/>
              <w:overflowPunct/>
              <w:topLinePunct w:val="0"/>
              <w:bidi w:val="0"/>
              <w:snapToGrid w:val="0"/>
              <w:spacing w:line="400" w:lineRule="exact"/>
              <w:jc w:val="center"/>
              <w:rPr>
                <w:rFonts w:hint="eastAsia" w:ascii="宋体" w:hAnsi="宋体" w:eastAsia="宋体" w:cs="宋体"/>
                <w:b/>
                <w:bCs/>
                <w:color w:val="auto"/>
              </w:rPr>
            </w:pPr>
          </w:p>
        </w:tc>
      </w:tr>
      <w:tr w14:paraId="123FB1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615" w:type="dxa"/>
            <w:gridSpan w:val="10"/>
            <w:tcBorders>
              <w:top w:val="single" w:color="auto" w:sz="4" w:space="0"/>
              <w:left w:val="single" w:color="auto" w:sz="4" w:space="0"/>
              <w:bottom w:val="single" w:color="auto" w:sz="4" w:space="0"/>
            </w:tcBorders>
            <w:vAlign w:val="center"/>
          </w:tcPr>
          <w:p w14:paraId="13FC64F2">
            <w:pPr>
              <w:pageBreakBefore w:val="0"/>
              <w:overflowPunct/>
              <w:topLinePunct w:val="0"/>
              <w:bidi w:val="0"/>
              <w:snapToGrid w:val="0"/>
              <w:spacing w:line="400" w:lineRule="exact"/>
              <w:rPr>
                <w:rFonts w:hint="eastAsia" w:ascii="宋体" w:hAnsi="宋体" w:eastAsia="宋体" w:cs="宋体"/>
                <w:color w:val="auto"/>
                <w:spacing w:val="-6"/>
                <w:lang w:val="en-US" w:eastAsia="zh-CN"/>
              </w:rPr>
            </w:pPr>
            <w:r>
              <w:rPr>
                <w:rFonts w:hint="eastAsia" w:ascii="宋体" w:hAnsi="宋体" w:eastAsia="宋体" w:cs="宋体"/>
                <w:color w:val="auto"/>
                <w:spacing w:val="-6"/>
                <w:lang w:val="en-US" w:eastAsia="zh-CN"/>
              </w:rPr>
              <w:t>谈判</w:t>
            </w:r>
            <w:r>
              <w:rPr>
                <w:rFonts w:hint="eastAsia" w:ascii="宋体" w:hAnsi="宋体" w:eastAsia="宋体" w:cs="宋体"/>
                <w:color w:val="auto"/>
                <w:spacing w:val="-6"/>
              </w:rPr>
              <w:t>总报价（大写）：                  元（￥                      ）人民币</w:t>
            </w:r>
          </w:p>
        </w:tc>
      </w:tr>
      <w:tr w14:paraId="25F356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615" w:type="dxa"/>
            <w:gridSpan w:val="10"/>
            <w:tcBorders>
              <w:top w:val="single" w:color="auto" w:sz="4" w:space="0"/>
              <w:left w:val="single" w:color="auto" w:sz="4" w:space="0"/>
              <w:bottom w:val="single" w:color="auto" w:sz="4" w:space="0"/>
            </w:tcBorders>
            <w:vAlign w:val="center"/>
          </w:tcPr>
          <w:p w14:paraId="15D1F7F2">
            <w:pPr>
              <w:pageBreakBefore w:val="0"/>
              <w:overflowPunct/>
              <w:topLinePunct w:val="0"/>
              <w:bidi w:val="0"/>
              <w:snapToGrid w:val="0"/>
              <w:spacing w:line="400" w:lineRule="exact"/>
              <w:rPr>
                <w:rFonts w:hint="eastAsia" w:ascii="宋体" w:hAnsi="宋体" w:eastAsia="宋体" w:cs="宋体"/>
                <w:color w:val="auto"/>
                <w:spacing w:val="-6"/>
              </w:rPr>
            </w:pPr>
            <w:r>
              <w:rPr>
                <w:rFonts w:hint="eastAsia" w:ascii="宋体" w:hAnsi="宋体" w:eastAsia="宋体" w:cs="宋体"/>
                <w:color w:val="auto"/>
                <w:spacing w:val="-6"/>
              </w:rPr>
              <w:t>交付用时间：</w:t>
            </w:r>
          </w:p>
        </w:tc>
      </w:tr>
      <w:tr w14:paraId="5B7A7E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615" w:type="dxa"/>
            <w:gridSpan w:val="10"/>
            <w:tcBorders>
              <w:top w:val="single" w:color="auto" w:sz="4" w:space="0"/>
              <w:left w:val="single" w:color="auto" w:sz="4" w:space="0"/>
              <w:bottom w:val="single" w:color="auto" w:sz="4" w:space="0"/>
            </w:tcBorders>
            <w:vAlign w:val="center"/>
          </w:tcPr>
          <w:p w14:paraId="45B734C3">
            <w:pPr>
              <w:pageBreakBefore w:val="0"/>
              <w:overflowPunct/>
              <w:topLinePunct w:val="0"/>
              <w:bidi w:val="0"/>
              <w:snapToGrid w:val="0"/>
              <w:spacing w:line="400" w:lineRule="exact"/>
              <w:rPr>
                <w:rFonts w:hint="eastAsia" w:ascii="宋体" w:hAnsi="宋体" w:eastAsia="宋体" w:cs="宋体"/>
                <w:color w:val="auto"/>
                <w:spacing w:val="-6"/>
              </w:rPr>
            </w:pPr>
            <w:r>
              <w:rPr>
                <w:rFonts w:hint="eastAsia" w:ascii="宋体" w:hAnsi="宋体" w:eastAsia="宋体" w:cs="宋体"/>
                <w:b w:val="0"/>
                <w:bCs w:val="0"/>
                <w:snapToGrid w:val="0"/>
                <w:color w:val="auto"/>
                <w:kern w:val="2"/>
                <w:sz w:val="21"/>
                <w:szCs w:val="21"/>
                <w:lang w:val="en-US" w:eastAsia="zh-CN" w:bidi="ar-SA"/>
              </w:rPr>
              <w:t>交货地点：</w:t>
            </w:r>
          </w:p>
        </w:tc>
      </w:tr>
      <w:tr w14:paraId="35D389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615" w:type="dxa"/>
            <w:gridSpan w:val="10"/>
            <w:tcBorders>
              <w:top w:val="single" w:color="auto" w:sz="4" w:space="0"/>
              <w:left w:val="single" w:color="auto" w:sz="4" w:space="0"/>
              <w:bottom w:val="single" w:color="auto" w:sz="4" w:space="0"/>
            </w:tcBorders>
            <w:vAlign w:val="center"/>
          </w:tcPr>
          <w:p w14:paraId="209D0E05">
            <w:pPr>
              <w:pageBreakBefore w:val="0"/>
              <w:overflowPunct/>
              <w:topLinePunct w:val="0"/>
              <w:bidi w:val="0"/>
              <w:snapToGrid w:val="0"/>
              <w:spacing w:line="400" w:lineRule="exact"/>
              <w:rPr>
                <w:rFonts w:hint="eastAsia" w:ascii="宋体" w:hAnsi="宋体" w:eastAsia="宋体" w:cs="宋体"/>
                <w:color w:val="auto"/>
                <w:spacing w:val="-6"/>
              </w:rPr>
            </w:pPr>
            <w:r>
              <w:rPr>
                <w:rFonts w:hint="eastAsia" w:ascii="宋体" w:hAnsi="宋体" w:eastAsia="宋体" w:cs="宋体"/>
                <w:b w:val="0"/>
                <w:bCs w:val="0"/>
                <w:snapToGrid w:val="0"/>
                <w:color w:val="auto"/>
                <w:sz w:val="21"/>
                <w:szCs w:val="21"/>
                <w:lang w:val="en-US" w:eastAsia="en-US" w:bidi="ar-SA"/>
              </w:rPr>
              <w:t>质量保证期</w:t>
            </w:r>
            <w:r>
              <w:rPr>
                <w:rFonts w:hint="eastAsia" w:ascii="宋体" w:hAnsi="宋体" w:eastAsia="宋体" w:cs="宋体"/>
                <w:color w:val="auto"/>
                <w:spacing w:val="-6"/>
              </w:rPr>
              <w:t>：</w:t>
            </w:r>
          </w:p>
        </w:tc>
      </w:tr>
      <w:tr w14:paraId="2DF0DA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615" w:type="dxa"/>
            <w:gridSpan w:val="10"/>
            <w:tcBorders>
              <w:top w:val="single" w:color="auto" w:sz="4" w:space="0"/>
              <w:left w:val="single" w:color="auto" w:sz="4" w:space="0"/>
              <w:bottom w:val="single" w:color="auto" w:sz="4" w:space="0"/>
            </w:tcBorders>
            <w:vAlign w:val="center"/>
          </w:tcPr>
          <w:p w14:paraId="2B11BA48">
            <w:pPr>
              <w:pageBreakBefore w:val="0"/>
              <w:overflowPunct/>
              <w:topLinePunct w:val="0"/>
              <w:bidi w:val="0"/>
              <w:snapToGrid w:val="0"/>
              <w:spacing w:line="400" w:lineRule="exact"/>
              <w:rPr>
                <w:rFonts w:hint="eastAsia" w:ascii="宋体" w:hAnsi="宋体" w:eastAsia="宋体" w:cs="宋体"/>
                <w:color w:val="auto"/>
                <w:spacing w:val="-6"/>
                <w:szCs w:val="21"/>
              </w:rPr>
            </w:pPr>
            <w:r>
              <w:rPr>
                <w:rFonts w:hint="eastAsia" w:ascii="宋体" w:hAnsi="宋体" w:eastAsia="宋体" w:cs="宋体"/>
                <w:color w:val="auto"/>
                <w:spacing w:val="-6"/>
                <w:szCs w:val="21"/>
              </w:rPr>
              <w:t>其中：</w:t>
            </w:r>
          </w:p>
          <w:p w14:paraId="22FF66EA">
            <w:pPr>
              <w:pageBreakBefore w:val="0"/>
              <w:overflowPunct/>
              <w:topLinePunct w:val="0"/>
              <w:bidi w:val="0"/>
              <w:snapToGrid w:val="0"/>
              <w:spacing w:line="400" w:lineRule="exact"/>
              <w:rPr>
                <w:rFonts w:hint="eastAsia" w:ascii="宋体" w:hAnsi="宋体" w:eastAsia="宋体" w:cs="宋体"/>
                <w:color w:val="auto"/>
                <w:spacing w:val="-6"/>
                <w:szCs w:val="21"/>
              </w:rPr>
            </w:pPr>
            <w:r>
              <w:rPr>
                <w:rFonts w:hint="eastAsia" w:ascii="宋体" w:hAnsi="宋体" w:eastAsia="宋体" w:cs="宋体"/>
                <w:color w:val="auto"/>
                <w:spacing w:val="-6"/>
                <w:szCs w:val="21"/>
              </w:rPr>
              <w:t>属于财政部</w:t>
            </w:r>
            <w:r>
              <w:rPr>
                <w:rFonts w:hint="eastAsia" w:ascii="宋体" w:hAnsi="宋体" w:eastAsia="宋体" w:cs="宋体"/>
                <w:bCs/>
                <w:color w:val="auto"/>
              </w:rPr>
              <w:t>《节能产品政府采购品目清单》</w:t>
            </w:r>
            <w:r>
              <w:rPr>
                <w:rFonts w:hint="eastAsia" w:ascii="宋体" w:hAnsi="宋体" w:eastAsia="宋体" w:cs="宋体"/>
                <w:color w:val="auto"/>
                <w:spacing w:val="-6"/>
                <w:szCs w:val="21"/>
              </w:rPr>
              <w:t>内产品的总金额为人民币（大写）：</w:t>
            </w:r>
            <w:r>
              <w:rPr>
                <w:rFonts w:hint="eastAsia" w:ascii="宋体" w:hAnsi="宋体" w:eastAsia="宋体" w:cs="宋体"/>
                <w:color w:val="auto"/>
                <w:spacing w:val="-6"/>
                <w:szCs w:val="21"/>
                <w:u w:val="single"/>
              </w:rPr>
              <w:t xml:space="preserve">               元（￥            ）</w:t>
            </w:r>
            <w:r>
              <w:rPr>
                <w:rFonts w:hint="eastAsia" w:ascii="宋体" w:hAnsi="宋体" w:eastAsia="宋体" w:cs="宋体"/>
                <w:color w:val="auto"/>
                <w:spacing w:val="-6"/>
                <w:szCs w:val="21"/>
              </w:rPr>
              <w:t>；</w:t>
            </w:r>
          </w:p>
          <w:p w14:paraId="16B9980C">
            <w:pPr>
              <w:pageBreakBefore w:val="0"/>
              <w:overflowPunct/>
              <w:topLinePunct w:val="0"/>
              <w:bidi w:val="0"/>
              <w:snapToGrid w:val="0"/>
              <w:spacing w:line="400" w:lineRule="exact"/>
              <w:rPr>
                <w:rFonts w:hint="eastAsia" w:ascii="宋体" w:hAnsi="宋体" w:eastAsia="宋体" w:cs="宋体"/>
                <w:color w:val="auto"/>
                <w:spacing w:val="-6"/>
                <w:szCs w:val="21"/>
              </w:rPr>
            </w:pPr>
            <w:r>
              <w:rPr>
                <w:rFonts w:hint="eastAsia" w:ascii="宋体" w:hAnsi="宋体" w:eastAsia="宋体" w:cs="宋体"/>
                <w:color w:val="auto"/>
                <w:spacing w:val="-6"/>
                <w:szCs w:val="21"/>
              </w:rPr>
              <w:t>属于财政部</w:t>
            </w:r>
            <w:r>
              <w:rPr>
                <w:rFonts w:hint="eastAsia" w:ascii="宋体" w:hAnsi="宋体" w:eastAsia="宋体" w:cs="宋体"/>
                <w:bCs/>
                <w:color w:val="auto"/>
              </w:rPr>
              <w:t>《环境标志产品政府采购品目清单》</w:t>
            </w:r>
            <w:r>
              <w:rPr>
                <w:rFonts w:hint="eastAsia" w:ascii="宋体" w:hAnsi="宋体" w:eastAsia="宋体" w:cs="宋体"/>
                <w:color w:val="auto"/>
                <w:spacing w:val="-6"/>
                <w:szCs w:val="21"/>
              </w:rPr>
              <w:t>内产品的总金额为人民币（大写）：</w:t>
            </w:r>
            <w:r>
              <w:rPr>
                <w:rFonts w:hint="eastAsia" w:ascii="宋体" w:hAnsi="宋体" w:eastAsia="宋体" w:cs="宋体"/>
                <w:color w:val="auto"/>
                <w:spacing w:val="-6"/>
                <w:szCs w:val="21"/>
                <w:u w:val="single"/>
              </w:rPr>
              <w:t xml:space="preserve">                   元（￥             ）</w:t>
            </w:r>
            <w:r>
              <w:rPr>
                <w:rFonts w:hint="eastAsia" w:ascii="宋体" w:hAnsi="宋体" w:eastAsia="宋体" w:cs="宋体"/>
                <w:color w:val="auto"/>
                <w:spacing w:val="-6"/>
                <w:szCs w:val="21"/>
              </w:rPr>
              <w:t>。</w:t>
            </w:r>
          </w:p>
          <w:p w14:paraId="56A45F62">
            <w:pPr>
              <w:pageBreakBefore w:val="0"/>
              <w:overflowPunct/>
              <w:topLinePunct w:val="0"/>
              <w:bidi w:val="0"/>
              <w:snapToGrid w:val="0"/>
              <w:spacing w:line="400" w:lineRule="exact"/>
              <w:rPr>
                <w:rFonts w:hint="eastAsia" w:ascii="宋体" w:hAnsi="宋体" w:eastAsia="宋体" w:cs="宋体"/>
                <w:b/>
                <w:color w:val="auto"/>
                <w:spacing w:val="-6"/>
                <w:szCs w:val="21"/>
              </w:rPr>
            </w:pPr>
            <w:r>
              <w:rPr>
                <w:rFonts w:hint="eastAsia" w:ascii="宋体" w:hAnsi="宋体" w:eastAsia="宋体" w:cs="宋体"/>
                <w:b/>
                <w:color w:val="auto"/>
                <w:spacing w:val="-6"/>
                <w:szCs w:val="21"/>
              </w:rPr>
              <w:t>备注：若不属于财政部《节能产品政府采购品目清单》及《环境标志产品政府采购品目清单》内产品的，则该处填写“无”字样。</w:t>
            </w:r>
          </w:p>
        </w:tc>
      </w:tr>
      <w:tr w14:paraId="79484F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615" w:type="dxa"/>
            <w:gridSpan w:val="10"/>
            <w:tcBorders>
              <w:top w:val="single" w:color="auto" w:sz="4" w:space="0"/>
              <w:left w:val="single" w:color="auto" w:sz="4" w:space="0"/>
              <w:bottom w:val="single" w:color="auto" w:sz="4" w:space="0"/>
            </w:tcBorders>
            <w:vAlign w:val="center"/>
          </w:tcPr>
          <w:p w14:paraId="4A4F0280">
            <w:pPr>
              <w:pageBreakBefore w:val="0"/>
              <w:overflowPunct/>
              <w:topLinePunct w:val="0"/>
              <w:bidi w:val="0"/>
              <w:snapToGrid w:val="0"/>
              <w:spacing w:line="400" w:lineRule="exact"/>
              <w:rPr>
                <w:rFonts w:hint="eastAsia" w:ascii="宋体" w:hAnsi="宋体" w:eastAsia="宋体" w:cs="宋体"/>
                <w:color w:val="auto"/>
              </w:rPr>
            </w:pPr>
            <w:r>
              <w:rPr>
                <w:rFonts w:hint="eastAsia" w:ascii="宋体" w:hAnsi="宋体" w:eastAsia="宋体" w:cs="宋体"/>
                <w:color w:val="auto"/>
              </w:rPr>
              <w:t>说明</w:t>
            </w:r>
            <w:r>
              <w:rPr>
                <w:rFonts w:hint="eastAsia" w:ascii="宋体" w:hAnsi="宋体" w:eastAsia="宋体" w:cs="宋体"/>
                <w:b/>
                <w:bCs/>
                <w:color w:val="auto"/>
              </w:rPr>
              <w:t>：</w:t>
            </w:r>
            <w:r>
              <w:rPr>
                <w:rFonts w:hint="eastAsia" w:ascii="宋体" w:hAnsi="宋体" w:eastAsia="宋体" w:cs="宋体"/>
                <w:color w:val="auto"/>
              </w:rPr>
              <w:t>供应商</w:t>
            </w:r>
            <w:r>
              <w:rPr>
                <w:rFonts w:hint="eastAsia" w:ascii="宋体" w:hAnsi="宋体" w:eastAsia="宋体" w:cs="宋体"/>
                <w:color w:val="auto"/>
                <w:lang w:val="en-US" w:eastAsia="zh-CN"/>
              </w:rPr>
              <w:t>谈判</w:t>
            </w:r>
            <w:r>
              <w:rPr>
                <w:rFonts w:hint="eastAsia" w:ascii="宋体" w:hAnsi="宋体" w:eastAsia="宋体" w:cs="宋体"/>
                <w:color w:val="auto"/>
              </w:rPr>
              <w:t>报价包括本次采购范围内货物价款、货物随配标准附件、包装、运输、装卸、保险、税金、货到位以及安装、安装所需辅材、调试、检验、售后服务、培训、保修及其他所有成本费用的总和；供应商综合考虑在报价中。</w:t>
            </w:r>
          </w:p>
        </w:tc>
      </w:tr>
    </w:tbl>
    <w:p w14:paraId="149EA574">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供应商</w:t>
      </w:r>
      <w:r>
        <w:rPr>
          <w:rFonts w:hint="eastAsia" w:ascii="宋体" w:hAnsi="宋体" w:eastAsia="宋体" w:cs="宋体"/>
          <w:b/>
          <w:bCs/>
          <w:color w:val="auto"/>
          <w:highlight w:val="none"/>
          <w:lang w:eastAsia="zh-CN"/>
        </w:rPr>
        <w:t>（CA证书签章）</w:t>
      </w:r>
      <w:r>
        <w:rPr>
          <w:rFonts w:hint="eastAsia" w:ascii="宋体" w:hAnsi="宋体" w:eastAsia="宋体" w:cs="宋体"/>
          <w:color w:val="auto"/>
          <w:highlight w:val="none"/>
          <w:lang w:eastAsia="zh-CN"/>
        </w:rPr>
        <w:t>：</w:t>
      </w:r>
    </w:p>
    <w:p w14:paraId="58AD3760">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法定代表人(负责人、自然人)或委托代理人签字</w:t>
      </w:r>
      <w:r>
        <w:rPr>
          <w:rFonts w:hint="eastAsia" w:ascii="宋体" w:hAnsi="宋体" w:eastAsia="宋体" w:cs="宋体"/>
          <w:b/>
          <w:bCs/>
          <w:color w:val="auto"/>
          <w:highlight w:val="none"/>
          <w:lang w:eastAsia="zh-CN"/>
        </w:rPr>
        <w:t>（或个人CA证书签章）</w:t>
      </w:r>
      <w:r>
        <w:rPr>
          <w:rFonts w:hint="eastAsia" w:ascii="宋体" w:hAnsi="宋体" w:eastAsia="宋体" w:cs="宋体"/>
          <w:color w:val="auto"/>
          <w:highlight w:val="none"/>
          <w:lang w:eastAsia="zh-CN"/>
        </w:rPr>
        <w:t>：</w:t>
      </w:r>
    </w:p>
    <w:p w14:paraId="3CCD86A6">
      <w:pPr>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日          期：</w:t>
      </w:r>
    </w:p>
    <w:p w14:paraId="1F8612AE">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4579936A">
      <w:pPr>
        <w:pageBreakBefore w:val="0"/>
        <w:widowControl w:val="0"/>
        <w:overflowPunct/>
        <w:topLinePunct w:val="0"/>
        <w:bidi w:val="0"/>
        <w:spacing w:line="400" w:lineRule="exact"/>
        <w:ind w:firstLine="402" w:firstLineChars="200"/>
        <w:rPr>
          <w:rFonts w:hint="eastAsia" w:ascii="宋体" w:hAnsi="宋体" w:eastAsia="宋体" w:cs="宋体"/>
          <w:color w:val="auto"/>
          <w:sz w:val="20"/>
          <w:szCs w:val="20"/>
          <w:highlight w:val="none"/>
          <w:lang w:eastAsia="zh-CN"/>
        </w:rPr>
      </w:pPr>
      <w:r>
        <w:rPr>
          <w:rFonts w:hint="eastAsia" w:ascii="宋体" w:hAnsi="宋体" w:eastAsia="宋体" w:cs="宋体"/>
          <w:b/>
          <w:bCs/>
          <w:color w:val="auto"/>
          <w:sz w:val="20"/>
          <w:szCs w:val="20"/>
          <w:highlight w:val="none"/>
          <w:lang w:eastAsia="zh-CN"/>
        </w:rPr>
        <w:t>注：</w:t>
      </w:r>
    </w:p>
    <w:p w14:paraId="433356AC">
      <w:pPr>
        <w:pageBreakBefore w:val="0"/>
        <w:widowControl w:val="0"/>
        <w:overflowPunct/>
        <w:topLinePunct w:val="0"/>
        <w:bidi w:val="0"/>
        <w:spacing w:line="400" w:lineRule="exact"/>
        <w:ind w:firstLine="402" w:firstLineChars="200"/>
        <w:rPr>
          <w:rFonts w:hint="eastAsia" w:ascii="宋体" w:hAnsi="宋体" w:eastAsia="宋体" w:cs="宋体"/>
          <w:color w:val="auto"/>
          <w:sz w:val="20"/>
          <w:szCs w:val="20"/>
          <w:highlight w:val="none"/>
          <w:lang w:eastAsia="zh-CN"/>
        </w:rPr>
      </w:pPr>
      <w:r>
        <w:rPr>
          <w:rFonts w:hint="eastAsia" w:ascii="宋体" w:hAnsi="宋体" w:eastAsia="宋体" w:cs="宋体"/>
          <w:b/>
          <w:bCs/>
          <w:color w:val="auto"/>
          <w:sz w:val="20"/>
          <w:szCs w:val="20"/>
          <w:highlight w:val="none"/>
          <w:lang w:eastAsia="zh-CN"/>
        </w:rPr>
        <w:t>1.</w:t>
      </w:r>
      <w:r>
        <w:rPr>
          <w:rFonts w:hint="eastAsia" w:ascii="宋体" w:hAnsi="宋体" w:eastAsia="宋体" w:cs="宋体"/>
          <w:color w:val="auto"/>
          <w:sz w:val="20"/>
          <w:szCs w:val="20"/>
          <w:highlight w:val="none"/>
          <w:lang w:eastAsia="zh-CN"/>
        </w:rPr>
        <w:t xml:space="preserve"> </w:t>
      </w:r>
      <w:r>
        <w:rPr>
          <w:rFonts w:hint="eastAsia" w:ascii="宋体" w:hAnsi="宋体" w:eastAsia="宋体" w:cs="宋体"/>
          <w:b/>
          <w:bCs/>
          <w:color w:val="auto"/>
          <w:sz w:val="20"/>
          <w:szCs w:val="20"/>
          <w:highlight w:val="none"/>
          <w:lang w:eastAsia="zh-CN"/>
        </w:rPr>
        <w:t>供应商必须就“采购需求”中的全部内容作完整唯一报价，响应文件只允许有一个报价方案，有选择的或有条件的报价将不予接受。</w:t>
      </w:r>
    </w:p>
    <w:p w14:paraId="37E86ECB">
      <w:pPr>
        <w:pageBreakBefore w:val="0"/>
        <w:widowControl w:val="0"/>
        <w:overflowPunct/>
        <w:topLinePunct w:val="0"/>
        <w:bidi w:val="0"/>
        <w:spacing w:line="400" w:lineRule="exact"/>
        <w:ind w:firstLine="402" w:firstLineChars="200"/>
        <w:rPr>
          <w:rFonts w:hint="eastAsia" w:ascii="宋体" w:hAnsi="宋体" w:eastAsia="宋体" w:cs="宋体"/>
          <w:color w:val="auto"/>
          <w:sz w:val="20"/>
          <w:szCs w:val="20"/>
          <w:highlight w:val="none"/>
          <w:lang w:eastAsia="zh-CN"/>
        </w:rPr>
      </w:pPr>
      <w:r>
        <w:rPr>
          <w:rFonts w:hint="eastAsia" w:ascii="宋体" w:hAnsi="宋体" w:eastAsia="宋体" w:cs="宋体"/>
          <w:b/>
          <w:bCs/>
          <w:color w:val="auto"/>
          <w:sz w:val="20"/>
          <w:szCs w:val="20"/>
          <w:highlight w:val="none"/>
          <w:lang w:eastAsia="zh-CN"/>
        </w:rPr>
        <w:t>2.供应商应如实填写谈判报价表的各项内容，否则，响应无效。</w:t>
      </w:r>
    </w:p>
    <w:p w14:paraId="2D361CD0">
      <w:pPr>
        <w:pageBreakBefore w:val="0"/>
        <w:widowControl w:val="0"/>
        <w:overflowPunct/>
        <w:topLinePunct w:val="0"/>
        <w:bidi w:val="0"/>
        <w:spacing w:line="400" w:lineRule="exact"/>
        <w:ind w:firstLine="402" w:firstLineChars="200"/>
        <w:rPr>
          <w:rFonts w:hint="eastAsia" w:ascii="宋体" w:hAnsi="宋体" w:eastAsia="宋体" w:cs="宋体"/>
          <w:color w:val="auto"/>
          <w:sz w:val="20"/>
          <w:szCs w:val="20"/>
          <w:highlight w:val="none"/>
          <w:lang w:eastAsia="zh-CN"/>
        </w:rPr>
      </w:pPr>
      <w:r>
        <w:rPr>
          <w:rFonts w:hint="eastAsia" w:ascii="宋体" w:hAnsi="宋体" w:eastAsia="宋体" w:cs="宋体"/>
          <w:b/>
          <w:bCs/>
          <w:color w:val="auto"/>
          <w:sz w:val="20"/>
          <w:szCs w:val="20"/>
          <w:highlight w:val="none"/>
          <w:lang w:eastAsia="zh-CN"/>
        </w:rPr>
        <w:t>3.谈判报价表由多页构成时，须由法定代表人(负责人、自然人)或相应的委托代理人签字（或个人CA证书签章）加盖供应商公章（CA证书签章）。</w:t>
      </w:r>
    </w:p>
    <w:p w14:paraId="693D23D4">
      <w:pPr>
        <w:pageBreakBefore w:val="0"/>
        <w:widowControl w:val="0"/>
        <w:overflowPunct/>
        <w:topLinePunct w:val="0"/>
        <w:bidi w:val="0"/>
        <w:spacing w:line="400" w:lineRule="exact"/>
        <w:ind w:firstLine="400" w:firstLineChars="200"/>
        <w:rPr>
          <w:rFonts w:hint="eastAsia" w:ascii="宋体" w:hAnsi="宋体" w:eastAsia="宋体" w:cs="宋体"/>
          <w:color w:val="auto"/>
          <w:sz w:val="20"/>
          <w:szCs w:val="20"/>
          <w:highlight w:val="none"/>
          <w:lang w:eastAsia="zh-CN"/>
        </w:rPr>
        <w:sectPr>
          <w:footerReference r:id="rId17" w:type="default"/>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p w14:paraId="7B8598B5">
      <w:pPr>
        <w:pageBreakBefore w:val="0"/>
        <w:tabs>
          <w:tab w:val="left" w:pos="1305"/>
        </w:tabs>
        <w:overflowPunct/>
        <w:topLinePunct w:val="0"/>
        <w:bidi w:val="0"/>
        <w:spacing w:line="400" w:lineRule="exact"/>
        <w:rPr>
          <w:rFonts w:hint="eastAsia" w:ascii="宋体" w:hAnsi="宋体" w:eastAsia="宋体" w:cs="宋体"/>
          <w:b/>
          <w:color w:val="auto"/>
          <w:kern w:val="0"/>
          <w:sz w:val="28"/>
          <w:szCs w:val="28"/>
          <w:lang w:val="en-US" w:eastAsia="zh-CN" w:bidi="ar-SA"/>
        </w:rPr>
      </w:pPr>
      <w:r>
        <w:rPr>
          <w:rFonts w:hint="eastAsia" w:ascii="宋体" w:hAnsi="宋体" w:eastAsia="宋体" w:cs="宋体"/>
          <w:b/>
          <w:color w:val="auto"/>
          <w:kern w:val="0"/>
          <w:sz w:val="28"/>
          <w:szCs w:val="28"/>
          <w:lang w:val="en-US" w:eastAsia="zh-CN" w:bidi="ar-SA"/>
        </w:rPr>
        <w:t>3.技术规格偏离表（必须提供）；</w:t>
      </w:r>
    </w:p>
    <w:p w14:paraId="344F016C">
      <w:pPr>
        <w:pageBreakBefore w:val="0"/>
        <w:overflowPunct/>
        <w:topLinePunct w:val="0"/>
        <w:bidi w:val="0"/>
        <w:spacing w:line="400" w:lineRule="exact"/>
        <w:rPr>
          <w:rFonts w:hint="eastAsia" w:ascii="宋体" w:hAnsi="宋体" w:eastAsia="宋体" w:cs="宋体"/>
          <w:b/>
          <w:color w:val="auto"/>
          <w:sz w:val="30"/>
          <w:szCs w:val="30"/>
        </w:rPr>
      </w:pPr>
      <w:r>
        <w:rPr>
          <w:rFonts w:hint="eastAsia" w:ascii="宋体" w:hAnsi="宋体" w:eastAsia="宋体" w:cs="宋体"/>
          <w:b/>
          <w:color w:val="auto"/>
          <w:sz w:val="30"/>
          <w:szCs w:val="30"/>
        </w:rPr>
        <w:t>附件：</w:t>
      </w:r>
    </w:p>
    <w:p w14:paraId="45BFC0C8">
      <w:pPr>
        <w:pStyle w:val="11"/>
        <w:pageBreakBefore w:val="0"/>
        <w:overflowPunct/>
        <w:topLinePunct w:val="0"/>
        <w:bidi w:val="0"/>
        <w:spacing w:line="400" w:lineRule="exact"/>
        <w:jc w:val="center"/>
        <w:rPr>
          <w:rFonts w:hint="eastAsia" w:ascii="宋体" w:hAnsi="宋体" w:eastAsia="宋体" w:cs="宋体"/>
          <w:b/>
          <w:bCs/>
          <w:color w:val="auto"/>
          <w:sz w:val="32"/>
        </w:rPr>
      </w:pPr>
      <w:r>
        <w:rPr>
          <w:rFonts w:hint="eastAsia" w:ascii="宋体" w:hAnsi="宋体" w:eastAsia="宋体" w:cs="宋体"/>
          <w:b/>
          <w:color w:val="auto"/>
          <w:sz w:val="32"/>
          <w:szCs w:val="32"/>
        </w:rPr>
        <w:t>技术规格偏离表</w:t>
      </w:r>
      <w:r>
        <w:rPr>
          <w:rFonts w:hint="eastAsia" w:ascii="宋体" w:hAnsi="宋体" w:eastAsia="宋体" w:cs="宋体"/>
          <w:b/>
          <w:bCs/>
          <w:color w:val="auto"/>
          <w:sz w:val="32"/>
        </w:rPr>
        <w:t>（格式）</w:t>
      </w:r>
    </w:p>
    <w:tbl>
      <w:tblPr>
        <w:tblStyle w:val="20"/>
        <w:tblW w:w="9774" w:type="dxa"/>
        <w:tblInd w:w="-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1651"/>
        <w:gridCol w:w="2489"/>
        <w:gridCol w:w="2520"/>
        <w:gridCol w:w="2106"/>
      </w:tblGrid>
      <w:tr w14:paraId="07649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008" w:type="dxa"/>
            <w:vAlign w:val="center"/>
          </w:tcPr>
          <w:p w14:paraId="2C7042D7">
            <w:pPr>
              <w:pStyle w:val="11"/>
              <w:pageBreakBefore w:val="0"/>
              <w:overflowPunct/>
              <w:topLinePunct w:val="0"/>
              <w:bidi w:val="0"/>
              <w:spacing w:line="400" w:lineRule="exact"/>
              <w:jc w:val="center"/>
              <w:rPr>
                <w:rFonts w:hint="eastAsia" w:ascii="宋体" w:hAnsi="宋体" w:eastAsia="宋体" w:cs="宋体"/>
                <w:color w:val="auto"/>
              </w:rPr>
            </w:pPr>
            <w:r>
              <w:rPr>
                <w:rFonts w:hint="eastAsia" w:ascii="宋体" w:hAnsi="宋体" w:eastAsia="宋体" w:cs="宋体"/>
                <w:color w:val="auto"/>
              </w:rPr>
              <w:t>序号</w:t>
            </w:r>
          </w:p>
        </w:tc>
        <w:tc>
          <w:tcPr>
            <w:tcW w:w="1651" w:type="dxa"/>
            <w:vAlign w:val="center"/>
          </w:tcPr>
          <w:p w14:paraId="2B8592F4">
            <w:pPr>
              <w:pStyle w:val="11"/>
              <w:pageBreakBefore w:val="0"/>
              <w:overflowPunct/>
              <w:topLinePunct w:val="0"/>
              <w:bidi w:val="0"/>
              <w:spacing w:line="400" w:lineRule="exact"/>
              <w:jc w:val="center"/>
              <w:rPr>
                <w:rFonts w:hint="eastAsia" w:ascii="宋体" w:hAnsi="宋体" w:eastAsia="宋体" w:cs="宋体"/>
                <w:color w:val="auto"/>
              </w:rPr>
            </w:pPr>
            <w:r>
              <w:rPr>
                <w:rFonts w:hint="eastAsia" w:ascii="宋体" w:hAnsi="宋体" w:eastAsia="宋体" w:cs="宋体"/>
                <w:color w:val="auto"/>
              </w:rPr>
              <w:t>名称</w:t>
            </w:r>
          </w:p>
        </w:tc>
        <w:tc>
          <w:tcPr>
            <w:tcW w:w="2489" w:type="dxa"/>
            <w:vAlign w:val="center"/>
          </w:tcPr>
          <w:p w14:paraId="50FA7CAC">
            <w:pPr>
              <w:pStyle w:val="11"/>
              <w:pageBreakBefore w:val="0"/>
              <w:overflowPunct/>
              <w:topLinePunct w:val="0"/>
              <w:bidi w:val="0"/>
              <w:spacing w:line="400" w:lineRule="exact"/>
              <w:jc w:val="center"/>
              <w:rPr>
                <w:rFonts w:hint="eastAsia" w:ascii="宋体" w:hAnsi="宋体" w:eastAsia="宋体" w:cs="宋体"/>
                <w:color w:val="auto"/>
              </w:rPr>
            </w:pPr>
            <w:r>
              <w:rPr>
                <w:rFonts w:hint="eastAsia" w:ascii="宋体" w:hAnsi="宋体" w:eastAsia="宋体" w:cs="宋体"/>
                <w:b/>
                <w:color w:val="auto"/>
                <w:szCs w:val="21"/>
              </w:rPr>
              <w:t>技术</w:t>
            </w:r>
            <w:r>
              <w:rPr>
                <w:rFonts w:hint="eastAsia" w:hAnsi="宋体" w:eastAsia="宋体" w:cs="宋体"/>
                <w:b/>
                <w:color w:val="auto"/>
                <w:szCs w:val="21"/>
                <w:lang w:eastAsia="zh-CN"/>
              </w:rPr>
              <w:t>参数</w:t>
            </w:r>
            <w:r>
              <w:rPr>
                <w:rFonts w:hint="eastAsia" w:ascii="宋体" w:hAnsi="宋体" w:eastAsia="宋体" w:cs="宋体"/>
                <w:b/>
                <w:color w:val="auto"/>
                <w:szCs w:val="21"/>
              </w:rPr>
              <w:t>需求</w:t>
            </w:r>
          </w:p>
        </w:tc>
        <w:tc>
          <w:tcPr>
            <w:tcW w:w="2520" w:type="dxa"/>
            <w:vAlign w:val="center"/>
          </w:tcPr>
          <w:p w14:paraId="3D0C92EC">
            <w:pPr>
              <w:pStyle w:val="11"/>
              <w:pageBreakBefore w:val="0"/>
              <w:overflowPunct/>
              <w:topLinePunct w:val="0"/>
              <w:bidi w:val="0"/>
              <w:spacing w:line="400" w:lineRule="exact"/>
              <w:jc w:val="center"/>
              <w:rPr>
                <w:rFonts w:hint="eastAsia" w:ascii="宋体" w:hAnsi="宋体" w:eastAsia="宋体" w:cs="宋体"/>
                <w:b/>
                <w:color w:val="auto"/>
                <w:szCs w:val="21"/>
              </w:rPr>
            </w:pPr>
            <w:r>
              <w:rPr>
                <w:rFonts w:hint="eastAsia" w:ascii="宋体" w:hAnsi="宋体" w:eastAsia="宋体" w:cs="宋体"/>
                <w:b/>
                <w:color w:val="auto"/>
                <w:szCs w:val="21"/>
                <w:lang w:eastAsia="zh-CN"/>
              </w:rPr>
              <w:t>响应文件</w:t>
            </w:r>
            <w:r>
              <w:rPr>
                <w:rFonts w:hint="eastAsia" w:ascii="宋体" w:hAnsi="宋体" w:eastAsia="宋体" w:cs="宋体"/>
                <w:b/>
                <w:color w:val="auto"/>
                <w:szCs w:val="21"/>
              </w:rPr>
              <w:t>的响应情况</w:t>
            </w:r>
          </w:p>
        </w:tc>
        <w:tc>
          <w:tcPr>
            <w:tcW w:w="2106" w:type="dxa"/>
            <w:vAlign w:val="center"/>
          </w:tcPr>
          <w:p w14:paraId="6D1AA523">
            <w:pPr>
              <w:pStyle w:val="11"/>
              <w:pageBreakBefore w:val="0"/>
              <w:overflowPunct/>
              <w:topLinePunct w:val="0"/>
              <w:bidi w:val="0"/>
              <w:spacing w:line="400" w:lineRule="exact"/>
              <w:jc w:val="center"/>
              <w:rPr>
                <w:rFonts w:hint="eastAsia" w:ascii="宋体" w:hAnsi="宋体" w:eastAsia="宋体" w:cs="宋体"/>
                <w:color w:val="auto"/>
              </w:rPr>
            </w:pPr>
            <w:bookmarkStart w:id="43" w:name="_Toc254970701"/>
            <w:bookmarkStart w:id="44" w:name="_Toc254970560"/>
            <w:r>
              <w:rPr>
                <w:rFonts w:hint="eastAsia" w:ascii="宋体" w:hAnsi="宋体" w:eastAsia="宋体" w:cs="宋体"/>
                <w:color w:val="auto"/>
              </w:rPr>
              <w:t>偏离情况</w:t>
            </w:r>
            <w:bookmarkEnd w:id="43"/>
            <w:bookmarkEnd w:id="44"/>
            <w:r>
              <w:rPr>
                <w:rFonts w:hint="eastAsia" w:ascii="宋体" w:hAnsi="宋体" w:eastAsia="宋体" w:cs="宋体"/>
                <w:color w:val="auto"/>
              </w:rPr>
              <w:t>说明</w:t>
            </w:r>
          </w:p>
        </w:tc>
      </w:tr>
      <w:tr w14:paraId="05657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774" w:type="dxa"/>
            <w:gridSpan w:val="5"/>
            <w:vAlign w:val="center"/>
          </w:tcPr>
          <w:p w14:paraId="01262549">
            <w:pPr>
              <w:pStyle w:val="11"/>
              <w:pageBreakBefore w:val="0"/>
              <w:overflowPunct/>
              <w:topLinePunct w:val="0"/>
              <w:bidi w:val="0"/>
              <w:spacing w:line="400" w:lineRule="exact"/>
              <w:jc w:val="left"/>
              <w:rPr>
                <w:rFonts w:hint="eastAsia" w:ascii="宋体" w:hAnsi="宋体" w:eastAsia="宋体" w:cs="宋体"/>
                <w:color w:val="auto"/>
              </w:rPr>
            </w:pPr>
            <w:r>
              <w:rPr>
                <w:rFonts w:hint="eastAsia" w:ascii="宋体" w:hAnsi="宋体" w:eastAsia="宋体" w:cs="宋体"/>
                <w:b/>
                <w:bCs/>
                <w:i w:val="0"/>
                <w:iCs w:val="0"/>
                <w:snapToGrid/>
                <w:color w:val="auto"/>
                <w:kern w:val="0"/>
                <w:sz w:val="22"/>
                <w:szCs w:val="22"/>
                <w:u w:val="none"/>
                <w:lang w:val="en-US" w:eastAsia="zh-CN" w:bidi="ar"/>
              </w:rPr>
              <w:t>一、</w:t>
            </w:r>
            <w:r>
              <w:rPr>
                <w:rFonts w:hint="eastAsia" w:ascii="宋体" w:hAnsi="宋体" w:eastAsia="宋体" w:cs="宋体"/>
                <w:color w:val="auto"/>
                <w:szCs w:val="21"/>
              </w:rPr>
              <w:t>...</w:t>
            </w:r>
          </w:p>
        </w:tc>
      </w:tr>
      <w:tr w14:paraId="16662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008" w:type="dxa"/>
            <w:vAlign w:val="center"/>
          </w:tcPr>
          <w:p w14:paraId="77EF7C1A">
            <w:pPr>
              <w:pageBreakBefore w:val="0"/>
              <w:overflowPunct/>
              <w:topLinePunct w:val="0"/>
              <w:bidi w:val="0"/>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1651" w:type="dxa"/>
            <w:vAlign w:val="center"/>
          </w:tcPr>
          <w:p w14:paraId="4ED0C3A0">
            <w:pPr>
              <w:pageBreakBefore w:val="0"/>
              <w:overflowPunct/>
              <w:topLinePunct w:val="0"/>
              <w:bidi w:val="0"/>
              <w:spacing w:line="400" w:lineRule="exact"/>
              <w:jc w:val="center"/>
              <w:rPr>
                <w:rFonts w:hint="eastAsia" w:ascii="宋体" w:hAnsi="宋体" w:eastAsia="宋体" w:cs="宋体"/>
                <w:color w:val="auto"/>
                <w:szCs w:val="21"/>
              </w:rPr>
            </w:pPr>
          </w:p>
        </w:tc>
        <w:tc>
          <w:tcPr>
            <w:tcW w:w="2489" w:type="dxa"/>
            <w:vAlign w:val="center"/>
          </w:tcPr>
          <w:p w14:paraId="26F88819">
            <w:pPr>
              <w:pStyle w:val="11"/>
              <w:pageBreakBefore w:val="0"/>
              <w:overflowPunct/>
              <w:topLinePunct w:val="0"/>
              <w:bidi w:val="0"/>
              <w:spacing w:line="400" w:lineRule="exact"/>
              <w:jc w:val="center"/>
              <w:rPr>
                <w:rFonts w:hint="eastAsia" w:ascii="宋体" w:hAnsi="宋体" w:eastAsia="宋体" w:cs="宋体"/>
                <w:color w:val="auto"/>
              </w:rPr>
            </w:pPr>
          </w:p>
        </w:tc>
        <w:tc>
          <w:tcPr>
            <w:tcW w:w="2520" w:type="dxa"/>
            <w:vAlign w:val="top"/>
          </w:tcPr>
          <w:p w14:paraId="1D0A7EF8">
            <w:pPr>
              <w:pStyle w:val="11"/>
              <w:pageBreakBefore w:val="0"/>
              <w:overflowPunct/>
              <w:topLinePunct w:val="0"/>
              <w:bidi w:val="0"/>
              <w:spacing w:line="400" w:lineRule="exact"/>
              <w:jc w:val="center"/>
              <w:rPr>
                <w:rFonts w:hint="eastAsia" w:ascii="宋体" w:hAnsi="宋体" w:eastAsia="宋体" w:cs="宋体"/>
                <w:color w:val="auto"/>
              </w:rPr>
            </w:pPr>
          </w:p>
        </w:tc>
        <w:tc>
          <w:tcPr>
            <w:tcW w:w="2106" w:type="dxa"/>
            <w:vAlign w:val="center"/>
          </w:tcPr>
          <w:p w14:paraId="320D502A">
            <w:pPr>
              <w:pStyle w:val="11"/>
              <w:pageBreakBefore w:val="0"/>
              <w:overflowPunct/>
              <w:topLinePunct w:val="0"/>
              <w:bidi w:val="0"/>
              <w:spacing w:line="400" w:lineRule="exact"/>
              <w:jc w:val="center"/>
              <w:rPr>
                <w:rFonts w:hint="eastAsia" w:ascii="宋体" w:hAnsi="宋体" w:eastAsia="宋体" w:cs="宋体"/>
                <w:color w:val="auto"/>
              </w:rPr>
            </w:pPr>
          </w:p>
        </w:tc>
      </w:tr>
      <w:tr w14:paraId="484B9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008" w:type="dxa"/>
            <w:vAlign w:val="center"/>
          </w:tcPr>
          <w:p w14:paraId="0A110473">
            <w:pPr>
              <w:pageBreakBefore w:val="0"/>
              <w:overflowPunct/>
              <w:topLinePunct w:val="0"/>
              <w:bidi w:val="0"/>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1651" w:type="dxa"/>
            <w:vAlign w:val="center"/>
          </w:tcPr>
          <w:p w14:paraId="3A7C242F">
            <w:pPr>
              <w:pageBreakBefore w:val="0"/>
              <w:overflowPunct/>
              <w:topLinePunct w:val="0"/>
              <w:bidi w:val="0"/>
              <w:spacing w:line="400" w:lineRule="exact"/>
              <w:jc w:val="center"/>
              <w:rPr>
                <w:rFonts w:hint="eastAsia" w:ascii="宋体" w:hAnsi="宋体" w:eastAsia="宋体" w:cs="宋体"/>
                <w:color w:val="auto"/>
                <w:szCs w:val="21"/>
              </w:rPr>
            </w:pPr>
          </w:p>
        </w:tc>
        <w:tc>
          <w:tcPr>
            <w:tcW w:w="2489" w:type="dxa"/>
            <w:vAlign w:val="center"/>
          </w:tcPr>
          <w:p w14:paraId="02B4221B">
            <w:pPr>
              <w:pStyle w:val="11"/>
              <w:pageBreakBefore w:val="0"/>
              <w:overflowPunct/>
              <w:topLinePunct w:val="0"/>
              <w:bidi w:val="0"/>
              <w:spacing w:line="400" w:lineRule="exact"/>
              <w:jc w:val="center"/>
              <w:rPr>
                <w:rFonts w:hint="eastAsia" w:ascii="宋体" w:hAnsi="宋体" w:eastAsia="宋体" w:cs="宋体"/>
                <w:color w:val="auto"/>
              </w:rPr>
            </w:pPr>
          </w:p>
        </w:tc>
        <w:tc>
          <w:tcPr>
            <w:tcW w:w="2520" w:type="dxa"/>
            <w:vAlign w:val="top"/>
          </w:tcPr>
          <w:p w14:paraId="2A574F15">
            <w:pPr>
              <w:pStyle w:val="11"/>
              <w:pageBreakBefore w:val="0"/>
              <w:overflowPunct/>
              <w:topLinePunct w:val="0"/>
              <w:bidi w:val="0"/>
              <w:spacing w:line="400" w:lineRule="exact"/>
              <w:jc w:val="center"/>
              <w:rPr>
                <w:rFonts w:hint="eastAsia" w:ascii="宋体" w:hAnsi="宋体" w:eastAsia="宋体" w:cs="宋体"/>
                <w:color w:val="auto"/>
              </w:rPr>
            </w:pPr>
          </w:p>
        </w:tc>
        <w:tc>
          <w:tcPr>
            <w:tcW w:w="2106" w:type="dxa"/>
            <w:vAlign w:val="center"/>
          </w:tcPr>
          <w:p w14:paraId="38204584">
            <w:pPr>
              <w:pStyle w:val="11"/>
              <w:pageBreakBefore w:val="0"/>
              <w:overflowPunct/>
              <w:topLinePunct w:val="0"/>
              <w:bidi w:val="0"/>
              <w:spacing w:line="400" w:lineRule="exact"/>
              <w:jc w:val="center"/>
              <w:rPr>
                <w:rFonts w:hint="eastAsia" w:ascii="宋体" w:hAnsi="宋体" w:eastAsia="宋体" w:cs="宋体"/>
                <w:color w:val="auto"/>
              </w:rPr>
            </w:pPr>
          </w:p>
        </w:tc>
      </w:tr>
      <w:tr w14:paraId="5C59C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008" w:type="dxa"/>
            <w:vAlign w:val="center"/>
          </w:tcPr>
          <w:p w14:paraId="2ED1E5E8">
            <w:pPr>
              <w:pageBreakBefore w:val="0"/>
              <w:overflowPunct/>
              <w:topLinePunct w:val="0"/>
              <w:bidi w:val="0"/>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1651" w:type="dxa"/>
            <w:vAlign w:val="center"/>
          </w:tcPr>
          <w:p w14:paraId="593270ED">
            <w:pPr>
              <w:pageBreakBefore w:val="0"/>
              <w:overflowPunct/>
              <w:topLinePunct w:val="0"/>
              <w:bidi w:val="0"/>
              <w:spacing w:line="400" w:lineRule="exact"/>
              <w:jc w:val="center"/>
              <w:rPr>
                <w:rFonts w:hint="eastAsia" w:ascii="宋体" w:hAnsi="宋体" w:eastAsia="宋体" w:cs="宋体"/>
                <w:color w:val="auto"/>
                <w:szCs w:val="21"/>
              </w:rPr>
            </w:pPr>
          </w:p>
        </w:tc>
        <w:tc>
          <w:tcPr>
            <w:tcW w:w="2489" w:type="dxa"/>
            <w:vAlign w:val="center"/>
          </w:tcPr>
          <w:p w14:paraId="4FE8D88B">
            <w:pPr>
              <w:pStyle w:val="11"/>
              <w:pageBreakBefore w:val="0"/>
              <w:overflowPunct/>
              <w:topLinePunct w:val="0"/>
              <w:bidi w:val="0"/>
              <w:spacing w:line="400" w:lineRule="exact"/>
              <w:jc w:val="center"/>
              <w:rPr>
                <w:rFonts w:hint="eastAsia" w:ascii="宋体" w:hAnsi="宋体" w:eastAsia="宋体" w:cs="宋体"/>
                <w:color w:val="auto"/>
              </w:rPr>
            </w:pPr>
          </w:p>
        </w:tc>
        <w:tc>
          <w:tcPr>
            <w:tcW w:w="2520" w:type="dxa"/>
            <w:vAlign w:val="top"/>
          </w:tcPr>
          <w:p w14:paraId="6FD544D0">
            <w:pPr>
              <w:pStyle w:val="11"/>
              <w:pageBreakBefore w:val="0"/>
              <w:overflowPunct/>
              <w:topLinePunct w:val="0"/>
              <w:bidi w:val="0"/>
              <w:spacing w:line="400" w:lineRule="exact"/>
              <w:jc w:val="center"/>
              <w:rPr>
                <w:rFonts w:hint="eastAsia" w:ascii="宋体" w:hAnsi="宋体" w:eastAsia="宋体" w:cs="宋体"/>
                <w:color w:val="auto"/>
              </w:rPr>
            </w:pPr>
          </w:p>
        </w:tc>
        <w:tc>
          <w:tcPr>
            <w:tcW w:w="2106" w:type="dxa"/>
            <w:vAlign w:val="center"/>
          </w:tcPr>
          <w:p w14:paraId="5B617AF3">
            <w:pPr>
              <w:pStyle w:val="11"/>
              <w:pageBreakBefore w:val="0"/>
              <w:overflowPunct/>
              <w:topLinePunct w:val="0"/>
              <w:bidi w:val="0"/>
              <w:spacing w:line="400" w:lineRule="exact"/>
              <w:jc w:val="center"/>
              <w:rPr>
                <w:rFonts w:hint="eastAsia" w:ascii="宋体" w:hAnsi="宋体" w:eastAsia="宋体" w:cs="宋体"/>
                <w:color w:val="auto"/>
              </w:rPr>
            </w:pPr>
          </w:p>
        </w:tc>
      </w:tr>
      <w:tr w14:paraId="15492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774" w:type="dxa"/>
            <w:gridSpan w:val="5"/>
            <w:vAlign w:val="center"/>
          </w:tcPr>
          <w:p w14:paraId="01495BA2">
            <w:pPr>
              <w:pStyle w:val="11"/>
              <w:pageBreakBefore w:val="0"/>
              <w:overflowPunct/>
              <w:topLinePunct w:val="0"/>
              <w:bidi w:val="0"/>
              <w:spacing w:line="400" w:lineRule="exact"/>
              <w:jc w:val="both"/>
              <w:rPr>
                <w:rFonts w:hint="eastAsia" w:ascii="宋体" w:hAnsi="宋体" w:eastAsia="宋体" w:cs="宋体"/>
                <w:color w:val="auto"/>
              </w:rPr>
            </w:pPr>
            <w:r>
              <w:rPr>
                <w:rFonts w:hint="eastAsia" w:ascii="宋体" w:hAnsi="宋体" w:eastAsia="宋体" w:cs="宋体"/>
                <w:b/>
                <w:bCs/>
                <w:i w:val="0"/>
                <w:iCs w:val="0"/>
                <w:snapToGrid/>
                <w:color w:val="auto"/>
                <w:kern w:val="0"/>
                <w:sz w:val="22"/>
                <w:szCs w:val="22"/>
                <w:u w:val="none"/>
                <w:lang w:val="en-US" w:eastAsia="zh-CN" w:bidi="ar"/>
              </w:rPr>
              <w:t>二、</w:t>
            </w:r>
            <w:r>
              <w:rPr>
                <w:rFonts w:hint="eastAsia" w:ascii="宋体" w:hAnsi="宋体" w:eastAsia="宋体" w:cs="宋体"/>
                <w:color w:val="auto"/>
                <w:szCs w:val="21"/>
              </w:rPr>
              <w:t>...</w:t>
            </w:r>
          </w:p>
        </w:tc>
      </w:tr>
      <w:tr w14:paraId="7BAF2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008" w:type="dxa"/>
            <w:vAlign w:val="center"/>
          </w:tcPr>
          <w:p w14:paraId="78483ED2">
            <w:pPr>
              <w:pageBreakBefore w:val="0"/>
              <w:overflowPunct/>
              <w:topLinePunct w:val="0"/>
              <w:bidi w:val="0"/>
              <w:spacing w:line="400" w:lineRule="exact"/>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w:t>
            </w:r>
          </w:p>
        </w:tc>
        <w:tc>
          <w:tcPr>
            <w:tcW w:w="1651" w:type="dxa"/>
            <w:vAlign w:val="center"/>
          </w:tcPr>
          <w:p w14:paraId="6394496D">
            <w:pPr>
              <w:pageBreakBefore w:val="0"/>
              <w:overflowPunct/>
              <w:topLinePunct w:val="0"/>
              <w:bidi w:val="0"/>
              <w:spacing w:line="400" w:lineRule="exact"/>
              <w:jc w:val="center"/>
              <w:rPr>
                <w:rFonts w:hint="eastAsia" w:ascii="宋体" w:hAnsi="宋体" w:eastAsia="宋体" w:cs="宋体"/>
                <w:color w:val="auto"/>
                <w:szCs w:val="21"/>
              </w:rPr>
            </w:pPr>
          </w:p>
        </w:tc>
        <w:tc>
          <w:tcPr>
            <w:tcW w:w="2489" w:type="dxa"/>
            <w:vAlign w:val="center"/>
          </w:tcPr>
          <w:p w14:paraId="1B0C8D16">
            <w:pPr>
              <w:pStyle w:val="11"/>
              <w:pageBreakBefore w:val="0"/>
              <w:overflowPunct/>
              <w:topLinePunct w:val="0"/>
              <w:bidi w:val="0"/>
              <w:spacing w:line="400" w:lineRule="exact"/>
              <w:jc w:val="center"/>
              <w:rPr>
                <w:rFonts w:hint="eastAsia" w:ascii="宋体" w:hAnsi="宋体" w:eastAsia="宋体" w:cs="宋体"/>
                <w:color w:val="auto"/>
              </w:rPr>
            </w:pPr>
          </w:p>
        </w:tc>
        <w:tc>
          <w:tcPr>
            <w:tcW w:w="2520" w:type="dxa"/>
            <w:vAlign w:val="top"/>
          </w:tcPr>
          <w:p w14:paraId="5F50643C">
            <w:pPr>
              <w:pStyle w:val="11"/>
              <w:pageBreakBefore w:val="0"/>
              <w:overflowPunct/>
              <w:topLinePunct w:val="0"/>
              <w:bidi w:val="0"/>
              <w:spacing w:line="400" w:lineRule="exact"/>
              <w:jc w:val="center"/>
              <w:rPr>
                <w:rFonts w:hint="eastAsia" w:ascii="宋体" w:hAnsi="宋体" w:eastAsia="宋体" w:cs="宋体"/>
                <w:color w:val="auto"/>
              </w:rPr>
            </w:pPr>
          </w:p>
        </w:tc>
        <w:tc>
          <w:tcPr>
            <w:tcW w:w="2106" w:type="dxa"/>
            <w:vAlign w:val="center"/>
          </w:tcPr>
          <w:p w14:paraId="469C85D5">
            <w:pPr>
              <w:pStyle w:val="11"/>
              <w:pageBreakBefore w:val="0"/>
              <w:overflowPunct/>
              <w:topLinePunct w:val="0"/>
              <w:bidi w:val="0"/>
              <w:spacing w:line="400" w:lineRule="exact"/>
              <w:jc w:val="center"/>
              <w:rPr>
                <w:rFonts w:hint="eastAsia" w:ascii="宋体" w:hAnsi="宋体" w:eastAsia="宋体" w:cs="宋体"/>
                <w:color w:val="auto"/>
              </w:rPr>
            </w:pPr>
          </w:p>
        </w:tc>
      </w:tr>
      <w:tr w14:paraId="1C7C2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008" w:type="dxa"/>
            <w:vAlign w:val="center"/>
          </w:tcPr>
          <w:p w14:paraId="1998B725">
            <w:pPr>
              <w:pageBreakBefore w:val="0"/>
              <w:overflowPunct/>
              <w:topLinePunct w:val="0"/>
              <w:bidi w:val="0"/>
              <w:spacing w:line="400" w:lineRule="exact"/>
              <w:jc w:val="center"/>
              <w:rPr>
                <w:rFonts w:hint="eastAsia" w:ascii="宋体" w:hAnsi="宋体" w:eastAsia="宋体" w:cs="宋体"/>
                <w:color w:val="auto"/>
                <w:szCs w:val="21"/>
                <w:lang w:val="en-US" w:eastAsia="zh-CN"/>
              </w:rPr>
            </w:pPr>
            <w:r>
              <w:rPr>
                <w:rFonts w:hint="eastAsia" w:ascii="宋体" w:hAnsi="宋体" w:eastAsia="宋体" w:cs="宋体"/>
                <w:color w:val="auto"/>
                <w:szCs w:val="21"/>
              </w:rPr>
              <w:t>...</w:t>
            </w:r>
          </w:p>
        </w:tc>
        <w:tc>
          <w:tcPr>
            <w:tcW w:w="1651" w:type="dxa"/>
            <w:vAlign w:val="center"/>
          </w:tcPr>
          <w:p w14:paraId="6A11EABA">
            <w:pPr>
              <w:pageBreakBefore w:val="0"/>
              <w:overflowPunct/>
              <w:topLinePunct w:val="0"/>
              <w:bidi w:val="0"/>
              <w:spacing w:line="400" w:lineRule="exact"/>
              <w:jc w:val="center"/>
              <w:rPr>
                <w:rFonts w:hint="eastAsia" w:ascii="宋体" w:hAnsi="宋体" w:eastAsia="宋体" w:cs="宋体"/>
                <w:color w:val="auto"/>
                <w:szCs w:val="21"/>
              </w:rPr>
            </w:pPr>
          </w:p>
        </w:tc>
        <w:tc>
          <w:tcPr>
            <w:tcW w:w="2489" w:type="dxa"/>
            <w:vAlign w:val="center"/>
          </w:tcPr>
          <w:p w14:paraId="2E26ACB9">
            <w:pPr>
              <w:pStyle w:val="11"/>
              <w:pageBreakBefore w:val="0"/>
              <w:overflowPunct/>
              <w:topLinePunct w:val="0"/>
              <w:bidi w:val="0"/>
              <w:spacing w:line="400" w:lineRule="exact"/>
              <w:jc w:val="center"/>
              <w:rPr>
                <w:rFonts w:hint="eastAsia" w:ascii="宋体" w:hAnsi="宋体" w:eastAsia="宋体" w:cs="宋体"/>
                <w:color w:val="auto"/>
              </w:rPr>
            </w:pPr>
          </w:p>
        </w:tc>
        <w:tc>
          <w:tcPr>
            <w:tcW w:w="2520" w:type="dxa"/>
            <w:vAlign w:val="top"/>
          </w:tcPr>
          <w:p w14:paraId="1BE6D343">
            <w:pPr>
              <w:pStyle w:val="11"/>
              <w:pageBreakBefore w:val="0"/>
              <w:overflowPunct/>
              <w:topLinePunct w:val="0"/>
              <w:bidi w:val="0"/>
              <w:spacing w:line="400" w:lineRule="exact"/>
              <w:jc w:val="center"/>
              <w:rPr>
                <w:rFonts w:hint="eastAsia" w:ascii="宋体" w:hAnsi="宋体" w:eastAsia="宋体" w:cs="宋体"/>
                <w:color w:val="auto"/>
              </w:rPr>
            </w:pPr>
          </w:p>
        </w:tc>
        <w:tc>
          <w:tcPr>
            <w:tcW w:w="2106" w:type="dxa"/>
            <w:vAlign w:val="center"/>
          </w:tcPr>
          <w:p w14:paraId="7FCDFA56">
            <w:pPr>
              <w:pStyle w:val="11"/>
              <w:pageBreakBefore w:val="0"/>
              <w:overflowPunct/>
              <w:topLinePunct w:val="0"/>
              <w:bidi w:val="0"/>
              <w:spacing w:line="400" w:lineRule="exact"/>
              <w:jc w:val="center"/>
              <w:rPr>
                <w:rFonts w:hint="eastAsia" w:ascii="宋体" w:hAnsi="宋体" w:eastAsia="宋体" w:cs="宋体"/>
                <w:color w:val="auto"/>
              </w:rPr>
            </w:pPr>
          </w:p>
        </w:tc>
      </w:tr>
      <w:tr w14:paraId="2391F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774" w:type="dxa"/>
            <w:gridSpan w:val="5"/>
            <w:vAlign w:val="center"/>
          </w:tcPr>
          <w:p w14:paraId="3320AF7C">
            <w:pPr>
              <w:pStyle w:val="11"/>
              <w:pageBreakBefore w:val="0"/>
              <w:overflowPunct/>
              <w:topLinePunct w:val="0"/>
              <w:bidi w:val="0"/>
              <w:spacing w:line="400" w:lineRule="exact"/>
              <w:jc w:val="both"/>
              <w:rPr>
                <w:rFonts w:hint="eastAsia" w:ascii="宋体" w:hAnsi="宋体" w:eastAsia="宋体" w:cs="宋体"/>
                <w:color w:val="auto"/>
                <w:lang w:eastAsia="zh-CN"/>
              </w:rPr>
            </w:pPr>
            <w:r>
              <w:rPr>
                <w:rFonts w:hint="eastAsia" w:ascii="宋体" w:hAnsi="宋体" w:eastAsia="宋体" w:cs="宋体"/>
                <w:color w:val="auto"/>
                <w:lang w:eastAsia="zh-CN"/>
              </w:rPr>
              <w:t>三、</w:t>
            </w:r>
            <w:r>
              <w:rPr>
                <w:rFonts w:hint="eastAsia" w:ascii="宋体" w:hAnsi="宋体" w:eastAsia="宋体" w:cs="宋体"/>
                <w:color w:val="auto"/>
                <w:szCs w:val="21"/>
              </w:rPr>
              <w:t>...</w:t>
            </w:r>
          </w:p>
        </w:tc>
      </w:tr>
      <w:tr w14:paraId="44218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008" w:type="dxa"/>
            <w:vAlign w:val="center"/>
          </w:tcPr>
          <w:p w14:paraId="2209EF40">
            <w:pPr>
              <w:pageBreakBefore w:val="0"/>
              <w:overflowPunct/>
              <w:topLinePunct w:val="0"/>
              <w:bidi w:val="0"/>
              <w:spacing w:line="400" w:lineRule="exact"/>
              <w:jc w:val="center"/>
              <w:rPr>
                <w:rFonts w:hint="eastAsia" w:ascii="宋体" w:hAnsi="宋体" w:eastAsia="宋体" w:cs="宋体"/>
                <w:color w:val="auto"/>
                <w:szCs w:val="21"/>
              </w:rPr>
            </w:pPr>
            <w:r>
              <w:rPr>
                <w:rFonts w:hint="eastAsia" w:ascii="宋体" w:hAnsi="宋体" w:eastAsia="宋体" w:cs="宋体"/>
                <w:color w:val="auto"/>
                <w:szCs w:val="21"/>
                <w:lang w:val="en-US" w:eastAsia="zh-CN"/>
              </w:rPr>
              <w:t>1</w:t>
            </w:r>
          </w:p>
        </w:tc>
        <w:tc>
          <w:tcPr>
            <w:tcW w:w="1651" w:type="dxa"/>
            <w:vAlign w:val="center"/>
          </w:tcPr>
          <w:p w14:paraId="698DB03F">
            <w:pPr>
              <w:pageBreakBefore w:val="0"/>
              <w:overflowPunct/>
              <w:topLinePunct w:val="0"/>
              <w:bidi w:val="0"/>
              <w:spacing w:line="400" w:lineRule="exact"/>
              <w:jc w:val="center"/>
              <w:rPr>
                <w:rFonts w:hint="eastAsia" w:ascii="宋体" w:hAnsi="宋体" w:eastAsia="宋体" w:cs="宋体"/>
                <w:color w:val="auto"/>
                <w:szCs w:val="21"/>
              </w:rPr>
            </w:pPr>
          </w:p>
        </w:tc>
        <w:tc>
          <w:tcPr>
            <w:tcW w:w="2489" w:type="dxa"/>
            <w:vAlign w:val="center"/>
          </w:tcPr>
          <w:p w14:paraId="6ACF31B8">
            <w:pPr>
              <w:pStyle w:val="11"/>
              <w:pageBreakBefore w:val="0"/>
              <w:overflowPunct/>
              <w:topLinePunct w:val="0"/>
              <w:bidi w:val="0"/>
              <w:spacing w:line="400" w:lineRule="exact"/>
              <w:jc w:val="center"/>
              <w:rPr>
                <w:rFonts w:hint="eastAsia" w:ascii="宋体" w:hAnsi="宋体" w:eastAsia="宋体" w:cs="宋体"/>
                <w:color w:val="auto"/>
              </w:rPr>
            </w:pPr>
          </w:p>
        </w:tc>
        <w:tc>
          <w:tcPr>
            <w:tcW w:w="2520" w:type="dxa"/>
            <w:vAlign w:val="top"/>
          </w:tcPr>
          <w:p w14:paraId="6D1A3D91">
            <w:pPr>
              <w:pStyle w:val="11"/>
              <w:pageBreakBefore w:val="0"/>
              <w:overflowPunct/>
              <w:topLinePunct w:val="0"/>
              <w:bidi w:val="0"/>
              <w:spacing w:line="400" w:lineRule="exact"/>
              <w:jc w:val="center"/>
              <w:rPr>
                <w:rFonts w:hint="eastAsia" w:ascii="宋体" w:hAnsi="宋体" w:eastAsia="宋体" w:cs="宋体"/>
                <w:color w:val="auto"/>
              </w:rPr>
            </w:pPr>
          </w:p>
        </w:tc>
        <w:tc>
          <w:tcPr>
            <w:tcW w:w="2106" w:type="dxa"/>
            <w:vAlign w:val="center"/>
          </w:tcPr>
          <w:p w14:paraId="38B1DBA7">
            <w:pPr>
              <w:pStyle w:val="11"/>
              <w:pageBreakBefore w:val="0"/>
              <w:overflowPunct/>
              <w:topLinePunct w:val="0"/>
              <w:bidi w:val="0"/>
              <w:spacing w:line="400" w:lineRule="exact"/>
              <w:jc w:val="center"/>
              <w:rPr>
                <w:rFonts w:hint="eastAsia" w:ascii="宋体" w:hAnsi="宋体" w:eastAsia="宋体" w:cs="宋体"/>
                <w:color w:val="auto"/>
              </w:rPr>
            </w:pPr>
          </w:p>
        </w:tc>
      </w:tr>
      <w:tr w14:paraId="10448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008" w:type="dxa"/>
            <w:vAlign w:val="center"/>
          </w:tcPr>
          <w:p w14:paraId="25AEACAC">
            <w:pPr>
              <w:pageBreakBefore w:val="0"/>
              <w:overflowPunct/>
              <w:topLinePunct w:val="0"/>
              <w:bidi w:val="0"/>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1651" w:type="dxa"/>
            <w:vAlign w:val="center"/>
          </w:tcPr>
          <w:p w14:paraId="760F4D83">
            <w:pPr>
              <w:pageBreakBefore w:val="0"/>
              <w:overflowPunct/>
              <w:topLinePunct w:val="0"/>
              <w:bidi w:val="0"/>
              <w:spacing w:line="400" w:lineRule="exact"/>
              <w:jc w:val="center"/>
              <w:rPr>
                <w:rFonts w:hint="eastAsia" w:ascii="宋体" w:hAnsi="宋体" w:eastAsia="宋体" w:cs="宋体"/>
                <w:color w:val="auto"/>
                <w:szCs w:val="21"/>
              </w:rPr>
            </w:pPr>
          </w:p>
        </w:tc>
        <w:tc>
          <w:tcPr>
            <w:tcW w:w="2489" w:type="dxa"/>
            <w:vAlign w:val="center"/>
          </w:tcPr>
          <w:p w14:paraId="6CA2BBFC">
            <w:pPr>
              <w:pStyle w:val="11"/>
              <w:pageBreakBefore w:val="0"/>
              <w:overflowPunct/>
              <w:topLinePunct w:val="0"/>
              <w:bidi w:val="0"/>
              <w:spacing w:line="400" w:lineRule="exact"/>
              <w:jc w:val="center"/>
              <w:rPr>
                <w:rFonts w:hint="eastAsia" w:ascii="宋体" w:hAnsi="宋体" w:eastAsia="宋体" w:cs="宋体"/>
                <w:color w:val="auto"/>
              </w:rPr>
            </w:pPr>
          </w:p>
        </w:tc>
        <w:tc>
          <w:tcPr>
            <w:tcW w:w="2520" w:type="dxa"/>
            <w:vAlign w:val="top"/>
          </w:tcPr>
          <w:p w14:paraId="617818E2">
            <w:pPr>
              <w:pStyle w:val="11"/>
              <w:pageBreakBefore w:val="0"/>
              <w:overflowPunct/>
              <w:topLinePunct w:val="0"/>
              <w:bidi w:val="0"/>
              <w:spacing w:line="400" w:lineRule="exact"/>
              <w:jc w:val="center"/>
              <w:rPr>
                <w:rFonts w:hint="eastAsia" w:ascii="宋体" w:hAnsi="宋体" w:eastAsia="宋体" w:cs="宋体"/>
                <w:color w:val="auto"/>
              </w:rPr>
            </w:pPr>
          </w:p>
        </w:tc>
        <w:tc>
          <w:tcPr>
            <w:tcW w:w="2106" w:type="dxa"/>
            <w:vAlign w:val="center"/>
          </w:tcPr>
          <w:p w14:paraId="2EAB3A97">
            <w:pPr>
              <w:pStyle w:val="11"/>
              <w:pageBreakBefore w:val="0"/>
              <w:overflowPunct/>
              <w:topLinePunct w:val="0"/>
              <w:bidi w:val="0"/>
              <w:spacing w:line="400" w:lineRule="exact"/>
              <w:jc w:val="center"/>
              <w:rPr>
                <w:rFonts w:hint="eastAsia" w:ascii="宋体" w:hAnsi="宋体" w:eastAsia="宋体" w:cs="宋体"/>
                <w:color w:val="auto"/>
              </w:rPr>
            </w:pPr>
          </w:p>
        </w:tc>
      </w:tr>
      <w:tr w14:paraId="7C785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774" w:type="dxa"/>
            <w:gridSpan w:val="5"/>
            <w:vAlign w:val="center"/>
          </w:tcPr>
          <w:p w14:paraId="7E7C8FCB">
            <w:pPr>
              <w:pStyle w:val="11"/>
              <w:pageBreakBefore w:val="0"/>
              <w:overflowPunct/>
              <w:topLinePunct w:val="0"/>
              <w:bidi w:val="0"/>
              <w:spacing w:line="400" w:lineRule="exact"/>
              <w:jc w:val="both"/>
              <w:rPr>
                <w:rFonts w:hint="eastAsia" w:ascii="宋体" w:hAnsi="宋体" w:eastAsia="宋体" w:cs="宋体"/>
                <w:color w:val="auto"/>
              </w:rPr>
            </w:pPr>
            <w:r>
              <w:rPr>
                <w:rFonts w:hint="eastAsia" w:ascii="宋体" w:hAnsi="宋体" w:eastAsia="宋体" w:cs="宋体"/>
                <w:color w:val="auto"/>
                <w:szCs w:val="21"/>
              </w:rPr>
              <w:t>...</w:t>
            </w:r>
          </w:p>
        </w:tc>
      </w:tr>
      <w:tr w14:paraId="7FC05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008" w:type="dxa"/>
            <w:vAlign w:val="center"/>
          </w:tcPr>
          <w:p w14:paraId="69B3D60A">
            <w:pPr>
              <w:pageBreakBefore w:val="0"/>
              <w:overflowPunct/>
              <w:topLinePunct w:val="0"/>
              <w:bidi w:val="0"/>
              <w:spacing w:line="400" w:lineRule="exact"/>
              <w:jc w:val="center"/>
              <w:rPr>
                <w:rFonts w:hint="eastAsia" w:ascii="宋体" w:hAnsi="宋体" w:eastAsia="宋体" w:cs="宋体"/>
                <w:color w:val="auto"/>
                <w:szCs w:val="21"/>
              </w:rPr>
            </w:pPr>
            <w:r>
              <w:rPr>
                <w:rFonts w:hint="eastAsia" w:ascii="宋体" w:hAnsi="宋体" w:eastAsia="宋体" w:cs="宋体"/>
                <w:color w:val="auto"/>
                <w:szCs w:val="21"/>
                <w:lang w:val="en-US" w:eastAsia="zh-CN"/>
              </w:rPr>
              <w:t>1</w:t>
            </w:r>
          </w:p>
        </w:tc>
        <w:tc>
          <w:tcPr>
            <w:tcW w:w="1651" w:type="dxa"/>
            <w:vAlign w:val="center"/>
          </w:tcPr>
          <w:p w14:paraId="170787C4">
            <w:pPr>
              <w:pageBreakBefore w:val="0"/>
              <w:overflowPunct/>
              <w:topLinePunct w:val="0"/>
              <w:bidi w:val="0"/>
              <w:spacing w:line="400" w:lineRule="exact"/>
              <w:jc w:val="center"/>
              <w:rPr>
                <w:rFonts w:hint="eastAsia" w:ascii="宋体" w:hAnsi="宋体" w:eastAsia="宋体" w:cs="宋体"/>
                <w:color w:val="auto"/>
                <w:szCs w:val="21"/>
              </w:rPr>
            </w:pPr>
          </w:p>
        </w:tc>
        <w:tc>
          <w:tcPr>
            <w:tcW w:w="2489" w:type="dxa"/>
            <w:vAlign w:val="center"/>
          </w:tcPr>
          <w:p w14:paraId="5F1CA62D">
            <w:pPr>
              <w:pStyle w:val="11"/>
              <w:pageBreakBefore w:val="0"/>
              <w:overflowPunct/>
              <w:topLinePunct w:val="0"/>
              <w:bidi w:val="0"/>
              <w:spacing w:line="400" w:lineRule="exact"/>
              <w:jc w:val="center"/>
              <w:rPr>
                <w:rFonts w:hint="eastAsia" w:ascii="宋体" w:hAnsi="宋体" w:eastAsia="宋体" w:cs="宋体"/>
                <w:color w:val="auto"/>
              </w:rPr>
            </w:pPr>
          </w:p>
        </w:tc>
        <w:tc>
          <w:tcPr>
            <w:tcW w:w="2520" w:type="dxa"/>
            <w:vAlign w:val="top"/>
          </w:tcPr>
          <w:p w14:paraId="25FEE8B0">
            <w:pPr>
              <w:pStyle w:val="11"/>
              <w:pageBreakBefore w:val="0"/>
              <w:overflowPunct/>
              <w:topLinePunct w:val="0"/>
              <w:bidi w:val="0"/>
              <w:spacing w:line="400" w:lineRule="exact"/>
              <w:jc w:val="center"/>
              <w:rPr>
                <w:rFonts w:hint="eastAsia" w:ascii="宋体" w:hAnsi="宋体" w:eastAsia="宋体" w:cs="宋体"/>
                <w:color w:val="auto"/>
              </w:rPr>
            </w:pPr>
          </w:p>
        </w:tc>
        <w:tc>
          <w:tcPr>
            <w:tcW w:w="2106" w:type="dxa"/>
            <w:vAlign w:val="center"/>
          </w:tcPr>
          <w:p w14:paraId="2C93495F">
            <w:pPr>
              <w:pStyle w:val="11"/>
              <w:pageBreakBefore w:val="0"/>
              <w:overflowPunct/>
              <w:topLinePunct w:val="0"/>
              <w:bidi w:val="0"/>
              <w:spacing w:line="400" w:lineRule="exact"/>
              <w:jc w:val="center"/>
              <w:rPr>
                <w:rFonts w:hint="eastAsia" w:ascii="宋体" w:hAnsi="宋体" w:eastAsia="宋体" w:cs="宋体"/>
                <w:color w:val="auto"/>
              </w:rPr>
            </w:pPr>
          </w:p>
        </w:tc>
      </w:tr>
      <w:tr w14:paraId="0D6AE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008" w:type="dxa"/>
            <w:vAlign w:val="center"/>
          </w:tcPr>
          <w:p w14:paraId="5412639F">
            <w:pPr>
              <w:pageBreakBefore w:val="0"/>
              <w:overflowPunct/>
              <w:topLinePunct w:val="0"/>
              <w:bidi w:val="0"/>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1651" w:type="dxa"/>
            <w:vAlign w:val="center"/>
          </w:tcPr>
          <w:p w14:paraId="6FEEC9AD">
            <w:pPr>
              <w:pageBreakBefore w:val="0"/>
              <w:overflowPunct/>
              <w:topLinePunct w:val="0"/>
              <w:bidi w:val="0"/>
              <w:spacing w:line="400" w:lineRule="exact"/>
              <w:jc w:val="center"/>
              <w:rPr>
                <w:rFonts w:hint="eastAsia" w:ascii="宋体" w:hAnsi="宋体" w:eastAsia="宋体" w:cs="宋体"/>
                <w:color w:val="auto"/>
                <w:szCs w:val="21"/>
              </w:rPr>
            </w:pPr>
          </w:p>
        </w:tc>
        <w:tc>
          <w:tcPr>
            <w:tcW w:w="2489" w:type="dxa"/>
            <w:vAlign w:val="center"/>
          </w:tcPr>
          <w:p w14:paraId="107C4BC2">
            <w:pPr>
              <w:pStyle w:val="11"/>
              <w:pageBreakBefore w:val="0"/>
              <w:overflowPunct/>
              <w:topLinePunct w:val="0"/>
              <w:bidi w:val="0"/>
              <w:spacing w:line="400" w:lineRule="exact"/>
              <w:jc w:val="center"/>
              <w:rPr>
                <w:rFonts w:hint="eastAsia" w:ascii="宋体" w:hAnsi="宋体" w:eastAsia="宋体" w:cs="宋体"/>
                <w:color w:val="auto"/>
              </w:rPr>
            </w:pPr>
          </w:p>
        </w:tc>
        <w:tc>
          <w:tcPr>
            <w:tcW w:w="2520" w:type="dxa"/>
            <w:vAlign w:val="top"/>
          </w:tcPr>
          <w:p w14:paraId="6DD703FB">
            <w:pPr>
              <w:pStyle w:val="11"/>
              <w:pageBreakBefore w:val="0"/>
              <w:overflowPunct/>
              <w:topLinePunct w:val="0"/>
              <w:bidi w:val="0"/>
              <w:spacing w:line="400" w:lineRule="exact"/>
              <w:jc w:val="center"/>
              <w:rPr>
                <w:rFonts w:hint="eastAsia" w:ascii="宋体" w:hAnsi="宋体" w:eastAsia="宋体" w:cs="宋体"/>
                <w:color w:val="auto"/>
              </w:rPr>
            </w:pPr>
          </w:p>
        </w:tc>
        <w:tc>
          <w:tcPr>
            <w:tcW w:w="2106" w:type="dxa"/>
            <w:vAlign w:val="center"/>
          </w:tcPr>
          <w:p w14:paraId="347E4CE6">
            <w:pPr>
              <w:pStyle w:val="11"/>
              <w:pageBreakBefore w:val="0"/>
              <w:overflowPunct/>
              <w:topLinePunct w:val="0"/>
              <w:bidi w:val="0"/>
              <w:spacing w:line="400" w:lineRule="exact"/>
              <w:jc w:val="center"/>
              <w:rPr>
                <w:rFonts w:hint="eastAsia" w:ascii="宋体" w:hAnsi="宋体" w:eastAsia="宋体" w:cs="宋体"/>
                <w:color w:val="auto"/>
              </w:rPr>
            </w:pPr>
          </w:p>
        </w:tc>
      </w:tr>
    </w:tbl>
    <w:p w14:paraId="1512C9E7">
      <w:pPr>
        <w:pageBreakBefore w:val="0"/>
        <w:overflowPunct/>
        <w:topLinePunct w:val="0"/>
        <w:bidi w:val="0"/>
        <w:snapToGrid w:val="0"/>
        <w:spacing w:line="400" w:lineRule="exact"/>
        <w:jc w:val="left"/>
        <w:outlineLvl w:val="9"/>
        <w:rPr>
          <w:rFonts w:hint="eastAsia" w:ascii="宋体" w:hAnsi="宋体" w:eastAsia="宋体" w:cs="宋体"/>
          <w:color w:val="auto"/>
          <w:szCs w:val="21"/>
          <w:u w:val="single"/>
        </w:rPr>
      </w:pPr>
      <w:r>
        <w:rPr>
          <w:rFonts w:hint="eastAsia" w:ascii="宋体" w:hAnsi="宋体" w:eastAsia="宋体" w:cs="宋体"/>
          <w:color w:val="auto"/>
          <w:szCs w:val="21"/>
        </w:rPr>
        <w:t xml:space="preserve">            供应商 (CA证书签章)：</w:t>
      </w:r>
      <w:r>
        <w:rPr>
          <w:rFonts w:hint="eastAsia" w:ascii="宋体" w:hAnsi="宋体" w:eastAsia="宋体" w:cs="宋体"/>
          <w:color w:val="auto"/>
          <w:szCs w:val="21"/>
          <w:u w:val="single"/>
        </w:rPr>
        <w:t xml:space="preserve">                                     </w:t>
      </w:r>
    </w:p>
    <w:p w14:paraId="69B8BAB9">
      <w:pPr>
        <w:pStyle w:val="11"/>
        <w:pageBreakBefore w:val="0"/>
        <w:overflowPunct/>
        <w:topLinePunct w:val="0"/>
        <w:bidi w:val="0"/>
        <w:spacing w:line="400" w:lineRule="exact"/>
        <w:ind w:left="1260" w:leftChars="200" w:hanging="840" w:hangingChars="400"/>
        <w:jc w:val="left"/>
        <w:rPr>
          <w:rFonts w:hint="eastAsia" w:ascii="宋体" w:hAnsi="宋体" w:eastAsia="宋体" w:cs="宋体"/>
          <w:b/>
          <w:color w:val="auto"/>
        </w:rPr>
      </w:pPr>
      <w:r>
        <w:rPr>
          <w:rFonts w:hint="eastAsia" w:ascii="宋体" w:hAnsi="宋体" w:eastAsia="宋体" w:cs="宋体"/>
          <w:color w:val="auto"/>
          <w:szCs w:val="21"/>
        </w:rPr>
        <w:t xml:space="preserve">        法定代表人（负责人、自然人）</w:t>
      </w:r>
      <w:r>
        <w:rPr>
          <w:rFonts w:hint="eastAsia" w:ascii="宋体" w:hAnsi="宋体" w:eastAsia="宋体" w:cs="宋体"/>
          <w:color w:val="auto"/>
        </w:rPr>
        <w:t>或相应的委托代理人</w:t>
      </w:r>
      <w:r>
        <w:rPr>
          <w:rFonts w:hint="eastAsia" w:ascii="宋体" w:hAnsi="宋体" w:eastAsia="宋体" w:cs="宋体"/>
          <w:color w:val="auto"/>
          <w:szCs w:val="21"/>
        </w:rPr>
        <w:t>签字（或个人CA证书签章）</w:t>
      </w:r>
      <w:r>
        <w:rPr>
          <w:rFonts w:hint="eastAsia" w:ascii="宋体" w:hAnsi="宋体" w:eastAsia="宋体" w:cs="宋体"/>
          <w:color w:val="auto"/>
        </w:rPr>
        <w:t>：</w:t>
      </w:r>
      <w:r>
        <w:rPr>
          <w:rFonts w:hint="eastAsia" w:ascii="宋体" w:hAnsi="宋体" w:eastAsia="宋体" w:cs="宋体"/>
          <w:color w:val="auto"/>
          <w:szCs w:val="21"/>
          <w:u w:val="single"/>
        </w:rPr>
        <w:t xml:space="preserve">                             </w:t>
      </w:r>
      <w:r>
        <w:rPr>
          <w:rFonts w:hint="eastAsia" w:ascii="宋体" w:hAnsi="宋体" w:eastAsia="宋体" w:cs="宋体"/>
          <w:color w:val="auto"/>
        </w:rPr>
        <w:t>日     期：</w:t>
      </w:r>
      <w:r>
        <w:rPr>
          <w:rFonts w:hint="eastAsia" w:ascii="宋体" w:hAnsi="宋体" w:eastAsia="宋体" w:cs="宋体"/>
          <w:color w:val="auto"/>
          <w:u w:val="single"/>
        </w:rPr>
        <w:t xml:space="preserve">                                                   </w:t>
      </w:r>
      <w:r>
        <w:rPr>
          <w:rFonts w:hint="eastAsia" w:ascii="宋体" w:hAnsi="宋体" w:eastAsia="宋体" w:cs="宋体"/>
          <w:b/>
          <w:color w:val="auto"/>
        </w:rPr>
        <w:t xml:space="preserve">  </w:t>
      </w:r>
    </w:p>
    <w:p w14:paraId="29AAED1F">
      <w:pPr>
        <w:pStyle w:val="11"/>
        <w:pageBreakBefore w:val="0"/>
        <w:overflowPunct/>
        <w:topLinePunct w:val="0"/>
        <w:bidi w:val="0"/>
        <w:spacing w:line="400" w:lineRule="exact"/>
        <w:rPr>
          <w:rFonts w:hint="eastAsia" w:ascii="宋体" w:hAnsi="宋体" w:eastAsia="宋体" w:cs="宋体"/>
          <w:b/>
          <w:color w:val="auto"/>
        </w:rPr>
      </w:pPr>
      <w:r>
        <w:rPr>
          <w:rFonts w:hint="eastAsia" w:ascii="宋体" w:hAnsi="宋体" w:eastAsia="宋体" w:cs="宋体"/>
          <w:b/>
          <w:color w:val="auto"/>
        </w:rPr>
        <w:t>注：1. 说明：供应商应对照</w:t>
      </w:r>
      <w:r>
        <w:rPr>
          <w:rFonts w:hint="eastAsia" w:ascii="宋体" w:hAnsi="宋体" w:eastAsia="宋体" w:cs="宋体"/>
          <w:b/>
          <w:color w:val="auto"/>
          <w:lang w:eastAsia="zh-CN"/>
        </w:rPr>
        <w:t>谈判</w:t>
      </w:r>
      <w:r>
        <w:rPr>
          <w:rFonts w:hint="eastAsia" w:ascii="宋体" w:hAnsi="宋体" w:eastAsia="宋体" w:cs="宋体"/>
          <w:b/>
          <w:color w:val="auto"/>
        </w:rPr>
        <w:t>文件“第三章</w:t>
      </w:r>
      <w:r>
        <w:rPr>
          <w:rFonts w:hint="eastAsia" w:ascii="宋体" w:hAnsi="宋体" w:eastAsia="宋体" w:cs="宋体"/>
          <w:b/>
          <w:color w:val="auto"/>
          <w:lang w:eastAsia="zh-CN"/>
        </w:rPr>
        <w:t>采购需求</w:t>
      </w:r>
      <w:r>
        <w:rPr>
          <w:rFonts w:hint="eastAsia" w:ascii="宋体" w:hAnsi="宋体" w:eastAsia="宋体" w:cs="宋体"/>
          <w:b/>
          <w:color w:val="auto"/>
        </w:rPr>
        <w:t>”中的“采购内容及技术参数”逐条作出明确响应，并作出偏离说明。</w:t>
      </w:r>
    </w:p>
    <w:p w14:paraId="137E0677">
      <w:pPr>
        <w:pStyle w:val="11"/>
        <w:pageBreakBefore w:val="0"/>
        <w:overflowPunct/>
        <w:topLinePunct w:val="0"/>
        <w:bidi w:val="0"/>
        <w:spacing w:line="400" w:lineRule="exact"/>
        <w:rPr>
          <w:rFonts w:hint="eastAsia" w:ascii="宋体" w:hAnsi="宋体" w:eastAsia="宋体" w:cs="宋体"/>
          <w:b/>
          <w:color w:val="auto"/>
        </w:rPr>
      </w:pPr>
      <w:r>
        <w:rPr>
          <w:rFonts w:hint="eastAsia" w:ascii="宋体" w:hAnsi="宋体" w:eastAsia="宋体" w:cs="宋体"/>
          <w:b/>
          <w:color w:val="auto"/>
        </w:rPr>
        <w:t>2. 供应商应根据</w:t>
      </w:r>
      <w:r>
        <w:rPr>
          <w:rFonts w:hint="eastAsia" w:ascii="宋体" w:hAnsi="宋体" w:eastAsia="宋体" w:cs="宋体"/>
          <w:b/>
          <w:color w:val="auto"/>
          <w:lang w:eastAsia="zh-CN"/>
        </w:rPr>
        <w:t>谈判</w:t>
      </w:r>
      <w:r>
        <w:rPr>
          <w:rFonts w:hint="eastAsia" w:ascii="宋体" w:hAnsi="宋体" w:eastAsia="宋体" w:cs="宋体"/>
          <w:b/>
          <w:color w:val="auto"/>
        </w:rPr>
        <w:t>设备的性能指标，对照</w:t>
      </w:r>
      <w:r>
        <w:rPr>
          <w:rFonts w:hint="eastAsia" w:ascii="宋体" w:hAnsi="宋体" w:eastAsia="宋体" w:cs="宋体"/>
          <w:b/>
          <w:color w:val="auto"/>
          <w:lang w:eastAsia="zh-CN"/>
        </w:rPr>
        <w:t>谈判</w:t>
      </w:r>
      <w:r>
        <w:rPr>
          <w:rFonts w:hint="eastAsia" w:ascii="宋体" w:hAnsi="宋体" w:eastAsia="宋体" w:cs="宋体"/>
          <w:b/>
          <w:color w:val="auto"/>
        </w:rPr>
        <w:t>文件要求，在“偏离说明”中注明“正偏离”、“负偏离”或者“无偏离”。既不属于“正偏离”也不属于“负偏离”即为“无偏离”。</w:t>
      </w:r>
    </w:p>
    <w:p w14:paraId="018EF6BB">
      <w:pPr>
        <w:pStyle w:val="11"/>
        <w:pageBreakBefore w:val="0"/>
        <w:overflowPunct/>
        <w:topLinePunct w:val="0"/>
        <w:bidi w:val="0"/>
        <w:spacing w:line="400" w:lineRule="exact"/>
        <w:rPr>
          <w:rFonts w:hint="eastAsia" w:ascii="宋体" w:hAnsi="宋体" w:eastAsia="宋体" w:cs="宋体"/>
          <w:b/>
          <w:color w:val="auto"/>
        </w:rPr>
      </w:pPr>
      <w:r>
        <w:rPr>
          <w:rFonts w:hint="eastAsia" w:ascii="宋体" w:hAnsi="宋体" w:eastAsia="宋体" w:cs="宋体"/>
          <w:b/>
          <w:color w:val="auto"/>
        </w:rPr>
        <w:t>3.技术需求偏离表须由法定代表人(负责人、自然人)或相应的委托代理人签字（或个人CA证书签章）并加盖供应商公章（CA证书签章）。</w:t>
      </w:r>
    </w:p>
    <w:p w14:paraId="74B7647A">
      <w:pPr>
        <w:pStyle w:val="6"/>
        <w:pageBreakBefore w:val="0"/>
        <w:overflowPunct/>
        <w:topLinePunct w:val="0"/>
        <w:bidi w:val="0"/>
        <w:spacing w:line="400" w:lineRule="exact"/>
        <w:rPr>
          <w:rFonts w:hint="eastAsia" w:ascii="宋体" w:hAnsi="宋体" w:eastAsia="宋体" w:cs="宋体"/>
          <w:b/>
          <w:color w:val="auto"/>
        </w:rPr>
      </w:pPr>
    </w:p>
    <w:p w14:paraId="53DB0FD0">
      <w:pPr>
        <w:rPr>
          <w:rFonts w:hint="eastAsia" w:ascii="宋体" w:hAnsi="宋体" w:eastAsia="宋体" w:cs="宋体"/>
          <w:b/>
          <w:color w:val="auto"/>
          <w:kern w:val="0"/>
          <w:sz w:val="28"/>
          <w:szCs w:val="28"/>
          <w:lang w:val="en-US" w:eastAsia="zh-CN" w:bidi="ar-SA"/>
        </w:rPr>
      </w:pPr>
      <w:r>
        <w:rPr>
          <w:rFonts w:hint="eastAsia" w:ascii="宋体" w:hAnsi="宋体" w:eastAsia="宋体" w:cs="宋体"/>
          <w:b/>
          <w:color w:val="auto"/>
          <w:kern w:val="0"/>
          <w:sz w:val="28"/>
          <w:szCs w:val="28"/>
          <w:lang w:val="en-US" w:eastAsia="zh-CN" w:bidi="ar-SA"/>
        </w:rPr>
        <w:br w:type="page"/>
      </w:r>
    </w:p>
    <w:p w14:paraId="10770E71">
      <w:pPr>
        <w:pageBreakBefore w:val="0"/>
        <w:tabs>
          <w:tab w:val="left" w:pos="1305"/>
        </w:tabs>
        <w:overflowPunct/>
        <w:topLinePunct w:val="0"/>
        <w:bidi w:val="0"/>
        <w:spacing w:line="400" w:lineRule="exact"/>
        <w:rPr>
          <w:rFonts w:hint="eastAsia" w:ascii="宋体" w:hAnsi="宋体" w:eastAsia="宋体" w:cs="宋体"/>
          <w:b/>
          <w:color w:val="auto"/>
          <w:kern w:val="0"/>
          <w:sz w:val="28"/>
          <w:szCs w:val="28"/>
          <w:lang w:val="en-US" w:eastAsia="zh-CN" w:bidi="ar-SA"/>
        </w:rPr>
      </w:pPr>
      <w:r>
        <w:rPr>
          <w:rFonts w:hint="eastAsia" w:ascii="宋体" w:hAnsi="宋体" w:eastAsia="宋体" w:cs="宋体"/>
          <w:b/>
          <w:color w:val="auto"/>
          <w:kern w:val="0"/>
          <w:sz w:val="28"/>
          <w:szCs w:val="28"/>
          <w:lang w:val="en-US" w:eastAsia="zh-CN" w:bidi="ar-SA"/>
        </w:rPr>
        <w:t>4.商务响应表（必须提供）；</w:t>
      </w:r>
    </w:p>
    <w:p w14:paraId="6481FF48">
      <w:pPr>
        <w:pageBreakBefore w:val="0"/>
        <w:overflowPunct/>
        <w:topLinePunct w:val="0"/>
        <w:bidi w:val="0"/>
        <w:spacing w:line="400" w:lineRule="exact"/>
        <w:rPr>
          <w:rFonts w:hint="eastAsia" w:ascii="宋体" w:hAnsi="宋体" w:eastAsia="宋体" w:cs="宋体"/>
          <w:color w:val="auto"/>
        </w:rPr>
      </w:pPr>
    </w:p>
    <w:p w14:paraId="07DC9601">
      <w:pPr>
        <w:pageBreakBefore w:val="0"/>
        <w:overflowPunct/>
        <w:topLinePunct w:val="0"/>
        <w:bidi w:val="0"/>
        <w:spacing w:line="400" w:lineRule="exact"/>
        <w:rPr>
          <w:rFonts w:hint="eastAsia" w:ascii="宋体" w:hAnsi="宋体" w:eastAsia="宋体" w:cs="宋体"/>
          <w:b/>
          <w:color w:val="auto"/>
          <w:sz w:val="30"/>
          <w:szCs w:val="30"/>
        </w:rPr>
      </w:pPr>
      <w:r>
        <w:rPr>
          <w:rFonts w:hint="eastAsia" w:ascii="宋体" w:hAnsi="宋体" w:eastAsia="宋体" w:cs="宋体"/>
          <w:b/>
          <w:color w:val="auto"/>
          <w:sz w:val="30"/>
          <w:szCs w:val="30"/>
        </w:rPr>
        <w:t>附件：</w:t>
      </w:r>
    </w:p>
    <w:p w14:paraId="74631D06">
      <w:pPr>
        <w:pageBreakBefore w:val="0"/>
        <w:overflowPunct/>
        <w:topLinePunct w:val="0"/>
        <w:bidi w:val="0"/>
        <w:spacing w:line="400" w:lineRule="exact"/>
        <w:jc w:val="center"/>
        <w:rPr>
          <w:rFonts w:hint="eastAsia" w:ascii="宋体" w:hAnsi="宋体" w:eastAsia="宋体" w:cs="宋体"/>
          <w:color w:val="auto"/>
        </w:rPr>
      </w:pPr>
      <w:r>
        <w:rPr>
          <w:rFonts w:hint="eastAsia" w:ascii="宋体" w:hAnsi="宋体" w:eastAsia="宋体" w:cs="宋体"/>
          <w:b/>
          <w:bCs/>
          <w:color w:val="auto"/>
          <w:sz w:val="32"/>
          <w:szCs w:val="32"/>
        </w:rPr>
        <w:t>商务响应表</w:t>
      </w:r>
    </w:p>
    <w:tbl>
      <w:tblPr>
        <w:tblStyle w:val="20"/>
        <w:tblW w:w="99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6"/>
        <w:gridCol w:w="3148"/>
        <w:gridCol w:w="2617"/>
        <w:gridCol w:w="2089"/>
      </w:tblGrid>
      <w:tr w14:paraId="6FD2D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2106" w:type="dxa"/>
            <w:tcBorders>
              <w:top w:val="single" w:color="auto" w:sz="4" w:space="0"/>
              <w:left w:val="single" w:color="auto" w:sz="4" w:space="0"/>
              <w:bottom w:val="single" w:color="auto" w:sz="4" w:space="0"/>
              <w:right w:val="single" w:color="auto" w:sz="4" w:space="0"/>
            </w:tcBorders>
            <w:vAlign w:val="center"/>
          </w:tcPr>
          <w:p w14:paraId="0EA36B94">
            <w:pPr>
              <w:pageBreakBefore w:val="0"/>
              <w:overflowPunct/>
              <w:topLinePunct w:val="0"/>
              <w:bidi w:val="0"/>
              <w:spacing w:line="400" w:lineRule="exact"/>
              <w:jc w:val="center"/>
              <w:rPr>
                <w:rFonts w:hint="eastAsia" w:ascii="宋体" w:hAnsi="宋体" w:eastAsia="宋体" w:cs="宋体"/>
                <w:color w:val="auto"/>
                <w:szCs w:val="20"/>
              </w:rPr>
            </w:pPr>
            <w:r>
              <w:rPr>
                <w:rFonts w:hint="eastAsia" w:ascii="宋体" w:hAnsi="宋体" w:eastAsia="宋体" w:cs="宋体"/>
                <w:color w:val="auto"/>
                <w:szCs w:val="20"/>
              </w:rPr>
              <w:t>项目</w:t>
            </w:r>
          </w:p>
        </w:tc>
        <w:tc>
          <w:tcPr>
            <w:tcW w:w="3148" w:type="dxa"/>
            <w:tcBorders>
              <w:top w:val="single" w:color="auto" w:sz="4" w:space="0"/>
              <w:left w:val="single" w:color="auto" w:sz="4" w:space="0"/>
              <w:bottom w:val="single" w:color="auto" w:sz="4" w:space="0"/>
              <w:right w:val="single" w:color="auto" w:sz="4" w:space="0"/>
            </w:tcBorders>
            <w:vAlign w:val="center"/>
          </w:tcPr>
          <w:p w14:paraId="765BE757">
            <w:pPr>
              <w:pageBreakBefore w:val="0"/>
              <w:overflowPunct/>
              <w:topLinePunct w:val="0"/>
              <w:bidi w:val="0"/>
              <w:spacing w:line="400" w:lineRule="exact"/>
              <w:jc w:val="center"/>
              <w:rPr>
                <w:rFonts w:hint="eastAsia" w:ascii="宋体" w:hAnsi="宋体" w:eastAsia="宋体" w:cs="宋体"/>
                <w:color w:val="auto"/>
                <w:szCs w:val="20"/>
              </w:rPr>
            </w:pPr>
            <w:r>
              <w:rPr>
                <w:rFonts w:hint="eastAsia" w:ascii="宋体" w:hAnsi="宋体" w:eastAsia="宋体" w:cs="宋体"/>
                <w:color w:val="auto"/>
                <w:szCs w:val="20"/>
                <w:lang w:eastAsia="zh-CN"/>
              </w:rPr>
              <w:t>谈判文件</w:t>
            </w:r>
            <w:r>
              <w:rPr>
                <w:rFonts w:hint="eastAsia" w:ascii="宋体" w:hAnsi="宋体" w:eastAsia="宋体" w:cs="宋体"/>
                <w:color w:val="auto"/>
                <w:szCs w:val="20"/>
              </w:rPr>
              <w:t>要求</w:t>
            </w:r>
          </w:p>
        </w:tc>
        <w:tc>
          <w:tcPr>
            <w:tcW w:w="2617" w:type="dxa"/>
            <w:tcBorders>
              <w:top w:val="single" w:color="auto" w:sz="4" w:space="0"/>
              <w:left w:val="single" w:color="auto" w:sz="4" w:space="0"/>
              <w:bottom w:val="single" w:color="auto" w:sz="4" w:space="0"/>
              <w:right w:val="single" w:color="auto" w:sz="4" w:space="0"/>
            </w:tcBorders>
            <w:vAlign w:val="center"/>
          </w:tcPr>
          <w:p w14:paraId="717A38D8">
            <w:pPr>
              <w:pageBreakBefore w:val="0"/>
              <w:overflowPunct/>
              <w:topLinePunct w:val="0"/>
              <w:bidi w:val="0"/>
              <w:spacing w:line="400" w:lineRule="exact"/>
              <w:jc w:val="center"/>
              <w:rPr>
                <w:rFonts w:hint="eastAsia" w:ascii="宋体" w:hAnsi="宋体" w:eastAsia="宋体" w:cs="宋体"/>
                <w:color w:val="auto"/>
                <w:szCs w:val="20"/>
              </w:rPr>
            </w:pPr>
            <w:r>
              <w:rPr>
                <w:rFonts w:hint="eastAsia" w:ascii="宋体" w:hAnsi="宋体" w:eastAsia="宋体" w:cs="宋体"/>
                <w:color w:val="auto"/>
                <w:szCs w:val="20"/>
                <w:lang w:eastAsia="zh-CN"/>
              </w:rPr>
              <w:t>响应文件</w:t>
            </w:r>
            <w:r>
              <w:rPr>
                <w:rFonts w:hint="eastAsia" w:ascii="宋体" w:hAnsi="宋体" w:eastAsia="宋体" w:cs="宋体"/>
                <w:color w:val="auto"/>
                <w:szCs w:val="20"/>
              </w:rPr>
              <w:t>的响应情况</w:t>
            </w:r>
          </w:p>
        </w:tc>
        <w:tc>
          <w:tcPr>
            <w:tcW w:w="2089" w:type="dxa"/>
            <w:tcBorders>
              <w:top w:val="single" w:color="auto" w:sz="4" w:space="0"/>
              <w:left w:val="single" w:color="auto" w:sz="4" w:space="0"/>
              <w:bottom w:val="single" w:color="auto" w:sz="4" w:space="0"/>
              <w:right w:val="single" w:color="auto" w:sz="4" w:space="0"/>
            </w:tcBorders>
            <w:vAlign w:val="center"/>
          </w:tcPr>
          <w:p w14:paraId="44D79AE5">
            <w:pPr>
              <w:pageBreakBefore w:val="0"/>
              <w:overflowPunct/>
              <w:topLinePunct w:val="0"/>
              <w:bidi w:val="0"/>
              <w:spacing w:line="400" w:lineRule="exact"/>
              <w:jc w:val="center"/>
              <w:rPr>
                <w:rFonts w:hint="eastAsia" w:ascii="宋体" w:hAnsi="宋体" w:eastAsia="宋体" w:cs="宋体"/>
                <w:color w:val="auto"/>
                <w:szCs w:val="20"/>
                <w:lang w:eastAsia="zh-CN"/>
              </w:rPr>
            </w:pPr>
            <w:r>
              <w:rPr>
                <w:rFonts w:hint="eastAsia" w:ascii="宋体" w:hAnsi="宋体" w:eastAsia="宋体" w:cs="宋体"/>
                <w:color w:val="auto"/>
              </w:rPr>
              <w:t>偏离情况说明</w:t>
            </w:r>
          </w:p>
        </w:tc>
      </w:tr>
      <w:tr w14:paraId="48AB3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2106" w:type="dxa"/>
            <w:tcBorders>
              <w:top w:val="single" w:color="auto" w:sz="4" w:space="0"/>
              <w:left w:val="single" w:color="auto" w:sz="4" w:space="0"/>
              <w:bottom w:val="single" w:color="auto" w:sz="4" w:space="0"/>
              <w:right w:val="single" w:color="auto" w:sz="4" w:space="0"/>
            </w:tcBorders>
            <w:vAlign w:val="center"/>
          </w:tcPr>
          <w:p w14:paraId="42F35784">
            <w:pPr>
              <w:pageBreakBefore w:val="0"/>
              <w:overflowPunct/>
              <w:topLinePunct w:val="0"/>
              <w:bidi w:val="0"/>
              <w:spacing w:line="400" w:lineRule="exact"/>
              <w:jc w:val="center"/>
              <w:rPr>
                <w:rFonts w:hint="eastAsia" w:ascii="宋体" w:hAnsi="宋体" w:eastAsia="宋体" w:cs="宋体"/>
                <w:color w:val="auto"/>
                <w:szCs w:val="20"/>
              </w:rPr>
            </w:pPr>
          </w:p>
        </w:tc>
        <w:tc>
          <w:tcPr>
            <w:tcW w:w="3148" w:type="dxa"/>
            <w:tcBorders>
              <w:top w:val="single" w:color="auto" w:sz="4" w:space="0"/>
              <w:left w:val="single" w:color="auto" w:sz="4" w:space="0"/>
              <w:bottom w:val="single" w:color="auto" w:sz="4" w:space="0"/>
              <w:right w:val="single" w:color="auto" w:sz="4" w:space="0"/>
            </w:tcBorders>
            <w:vAlign w:val="center"/>
          </w:tcPr>
          <w:p w14:paraId="23B420DB">
            <w:pPr>
              <w:pageBreakBefore w:val="0"/>
              <w:widowControl/>
              <w:overflowPunct/>
              <w:topLinePunct w:val="0"/>
              <w:bidi w:val="0"/>
              <w:spacing w:line="400" w:lineRule="exact"/>
              <w:rPr>
                <w:rFonts w:hint="eastAsia" w:ascii="宋体" w:hAnsi="宋体" w:eastAsia="宋体" w:cs="宋体"/>
                <w:color w:val="auto"/>
                <w:szCs w:val="20"/>
              </w:rPr>
            </w:pPr>
          </w:p>
        </w:tc>
        <w:tc>
          <w:tcPr>
            <w:tcW w:w="2617" w:type="dxa"/>
            <w:tcBorders>
              <w:top w:val="single" w:color="auto" w:sz="4" w:space="0"/>
              <w:left w:val="single" w:color="auto" w:sz="4" w:space="0"/>
              <w:bottom w:val="single" w:color="auto" w:sz="4" w:space="0"/>
              <w:right w:val="single" w:color="auto" w:sz="4" w:space="0"/>
            </w:tcBorders>
            <w:vAlign w:val="top"/>
          </w:tcPr>
          <w:p w14:paraId="2E8EC6F5">
            <w:pPr>
              <w:pageBreakBefore w:val="0"/>
              <w:overflowPunct/>
              <w:topLinePunct w:val="0"/>
              <w:bidi w:val="0"/>
              <w:spacing w:line="400" w:lineRule="exact"/>
              <w:jc w:val="center"/>
              <w:rPr>
                <w:rFonts w:hint="eastAsia" w:ascii="宋体" w:hAnsi="宋体" w:eastAsia="宋体" w:cs="宋体"/>
                <w:color w:val="auto"/>
                <w:szCs w:val="20"/>
              </w:rPr>
            </w:pPr>
          </w:p>
        </w:tc>
        <w:tc>
          <w:tcPr>
            <w:tcW w:w="2089" w:type="dxa"/>
            <w:tcBorders>
              <w:top w:val="single" w:color="auto" w:sz="4" w:space="0"/>
              <w:left w:val="single" w:color="auto" w:sz="4" w:space="0"/>
              <w:bottom w:val="single" w:color="auto" w:sz="4" w:space="0"/>
              <w:right w:val="single" w:color="auto" w:sz="4" w:space="0"/>
            </w:tcBorders>
            <w:vAlign w:val="top"/>
          </w:tcPr>
          <w:p w14:paraId="4355A123">
            <w:pPr>
              <w:pageBreakBefore w:val="0"/>
              <w:overflowPunct/>
              <w:topLinePunct w:val="0"/>
              <w:bidi w:val="0"/>
              <w:spacing w:line="400" w:lineRule="exact"/>
              <w:jc w:val="center"/>
              <w:rPr>
                <w:rFonts w:hint="eastAsia" w:ascii="宋体" w:hAnsi="宋体" w:eastAsia="宋体" w:cs="宋体"/>
                <w:color w:val="auto"/>
                <w:szCs w:val="20"/>
              </w:rPr>
            </w:pPr>
          </w:p>
        </w:tc>
      </w:tr>
      <w:tr w14:paraId="2D9D9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2106" w:type="dxa"/>
            <w:tcBorders>
              <w:top w:val="single" w:color="auto" w:sz="4" w:space="0"/>
              <w:left w:val="single" w:color="auto" w:sz="4" w:space="0"/>
              <w:bottom w:val="single" w:color="auto" w:sz="4" w:space="0"/>
              <w:right w:val="single" w:color="auto" w:sz="4" w:space="0"/>
            </w:tcBorders>
            <w:vAlign w:val="center"/>
          </w:tcPr>
          <w:p w14:paraId="118982F4">
            <w:pPr>
              <w:pageBreakBefore w:val="0"/>
              <w:overflowPunct/>
              <w:topLinePunct w:val="0"/>
              <w:bidi w:val="0"/>
              <w:spacing w:line="400" w:lineRule="exact"/>
              <w:jc w:val="center"/>
              <w:rPr>
                <w:rFonts w:hint="eastAsia" w:ascii="宋体" w:hAnsi="宋体" w:eastAsia="宋体" w:cs="宋体"/>
                <w:color w:val="auto"/>
                <w:szCs w:val="20"/>
              </w:rPr>
            </w:pPr>
          </w:p>
        </w:tc>
        <w:tc>
          <w:tcPr>
            <w:tcW w:w="3148" w:type="dxa"/>
            <w:tcBorders>
              <w:top w:val="single" w:color="auto" w:sz="4" w:space="0"/>
              <w:left w:val="single" w:color="auto" w:sz="4" w:space="0"/>
              <w:bottom w:val="single" w:color="auto" w:sz="4" w:space="0"/>
              <w:right w:val="single" w:color="auto" w:sz="4" w:space="0"/>
            </w:tcBorders>
            <w:vAlign w:val="top"/>
          </w:tcPr>
          <w:p w14:paraId="7A4223D1">
            <w:pPr>
              <w:pageBreakBefore w:val="0"/>
              <w:widowControl/>
              <w:overflowPunct/>
              <w:topLinePunct w:val="0"/>
              <w:bidi w:val="0"/>
              <w:spacing w:line="400" w:lineRule="exact"/>
              <w:jc w:val="left"/>
              <w:rPr>
                <w:rFonts w:hint="eastAsia" w:ascii="宋体" w:hAnsi="宋体" w:eastAsia="宋体" w:cs="宋体"/>
                <w:color w:val="auto"/>
                <w:szCs w:val="20"/>
              </w:rPr>
            </w:pPr>
          </w:p>
        </w:tc>
        <w:tc>
          <w:tcPr>
            <w:tcW w:w="2617" w:type="dxa"/>
            <w:tcBorders>
              <w:top w:val="single" w:color="auto" w:sz="4" w:space="0"/>
              <w:left w:val="single" w:color="auto" w:sz="4" w:space="0"/>
              <w:bottom w:val="single" w:color="auto" w:sz="4" w:space="0"/>
              <w:right w:val="single" w:color="auto" w:sz="4" w:space="0"/>
            </w:tcBorders>
            <w:vAlign w:val="top"/>
          </w:tcPr>
          <w:p w14:paraId="32336673">
            <w:pPr>
              <w:pageBreakBefore w:val="0"/>
              <w:overflowPunct/>
              <w:topLinePunct w:val="0"/>
              <w:bidi w:val="0"/>
              <w:spacing w:line="400" w:lineRule="exact"/>
              <w:jc w:val="center"/>
              <w:rPr>
                <w:rFonts w:hint="eastAsia" w:ascii="宋体" w:hAnsi="宋体" w:eastAsia="宋体" w:cs="宋体"/>
                <w:color w:val="auto"/>
                <w:szCs w:val="20"/>
              </w:rPr>
            </w:pPr>
          </w:p>
        </w:tc>
        <w:tc>
          <w:tcPr>
            <w:tcW w:w="2089" w:type="dxa"/>
            <w:tcBorders>
              <w:top w:val="single" w:color="auto" w:sz="4" w:space="0"/>
              <w:left w:val="single" w:color="auto" w:sz="4" w:space="0"/>
              <w:bottom w:val="single" w:color="auto" w:sz="4" w:space="0"/>
              <w:right w:val="single" w:color="auto" w:sz="4" w:space="0"/>
            </w:tcBorders>
            <w:vAlign w:val="top"/>
          </w:tcPr>
          <w:p w14:paraId="2028650A">
            <w:pPr>
              <w:pageBreakBefore w:val="0"/>
              <w:overflowPunct/>
              <w:topLinePunct w:val="0"/>
              <w:bidi w:val="0"/>
              <w:spacing w:line="400" w:lineRule="exact"/>
              <w:jc w:val="center"/>
              <w:rPr>
                <w:rFonts w:hint="eastAsia" w:ascii="宋体" w:hAnsi="宋体" w:eastAsia="宋体" w:cs="宋体"/>
                <w:color w:val="auto"/>
                <w:szCs w:val="20"/>
              </w:rPr>
            </w:pPr>
          </w:p>
        </w:tc>
      </w:tr>
      <w:tr w14:paraId="031D7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2106" w:type="dxa"/>
            <w:tcBorders>
              <w:top w:val="single" w:color="auto" w:sz="4" w:space="0"/>
              <w:left w:val="single" w:color="auto" w:sz="4" w:space="0"/>
              <w:bottom w:val="single" w:color="auto" w:sz="4" w:space="0"/>
              <w:right w:val="single" w:color="auto" w:sz="4" w:space="0"/>
            </w:tcBorders>
            <w:vAlign w:val="center"/>
          </w:tcPr>
          <w:p w14:paraId="413CB735">
            <w:pPr>
              <w:pageBreakBefore w:val="0"/>
              <w:overflowPunct/>
              <w:topLinePunct w:val="0"/>
              <w:bidi w:val="0"/>
              <w:spacing w:line="400" w:lineRule="exact"/>
              <w:jc w:val="center"/>
              <w:rPr>
                <w:rFonts w:hint="eastAsia" w:ascii="宋体" w:hAnsi="宋体" w:eastAsia="宋体" w:cs="宋体"/>
                <w:color w:val="auto"/>
                <w:szCs w:val="20"/>
              </w:rPr>
            </w:pPr>
          </w:p>
        </w:tc>
        <w:tc>
          <w:tcPr>
            <w:tcW w:w="3148" w:type="dxa"/>
            <w:tcBorders>
              <w:top w:val="single" w:color="auto" w:sz="4" w:space="0"/>
              <w:left w:val="single" w:color="auto" w:sz="4" w:space="0"/>
              <w:bottom w:val="single" w:color="auto" w:sz="4" w:space="0"/>
              <w:right w:val="single" w:color="auto" w:sz="4" w:space="0"/>
            </w:tcBorders>
            <w:vAlign w:val="center"/>
          </w:tcPr>
          <w:p w14:paraId="1F6158E0">
            <w:pPr>
              <w:pageBreakBefore w:val="0"/>
              <w:overflowPunct/>
              <w:topLinePunct w:val="0"/>
              <w:bidi w:val="0"/>
              <w:spacing w:line="400" w:lineRule="exact"/>
              <w:rPr>
                <w:rFonts w:hint="eastAsia" w:ascii="宋体" w:hAnsi="宋体" w:eastAsia="宋体" w:cs="宋体"/>
                <w:color w:val="auto"/>
                <w:szCs w:val="20"/>
              </w:rPr>
            </w:pPr>
          </w:p>
        </w:tc>
        <w:tc>
          <w:tcPr>
            <w:tcW w:w="2617" w:type="dxa"/>
            <w:tcBorders>
              <w:top w:val="single" w:color="auto" w:sz="4" w:space="0"/>
              <w:left w:val="single" w:color="auto" w:sz="4" w:space="0"/>
              <w:bottom w:val="single" w:color="auto" w:sz="4" w:space="0"/>
              <w:right w:val="single" w:color="auto" w:sz="4" w:space="0"/>
            </w:tcBorders>
            <w:vAlign w:val="top"/>
          </w:tcPr>
          <w:p w14:paraId="5A63DEA2">
            <w:pPr>
              <w:pageBreakBefore w:val="0"/>
              <w:overflowPunct/>
              <w:topLinePunct w:val="0"/>
              <w:bidi w:val="0"/>
              <w:spacing w:line="400" w:lineRule="exact"/>
              <w:jc w:val="center"/>
              <w:rPr>
                <w:rFonts w:hint="eastAsia" w:ascii="宋体" w:hAnsi="宋体" w:eastAsia="宋体" w:cs="宋体"/>
                <w:color w:val="auto"/>
                <w:szCs w:val="20"/>
              </w:rPr>
            </w:pPr>
          </w:p>
        </w:tc>
        <w:tc>
          <w:tcPr>
            <w:tcW w:w="2089" w:type="dxa"/>
            <w:tcBorders>
              <w:top w:val="single" w:color="auto" w:sz="4" w:space="0"/>
              <w:left w:val="single" w:color="auto" w:sz="4" w:space="0"/>
              <w:bottom w:val="single" w:color="auto" w:sz="4" w:space="0"/>
              <w:right w:val="single" w:color="auto" w:sz="4" w:space="0"/>
            </w:tcBorders>
            <w:vAlign w:val="top"/>
          </w:tcPr>
          <w:p w14:paraId="2692F7AD">
            <w:pPr>
              <w:pageBreakBefore w:val="0"/>
              <w:overflowPunct/>
              <w:topLinePunct w:val="0"/>
              <w:bidi w:val="0"/>
              <w:spacing w:line="400" w:lineRule="exact"/>
              <w:jc w:val="center"/>
              <w:rPr>
                <w:rFonts w:hint="eastAsia" w:ascii="宋体" w:hAnsi="宋体" w:eastAsia="宋体" w:cs="宋体"/>
                <w:color w:val="auto"/>
                <w:szCs w:val="20"/>
              </w:rPr>
            </w:pPr>
          </w:p>
        </w:tc>
      </w:tr>
      <w:tr w14:paraId="18EDD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2106" w:type="dxa"/>
            <w:tcBorders>
              <w:top w:val="single" w:color="auto" w:sz="4" w:space="0"/>
              <w:left w:val="single" w:color="auto" w:sz="4" w:space="0"/>
              <w:bottom w:val="single" w:color="auto" w:sz="4" w:space="0"/>
              <w:right w:val="single" w:color="auto" w:sz="4" w:space="0"/>
            </w:tcBorders>
            <w:vAlign w:val="center"/>
          </w:tcPr>
          <w:p w14:paraId="77EA3815">
            <w:pPr>
              <w:pageBreakBefore w:val="0"/>
              <w:overflowPunct/>
              <w:topLinePunct w:val="0"/>
              <w:bidi w:val="0"/>
              <w:spacing w:line="400" w:lineRule="exact"/>
              <w:jc w:val="center"/>
              <w:rPr>
                <w:rFonts w:hint="eastAsia" w:ascii="宋体" w:hAnsi="宋体" w:eastAsia="宋体" w:cs="宋体"/>
                <w:color w:val="auto"/>
                <w:szCs w:val="20"/>
              </w:rPr>
            </w:pPr>
          </w:p>
        </w:tc>
        <w:tc>
          <w:tcPr>
            <w:tcW w:w="3148" w:type="dxa"/>
            <w:tcBorders>
              <w:top w:val="single" w:color="auto" w:sz="4" w:space="0"/>
              <w:left w:val="single" w:color="auto" w:sz="4" w:space="0"/>
              <w:bottom w:val="single" w:color="auto" w:sz="4" w:space="0"/>
              <w:right w:val="single" w:color="auto" w:sz="4" w:space="0"/>
            </w:tcBorders>
            <w:vAlign w:val="center"/>
          </w:tcPr>
          <w:p w14:paraId="31FD4123">
            <w:pPr>
              <w:pageBreakBefore w:val="0"/>
              <w:widowControl/>
              <w:overflowPunct/>
              <w:topLinePunct w:val="0"/>
              <w:bidi w:val="0"/>
              <w:spacing w:line="400" w:lineRule="exact"/>
              <w:rPr>
                <w:rFonts w:hint="eastAsia" w:ascii="宋体" w:hAnsi="宋体" w:eastAsia="宋体" w:cs="宋体"/>
                <w:color w:val="auto"/>
                <w:kern w:val="0"/>
                <w:szCs w:val="21"/>
              </w:rPr>
            </w:pPr>
          </w:p>
        </w:tc>
        <w:tc>
          <w:tcPr>
            <w:tcW w:w="2617" w:type="dxa"/>
            <w:tcBorders>
              <w:top w:val="single" w:color="auto" w:sz="4" w:space="0"/>
              <w:left w:val="single" w:color="auto" w:sz="4" w:space="0"/>
              <w:bottom w:val="single" w:color="auto" w:sz="4" w:space="0"/>
              <w:right w:val="single" w:color="auto" w:sz="4" w:space="0"/>
            </w:tcBorders>
            <w:vAlign w:val="top"/>
          </w:tcPr>
          <w:p w14:paraId="25EBCCE7">
            <w:pPr>
              <w:pageBreakBefore w:val="0"/>
              <w:overflowPunct/>
              <w:topLinePunct w:val="0"/>
              <w:bidi w:val="0"/>
              <w:spacing w:line="400" w:lineRule="exact"/>
              <w:jc w:val="center"/>
              <w:rPr>
                <w:rFonts w:hint="eastAsia" w:ascii="宋体" w:hAnsi="宋体" w:eastAsia="宋体" w:cs="宋体"/>
                <w:color w:val="auto"/>
                <w:szCs w:val="20"/>
              </w:rPr>
            </w:pPr>
          </w:p>
        </w:tc>
        <w:tc>
          <w:tcPr>
            <w:tcW w:w="2089" w:type="dxa"/>
            <w:tcBorders>
              <w:top w:val="single" w:color="auto" w:sz="4" w:space="0"/>
              <w:left w:val="single" w:color="auto" w:sz="4" w:space="0"/>
              <w:bottom w:val="single" w:color="auto" w:sz="4" w:space="0"/>
              <w:right w:val="single" w:color="auto" w:sz="4" w:space="0"/>
            </w:tcBorders>
            <w:vAlign w:val="top"/>
          </w:tcPr>
          <w:p w14:paraId="34B4DAB9">
            <w:pPr>
              <w:pageBreakBefore w:val="0"/>
              <w:overflowPunct/>
              <w:topLinePunct w:val="0"/>
              <w:bidi w:val="0"/>
              <w:spacing w:line="400" w:lineRule="exact"/>
              <w:jc w:val="center"/>
              <w:rPr>
                <w:rFonts w:hint="eastAsia" w:ascii="宋体" w:hAnsi="宋体" w:eastAsia="宋体" w:cs="宋体"/>
                <w:color w:val="auto"/>
                <w:szCs w:val="20"/>
              </w:rPr>
            </w:pPr>
          </w:p>
        </w:tc>
      </w:tr>
      <w:tr w14:paraId="40AC8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2106" w:type="dxa"/>
            <w:tcBorders>
              <w:top w:val="single" w:color="auto" w:sz="4" w:space="0"/>
              <w:left w:val="single" w:color="auto" w:sz="4" w:space="0"/>
              <w:bottom w:val="single" w:color="auto" w:sz="4" w:space="0"/>
              <w:right w:val="single" w:color="auto" w:sz="4" w:space="0"/>
            </w:tcBorders>
            <w:vAlign w:val="center"/>
          </w:tcPr>
          <w:p w14:paraId="4134C013">
            <w:pPr>
              <w:pageBreakBefore w:val="0"/>
              <w:overflowPunct/>
              <w:topLinePunct w:val="0"/>
              <w:bidi w:val="0"/>
              <w:spacing w:line="400" w:lineRule="exact"/>
              <w:jc w:val="center"/>
              <w:rPr>
                <w:rFonts w:hint="eastAsia" w:ascii="宋体" w:hAnsi="宋体" w:eastAsia="宋体" w:cs="宋体"/>
                <w:color w:val="auto"/>
                <w:szCs w:val="20"/>
              </w:rPr>
            </w:pPr>
            <w:r>
              <w:rPr>
                <w:rFonts w:hint="eastAsia" w:ascii="宋体" w:hAnsi="宋体" w:eastAsia="宋体" w:cs="宋体"/>
                <w:color w:val="auto"/>
                <w:szCs w:val="20"/>
              </w:rPr>
              <w:t>……</w:t>
            </w:r>
          </w:p>
        </w:tc>
        <w:tc>
          <w:tcPr>
            <w:tcW w:w="3148" w:type="dxa"/>
            <w:tcBorders>
              <w:top w:val="single" w:color="auto" w:sz="4" w:space="0"/>
              <w:left w:val="single" w:color="auto" w:sz="4" w:space="0"/>
              <w:bottom w:val="single" w:color="auto" w:sz="4" w:space="0"/>
              <w:right w:val="single" w:color="auto" w:sz="4" w:space="0"/>
            </w:tcBorders>
            <w:vAlign w:val="center"/>
          </w:tcPr>
          <w:p w14:paraId="48A80742">
            <w:pPr>
              <w:pageBreakBefore w:val="0"/>
              <w:widowControl/>
              <w:overflowPunct/>
              <w:topLinePunct w:val="0"/>
              <w:bidi w:val="0"/>
              <w:spacing w:line="400" w:lineRule="exact"/>
              <w:rPr>
                <w:rFonts w:hint="eastAsia" w:ascii="宋体" w:hAnsi="宋体" w:eastAsia="宋体" w:cs="宋体"/>
                <w:color w:val="auto"/>
                <w:kern w:val="0"/>
                <w:szCs w:val="21"/>
              </w:rPr>
            </w:pPr>
          </w:p>
        </w:tc>
        <w:tc>
          <w:tcPr>
            <w:tcW w:w="2617" w:type="dxa"/>
            <w:tcBorders>
              <w:top w:val="single" w:color="auto" w:sz="4" w:space="0"/>
              <w:left w:val="single" w:color="auto" w:sz="4" w:space="0"/>
              <w:bottom w:val="single" w:color="auto" w:sz="4" w:space="0"/>
              <w:right w:val="single" w:color="auto" w:sz="4" w:space="0"/>
            </w:tcBorders>
            <w:vAlign w:val="top"/>
          </w:tcPr>
          <w:p w14:paraId="5D87FC37">
            <w:pPr>
              <w:pageBreakBefore w:val="0"/>
              <w:overflowPunct/>
              <w:topLinePunct w:val="0"/>
              <w:bidi w:val="0"/>
              <w:spacing w:line="400" w:lineRule="exact"/>
              <w:jc w:val="center"/>
              <w:rPr>
                <w:rFonts w:hint="eastAsia" w:ascii="宋体" w:hAnsi="宋体" w:eastAsia="宋体" w:cs="宋体"/>
                <w:color w:val="auto"/>
                <w:szCs w:val="20"/>
              </w:rPr>
            </w:pPr>
          </w:p>
        </w:tc>
        <w:tc>
          <w:tcPr>
            <w:tcW w:w="2089" w:type="dxa"/>
            <w:tcBorders>
              <w:top w:val="single" w:color="auto" w:sz="4" w:space="0"/>
              <w:left w:val="single" w:color="auto" w:sz="4" w:space="0"/>
              <w:bottom w:val="single" w:color="auto" w:sz="4" w:space="0"/>
              <w:right w:val="single" w:color="auto" w:sz="4" w:space="0"/>
            </w:tcBorders>
            <w:vAlign w:val="top"/>
          </w:tcPr>
          <w:p w14:paraId="7BBBE05D">
            <w:pPr>
              <w:pageBreakBefore w:val="0"/>
              <w:overflowPunct/>
              <w:topLinePunct w:val="0"/>
              <w:bidi w:val="0"/>
              <w:spacing w:line="400" w:lineRule="exact"/>
              <w:jc w:val="center"/>
              <w:rPr>
                <w:rFonts w:hint="eastAsia" w:ascii="宋体" w:hAnsi="宋体" w:eastAsia="宋体" w:cs="宋体"/>
                <w:color w:val="auto"/>
                <w:szCs w:val="20"/>
              </w:rPr>
            </w:pPr>
          </w:p>
        </w:tc>
      </w:tr>
    </w:tbl>
    <w:p w14:paraId="3BB938B8">
      <w:pPr>
        <w:pageBreakBefore w:val="0"/>
        <w:overflowPunct/>
        <w:topLinePunct w:val="0"/>
        <w:bidi w:val="0"/>
        <w:snapToGrid w:val="0"/>
        <w:spacing w:line="400" w:lineRule="exact"/>
        <w:ind w:firstLine="1050" w:firstLineChars="500"/>
        <w:jc w:val="left"/>
        <w:outlineLvl w:val="9"/>
        <w:rPr>
          <w:rFonts w:hint="eastAsia" w:ascii="宋体" w:hAnsi="宋体" w:eastAsia="宋体" w:cs="宋体"/>
          <w:color w:val="auto"/>
          <w:szCs w:val="21"/>
          <w:u w:val="single"/>
        </w:rPr>
      </w:pPr>
      <w:r>
        <w:rPr>
          <w:rFonts w:hint="eastAsia" w:ascii="宋体" w:hAnsi="宋体" w:eastAsia="宋体" w:cs="宋体"/>
          <w:color w:val="auto"/>
          <w:szCs w:val="21"/>
        </w:rPr>
        <w:t xml:space="preserve">  供应商(CA证书签章)：</w:t>
      </w:r>
      <w:r>
        <w:rPr>
          <w:rFonts w:hint="eastAsia" w:ascii="宋体" w:hAnsi="宋体" w:eastAsia="宋体" w:cs="宋体"/>
          <w:color w:val="auto"/>
          <w:szCs w:val="21"/>
          <w:u w:val="single"/>
        </w:rPr>
        <w:t xml:space="preserve">                                     </w:t>
      </w:r>
    </w:p>
    <w:p w14:paraId="5471AEA5">
      <w:pPr>
        <w:pStyle w:val="11"/>
        <w:pageBreakBefore w:val="0"/>
        <w:overflowPunct/>
        <w:topLinePunct w:val="0"/>
        <w:bidi w:val="0"/>
        <w:spacing w:line="400" w:lineRule="exact"/>
        <w:ind w:firstLine="420"/>
        <w:jc w:val="left"/>
        <w:rPr>
          <w:rFonts w:hint="eastAsia" w:ascii="宋体" w:hAnsi="宋体" w:eastAsia="宋体" w:cs="宋体"/>
          <w:color w:val="auto"/>
          <w:szCs w:val="21"/>
          <w:u w:val="single"/>
        </w:rPr>
      </w:pPr>
      <w:r>
        <w:rPr>
          <w:rFonts w:hint="eastAsia" w:ascii="宋体" w:hAnsi="宋体" w:eastAsia="宋体" w:cs="宋体"/>
          <w:color w:val="auto"/>
          <w:szCs w:val="21"/>
        </w:rPr>
        <w:t xml:space="preserve">        法定代表人（负责人、自然人）</w:t>
      </w:r>
      <w:r>
        <w:rPr>
          <w:rFonts w:hint="eastAsia" w:ascii="宋体" w:hAnsi="宋体" w:eastAsia="宋体" w:cs="宋体"/>
          <w:color w:val="auto"/>
        </w:rPr>
        <w:t>或相应的委托代理人</w:t>
      </w:r>
      <w:r>
        <w:rPr>
          <w:rFonts w:hint="eastAsia" w:ascii="宋体" w:hAnsi="宋体" w:eastAsia="宋体" w:cs="宋体"/>
          <w:color w:val="auto"/>
          <w:szCs w:val="21"/>
        </w:rPr>
        <w:t>签字（或个人CA证书签章）</w:t>
      </w:r>
      <w:r>
        <w:rPr>
          <w:rFonts w:hint="eastAsia" w:ascii="宋体" w:hAnsi="宋体" w:eastAsia="宋体" w:cs="宋体"/>
          <w:color w:val="auto"/>
        </w:rPr>
        <w:t>：</w:t>
      </w:r>
      <w:r>
        <w:rPr>
          <w:rFonts w:hint="eastAsia" w:ascii="宋体" w:hAnsi="宋体" w:eastAsia="宋体" w:cs="宋体"/>
          <w:color w:val="auto"/>
          <w:szCs w:val="21"/>
          <w:u w:val="single"/>
        </w:rPr>
        <w:t xml:space="preserve">                              </w:t>
      </w:r>
    </w:p>
    <w:p w14:paraId="34316C30">
      <w:pPr>
        <w:pageBreakBefore w:val="0"/>
        <w:overflowPunct/>
        <w:topLinePunct w:val="0"/>
        <w:bidi w:val="0"/>
        <w:spacing w:line="400" w:lineRule="exact"/>
        <w:jc w:val="left"/>
        <w:rPr>
          <w:rFonts w:hint="eastAsia" w:ascii="宋体" w:hAnsi="宋体" w:eastAsia="宋体" w:cs="宋体"/>
          <w:color w:val="auto"/>
          <w:szCs w:val="21"/>
          <w:u w:val="single"/>
        </w:rPr>
      </w:pPr>
      <w:r>
        <w:rPr>
          <w:rFonts w:hint="eastAsia" w:ascii="宋体" w:hAnsi="宋体" w:eastAsia="宋体" w:cs="宋体"/>
          <w:color w:val="auto"/>
        </w:rPr>
        <w:t xml:space="preserve">            日     期：</w:t>
      </w:r>
      <w:r>
        <w:rPr>
          <w:rFonts w:hint="eastAsia" w:ascii="宋体" w:hAnsi="宋体" w:eastAsia="宋体" w:cs="宋体"/>
          <w:color w:val="auto"/>
          <w:u w:val="single"/>
        </w:rPr>
        <w:t xml:space="preserve">                                                   </w:t>
      </w:r>
    </w:p>
    <w:p w14:paraId="48919201">
      <w:pPr>
        <w:pStyle w:val="11"/>
        <w:pageBreakBefore w:val="0"/>
        <w:overflowPunct/>
        <w:topLinePunct w:val="0"/>
        <w:bidi w:val="0"/>
        <w:spacing w:line="400" w:lineRule="exact"/>
        <w:rPr>
          <w:rFonts w:hint="eastAsia" w:ascii="宋体" w:hAnsi="宋体" w:eastAsia="宋体" w:cs="宋体"/>
          <w:b/>
          <w:color w:val="auto"/>
        </w:rPr>
      </w:pPr>
      <w:r>
        <w:rPr>
          <w:rFonts w:hint="eastAsia" w:ascii="宋体" w:hAnsi="宋体" w:eastAsia="宋体" w:cs="宋体"/>
          <w:b/>
          <w:color w:val="auto"/>
        </w:rPr>
        <w:t>注：商务响应表须由法定代表人(负责人、自然人)或相应的委托代理人签字（或个人CA证书签章）并加盖</w:t>
      </w:r>
      <w:r>
        <w:rPr>
          <w:rFonts w:hint="eastAsia" w:ascii="宋体" w:hAnsi="宋体" w:eastAsia="宋体" w:cs="宋体"/>
          <w:b/>
          <w:color w:val="auto"/>
          <w:lang w:eastAsia="zh-CN"/>
        </w:rPr>
        <w:t>供应商</w:t>
      </w:r>
      <w:r>
        <w:rPr>
          <w:rFonts w:hint="eastAsia" w:ascii="宋体" w:hAnsi="宋体" w:eastAsia="宋体" w:cs="宋体"/>
          <w:b/>
          <w:color w:val="auto"/>
        </w:rPr>
        <w:t>公章（CA证书签章）。</w:t>
      </w:r>
    </w:p>
    <w:p w14:paraId="754FB9B9">
      <w:pPr>
        <w:pageBreakBefore w:val="0"/>
        <w:widowControl w:val="0"/>
        <w:overflowPunct/>
        <w:topLinePunct w:val="0"/>
        <w:bidi w:val="0"/>
        <w:spacing w:line="400" w:lineRule="exact"/>
        <w:rPr>
          <w:rFonts w:hint="eastAsia" w:ascii="宋体" w:hAnsi="宋体" w:eastAsia="宋体" w:cs="宋体"/>
          <w:b/>
          <w:bCs/>
          <w:color w:val="auto"/>
          <w:sz w:val="28"/>
          <w:szCs w:val="28"/>
          <w:highlight w:val="none"/>
          <w:lang w:eastAsia="zh-CN"/>
        </w:rPr>
      </w:pPr>
    </w:p>
    <w:p w14:paraId="0369D85C">
      <w:pPr>
        <w:pageBreakBefore w:val="0"/>
        <w:overflowPunct/>
        <w:topLinePunct w:val="0"/>
        <w:bidi w:val="0"/>
        <w:spacing w:line="400" w:lineRule="exact"/>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lang w:eastAsia="zh-CN"/>
        </w:rPr>
        <w:br w:type="page"/>
      </w:r>
    </w:p>
    <w:p w14:paraId="2AFF56B8">
      <w:pPr>
        <w:pageBreakBefore w:val="0"/>
        <w:widowControl w:val="0"/>
        <w:overflowPunct/>
        <w:topLinePunct w:val="0"/>
        <w:bidi w:val="0"/>
        <w:spacing w:line="400" w:lineRule="exact"/>
        <w:rPr>
          <w:rFonts w:hint="eastAsia" w:ascii="宋体" w:hAnsi="宋体" w:eastAsia="宋体" w:cs="宋体"/>
          <w:b/>
          <w:bCs/>
          <w:color w:val="auto"/>
          <w:sz w:val="28"/>
          <w:szCs w:val="28"/>
          <w:highlight w:val="none"/>
          <w:lang w:eastAsia="zh-CN"/>
        </w:rPr>
        <w:sectPr>
          <w:headerReference r:id="rId18" w:type="default"/>
          <w:footerReference r:id="rId19" w:type="default"/>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p w14:paraId="7866A955">
      <w:pPr>
        <w:pageBreakBefore w:val="0"/>
        <w:widowControl w:val="0"/>
        <w:overflowPunct/>
        <w:topLinePunct w:val="0"/>
        <w:bidi w:val="0"/>
        <w:spacing w:line="400" w:lineRule="exact"/>
        <w:rPr>
          <w:rFonts w:hint="eastAsia" w:ascii="宋体" w:hAnsi="宋体" w:eastAsia="宋体" w:cs="宋体"/>
          <w:b/>
          <w:bCs/>
          <w:color w:val="auto"/>
          <w:sz w:val="31"/>
          <w:szCs w:val="31"/>
          <w:highlight w:val="none"/>
          <w:lang w:eastAsia="zh-CN"/>
        </w:rPr>
      </w:pPr>
      <w:r>
        <w:rPr>
          <w:rFonts w:hint="eastAsia" w:ascii="宋体" w:hAnsi="宋体" w:eastAsia="宋体" w:cs="宋体"/>
          <w:b/>
          <w:bCs/>
          <w:color w:val="auto"/>
          <w:sz w:val="28"/>
          <w:szCs w:val="28"/>
          <w:highlight w:val="none"/>
          <w:lang w:val="en-US" w:eastAsia="zh-CN"/>
        </w:rPr>
        <w:t>5.项目实施方案</w:t>
      </w:r>
      <w:r>
        <w:rPr>
          <w:rFonts w:hint="eastAsia" w:ascii="宋体" w:hAnsi="宋体" w:eastAsia="宋体" w:cs="宋体"/>
          <w:b/>
          <w:bCs/>
          <w:color w:val="auto"/>
          <w:sz w:val="28"/>
          <w:szCs w:val="28"/>
          <w:highlight w:val="none"/>
          <w:lang w:eastAsia="zh-CN"/>
        </w:rPr>
        <w:t>（必须提供）</w:t>
      </w:r>
    </w:p>
    <w:p w14:paraId="35AE68A2">
      <w:pPr>
        <w:pageBreakBefore w:val="0"/>
        <w:widowControl w:val="0"/>
        <w:overflowPunct/>
        <w:topLinePunct w:val="0"/>
        <w:bidi w:val="0"/>
        <w:spacing w:line="400" w:lineRule="exact"/>
        <w:ind w:firstLine="1556" w:firstLineChars="500"/>
        <w:rPr>
          <w:rFonts w:hint="eastAsia" w:ascii="宋体" w:hAnsi="宋体" w:eastAsia="宋体" w:cs="宋体"/>
          <w:b/>
          <w:bCs/>
          <w:color w:val="auto"/>
          <w:sz w:val="31"/>
          <w:szCs w:val="31"/>
          <w:highlight w:val="none"/>
          <w:lang w:eastAsia="zh-CN"/>
        </w:rPr>
      </w:pPr>
    </w:p>
    <w:p w14:paraId="12D73B82">
      <w:pPr>
        <w:pageBreakBefore w:val="0"/>
        <w:widowControl w:val="0"/>
        <w:overflowPunct/>
        <w:topLinePunct w:val="0"/>
        <w:bidi w:val="0"/>
        <w:spacing w:line="400" w:lineRule="exact"/>
        <w:ind w:firstLine="1556" w:firstLineChars="500"/>
        <w:rPr>
          <w:rFonts w:hint="eastAsia" w:ascii="宋体" w:hAnsi="宋体" w:eastAsia="宋体" w:cs="宋体"/>
          <w:b/>
          <w:bCs/>
          <w:color w:val="auto"/>
          <w:sz w:val="31"/>
          <w:szCs w:val="31"/>
          <w:highlight w:val="none"/>
          <w:lang w:eastAsia="zh-CN"/>
        </w:rPr>
      </w:pPr>
    </w:p>
    <w:p w14:paraId="31F8A347">
      <w:pPr>
        <w:pageBreakBefore w:val="0"/>
        <w:widowControl w:val="0"/>
        <w:overflowPunct/>
        <w:topLinePunct w:val="0"/>
        <w:bidi w:val="0"/>
        <w:spacing w:line="400" w:lineRule="exact"/>
        <w:ind w:firstLine="480" w:firstLineChars="200"/>
        <w:outlineLvl w:val="1"/>
        <w:rPr>
          <w:rFonts w:hint="eastAsia" w:ascii="宋体" w:hAnsi="宋体" w:eastAsia="宋体" w:cs="宋体"/>
          <w:color w:val="auto"/>
          <w:sz w:val="24"/>
          <w:szCs w:val="24"/>
          <w:highlight w:val="none"/>
          <w:lang w:eastAsia="zh-CN"/>
        </w:rPr>
      </w:pPr>
    </w:p>
    <w:p w14:paraId="4927A774">
      <w:pPr>
        <w:pageBreakBefore w:val="0"/>
        <w:widowControl w:val="0"/>
        <w:overflowPunct/>
        <w:topLinePunct w:val="0"/>
        <w:bidi w:val="0"/>
        <w:spacing w:line="400" w:lineRule="exact"/>
        <w:ind w:firstLine="480" w:firstLineChars="200"/>
        <w:outlineLvl w:val="1"/>
        <w:rPr>
          <w:rFonts w:hint="eastAsia" w:ascii="宋体" w:hAnsi="宋体" w:eastAsia="宋体" w:cs="宋体"/>
          <w:color w:val="auto"/>
          <w:sz w:val="24"/>
          <w:szCs w:val="24"/>
          <w:highlight w:val="none"/>
          <w:lang w:eastAsia="zh-CN"/>
        </w:rPr>
      </w:pPr>
    </w:p>
    <w:p w14:paraId="0517BAC4">
      <w:pPr>
        <w:pageBreakBefore w:val="0"/>
        <w:widowControl w:val="0"/>
        <w:overflowPunct/>
        <w:topLinePunct w:val="0"/>
        <w:bidi w:val="0"/>
        <w:spacing w:line="400" w:lineRule="exact"/>
        <w:ind w:firstLine="480" w:firstLineChars="200"/>
        <w:outlineLvl w:val="1"/>
        <w:rPr>
          <w:rFonts w:hint="eastAsia" w:ascii="宋体" w:hAnsi="宋体" w:eastAsia="宋体" w:cs="宋体"/>
          <w:color w:val="auto"/>
          <w:sz w:val="24"/>
          <w:szCs w:val="24"/>
          <w:highlight w:val="none"/>
          <w:lang w:eastAsia="zh-CN"/>
        </w:rPr>
      </w:pPr>
    </w:p>
    <w:p w14:paraId="435F9AA9">
      <w:pPr>
        <w:pStyle w:val="8"/>
        <w:pageBreakBefore w:val="0"/>
        <w:overflowPunct/>
        <w:topLinePunct w:val="0"/>
        <w:bidi w:val="0"/>
        <w:spacing w:before="91" w:line="400" w:lineRule="exact"/>
        <w:jc w:val="center"/>
        <w:rPr>
          <w:rFonts w:hint="eastAsia" w:ascii="宋体" w:hAnsi="宋体" w:eastAsia="宋体" w:cs="宋体"/>
          <w:b/>
          <w:bCs/>
          <w:color w:val="auto"/>
          <w:spacing w:val="-4"/>
          <w:sz w:val="28"/>
          <w:szCs w:val="28"/>
        </w:rPr>
      </w:pPr>
      <w:r>
        <w:rPr>
          <w:rFonts w:hint="eastAsia" w:ascii="宋体" w:hAnsi="宋体" w:eastAsia="宋体" w:cs="宋体"/>
          <w:b/>
          <w:bCs/>
          <w:color w:val="auto"/>
          <w:spacing w:val="-4"/>
          <w:sz w:val="28"/>
          <w:szCs w:val="28"/>
        </w:rPr>
        <w:t>项目实施方案 （格式）</w:t>
      </w:r>
    </w:p>
    <w:p w14:paraId="65F282CC">
      <w:pPr>
        <w:pageBreakBefore w:val="0"/>
        <w:overflowPunct/>
        <w:topLinePunct w:val="0"/>
        <w:bidi w:val="0"/>
        <w:spacing w:line="400" w:lineRule="exact"/>
        <w:rPr>
          <w:rFonts w:hint="eastAsia" w:ascii="宋体" w:hAnsi="宋体" w:eastAsia="宋体" w:cs="宋体"/>
          <w:color w:val="auto"/>
          <w:sz w:val="21"/>
        </w:rPr>
      </w:pPr>
    </w:p>
    <w:p w14:paraId="6E8E260B">
      <w:pPr>
        <w:pageBreakBefore w:val="0"/>
        <w:overflowPunct/>
        <w:topLinePunct w:val="0"/>
        <w:bidi w:val="0"/>
        <w:spacing w:line="400" w:lineRule="exact"/>
        <w:rPr>
          <w:rFonts w:hint="eastAsia" w:ascii="宋体" w:hAnsi="宋体" w:eastAsia="宋体" w:cs="宋体"/>
          <w:color w:val="auto"/>
          <w:sz w:val="21"/>
        </w:rPr>
      </w:pPr>
    </w:p>
    <w:p w14:paraId="72231F4C">
      <w:pPr>
        <w:pageBreakBefore w:val="0"/>
        <w:overflowPunct/>
        <w:topLinePunct w:val="0"/>
        <w:bidi w:val="0"/>
        <w:spacing w:line="400" w:lineRule="exact"/>
        <w:rPr>
          <w:rFonts w:hint="eastAsia" w:ascii="宋体" w:hAnsi="宋体" w:eastAsia="宋体" w:cs="宋体"/>
          <w:color w:val="auto"/>
          <w:sz w:val="21"/>
        </w:rPr>
      </w:pPr>
    </w:p>
    <w:p w14:paraId="7F516D6D">
      <w:pPr>
        <w:pStyle w:val="8"/>
        <w:pageBreakBefore w:val="0"/>
        <w:overflowPunct/>
        <w:topLinePunct w:val="0"/>
        <w:bidi w:val="0"/>
        <w:spacing w:before="91" w:line="400" w:lineRule="exact"/>
        <w:jc w:val="center"/>
        <w:rPr>
          <w:rFonts w:hint="eastAsia" w:ascii="宋体" w:hAnsi="宋体" w:eastAsia="宋体" w:cs="宋体"/>
          <w:color w:val="auto"/>
          <w:sz w:val="28"/>
          <w:szCs w:val="28"/>
        </w:rPr>
      </w:pPr>
      <w:r>
        <w:rPr>
          <w:rFonts w:hint="eastAsia" w:ascii="宋体" w:hAnsi="宋体" w:eastAsia="宋体" w:cs="宋体"/>
          <w:b/>
          <w:bCs/>
          <w:color w:val="auto"/>
          <w:spacing w:val="-4"/>
          <w:sz w:val="28"/>
          <w:szCs w:val="28"/>
        </w:rPr>
        <w:t>（根据采购需求自行编制）</w:t>
      </w:r>
    </w:p>
    <w:p w14:paraId="5159EC96">
      <w:pPr>
        <w:pStyle w:val="11"/>
        <w:pageBreakBefore w:val="0"/>
        <w:overflowPunct/>
        <w:topLinePunct w:val="0"/>
        <w:bidi w:val="0"/>
        <w:spacing w:line="400" w:lineRule="exact"/>
        <w:ind w:firstLine="472" w:firstLineChars="147"/>
        <w:jc w:val="center"/>
        <w:rPr>
          <w:rFonts w:hint="eastAsia" w:ascii="宋体" w:hAnsi="宋体" w:eastAsia="宋体" w:cs="宋体"/>
          <w:b/>
          <w:bCs/>
          <w:color w:val="auto"/>
          <w:sz w:val="32"/>
        </w:rPr>
      </w:pPr>
    </w:p>
    <w:p w14:paraId="3BA6C4A1">
      <w:pPr>
        <w:pStyle w:val="12"/>
        <w:pageBreakBefore w:val="0"/>
        <w:overflowPunct/>
        <w:topLinePunct w:val="0"/>
        <w:bidi w:val="0"/>
        <w:spacing w:line="400" w:lineRule="exact"/>
        <w:rPr>
          <w:rFonts w:hint="eastAsia" w:ascii="宋体" w:hAnsi="宋体" w:eastAsia="宋体" w:cs="宋体"/>
          <w:color w:val="auto"/>
          <w:szCs w:val="21"/>
        </w:rPr>
      </w:pPr>
    </w:p>
    <w:p w14:paraId="0E01F864">
      <w:pPr>
        <w:pStyle w:val="12"/>
        <w:pageBreakBefore w:val="0"/>
        <w:overflowPunct/>
        <w:topLinePunct w:val="0"/>
        <w:bidi w:val="0"/>
        <w:spacing w:line="400" w:lineRule="exact"/>
        <w:rPr>
          <w:rFonts w:hint="eastAsia" w:ascii="宋体" w:hAnsi="宋体" w:eastAsia="宋体" w:cs="宋体"/>
          <w:color w:val="auto"/>
          <w:szCs w:val="21"/>
        </w:rPr>
      </w:pPr>
    </w:p>
    <w:p w14:paraId="6FF7D37E">
      <w:pPr>
        <w:pStyle w:val="12"/>
        <w:pageBreakBefore w:val="0"/>
        <w:overflowPunct/>
        <w:topLinePunct w:val="0"/>
        <w:bidi w:val="0"/>
        <w:spacing w:line="400" w:lineRule="exact"/>
        <w:rPr>
          <w:rFonts w:hint="eastAsia" w:ascii="宋体" w:hAnsi="宋体" w:eastAsia="宋体" w:cs="宋体"/>
          <w:color w:val="auto"/>
          <w:szCs w:val="21"/>
        </w:rPr>
      </w:pPr>
    </w:p>
    <w:p w14:paraId="05822020">
      <w:pPr>
        <w:pStyle w:val="12"/>
        <w:pageBreakBefore w:val="0"/>
        <w:overflowPunct/>
        <w:topLinePunct w:val="0"/>
        <w:bidi w:val="0"/>
        <w:spacing w:line="400" w:lineRule="exact"/>
        <w:rPr>
          <w:rFonts w:hint="eastAsia" w:ascii="宋体" w:hAnsi="宋体" w:eastAsia="宋体" w:cs="宋体"/>
          <w:color w:val="auto"/>
          <w:szCs w:val="21"/>
        </w:rPr>
      </w:pPr>
    </w:p>
    <w:p w14:paraId="259D1846">
      <w:pPr>
        <w:pStyle w:val="12"/>
        <w:pageBreakBefore w:val="0"/>
        <w:overflowPunct/>
        <w:topLinePunct w:val="0"/>
        <w:bidi w:val="0"/>
        <w:spacing w:line="400" w:lineRule="exact"/>
        <w:rPr>
          <w:rFonts w:hint="eastAsia" w:ascii="宋体" w:hAnsi="宋体" w:eastAsia="宋体" w:cs="宋体"/>
          <w:color w:val="auto"/>
          <w:szCs w:val="21"/>
        </w:rPr>
      </w:pPr>
    </w:p>
    <w:p w14:paraId="6F3D8639">
      <w:pPr>
        <w:pStyle w:val="12"/>
        <w:pageBreakBefore w:val="0"/>
        <w:overflowPunct/>
        <w:topLinePunct w:val="0"/>
        <w:bidi w:val="0"/>
        <w:spacing w:line="400" w:lineRule="exact"/>
        <w:rPr>
          <w:rFonts w:hint="eastAsia" w:ascii="宋体" w:hAnsi="宋体" w:eastAsia="宋体" w:cs="宋体"/>
          <w:color w:val="auto"/>
          <w:szCs w:val="21"/>
        </w:rPr>
      </w:pPr>
    </w:p>
    <w:p w14:paraId="3E8337EF">
      <w:pPr>
        <w:pStyle w:val="12"/>
        <w:pageBreakBefore w:val="0"/>
        <w:overflowPunct/>
        <w:topLinePunct w:val="0"/>
        <w:bidi w:val="0"/>
        <w:spacing w:line="400" w:lineRule="exact"/>
        <w:rPr>
          <w:rFonts w:hint="eastAsia" w:ascii="宋体" w:hAnsi="宋体" w:eastAsia="宋体" w:cs="宋体"/>
          <w:color w:val="auto"/>
          <w:szCs w:val="21"/>
        </w:rPr>
      </w:pPr>
    </w:p>
    <w:p w14:paraId="2EEEEC61">
      <w:pPr>
        <w:pageBreakBefore w:val="0"/>
        <w:overflowPunct/>
        <w:topLinePunct w:val="0"/>
        <w:bidi w:val="0"/>
        <w:snapToGrid w:val="0"/>
        <w:spacing w:line="400" w:lineRule="exact"/>
        <w:ind w:firstLine="1680" w:firstLineChars="800"/>
        <w:outlineLvl w:val="9"/>
        <w:rPr>
          <w:rFonts w:hint="eastAsia" w:ascii="宋体" w:hAnsi="宋体" w:eastAsia="宋体" w:cs="宋体"/>
          <w:color w:val="auto"/>
          <w:szCs w:val="21"/>
        </w:rPr>
      </w:pPr>
    </w:p>
    <w:p w14:paraId="6B6CC07F">
      <w:pPr>
        <w:pageBreakBefore w:val="0"/>
        <w:overflowPunct/>
        <w:topLinePunct w:val="0"/>
        <w:bidi w:val="0"/>
        <w:snapToGrid w:val="0"/>
        <w:spacing w:line="400" w:lineRule="exact"/>
        <w:jc w:val="left"/>
        <w:outlineLvl w:val="9"/>
        <w:rPr>
          <w:rFonts w:hint="eastAsia" w:ascii="宋体" w:hAnsi="宋体" w:eastAsia="宋体" w:cs="宋体"/>
          <w:color w:val="auto"/>
          <w:szCs w:val="21"/>
          <w:u w:val="single"/>
        </w:rPr>
      </w:pPr>
      <w:r>
        <w:rPr>
          <w:rFonts w:hint="eastAsia" w:ascii="宋体" w:hAnsi="宋体" w:eastAsia="宋体" w:cs="宋体"/>
          <w:color w:val="auto"/>
          <w:szCs w:val="21"/>
        </w:rPr>
        <w:t xml:space="preserve">            </w:t>
      </w:r>
      <w:r>
        <w:rPr>
          <w:rFonts w:hint="eastAsia" w:ascii="宋体" w:hAnsi="宋体" w:eastAsia="宋体" w:cs="宋体"/>
          <w:color w:val="auto"/>
          <w:szCs w:val="21"/>
          <w:lang w:eastAsia="zh-CN"/>
        </w:rPr>
        <w:t>供应商</w:t>
      </w:r>
      <w:r>
        <w:rPr>
          <w:rFonts w:hint="eastAsia" w:ascii="宋体" w:hAnsi="宋体" w:eastAsia="宋体" w:cs="宋体"/>
          <w:color w:val="auto"/>
          <w:szCs w:val="21"/>
        </w:rPr>
        <w:t>(CA证书签章)：</w:t>
      </w:r>
      <w:r>
        <w:rPr>
          <w:rFonts w:hint="eastAsia" w:ascii="宋体" w:hAnsi="宋体" w:eastAsia="宋体" w:cs="宋体"/>
          <w:color w:val="auto"/>
          <w:szCs w:val="21"/>
          <w:u w:val="single"/>
        </w:rPr>
        <w:t xml:space="preserve">                                     </w:t>
      </w:r>
    </w:p>
    <w:p w14:paraId="0C97ACDF">
      <w:pPr>
        <w:pStyle w:val="11"/>
        <w:pageBreakBefore w:val="0"/>
        <w:overflowPunct/>
        <w:topLinePunct w:val="0"/>
        <w:bidi w:val="0"/>
        <w:spacing w:line="400" w:lineRule="exact"/>
        <w:ind w:firstLine="420"/>
        <w:jc w:val="left"/>
        <w:rPr>
          <w:rFonts w:hint="eastAsia" w:ascii="宋体" w:hAnsi="宋体" w:eastAsia="宋体" w:cs="宋体"/>
          <w:color w:val="auto"/>
          <w:szCs w:val="21"/>
          <w:u w:val="single"/>
        </w:rPr>
      </w:pPr>
      <w:r>
        <w:rPr>
          <w:rFonts w:hint="eastAsia" w:ascii="宋体" w:hAnsi="宋体" w:eastAsia="宋体" w:cs="宋体"/>
          <w:color w:val="auto"/>
          <w:szCs w:val="21"/>
        </w:rPr>
        <w:t xml:space="preserve">        法定代表人（负责人、自然人）</w:t>
      </w:r>
      <w:r>
        <w:rPr>
          <w:rFonts w:hint="eastAsia" w:ascii="宋体" w:hAnsi="宋体" w:eastAsia="宋体" w:cs="宋体"/>
          <w:color w:val="auto"/>
        </w:rPr>
        <w:t>或相应的委托代理人</w:t>
      </w:r>
      <w:r>
        <w:rPr>
          <w:rFonts w:hint="eastAsia" w:ascii="宋体" w:hAnsi="宋体" w:eastAsia="宋体" w:cs="宋体"/>
          <w:color w:val="auto"/>
          <w:szCs w:val="21"/>
        </w:rPr>
        <w:t>签字（或个人CA证书签章）</w:t>
      </w:r>
      <w:r>
        <w:rPr>
          <w:rFonts w:hint="eastAsia" w:ascii="宋体" w:hAnsi="宋体" w:eastAsia="宋体" w:cs="宋体"/>
          <w:color w:val="auto"/>
        </w:rPr>
        <w:t>：</w:t>
      </w:r>
      <w:r>
        <w:rPr>
          <w:rFonts w:hint="eastAsia" w:ascii="宋体" w:hAnsi="宋体" w:eastAsia="宋体" w:cs="宋体"/>
          <w:color w:val="auto"/>
          <w:szCs w:val="21"/>
          <w:u w:val="single"/>
        </w:rPr>
        <w:t xml:space="preserve">                              </w:t>
      </w:r>
    </w:p>
    <w:p w14:paraId="6E4D4108">
      <w:pPr>
        <w:pageBreakBefore w:val="0"/>
        <w:overflowPunct/>
        <w:topLinePunct w:val="0"/>
        <w:bidi w:val="0"/>
        <w:spacing w:line="400" w:lineRule="exact"/>
        <w:jc w:val="left"/>
        <w:rPr>
          <w:rFonts w:hint="eastAsia" w:ascii="宋体" w:hAnsi="宋体" w:eastAsia="宋体" w:cs="宋体"/>
          <w:color w:val="auto"/>
          <w:szCs w:val="21"/>
          <w:u w:val="single"/>
        </w:rPr>
      </w:pPr>
      <w:r>
        <w:rPr>
          <w:rFonts w:hint="eastAsia" w:ascii="宋体" w:hAnsi="宋体" w:eastAsia="宋体" w:cs="宋体"/>
          <w:color w:val="auto"/>
        </w:rPr>
        <w:t xml:space="preserve">            日     期：</w:t>
      </w:r>
      <w:r>
        <w:rPr>
          <w:rFonts w:hint="eastAsia" w:ascii="宋体" w:hAnsi="宋体" w:eastAsia="宋体" w:cs="宋体"/>
          <w:color w:val="auto"/>
          <w:u w:val="single"/>
        </w:rPr>
        <w:t xml:space="preserve">                                                   </w:t>
      </w:r>
    </w:p>
    <w:p w14:paraId="3A41C5C1">
      <w:pPr>
        <w:pageBreakBefore w:val="0"/>
        <w:overflowPunct/>
        <w:topLinePunct w:val="0"/>
        <w:bidi w:val="0"/>
        <w:snapToGrid w:val="0"/>
        <w:spacing w:line="400" w:lineRule="exact"/>
        <w:ind w:firstLine="3570" w:firstLineChars="1700"/>
        <w:outlineLvl w:val="9"/>
        <w:rPr>
          <w:rFonts w:hint="eastAsia" w:ascii="宋体" w:hAnsi="宋体" w:eastAsia="宋体" w:cs="宋体"/>
          <w:color w:val="auto"/>
          <w:kern w:val="0"/>
          <w:szCs w:val="21"/>
        </w:rPr>
      </w:pPr>
    </w:p>
    <w:p w14:paraId="5E237E92">
      <w:pPr>
        <w:pStyle w:val="8"/>
        <w:pageBreakBefore w:val="0"/>
        <w:overflowPunct/>
        <w:topLinePunct w:val="0"/>
        <w:bidi w:val="0"/>
        <w:spacing w:line="400" w:lineRule="exact"/>
        <w:rPr>
          <w:rFonts w:hint="eastAsia" w:ascii="宋体" w:hAnsi="宋体" w:eastAsia="宋体" w:cs="宋体"/>
          <w:color w:val="auto"/>
          <w:kern w:val="0"/>
          <w:szCs w:val="21"/>
        </w:rPr>
      </w:pPr>
    </w:p>
    <w:p w14:paraId="5C9060D2">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51E9ADCB">
      <w:pPr>
        <w:pageBreakBefore w:val="0"/>
        <w:widowControl w:val="0"/>
        <w:overflowPunct/>
        <w:topLinePunct w:val="0"/>
        <w:bidi w:val="0"/>
        <w:spacing w:line="400" w:lineRule="exact"/>
        <w:ind w:firstLine="482" w:firstLineChars="20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注：项目服务方案须由法定代表人或相应的委托代理人签字（或个人CA证书签章）并加盖投</w:t>
      </w:r>
      <w:r>
        <w:rPr>
          <w:rFonts w:hint="eastAsia" w:ascii="宋体" w:hAnsi="宋体" w:eastAsia="宋体" w:cs="宋体"/>
          <w:b/>
          <w:bCs/>
          <w:color w:val="auto"/>
          <w:sz w:val="24"/>
          <w:szCs w:val="24"/>
          <w:highlight w:val="none"/>
          <w:lang w:val="en-US" w:eastAsia="zh-CN"/>
        </w:rPr>
        <w:t>标</w:t>
      </w:r>
      <w:r>
        <w:rPr>
          <w:rFonts w:hint="eastAsia" w:ascii="宋体" w:hAnsi="宋体" w:eastAsia="宋体" w:cs="宋体"/>
          <w:b/>
          <w:bCs/>
          <w:color w:val="auto"/>
          <w:sz w:val="24"/>
          <w:szCs w:val="24"/>
          <w:highlight w:val="none"/>
          <w:lang w:eastAsia="zh-CN"/>
        </w:rPr>
        <w:t>供应商公章（CA证书签章）。</w:t>
      </w:r>
    </w:p>
    <w:p w14:paraId="27E37D59">
      <w:pPr>
        <w:pStyle w:val="3"/>
        <w:pageBreakBefore w:val="0"/>
        <w:overflowPunct/>
        <w:topLinePunct w:val="0"/>
        <w:bidi w:val="0"/>
        <w:spacing w:line="400" w:lineRule="exact"/>
        <w:rPr>
          <w:rFonts w:hint="eastAsia" w:ascii="宋体" w:hAnsi="宋体" w:eastAsia="宋体" w:cs="宋体"/>
          <w:b/>
          <w:bCs/>
          <w:snapToGrid w:val="0"/>
          <w:color w:val="auto"/>
          <w:kern w:val="0"/>
          <w:sz w:val="28"/>
          <w:szCs w:val="28"/>
          <w:highlight w:val="none"/>
          <w:lang w:val="en-US" w:eastAsia="zh-CN" w:bidi="ar-SA"/>
        </w:rPr>
      </w:pPr>
    </w:p>
    <w:p w14:paraId="1C1DBCFC">
      <w:pPr>
        <w:pageBreakBefore w:val="0"/>
        <w:widowControl w:val="0"/>
        <w:overflowPunct/>
        <w:topLinePunct w:val="0"/>
        <w:bidi w:val="0"/>
        <w:spacing w:line="400" w:lineRule="exact"/>
        <w:rPr>
          <w:rFonts w:hint="eastAsia" w:ascii="宋体" w:hAnsi="宋体" w:eastAsia="宋体" w:cs="宋体"/>
          <w:b/>
          <w:bCs/>
          <w:color w:val="auto"/>
          <w:sz w:val="28"/>
          <w:szCs w:val="28"/>
          <w:highlight w:val="none"/>
          <w:lang w:eastAsia="zh-CN"/>
        </w:rPr>
        <w:sectPr>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p w14:paraId="52C428CE">
      <w:pPr>
        <w:pageBreakBefore w:val="0"/>
        <w:widowControl w:val="0"/>
        <w:overflowPunct/>
        <w:topLinePunct w:val="0"/>
        <w:bidi w:val="0"/>
        <w:spacing w:line="400" w:lineRule="exact"/>
        <w:rPr>
          <w:rFonts w:hint="eastAsia" w:ascii="宋体" w:hAnsi="宋体" w:eastAsia="宋体" w:cs="宋体"/>
          <w:b/>
          <w:bCs/>
          <w:color w:val="auto"/>
          <w:sz w:val="31"/>
          <w:szCs w:val="31"/>
          <w:highlight w:val="none"/>
          <w:lang w:eastAsia="zh-CN"/>
        </w:rPr>
      </w:pPr>
      <w:r>
        <w:rPr>
          <w:rFonts w:hint="eastAsia" w:ascii="宋体" w:hAnsi="宋体" w:eastAsia="宋体" w:cs="宋体"/>
          <w:b/>
          <w:bCs/>
          <w:color w:val="auto"/>
          <w:sz w:val="28"/>
          <w:szCs w:val="28"/>
          <w:highlight w:val="none"/>
          <w:lang w:val="en-US" w:eastAsia="zh-CN"/>
        </w:rPr>
        <w:t>6</w:t>
      </w:r>
      <w:r>
        <w:rPr>
          <w:rFonts w:hint="eastAsia" w:ascii="宋体" w:hAnsi="宋体" w:eastAsia="宋体" w:cs="宋体"/>
          <w:b/>
          <w:bCs/>
          <w:color w:val="auto"/>
          <w:sz w:val="28"/>
          <w:szCs w:val="28"/>
          <w:highlight w:val="none"/>
          <w:lang w:eastAsia="zh-CN"/>
        </w:rPr>
        <w:t>.售后服务承诺书（必须提供）</w:t>
      </w:r>
    </w:p>
    <w:p w14:paraId="28038CE3">
      <w:pPr>
        <w:pageBreakBefore w:val="0"/>
        <w:widowControl w:val="0"/>
        <w:overflowPunct/>
        <w:topLinePunct w:val="0"/>
        <w:bidi w:val="0"/>
        <w:spacing w:line="400" w:lineRule="exact"/>
        <w:ind w:firstLine="1556" w:firstLineChars="500"/>
        <w:rPr>
          <w:rFonts w:hint="eastAsia" w:ascii="宋体" w:hAnsi="宋体" w:eastAsia="宋体" w:cs="宋体"/>
          <w:b/>
          <w:bCs/>
          <w:color w:val="auto"/>
          <w:sz w:val="31"/>
          <w:szCs w:val="31"/>
          <w:highlight w:val="none"/>
          <w:lang w:eastAsia="zh-CN"/>
        </w:rPr>
      </w:pPr>
    </w:p>
    <w:p w14:paraId="4B6AA954">
      <w:pPr>
        <w:pageBreakBefore w:val="0"/>
        <w:widowControl w:val="0"/>
        <w:overflowPunct/>
        <w:topLinePunct w:val="0"/>
        <w:bidi w:val="0"/>
        <w:spacing w:line="400" w:lineRule="exact"/>
        <w:ind w:firstLine="1556" w:firstLineChars="500"/>
        <w:rPr>
          <w:rFonts w:hint="eastAsia" w:ascii="宋体" w:hAnsi="宋体" w:eastAsia="宋体" w:cs="宋体"/>
          <w:color w:val="auto"/>
          <w:sz w:val="31"/>
          <w:szCs w:val="31"/>
          <w:highlight w:val="none"/>
          <w:lang w:eastAsia="zh-CN"/>
        </w:rPr>
      </w:pPr>
      <w:r>
        <w:rPr>
          <w:rFonts w:hint="eastAsia" w:ascii="宋体" w:hAnsi="宋体" w:eastAsia="宋体" w:cs="宋体"/>
          <w:b/>
          <w:bCs/>
          <w:color w:val="auto"/>
          <w:sz w:val="31"/>
          <w:szCs w:val="31"/>
          <w:highlight w:val="none"/>
          <w:lang w:eastAsia="zh-CN"/>
        </w:rPr>
        <w:t>售后服务承诺书（格式，内容自拟）</w:t>
      </w:r>
    </w:p>
    <w:p w14:paraId="6F6589A0">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674910BB">
      <w:pPr>
        <w:pageBreakBefore w:val="0"/>
        <w:widowControl w:val="0"/>
        <w:overflowPunct/>
        <w:topLinePunct w:val="0"/>
        <w:bidi w:val="0"/>
        <w:spacing w:line="400" w:lineRule="exact"/>
        <w:ind w:firstLine="480" w:firstLineChars="200"/>
        <w:outlineLvl w:val="1"/>
        <w:rPr>
          <w:rFonts w:hint="eastAsia" w:ascii="宋体" w:hAnsi="宋体" w:eastAsia="宋体" w:cs="宋体"/>
          <w:color w:val="auto"/>
          <w:sz w:val="24"/>
          <w:szCs w:val="24"/>
          <w:highlight w:val="none"/>
          <w:lang w:eastAsia="zh-CN"/>
        </w:rPr>
      </w:pPr>
    </w:p>
    <w:p w14:paraId="740EDE13">
      <w:pPr>
        <w:pageBreakBefore w:val="0"/>
        <w:widowControl w:val="0"/>
        <w:overflowPunct/>
        <w:topLinePunct w:val="0"/>
        <w:bidi w:val="0"/>
        <w:spacing w:line="400" w:lineRule="exact"/>
        <w:ind w:firstLine="480" w:firstLineChars="200"/>
        <w:outlineLvl w:val="1"/>
        <w:rPr>
          <w:rFonts w:hint="eastAsia" w:ascii="宋体" w:hAnsi="宋体" w:eastAsia="宋体" w:cs="宋体"/>
          <w:color w:val="auto"/>
          <w:sz w:val="24"/>
          <w:szCs w:val="24"/>
          <w:highlight w:val="none"/>
          <w:lang w:eastAsia="zh-CN"/>
        </w:rPr>
      </w:pPr>
    </w:p>
    <w:p w14:paraId="3D713145">
      <w:pPr>
        <w:pageBreakBefore w:val="0"/>
        <w:widowControl w:val="0"/>
        <w:overflowPunct/>
        <w:topLinePunct w:val="0"/>
        <w:bidi w:val="0"/>
        <w:spacing w:line="400" w:lineRule="exact"/>
        <w:ind w:firstLine="480" w:firstLineChars="200"/>
        <w:outlineLvl w:val="1"/>
        <w:rPr>
          <w:rFonts w:hint="eastAsia" w:ascii="宋体" w:hAnsi="宋体" w:eastAsia="宋体" w:cs="宋体"/>
          <w:color w:val="auto"/>
          <w:sz w:val="24"/>
          <w:szCs w:val="24"/>
          <w:highlight w:val="none"/>
          <w:lang w:eastAsia="zh-CN"/>
        </w:rPr>
      </w:pPr>
    </w:p>
    <w:p w14:paraId="0ACADF10">
      <w:pPr>
        <w:pageBreakBefore w:val="0"/>
        <w:widowControl w:val="0"/>
        <w:overflowPunct/>
        <w:topLinePunct w:val="0"/>
        <w:bidi w:val="0"/>
        <w:spacing w:line="400" w:lineRule="exact"/>
        <w:ind w:firstLine="480" w:firstLineChars="200"/>
        <w:outlineLvl w:val="1"/>
        <w:rPr>
          <w:rFonts w:hint="default"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lang w:eastAsia="zh-CN"/>
        </w:rPr>
        <w:t>供应商(CA证书签章)：</w:t>
      </w:r>
      <w:r>
        <w:rPr>
          <w:rFonts w:hint="eastAsia" w:ascii="宋体" w:hAnsi="宋体" w:eastAsia="宋体" w:cs="宋体"/>
          <w:color w:val="auto"/>
          <w:sz w:val="24"/>
          <w:szCs w:val="24"/>
          <w:highlight w:val="none"/>
          <w:u w:val="single"/>
          <w:lang w:val="en-US" w:eastAsia="zh-CN"/>
        </w:rPr>
        <w:t xml:space="preserve">              </w:t>
      </w:r>
    </w:p>
    <w:p w14:paraId="4275B0F7">
      <w:pPr>
        <w:pageBreakBefore w:val="0"/>
        <w:widowControl w:val="0"/>
        <w:overflowPunct/>
        <w:topLinePunct w:val="0"/>
        <w:bidi w:val="0"/>
        <w:spacing w:line="40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法定代表人或相应的委托代理人签字（或个人 CA 证书签章）：</w:t>
      </w:r>
      <w:r>
        <w:rPr>
          <w:rFonts w:hint="eastAsia" w:ascii="宋体" w:hAnsi="宋体" w:eastAsia="宋体" w:cs="宋体"/>
          <w:color w:val="auto"/>
          <w:sz w:val="24"/>
          <w:szCs w:val="24"/>
          <w:highlight w:val="none"/>
          <w:u w:val="single"/>
          <w:lang w:val="en-US" w:eastAsia="zh-CN"/>
        </w:rPr>
        <w:t xml:space="preserve">              </w:t>
      </w:r>
    </w:p>
    <w:p w14:paraId="089728F3">
      <w:pPr>
        <w:pageBreakBefore w:val="0"/>
        <w:widowControl w:val="0"/>
        <w:overflowPunct/>
        <w:topLinePunct w:val="0"/>
        <w:bidi w:val="0"/>
        <w:spacing w:line="40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日     期：</w:t>
      </w:r>
      <w:r>
        <w:rPr>
          <w:rFonts w:hint="eastAsia" w:ascii="宋体" w:hAnsi="宋体" w:eastAsia="宋体" w:cs="宋体"/>
          <w:color w:val="auto"/>
          <w:sz w:val="24"/>
          <w:szCs w:val="24"/>
          <w:highlight w:val="none"/>
          <w:u w:val="single"/>
          <w:lang w:val="en-US" w:eastAsia="zh-CN"/>
        </w:rPr>
        <w:t xml:space="preserve">              </w:t>
      </w:r>
    </w:p>
    <w:p w14:paraId="391F5536">
      <w:pPr>
        <w:pStyle w:val="8"/>
        <w:pageBreakBefore w:val="0"/>
        <w:widowControl w:val="0"/>
        <w:overflowPunct/>
        <w:topLinePunct w:val="0"/>
        <w:bidi w:val="0"/>
        <w:spacing w:line="400" w:lineRule="exact"/>
        <w:ind w:firstLine="420" w:firstLineChars="200"/>
        <w:rPr>
          <w:rFonts w:hint="eastAsia" w:ascii="宋体" w:hAnsi="宋体" w:eastAsia="宋体" w:cs="宋体"/>
          <w:color w:val="auto"/>
          <w:highlight w:val="none"/>
          <w:lang w:eastAsia="zh-CN"/>
        </w:rPr>
      </w:pPr>
    </w:p>
    <w:p w14:paraId="16597550">
      <w:pPr>
        <w:pageBreakBefore w:val="0"/>
        <w:widowControl w:val="0"/>
        <w:overflowPunct/>
        <w:topLinePunct w:val="0"/>
        <w:bidi w:val="0"/>
        <w:spacing w:line="400" w:lineRule="exact"/>
        <w:ind w:firstLine="482" w:firstLineChars="20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注：售后服务承诺书须由法定代表人或相应的委托代理人签字（或个人CA证书签章）并加盖投</w:t>
      </w:r>
      <w:r>
        <w:rPr>
          <w:rFonts w:hint="eastAsia" w:ascii="宋体" w:hAnsi="宋体" w:eastAsia="宋体" w:cs="宋体"/>
          <w:b/>
          <w:bCs/>
          <w:color w:val="auto"/>
          <w:sz w:val="24"/>
          <w:szCs w:val="24"/>
          <w:highlight w:val="none"/>
          <w:lang w:val="en-US" w:eastAsia="zh-CN"/>
        </w:rPr>
        <w:t>标</w:t>
      </w:r>
      <w:r>
        <w:rPr>
          <w:rFonts w:hint="eastAsia" w:ascii="宋体" w:hAnsi="宋体" w:eastAsia="宋体" w:cs="宋体"/>
          <w:b/>
          <w:bCs/>
          <w:color w:val="auto"/>
          <w:sz w:val="24"/>
          <w:szCs w:val="24"/>
          <w:highlight w:val="none"/>
          <w:lang w:eastAsia="zh-CN"/>
        </w:rPr>
        <w:t>供应商公章（CA证书签章）。</w:t>
      </w:r>
    </w:p>
    <w:p w14:paraId="0D19A747">
      <w:pPr>
        <w:pStyle w:val="3"/>
        <w:pageBreakBefore w:val="0"/>
        <w:overflowPunct/>
        <w:topLinePunct w:val="0"/>
        <w:bidi w:val="0"/>
        <w:spacing w:line="400" w:lineRule="exact"/>
        <w:rPr>
          <w:rFonts w:hint="eastAsia" w:ascii="宋体" w:hAnsi="宋体" w:eastAsia="宋体" w:cs="宋体"/>
          <w:b/>
          <w:bCs/>
          <w:snapToGrid w:val="0"/>
          <w:color w:val="auto"/>
          <w:kern w:val="0"/>
          <w:sz w:val="28"/>
          <w:szCs w:val="28"/>
          <w:highlight w:val="none"/>
          <w:lang w:val="en-US" w:eastAsia="zh-CN" w:bidi="ar-SA"/>
        </w:rPr>
      </w:pPr>
    </w:p>
    <w:p w14:paraId="16024C67">
      <w:pPr>
        <w:pageBreakBefore w:val="0"/>
        <w:overflowPunct/>
        <w:topLinePunct w:val="0"/>
        <w:bidi w:val="0"/>
        <w:spacing w:line="400" w:lineRule="exact"/>
        <w:rPr>
          <w:rFonts w:hint="eastAsia" w:ascii="宋体" w:hAnsi="宋体" w:eastAsia="宋体" w:cs="宋体"/>
          <w:b/>
          <w:bCs/>
          <w:snapToGrid w:val="0"/>
          <w:color w:val="auto"/>
          <w:kern w:val="0"/>
          <w:sz w:val="28"/>
          <w:szCs w:val="28"/>
          <w:highlight w:val="none"/>
          <w:lang w:val="en-US" w:eastAsia="zh-CN" w:bidi="ar-SA"/>
        </w:rPr>
      </w:pPr>
    </w:p>
    <w:p w14:paraId="62269F4E">
      <w:pPr>
        <w:pageBreakBefore w:val="0"/>
        <w:widowControl w:val="0"/>
        <w:overflowPunct/>
        <w:topLinePunct w:val="0"/>
        <w:bidi w:val="0"/>
        <w:spacing w:line="400" w:lineRule="exact"/>
        <w:rPr>
          <w:rFonts w:hint="eastAsia" w:ascii="宋体" w:hAnsi="宋体" w:eastAsia="宋体" w:cs="宋体"/>
          <w:b/>
          <w:bCs/>
          <w:color w:val="auto"/>
          <w:sz w:val="31"/>
          <w:szCs w:val="31"/>
          <w:highlight w:val="none"/>
          <w:lang w:eastAsia="zh-CN"/>
        </w:rPr>
      </w:pPr>
      <w:r>
        <w:rPr>
          <w:rFonts w:hint="eastAsia" w:ascii="宋体" w:hAnsi="宋体" w:eastAsia="宋体" w:cs="宋体"/>
          <w:b/>
          <w:bCs/>
          <w:snapToGrid w:val="0"/>
          <w:color w:val="auto"/>
          <w:kern w:val="0"/>
          <w:sz w:val="28"/>
          <w:szCs w:val="28"/>
          <w:highlight w:val="none"/>
          <w:lang w:val="en-US" w:eastAsia="zh-CN" w:bidi="ar-SA"/>
        </w:rPr>
        <w:t>7.</w:t>
      </w:r>
      <w:r>
        <w:rPr>
          <w:rFonts w:hint="default" w:ascii="Times New Roman" w:hAnsi="Times New Roman" w:cs="Times New Roman"/>
          <w:b/>
          <w:bCs/>
          <w:color w:val="auto"/>
          <w:sz w:val="28"/>
          <w:szCs w:val="28"/>
          <w:highlight w:val="none"/>
        </w:rPr>
        <w:t>项目实施人员一览表</w:t>
      </w:r>
      <w:r>
        <w:rPr>
          <w:rFonts w:hint="eastAsia" w:ascii="宋体" w:hAnsi="宋体" w:eastAsia="宋体" w:cs="宋体"/>
          <w:b/>
          <w:bCs/>
          <w:color w:val="auto"/>
          <w:sz w:val="28"/>
          <w:szCs w:val="28"/>
          <w:highlight w:val="none"/>
          <w:lang w:eastAsia="zh-CN"/>
        </w:rPr>
        <w:t>（必须提供）</w:t>
      </w:r>
    </w:p>
    <w:p w14:paraId="1AA1D90E">
      <w:pPr>
        <w:pStyle w:val="11"/>
        <w:keepNext w:val="0"/>
        <w:keepLines w:val="0"/>
        <w:pageBreakBefore w:val="0"/>
        <w:widowControl w:val="0"/>
        <w:kinsoku/>
        <w:overflowPunct/>
        <w:topLinePunct w:val="0"/>
        <w:bidi w:val="0"/>
        <w:ind w:firstLine="413" w:firstLineChars="147"/>
        <w:jc w:val="left"/>
        <w:textAlignment w:val="auto"/>
        <w:rPr>
          <w:rFonts w:hint="eastAsia" w:ascii="宋体" w:hAnsi="宋体" w:eastAsia="宋体" w:cs="宋体"/>
          <w:b/>
          <w:bCs/>
          <w:snapToGrid w:val="0"/>
          <w:color w:val="auto"/>
          <w:kern w:val="0"/>
          <w:sz w:val="28"/>
          <w:szCs w:val="28"/>
          <w:highlight w:val="none"/>
          <w:lang w:val="en-US" w:eastAsia="zh-CN" w:bidi="ar-SA"/>
        </w:rPr>
      </w:pPr>
    </w:p>
    <w:p w14:paraId="2C334891">
      <w:pPr>
        <w:pStyle w:val="6"/>
        <w:rPr>
          <w:rFonts w:hint="eastAsia"/>
          <w:color w:val="auto"/>
          <w:lang w:val="en-US" w:eastAsia="zh-CN"/>
        </w:rPr>
      </w:pPr>
    </w:p>
    <w:p w14:paraId="7551A191">
      <w:pPr>
        <w:pStyle w:val="11"/>
        <w:keepNext w:val="0"/>
        <w:keepLines w:val="0"/>
        <w:pageBreakBefore w:val="0"/>
        <w:widowControl w:val="0"/>
        <w:kinsoku/>
        <w:overflowPunct/>
        <w:topLinePunct w:val="0"/>
        <w:bidi w:val="0"/>
        <w:ind w:firstLine="413" w:firstLineChars="147"/>
        <w:jc w:val="left"/>
        <w:textAlignment w:val="auto"/>
        <w:rPr>
          <w:rFonts w:hint="eastAsia" w:ascii="宋体" w:hAnsi="宋体" w:eastAsia="宋体" w:cs="宋体"/>
          <w:b/>
          <w:bCs/>
          <w:snapToGrid w:val="0"/>
          <w:color w:val="auto"/>
          <w:kern w:val="0"/>
          <w:sz w:val="28"/>
          <w:szCs w:val="28"/>
          <w:highlight w:val="none"/>
          <w:lang w:val="en-US" w:eastAsia="zh-CN" w:bidi="ar-SA"/>
        </w:rPr>
      </w:pPr>
    </w:p>
    <w:p w14:paraId="6B0BBE82">
      <w:pPr>
        <w:pStyle w:val="11"/>
        <w:keepNext w:val="0"/>
        <w:keepLines w:val="0"/>
        <w:pageBreakBefore w:val="0"/>
        <w:widowControl w:val="0"/>
        <w:kinsoku/>
        <w:overflowPunct/>
        <w:topLinePunct w:val="0"/>
        <w:bidi w:val="0"/>
        <w:ind w:firstLine="412" w:firstLineChars="147"/>
        <w:jc w:val="center"/>
        <w:textAlignment w:val="auto"/>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sz w:val="28"/>
          <w:szCs w:val="28"/>
          <w:highlight w:val="none"/>
        </w:rPr>
        <w:t>项目实施人员一览表（格式）</w:t>
      </w:r>
    </w:p>
    <w:tbl>
      <w:tblPr>
        <w:tblStyle w:val="20"/>
        <w:tblW w:w="100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1"/>
        <w:gridCol w:w="1050"/>
        <w:gridCol w:w="1665"/>
        <w:gridCol w:w="1200"/>
        <w:gridCol w:w="2550"/>
        <w:gridCol w:w="2610"/>
      </w:tblGrid>
      <w:tr w14:paraId="588FF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1" w:type="dxa"/>
            <w:vAlign w:val="center"/>
          </w:tcPr>
          <w:p w14:paraId="2A81989E">
            <w:pPr>
              <w:keepNext w:val="0"/>
              <w:keepLines w:val="0"/>
              <w:pageBreakBefore w:val="0"/>
              <w:widowControl w:val="0"/>
              <w:kinsoku/>
              <w:overflowPunct/>
              <w:topLinePunct w:val="0"/>
              <w:bidi w:val="0"/>
              <w:spacing w:line="400" w:lineRule="exact"/>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姓 名</w:t>
            </w:r>
          </w:p>
        </w:tc>
        <w:tc>
          <w:tcPr>
            <w:tcW w:w="1050" w:type="dxa"/>
            <w:vAlign w:val="center"/>
          </w:tcPr>
          <w:p w14:paraId="23A0BC8E">
            <w:pPr>
              <w:keepNext w:val="0"/>
              <w:keepLines w:val="0"/>
              <w:pageBreakBefore w:val="0"/>
              <w:widowControl w:val="0"/>
              <w:kinsoku/>
              <w:overflowPunct/>
              <w:topLinePunct w:val="0"/>
              <w:bidi w:val="0"/>
              <w:spacing w:line="400" w:lineRule="exact"/>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职务</w:t>
            </w:r>
          </w:p>
        </w:tc>
        <w:tc>
          <w:tcPr>
            <w:tcW w:w="1665" w:type="dxa"/>
            <w:vAlign w:val="center"/>
          </w:tcPr>
          <w:p w14:paraId="692266CE">
            <w:pPr>
              <w:keepNext w:val="0"/>
              <w:keepLines w:val="0"/>
              <w:pageBreakBefore w:val="0"/>
              <w:widowControl w:val="0"/>
              <w:kinsoku/>
              <w:overflowPunct/>
              <w:topLinePunct w:val="0"/>
              <w:bidi w:val="0"/>
              <w:spacing w:line="400" w:lineRule="exact"/>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专业技术资格</w:t>
            </w:r>
          </w:p>
        </w:tc>
        <w:tc>
          <w:tcPr>
            <w:tcW w:w="1200" w:type="dxa"/>
            <w:vAlign w:val="center"/>
          </w:tcPr>
          <w:p w14:paraId="7B1D05F5">
            <w:pPr>
              <w:keepNext w:val="0"/>
              <w:keepLines w:val="0"/>
              <w:pageBreakBefore w:val="0"/>
              <w:widowControl w:val="0"/>
              <w:kinsoku/>
              <w:overflowPunct/>
              <w:topLinePunct w:val="0"/>
              <w:bidi w:val="0"/>
              <w:spacing w:line="400" w:lineRule="exact"/>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证书编号</w:t>
            </w:r>
          </w:p>
        </w:tc>
        <w:tc>
          <w:tcPr>
            <w:tcW w:w="2550" w:type="dxa"/>
            <w:vAlign w:val="center"/>
          </w:tcPr>
          <w:p w14:paraId="6CC2FA79">
            <w:pPr>
              <w:keepNext w:val="0"/>
              <w:keepLines w:val="0"/>
              <w:pageBreakBefore w:val="0"/>
              <w:widowControl w:val="0"/>
              <w:kinsoku/>
              <w:overflowPunct/>
              <w:topLinePunct w:val="0"/>
              <w:bidi w:val="0"/>
              <w:spacing w:line="400" w:lineRule="exact"/>
              <w:ind w:firstLine="210" w:firstLineChars="1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参加本单位工作时间</w:t>
            </w:r>
          </w:p>
        </w:tc>
        <w:tc>
          <w:tcPr>
            <w:tcW w:w="2610" w:type="dxa"/>
            <w:vAlign w:val="center"/>
          </w:tcPr>
          <w:p w14:paraId="7AA0F5EA">
            <w:pPr>
              <w:keepNext w:val="0"/>
              <w:keepLines w:val="0"/>
              <w:pageBreakBefore w:val="0"/>
              <w:widowControl w:val="0"/>
              <w:kinsoku/>
              <w:overflowPunct/>
              <w:topLinePunct w:val="0"/>
              <w:bidi w:val="0"/>
              <w:spacing w:line="400" w:lineRule="exact"/>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劳动合同编号</w:t>
            </w:r>
          </w:p>
        </w:tc>
      </w:tr>
      <w:tr w14:paraId="3EACD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1" w:type="dxa"/>
            <w:vAlign w:val="top"/>
          </w:tcPr>
          <w:p w14:paraId="7B27F1B3">
            <w:pPr>
              <w:keepNext w:val="0"/>
              <w:keepLines w:val="0"/>
              <w:pageBreakBefore w:val="0"/>
              <w:widowControl w:val="0"/>
              <w:kinsoku/>
              <w:overflowPunct/>
              <w:topLinePunct w:val="0"/>
              <w:bidi w:val="0"/>
              <w:spacing w:line="400" w:lineRule="exact"/>
              <w:textAlignment w:val="auto"/>
              <w:rPr>
                <w:rFonts w:hint="default" w:ascii="Times New Roman" w:hAnsi="Times New Roman" w:cs="Times New Roman"/>
                <w:color w:val="auto"/>
                <w:szCs w:val="21"/>
                <w:highlight w:val="none"/>
              </w:rPr>
            </w:pPr>
          </w:p>
        </w:tc>
        <w:tc>
          <w:tcPr>
            <w:tcW w:w="1050" w:type="dxa"/>
            <w:vAlign w:val="top"/>
          </w:tcPr>
          <w:p w14:paraId="2029530F">
            <w:pPr>
              <w:keepNext w:val="0"/>
              <w:keepLines w:val="0"/>
              <w:pageBreakBefore w:val="0"/>
              <w:widowControl w:val="0"/>
              <w:kinsoku/>
              <w:overflowPunct/>
              <w:topLinePunct w:val="0"/>
              <w:bidi w:val="0"/>
              <w:spacing w:line="400" w:lineRule="exact"/>
              <w:textAlignment w:val="auto"/>
              <w:rPr>
                <w:rFonts w:hint="default" w:ascii="Times New Roman" w:hAnsi="Times New Roman" w:cs="Times New Roman"/>
                <w:color w:val="auto"/>
                <w:szCs w:val="21"/>
                <w:highlight w:val="none"/>
              </w:rPr>
            </w:pPr>
          </w:p>
        </w:tc>
        <w:tc>
          <w:tcPr>
            <w:tcW w:w="1665" w:type="dxa"/>
            <w:vAlign w:val="top"/>
          </w:tcPr>
          <w:p w14:paraId="37C8974A">
            <w:pPr>
              <w:keepNext w:val="0"/>
              <w:keepLines w:val="0"/>
              <w:pageBreakBefore w:val="0"/>
              <w:widowControl w:val="0"/>
              <w:kinsoku/>
              <w:overflowPunct/>
              <w:topLinePunct w:val="0"/>
              <w:bidi w:val="0"/>
              <w:spacing w:line="400" w:lineRule="exact"/>
              <w:textAlignment w:val="auto"/>
              <w:rPr>
                <w:rFonts w:hint="default" w:ascii="Times New Roman" w:hAnsi="Times New Roman" w:cs="Times New Roman"/>
                <w:color w:val="auto"/>
                <w:szCs w:val="21"/>
                <w:highlight w:val="none"/>
              </w:rPr>
            </w:pPr>
          </w:p>
        </w:tc>
        <w:tc>
          <w:tcPr>
            <w:tcW w:w="1200" w:type="dxa"/>
            <w:vAlign w:val="top"/>
          </w:tcPr>
          <w:p w14:paraId="56790AE6">
            <w:pPr>
              <w:keepNext w:val="0"/>
              <w:keepLines w:val="0"/>
              <w:pageBreakBefore w:val="0"/>
              <w:widowControl w:val="0"/>
              <w:kinsoku/>
              <w:overflowPunct/>
              <w:topLinePunct w:val="0"/>
              <w:bidi w:val="0"/>
              <w:spacing w:line="400" w:lineRule="exact"/>
              <w:textAlignment w:val="auto"/>
              <w:rPr>
                <w:rFonts w:hint="default" w:ascii="Times New Roman" w:hAnsi="Times New Roman" w:cs="Times New Roman"/>
                <w:color w:val="auto"/>
                <w:szCs w:val="21"/>
                <w:highlight w:val="none"/>
              </w:rPr>
            </w:pPr>
          </w:p>
        </w:tc>
        <w:tc>
          <w:tcPr>
            <w:tcW w:w="2550" w:type="dxa"/>
            <w:vAlign w:val="top"/>
          </w:tcPr>
          <w:p w14:paraId="39F50F1B">
            <w:pPr>
              <w:keepNext w:val="0"/>
              <w:keepLines w:val="0"/>
              <w:pageBreakBefore w:val="0"/>
              <w:widowControl w:val="0"/>
              <w:kinsoku/>
              <w:overflowPunct/>
              <w:topLinePunct w:val="0"/>
              <w:bidi w:val="0"/>
              <w:spacing w:line="400" w:lineRule="exact"/>
              <w:textAlignment w:val="auto"/>
              <w:rPr>
                <w:rFonts w:hint="default" w:ascii="Times New Roman" w:hAnsi="Times New Roman" w:cs="Times New Roman"/>
                <w:color w:val="auto"/>
                <w:szCs w:val="21"/>
                <w:highlight w:val="none"/>
              </w:rPr>
            </w:pPr>
          </w:p>
        </w:tc>
        <w:tc>
          <w:tcPr>
            <w:tcW w:w="2610" w:type="dxa"/>
            <w:vAlign w:val="top"/>
          </w:tcPr>
          <w:p w14:paraId="79D7D683">
            <w:pPr>
              <w:keepNext w:val="0"/>
              <w:keepLines w:val="0"/>
              <w:pageBreakBefore w:val="0"/>
              <w:widowControl w:val="0"/>
              <w:kinsoku/>
              <w:overflowPunct/>
              <w:topLinePunct w:val="0"/>
              <w:bidi w:val="0"/>
              <w:spacing w:line="400" w:lineRule="exact"/>
              <w:textAlignment w:val="auto"/>
              <w:rPr>
                <w:rFonts w:hint="default" w:ascii="Times New Roman" w:hAnsi="Times New Roman" w:cs="Times New Roman"/>
                <w:color w:val="auto"/>
                <w:szCs w:val="21"/>
                <w:highlight w:val="none"/>
              </w:rPr>
            </w:pPr>
          </w:p>
        </w:tc>
      </w:tr>
      <w:tr w14:paraId="41759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1" w:type="dxa"/>
            <w:vAlign w:val="top"/>
          </w:tcPr>
          <w:p w14:paraId="6D8DAB4E">
            <w:pPr>
              <w:keepNext w:val="0"/>
              <w:keepLines w:val="0"/>
              <w:pageBreakBefore w:val="0"/>
              <w:widowControl w:val="0"/>
              <w:kinsoku/>
              <w:overflowPunct/>
              <w:topLinePunct w:val="0"/>
              <w:bidi w:val="0"/>
              <w:spacing w:line="400" w:lineRule="exact"/>
              <w:textAlignment w:val="auto"/>
              <w:rPr>
                <w:rFonts w:hint="default" w:ascii="Times New Roman" w:hAnsi="Times New Roman" w:cs="Times New Roman"/>
                <w:color w:val="auto"/>
                <w:szCs w:val="21"/>
                <w:highlight w:val="none"/>
              </w:rPr>
            </w:pPr>
          </w:p>
        </w:tc>
        <w:tc>
          <w:tcPr>
            <w:tcW w:w="1050" w:type="dxa"/>
            <w:vAlign w:val="top"/>
          </w:tcPr>
          <w:p w14:paraId="58CE28D1">
            <w:pPr>
              <w:keepNext w:val="0"/>
              <w:keepLines w:val="0"/>
              <w:pageBreakBefore w:val="0"/>
              <w:widowControl w:val="0"/>
              <w:kinsoku/>
              <w:overflowPunct/>
              <w:topLinePunct w:val="0"/>
              <w:bidi w:val="0"/>
              <w:spacing w:line="400" w:lineRule="exact"/>
              <w:textAlignment w:val="auto"/>
              <w:rPr>
                <w:rFonts w:hint="default" w:ascii="Times New Roman" w:hAnsi="Times New Roman" w:cs="Times New Roman"/>
                <w:color w:val="auto"/>
                <w:szCs w:val="21"/>
                <w:highlight w:val="none"/>
              </w:rPr>
            </w:pPr>
          </w:p>
        </w:tc>
        <w:tc>
          <w:tcPr>
            <w:tcW w:w="1665" w:type="dxa"/>
            <w:vAlign w:val="top"/>
          </w:tcPr>
          <w:p w14:paraId="12E2177B">
            <w:pPr>
              <w:keepNext w:val="0"/>
              <w:keepLines w:val="0"/>
              <w:pageBreakBefore w:val="0"/>
              <w:widowControl w:val="0"/>
              <w:kinsoku/>
              <w:overflowPunct/>
              <w:topLinePunct w:val="0"/>
              <w:bidi w:val="0"/>
              <w:spacing w:line="400" w:lineRule="exact"/>
              <w:textAlignment w:val="auto"/>
              <w:rPr>
                <w:rFonts w:hint="default" w:ascii="Times New Roman" w:hAnsi="Times New Roman" w:cs="Times New Roman"/>
                <w:color w:val="auto"/>
                <w:szCs w:val="21"/>
                <w:highlight w:val="none"/>
              </w:rPr>
            </w:pPr>
          </w:p>
        </w:tc>
        <w:tc>
          <w:tcPr>
            <w:tcW w:w="1200" w:type="dxa"/>
            <w:vAlign w:val="top"/>
          </w:tcPr>
          <w:p w14:paraId="51116144">
            <w:pPr>
              <w:keepNext w:val="0"/>
              <w:keepLines w:val="0"/>
              <w:pageBreakBefore w:val="0"/>
              <w:widowControl w:val="0"/>
              <w:kinsoku/>
              <w:overflowPunct/>
              <w:topLinePunct w:val="0"/>
              <w:bidi w:val="0"/>
              <w:spacing w:line="400" w:lineRule="exact"/>
              <w:textAlignment w:val="auto"/>
              <w:rPr>
                <w:rFonts w:hint="default" w:ascii="Times New Roman" w:hAnsi="Times New Roman" w:cs="Times New Roman"/>
                <w:color w:val="auto"/>
                <w:szCs w:val="21"/>
                <w:highlight w:val="none"/>
              </w:rPr>
            </w:pPr>
          </w:p>
        </w:tc>
        <w:tc>
          <w:tcPr>
            <w:tcW w:w="2550" w:type="dxa"/>
            <w:vAlign w:val="top"/>
          </w:tcPr>
          <w:p w14:paraId="18F1447F">
            <w:pPr>
              <w:keepNext w:val="0"/>
              <w:keepLines w:val="0"/>
              <w:pageBreakBefore w:val="0"/>
              <w:widowControl w:val="0"/>
              <w:kinsoku/>
              <w:overflowPunct/>
              <w:topLinePunct w:val="0"/>
              <w:bidi w:val="0"/>
              <w:spacing w:line="400" w:lineRule="exact"/>
              <w:textAlignment w:val="auto"/>
              <w:rPr>
                <w:rFonts w:hint="default" w:ascii="Times New Roman" w:hAnsi="Times New Roman" w:cs="Times New Roman"/>
                <w:color w:val="auto"/>
                <w:szCs w:val="21"/>
                <w:highlight w:val="none"/>
              </w:rPr>
            </w:pPr>
          </w:p>
        </w:tc>
        <w:tc>
          <w:tcPr>
            <w:tcW w:w="2610" w:type="dxa"/>
            <w:vAlign w:val="top"/>
          </w:tcPr>
          <w:p w14:paraId="399454AB">
            <w:pPr>
              <w:keepNext w:val="0"/>
              <w:keepLines w:val="0"/>
              <w:pageBreakBefore w:val="0"/>
              <w:widowControl w:val="0"/>
              <w:kinsoku/>
              <w:overflowPunct/>
              <w:topLinePunct w:val="0"/>
              <w:bidi w:val="0"/>
              <w:spacing w:line="400" w:lineRule="exact"/>
              <w:textAlignment w:val="auto"/>
              <w:rPr>
                <w:rFonts w:hint="default" w:ascii="Times New Roman" w:hAnsi="Times New Roman" w:cs="Times New Roman"/>
                <w:color w:val="auto"/>
                <w:szCs w:val="21"/>
                <w:highlight w:val="none"/>
              </w:rPr>
            </w:pPr>
          </w:p>
        </w:tc>
      </w:tr>
    </w:tbl>
    <w:p w14:paraId="4AC5637C">
      <w:pPr>
        <w:keepNext w:val="0"/>
        <w:keepLines w:val="0"/>
        <w:pageBreakBefore w:val="0"/>
        <w:widowControl w:val="0"/>
        <w:kinsoku/>
        <w:overflowPunct/>
        <w:topLinePunct w:val="0"/>
        <w:bidi w:val="0"/>
        <w:spacing w:line="400" w:lineRule="exact"/>
        <w:textAlignment w:val="auto"/>
        <w:rPr>
          <w:rFonts w:hint="default" w:ascii="Times New Roman" w:hAnsi="Times New Roman" w:cs="Times New Roman"/>
          <w:color w:val="auto"/>
          <w:szCs w:val="21"/>
          <w:highlight w:val="none"/>
        </w:rPr>
      </w:pPr>
    </w:p>
    <w:p w14:paraId="61067D19">
      <w:pPr>
        <w:pageBreakBefore w:val="0"/>
        <w:widowControl w:val="0"/>
        <w:overflowPunct/>
        <w:topLinePunct w:val="0"/>
        <w:bidi w:val="0"/>
        <w:spacing w:line="400" w:lineRule="exact"/>
        <w:ind w:firstLine="480" w:firstLineChars="200"/>
        <w:outlineLvl w:val="1"/>
        <w:rPr>
          <w:rFonts w:hint="eastAsia" w:ascii="宋体" w:hAnsi="宋体" w:eastAsia="宋体" w:cs="宋体"/>
          <w:color w:val="auto"/>
          <w:sz w:val="24"/>
          <w:szCs w:val="24"/>
          <w:highlight w:val="none"/>
          <w:lang w:eastAsia="zh-CN"/>
        </w:rPr>
      </w:pPr>
    </w:p>
    <w:p w14:paraId="645B2327">
      <w:pPr>
        <w:pageBreakBefore w:val="0"/>
        <w:widowControl w:val="0"/>
        <w:overflowPunct/>
        <w:topLinePunct w:val="0"/>
        <w:bidi w:val="0"/>
        <w:spacing w:line="400" w:lineRule="exact"/>
        <w:ind w:firstLine="480" w:firstLineChars="200"/>
        <w:outlineLvl w:val="1"/>
        <w:rPr>
          <w:rFonts w:hint="default"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lang w:eastAsia="zh-CN"/>
        </w:rPr>
        <w:t>供应商(CA 证书签章)：</w:t>
      </w:r>
      <w:r>
        <w:rPr>
          <w:rFonts w:hint="eastAsia" w:ascii="宋体" w:hAnsi="宋体" w:eastAsia="宋体" w:cs="宋体"/>
          <w:color w:val="auto"/>
          <w:sz w:val="24"/>
          <w:szCs w:val="24"/>
          <w:highlight w:val="none"/>
          <w:u w:val="single"/>
          <w:lang w:val="en-US" w:eastAsia="zh-CN"/>
        </w:rPr>
        <w:t xml:space="preserve">              </w:t>
      </w:r>
    </w:p>
    <w:p w14:paraId="0E29A8E3">
      <w:pPr>
        <w:pageBreakBefore w:val="0"/>
        <w:widowControl w:val="0"/>
        <w:overflowPunct/>
        <w:topLinePunct w:val="0"/>
        <w:bidi w:val="0"/>
        <w:spacing w:line="40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法定代表人或相应的委托代理人签字（或个人 CA 证书签章）：</w:t>
      </w:r>
      <w:r>
        <w:rPr>
          <w:rFonts w:hint="eastAsia" w:ascii="宋体" w:hAnsi="宋体" w:eastAsia="宋体" w:cs="宋体"/>
          <w:color w:val="auto"/>
          <w:sz w:val="24"/>
          <w:szCs w:val="24"/>
          <w:highlight w:val="none"/>
          <w:u w:val="single"/>
          <w:lang w:val="en-US" w:eastAsia="zh-CN"/>
        </w:rPr>
        <w:t xml:space="preserve">              </w:t>
      </w:r>
    </w:p>
    <w:p w14:paraId="57C7F7AF">
      <w:pPr>
        <w:pageBreakBefore w:val="0"/>
        <w:widowControl w:val="0"/>
        <w:overflowPunct/>
        <w:topLinePunct w:val="0"/>
        <w:bidi w:val="0"/>
        <w:spacing w:line="40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日     期：</w:t>
      </w:r>
      <w:r>
        <w:rPr>
          <w:rFonts w:hint="eastAsia" w:ascii="宋体" w:hAnsi="宋体" w:eastAsia="宋体" w:cs="宋体"/>
          <w:color w:val="auto"/>
          <w:sz w:val="24"/>
          <w:szCs w:val="24"/>
          <w:highlight w:val="none"/>
          <w:u w:val="single"/>
          <w:lang w:val="en-US" w:eastAsia="zh-CN"/>
        </w:rPr>
        <w:t xml:space="preserve">              </w:t>
      </w:r>
    </w:p>
    <w:p w14:paraId="2D97DCDA">
      <w:pPr>
        <w:keepNext w:val="0"/>
        <w:keepLines w:val="0"/>
        <w:pageBreakBefore w:val="0"/>
        <w:widowControl w:val="0"/>
        <w:kinsoku/>
        <w:overflowPunct/>
        <w:topLinePunct w:val="0"/>
        <w:bidi w:val="0"/>
        <w:spacing w:line="360" w:lineRule="auto"/>
        <w:textAlignment w:val="auto"/>
        <w:rPr>
          <w:rFonts w:hint="default" w:ascii="Times New Roman" w:hAnsi="Times New Roman" w:cs="Times New Roman"/>
          <w:b/>
          <w:bCs/>
          <w:color w:val="auto"/>
          <w:sz w:val="24"/>
          <w:highlight w:val="none"/>
        </w:rPr>
      </w:pPr>
    </w:p>
    <w:p w14:paraId="4837A799">
      <w:pPr>
        <w:keepNext w:val="0"/>
        <w:keepLines w:val="0"/>
        <w:pageBreakBefore w:val="0"/>
        <w:widowControl w:val="0"/>
        <w:tabs>
          <w:tab w:val="left" w:pos="567"/>
        </w:tabs>
        <w:kinsoku/>
        <w:overflowPunct/>
        <w:topLinePunct w:val="0"/>
        <w:bidi w:val="0"/>
        <w:textAlignment w:val="auto"/>
        <w:outlineLvl w:val="9"/>
        <w:rPr>
          <w:rFonts w:hint="default" w:ascii="Times New Roman" w:hAnsi="Times New Roman" w:eastAsia="宋体" w:cs="Times New Roman"/>
          <w:b w:val="0"/>
          <w:bCs w:val="0"/>
          <w:color w:val="auto"/>
          <w:kern w:val="2"/>
          <w:sz w:val="21"/>
          <w:szCs w:val="21"/>
          <w:highlight w:val="none"/>
          <w:lang w:val="en-US" w:eastAsia="zh-CN" w:bidi="ar-SA"/>
        </w:rPr>
      </w:pPr>
    </w:p>
    <w:p w14:paraId="34B80BDD">
      <w:pPr>
        <w:keepNext w:val="0"/>
        <w:keepLines w:val="0"/>
        <w:pageBreakBefore w:val="0"/>
        <w:widowControl w:val="0"/>
        <w:tabs>
          <w:tab w:val="left" w:pos="567"/>
        </w:tabs>
        <w:kinsoku/>
        <w:overflowPunct/>
        <w:topLinePunct w:val="0"/>
        <w:bidi w:val="0"/>
        <w:textAlignment w:val="auto"/>
        <w:outlineLvl w:val="9"/>
        <w:rPr>
          <w:rFonts w:hint="default" w:ascii="Times New Roman" w:hAnsi="Times New Roman" w:eastAsia="宋体" w:cs="Times New Roman"/>
          <w:b w:val="0"/>
          <w:bCs w:val="0"/>
          <w:color w:val="auto"/>
          <w:kern w:val="2"/>
          <w:sz w:val="21"/>
          <w:szCs w:val="21"/>
          <w:highlight w:val="none"/>
          <w:lang w:val="en-US" w:eastAsia="zh-CN" w:bidi="ar-SA"/>
        </w:rPr>
      </w:pPr>
    </w:p>
    <w:p w14:paraId="0488DF22">
      <w:pPr>
        <w:keepNext w:val="0"/>
        <w:keepLines w:val="0"/>
        <w:pageBreakBefore w:val="0"/>
        <w:widowControl w:val="0"/>
        <w:tabs>
          <w:tab w:val="left" w:pos="567"/>
        </w:tabs>
        <w:kinsoku/>
        <w:overflowPunct/>
        <w:topLinePunct w:val="0"/>
        <w:bidi w:val="0"/>
        <w:textAlignment w:val="auto"/>
        <w:outlineLvl w:val="9"/>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注：1.在填写时，如本表格不适合供应商的实际情况，可根据本表格式自行制表填写。</w:t>
      </w:r>
    </w:p>
    <w:p w14:paraId="085FE53A">
      <w:pPr>
        <w:pageBreakBefore w:val="0"/>
        <w:overflowPunct/>
        <w:topLinePunct w:val="0"/>
        <w:bidi w:val="0"/>
        <w:spacing w:line="400" w:lineRule="exact"/>
        <w:rPr>
          <w:rFonts w:hint="eastAsia" w:ascii="宋体" w:hAnsi="宋体" w:eastAsia="宋体" w:cs="宋体"/>
          <w:b/>
          <w:bCs/>
          <w:snapToGrid w:val="0"/>
          <w:color w:val="auto"/>
          <w:kern w:val="0"/>
          <w:sz w:val="28"/>
          <w:szCs w:val="28"/>
          <w:highlight w:val="none"/>
          <w:lang w:val="en-US" w:eastAsia="zh-CN" w:bidi="ar-SA"/>
        </w:rPr>
      </w:pPr>
    </w:p>
    <w:p w14:paraId="7111CCC7">
      <w:pPr>
        <w:pageBreakBefore w:val="0"/>
        <w:overflowPunct/>
        <w:topLinePunct w:val="0"/>
        <w:bidi w:val="0"/>
        <w:spacing w:line="400" w:lineRule="exact"/>
        <w:rPr>
          <w:rFonts w:hint="eastAsia" w:ascii="宋体" w:hAnsi="宋体" w:eastAsia="宋体" w:cs="宋体"/>
          <w:b/>
          <w:bCs/>
          <w:snapToGrid w:val="0"/>
          <w:color w:val="auto"/>
          <w:kern w:val="0"/>
          <w:sz w:val="28"/>
          <w:szCs w:val="28"/>
          <w:highlight w:val="none"/>
          <w:lang w:val="en-US" w:eastAsia="zh-CN" w:bidi="ar-SA"/>
        </w:rPr>
      </w:pPr>
    </w:p>
    <w:p w14:paraId="732C5AFB">
      <w:pPr>
        <w:pageBreakBefore w:val="0"/>
        <w:overflowPunct/>
        <w:topLinePunct w:val="0"/>
        <w:bidi w:val="0"/>
        <w:spacing w:line="400" w:lineRule="exact"/>
        <w:rPr>
          <w:rFonts w:hint="eastAsia" w:ascii="宋体" w:hAnsi="宋体" w:eastAsia="宋体" w:cs="宋体"/>
          <w:b/>
          <w:bCs/>
          <w:snapToGrid w:val="0"/>
          <w:color w:val="auto"/>
          <w:kern w:val="0"/>
          <w:sz w:val="28"/>
          <w:szCs w:val="28"/>
          <w:highlight w:val="none"/>
          <w:lang w:val="en-US" w:eastAsia="zh-CN" w:bidi="ar-SA"/>
        </w:rPr>
      </w:pPr>
    </w:p>
    <w:p w14:paraId="7C708587">
      <w:pPr>
        <w:pageBreakBefore w:val="0"/>
        <w:overflowPunct/>
        <w:topLinePunct w:val="0"/>
        <w:bidi w:val="0"/>
        <w:spacing w:line="400" w:lineRule="exact"/>
        <w:rPr>
          <w:rFonts w:hint="eastAsia" w:ascii="宋体" w:hAnsi="宋体" w:eastAsia="宋体" w:cs="宋体"/>
          <w:b/>
          <w:bCs/>
          <w:snapToGrid w:val="0"/>
          <w:color w:val="auto"/>
          <w:kern w:val="0"/>
          <w:sz w:val="28"/>
          <w:szCs w:val="28"/>
          <w:highlight w:val="none"/>
          <w:lang w:val="en-US" w:eastAsia="zh-CN" w:bidi="ar-SA"/>
        </w:rPr>
      </w:pPr>
      <w:r>
        <w:rPr>
          <w:rFonts w:hint="eastAsia" w:ascii="宋体" w:hAnsi="宋体" w:eastAsia="宋体" w:cs="宋体"/>
          <w:b/>
          <w:bCs/>
          <w:snapToGrid w:val="0"/>
          <w:color w:val="auto"/>
          <w:kern w:val="0"/>
          <w:sz w:val="28"/>
          <w:szCs w:val="28"/>
          <w:highlight w:val="none"/>
          <w:lang w:val="en-US" w:eastAsia="zh-CN" w:bidi="ar-SA"/>
        </w:rPr>
        <w:t>8.“采购需求”需提供的有效证明文件（按采购需求要求提供）。</w:t>
      </w:r>
    </w:p>
    <w:p w14:paraId="03EB259D">
      <w:pPr>
        <w:pageBreakBefore w:val="0"/>
        <w:widowControl w:val="0"/>
        <w:overflowPunct/>
        <w:topLinePunct w:val="0"/>
        <w:bidi w:val="0"/>
        <w:spacing w:line="400" w:lineRule="exact"/>
        <w:ind w:firstLine="480" w:firstLineChars="200"/>
        <w:rPr>
          <w:rFonts w:hint="eastAsia" w:ascii="宋体" w:hAnsi="宋体" w:eastAsia="宋体" w:cs="宋体"/>
          <w:color w:val="auto"/>
          <w:sz w:val="24"/>
          <w:szCs w:val="24"/>
          <w:highlight w:val="none"/>
          <w:lang w:eastAsia="zh-CN"/>
        </w:rPr>
      </w:pPr>
    </w:p>
    <w:p w14:paraId="77CACADC">
      <w:pPr>
        <w:pageBreakBefore w:val="0"/>
        <w:widowControl w:val="0"/>
        <w:overflowPunct/>
        <w:topLinePunct w:val="0"/>
        <w:bidi w:val="0"/>
        <w:spacing w:line="400" w:lineRule="exact"/>
        <w:ind w:firstLine="622" w:firstLineChars="200"/>
        <w:rPr>
          <w:rFonts w:hint="eastAsia" w:ascii="宋体" w:hAnsi="宋体" w:eastAsia="宋体" w:cs="宋体"/>
          <w:b/>
          <w:bCs/>
          <w:color w:val="auto"/>
          <w:sz w:val="31"/>
          <w:szCs w:val="31"/>
          <w:highlight w:val="none"/>
          <w:lang w:eastAsia="zh-CN"/>
        </w:rPr>
      </w:pPr>
      <w:r>
        <w:rPr>
          <w:rFonts w:hint="eastAsia" w:ascii="宋体" w:hAnsi="宋体" w:eastAsia="宋体" w:cs="宋体"/>
          <w:b/>
          <w:bCs/>
          <w:color w:val="auto"/>
          <w:sz w:val="31"/>
          <w:szCs w:val="31"/>
          <w:highlight w:val="none"/>
          <w:lang w:eastAsia="zh-CN"/>
        </w:rPr>
        <w:t>（三）其它有效证明材料目录</w:t>
      </w:r>
    </w:p>
    <w:p w14:paraId="759EDF7E">
      <w:pPr>
        <w:widowControl w:val="0"/>
        <w:spacing w:line="360" w:lineRule="auto"/>
        <w:ind w:firstLine="400" w:firstLineChars="200"/>
        <w:rPr>
          <w:rFonts w:hint="eastAsia" w:ascii="宋体" w:hAnsi="宋体" w:eastAsia="宋体" w:cs="宋体"/>
          <w:color w:val="auto"/>
          <w:sz w:val="20"/>
          <w:szCs w:val="20"/>
          <w:highlight w:val="none"/>
          <w:lang w:val="en-US" w:eastAsia="zh-CN"/>
        </w:rPr>
      </w:pPr>
    </w:p>
    <w:p w14:paraId="06303418">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textAlignment w:val="baseline"/>
        <w:rPr>
          <w:rFonts w:ascii="宋体" w:hAnsi="宋体" w:eastAsia="宋体" w:cs="宋体"/>
          <w:b/>
          <w:bCs/>
          <w:color w:val="auto"/>
          <w:sz w:val="21"/>
          <w:szCs w:val="21"/>
          <w:highlight w:val="none"/>
          <w:lang w:eastAsia="zh-CN"/>
        </w:rPr>
      </w:pPr>
      <w:r>
        <w:rPr>
          <w:rFonts w:hint="eastAsia" w:ascii="宋体" w:hAnsi="宋体" w:eastAsia="宋体" w:cs="宋体"/>
          <w:color w:val="auto"/>
          <w:sz w:val="21"/>
          <w:szCs w:val="21"/>
          <w:highlight w:val="none"/>
          <w:lang w:val="en-US" w:eastAsia="zh-CN"/>
        </w:rPr>
        <w:t>1.</w:t>
      </w:r>
      <w:r>
        <w:rPr>
          <w:rFonts w:ascii="宋体" w:hAnsi="宋体" w:eastAsia="宋体" w:cs="宋体"/>
          <w:color w:val="auto"/>
          <w:sz w:val="21"/>
          <w:szCs w:val="21"/>
          <w:highlight w:val="none"/>
          <w:lang w:eastAsia="zh-CN"/>
        </w:rPr>
        <w:t>中小企业声明函【如供应商提供的货物由小型、微型企业（中小微型企业划分标准按照《国家统计局关于印发《统计上大中小微型企业划分办法〔2017〕》的通知》（国统字〔2017〕213号）执行）制造的，供应商应如实声明并对出具声明函的真实性负责。成交结果将同时公告该企业《中小企业声明函》，接受社会监督。】</w:t>
      </w:r>
      <w:r>
        <w:rPr>
          <w:rFonts w:ascii="宋体" w:hAnsi="宋体" w:eastAsia="宋体" w:cs="宋体"/>
          <w:b/>
          <w:bCs/>
          <w:color w:val="auto"/>
          <w:sz w:val="21"/>
          <w:szCs w:val="21"/>
          <w:highlight w:val="none"/>
          <w:lang w:eastAsia="zh-CN"/>
        </w:rPr>
        <w:t>（格式见附件，如有，请提供）</w:t>
      </w:r>
      <w:r>
        <w:rPr>
          <w:rFonts w:hint="eastAsia" w:ascii="宋体" w:hAnsi="宋体" w:eastAsia="宋体" w:cs="宋体"/>
          <w:b/>
          <w:bCs/>
          <w:color w:val="auto"/>
          <w:sz w:val="21"/>
          <w:szCs w:val="21"/>
          <w:highlight w:val="none"/>
          <w:lang w:eastAsia="zh-CN"/>
        </w:rPr>
        <w:t>；</w:t>
      </w:r>
    </w:p>
    <w:p w14:paraId="14A72312">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b/>
          <w:bCs/>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监狱企业的证明文件【供应商如为监狱企业的，应当提供由省级以上监狱管理局、戒毒管理局（含新疆生产建设兵团）出具的属于监狱企业的证明文件,否则不予享受优惠政策】</w:t>
      </w:r>
      <w:r>
        <w:rPr>
          <w:rFonts w:hint="eastAsia" w:ascii="宋体" w:hAnsi="宋体" w:eastAsia="宋体" w:cs="宋体"/>
          <w:b/>
          <w:bCs/>
          <w:color w:val="auto"/>
          <w:sz w:val="21"/>
          <w:szCs w:val="21"/>
          <w:highlight w:val="none"/>
          <w:lang w:eastAsia="zh-CN"/>
        </w:rPr>
        <w:t>（如有，请提供）；</w:t>
      </w:r>
    </w:p>
    <w:p w14:paraId="741F7688">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b/>
          <w:bCs/>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《残疾人福利性单位声明函》【符合条件的残疾人福利性单位在参加政府采购活动时，应当提供《残疾人福利性单位声明函》，并对声明的真实性负责】</w:t>
      </w:r>
      <w:r>
        <w:rPr>
          <w:rFonts w:hint="eastAsia" w:ascii="宋体" w:hAnsi="宋体" w:eastAsia="宋体" w:cs="宋体"/>
          <w:b/>
          <w:bCs/>
          <w:color w:val="auto"/>
          <w:sz w:val="21"/>
          <w:szCs w:val="21"/>
          <w:highlight w:val="none"/>
          <w:lang w:eastAsia="zh-CN"/>
        </w:rPr>
        <w:t>（如有，请提供）；</w:t>
      </w:r>
    </w:p>
    <w:p w14:paraId="4E68BB7C">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b/>
          <w:bCs/>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4.关于符合本国产品标准的声明函（见附件）</w:t>
      </w:r>
      <w:r>
        <w:rPr>
          <w:rFonts w:hint="eastAsia" w:ascii="宋体" w:hAnsi="宋体" w:eastAsia="宋体" w:cs="宋体"/>
          <w:b/>
          <w:bCs/>
          <w:color w:val="auto"/>
          <w:sz w:val="21"/>
          <w:szCs w:val="21"/>
          <w:highlight w:val="none"/>
          <w:lang w:val="en-US" w:eastAsia="zh-CN"/>
        </w:rPr>
        <w:t>（如有，请提供）；</w:t>
      </w:r>
    </w:p>
    <w:p w14:paraId="6730F53F">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52" w:firstLineChars="200"/>
        <w:textAlignment w:val="baseline"/>
        <w:rPr>
          <w:rFonts w:hint="eastAsia" w:ascii="宋体" w:hAnsi="宋体" w:eastAsia="宋体" w:cs="宋体"/>
          <w:b/>
          <w:bCs/>
          <w:color w:val="auto"/>
          <w:spacing w:val="8"/>
          <w:sz w:val="21"/>
          <w:szCs w:val="21"/>
          <w:lang w:val="en-US" w:eastAsia="zh-CN"/>
        </w:rPr>
      </w:pPr>
      <w:r>
        <w:rPr>
          <w:rFonts w:hint="eastAsia" w:ascii="宋体" w:hAnsi="宋体" w:eastAsia="宋体" w:cs="宋体"/>
          <w:color w:val="auto"/>
          <w:spacing w:val="8"/>
          <w:sz w:val="21"/>
          <w:szCs w:val="21"/>
          <w:lang w:val="en-US" w:eastAsia="zh-CN"/>
        </w:rPr>
        <w:t>5.节能方面的证书扫描件</w:t>
      </w:r>
      <w:r>
        <w:rPr>
          <w:rFonts w:hint="eastAsia" w:ascii="宋体" w:hAnsi="宋体" w:eastAsia="宋体" w:cs="宋体"/>
          <w:b/>
          <w:bCs/>
          <w:color w:val="auto"/>
          <w:spacing w:val="8"/>
          <w:sz w:val="21"/>
          <w:szCs w:val="21"/>
          <w:lang w:val="en-US" w:eastAsia="zh-CN"/>
        </w:rPr>
        <w:t>（如有，请提供）；</w:t>
      </w:r>
    </w:p>
    <w:p w14:paraId="7262571E">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52" w:firstLineChars="200"/>
        <w:textAlignment w:val="baseline"/>
        <w:rPr>
          <w:rFonts w:hint="eastAsia" w:ascii="宋体" w:hAnsi="宋体" w:eastAsia="宋体" w:cs="宋体"/>
          <w:b/>
          <w:bCs/>
          <w:color w:val="auto"/>
          <w:kern w:val="0"/>
          <w:sz w:val="21"/>
          <w:szCs w:val="21"/>
        </w:rPr>
      </w:pPr>
      <w:r>
        <w:rPr>
          <w:rFonts w:hint="eastAsia" w:ascii="宋体" w:hAnsi="宋体" w:eastAsia="宋体" w:cs="宋体"/>
          <w:color w:val="auto"/>
          <w:spacing w:val="8"/>
          <w:sz w:val="21"/>
          <w:szCs w:val="21"/>
          <w:lang w:val="en-US" w:eastAsia="zh-CN"/>
        </w:rPr>
        <w:t>6</w:t>
      </w:r>
      <w:r>
        <w:rPr>
          <w:rFonts w:hint="eastAsia" w:ascii="宋体" w:hAnsi="宋体" w:eastAsia="宋体" w:cs="宋体"/>
          <w:color w:val="auto"/>
          <w:spacing w:val="8"/>
          <w:sz w:val="21"/>
          <w:szCs w:val="21"/>
        </w:rPr>
        <w:t>.环境标志方面的证书扫描件</w:t>
      </w:r>
      <w:r>
        <w:rPr>
          <w:rFonts w:hint="eastAsia" w:ascii="宋体" w:hAnsi="宋体" w:eastAsia="宋体" w:cs="宋体"/>
          <w:b/>
          <w:bCs/>
          <w:color w:val="auto"/>
          <w:spacing w:val="8"/>
          <w:sz w:val="21"/>
          <w:szCs w:val="21"/>
        </w:rPr>
        <w:t>（如有，请提供</w:t>
      </w:r>
      <w:r>
        <w:rPr>
          <w:rFonts w:hint="eastAsia" w:ascii="宋体" w:hAnsi="宋体" w:eastAsia="宋体" w:cs="宋体"/>
          <w:b/>
          <w:bCs/>
          <w:color w:val="auto"/>
          <w:spacing w:val="3"/>
          <w:sz w:val="21"/>
          <w:szCs w:val="21"/>
        </w:rPr>
        <w:t>）</w:t>
      </w:r>
      <w:r>
        <w:rPr>
          <w:rFonts w:hint="eastAsia" w:ascii="宋体" w:hAnsi="宋体" w:eastAsia="宋体" w:cs="宋体"/>
          <w:color w:val="auto"/>
          <w:spacing w:val="3"/>
          <w:sz w:val="21"/>
          <w:szCs w:val="21"/>
        </w:rPr>
        <w:t>；</w:t>
      </w:r>
    </w:p>
    <w:p w14:paraId="1D517EA5">
      <w:pPr>
        <w:keepNext w:val="0"/>
        <w:keepLines w:val="0"/>
        <w:pageBreakBefore w:val="0"/>
        <w:tabs>
          <w:tab w:val="left" w:pos="1305"/>
        </w:tabs>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7.</w:t>
      </w:r>
      <w:r>
        <w:rPr>
          <w:rFonts w:hint="eastAsia" w:ascii="宋体" w:hAnsi="宋体" w:eastAsia="宋体" w:cs="宋体"/>
          <w:color w:val="auto"/>
          <w:kern w:val="0"/>
          <w:sz w:val="21"/>
          <w:szCs w:val="21"/>
        </w:rPr>
        <w:t>供应商可结合本项目的评审办法视自身情况自行提交相关证明材料</w:t>
      </w:r>
      <w:r>
        <w:rPr>
          <w:rFonts w:hint="eastAsia" w:ascii="宋体" w:hAnsi="宋体" w:eastAsia="宋体" w:cs="宋体"/>
          <w:b/>
          <w:color w:val="auto"/>
          <w:kern w:val="0"/>
          <w:sz w:val="21"/>
          <w:szCs w:val="21"/>
        </w:rPr>
        <w:t>（如有，请提供）</w:t>
      </w:r>
      <w:r>
        <w:rPr>
          <w:rFonts w:hint="eastAsia" w:ascii="宋体" w:hAnsi="宋体" w:eastAsia="宋体" w:cs="宋体"/>
          <w:color w:val="auto"/>
          <w:kern w:val="0"/>
          <w:sz w:val="21"/>
          <w:szCs w:val="21"/>
        </w:rPr>
        <w:t>。</w:t>
      </w:r>
    </w:p>
    <w:p w14:paraId="02A10766">
      <w:pPr>
        <w:pageBreakBefore w:val="0"/>
        <w:tabs>
          <w:tab w:val="left" w:pos="1305"/>
        </w:tabs>
        <w:overflowPunct/>
        <w:topLinePunct w:val="0"/>
        <w:bidi w:val="0"/>
        <w:spacing w:line="360" w:lineRule="auto"/>
        <w:ind w:firstLine="420" w:firstLineChars="200"/>
        <w:rPr>
          <w:rFonts w:hint="eastAsia" w:ascii="宋体" w:hAnsi="宋体" w:eastAsia="宋体" w:cs="宋体"/>
          <w:color w:val="auto"/>
          <w:kern w:val="0"/>
          <w:sz w:val="21"/>
          <w:szCs w:val="21"/>
        </w:rPr>
      </w:pPr>
    </w:p>
    <w:p w14:paraId="170FF753">
      <w:pPr>
        <w:pageBreakBefore w:val="0"/>
        <w:tabs>
          <w:tab w:val="left" w:pos="1305"/>
        </w:tabs>
        <w:overflowPunct/>
        <w:topLinePunct w:val="0"/>
        <w:bidi w:val="0"/>
        <w:spacing w:line="400" w:lineRule="exact"/>
        <w:ind w:firstLine="420" w:firstLineChars="200"/>
        <w:rPr>
          <w:rFonts w:hint="eastAsia" w:ascii="宋体" w:hAnsi="宋体" w:eastAsia="宋体" w:cs="宋体"/>
          <w:color w:val="auto"/>
          <w:kern w:val="0"/>
          <w:szCs w:val="21"/>
        </w:rPr>
      </w:pPr>
    </w:p>
    <w:p w14:paraId="10BB9FD5">
      <w:pPr>
        <w:pageBreakBefore w:val="0"/>
        <w:tabs>
          <w:tab w:val="left" w:pos="1305"/>
        </w:tabs>
        <w:overflowPunct/>
        <w:topLinePunct w:val="0"/>
        <w:bidi w:val="0"/>
        <w:spacing w:line="400" w:lineRule="exact"/>
        <w:ind w:firstLine="422" w:firstLineChars="200"/>
        <w:rPr>
          <w:rFonts w:hint="eastAsia" w:ascii="宋体" w:hAnsi="宋体" w:eastAsia="宋体" w:cs="宋体"/>
          <w:b/>
          <w:color w:val="auto"/>
          <w:kern w:val="0"/>
          <w:szCs w:val="21"/>
        </w:rPr>
      </w:pPr>
    </w:p>
    <w:p w14:paraId="6CBAC3E9">
      <w:pPr>
        <w:pStyle w:val="11"/>
        <w:pageBreakBefore w:val="0"/>
        <w:overflowPunct/>
        <w:topLinePunct w:val="0"/>
        <w:bidi w:val="0"/>
        <w:spacing w:line="400" w:lineRule="exact"/>
        <w:rPr>
          <w:rFonts w:hint="eastAsia" w:ascii="宋体" w:hAnsi="宋体" w:eastAsia="宋体" w:cs="宋体"/>
          <w:b/>
          <w:bCs/>
          <w:color w:val="auto"/>
          <w:kern w:val="0"/>
          <w:sz w:val="32"/>
          <w:szCs w:val="32"/>
        </w:rPr>
      </w:pPr>
    </w:p>
    <w:p w14:paraId="1F19CF1C">
      <w:pPr>
        <w:pStyle w:val="11"/>
        <w:pageBreakBefore w:val="0"/>
        <w:overflowPunct/>
        <w:topLinePunct w:val="0"/>
        <w:bidi w:val="0"/>
        <w:spacing w:line="400" w:lineRule="exact"/>
        <w:rPr>
          <w:rFonts w:hint="eastAsia" w:ascii="宋体" w:hAnsi="宋体" w:eastAsia="宋体" w:cs="宋体"/>
          <w:b/>
          <w:bCs/>
          <w:color w:val="auto"/>
          <w:kern w:val="0"/>
          <w:sz w:val="32"/>
          <w:szCs w:val="32"/>
        </w:rPr>
      </w:pPr>
    </w:p>
    <w:p w14:paraId="7FE01EA0">
      <w:pPr>
        <w:pStyle w:val="11"/>
        <w:pageBreakBefore w:val="0"/>
        <w:overflowPunct/>
        <w:topLinePunct w:val="0"/>
        <w:bidi w:val="0"/>
        <w:spacing w:line="400" w:lineRule="exact"/>
        <w:rPr>
          <w:rFonts w:hint="eastAsia" w:ascii="宋体" w:hAnsi="宋体" w:eastAsia="宋体" w:cs="宋体"/>
          <w:b/>
          <w:bCs/>
          <w:color w:val="auto"/>
          <w:kern w:val="0"/>
          <w:sz w:val="32"/>
          <w:szCs w:val="32"/>
        </w:rPr>
      </w:pPr>
    </w:p>
    <w:p w14:paraId="602378D7">
      <w:pPr>
        <w:pStyle w:val="11"/>
        <w:pageBreakBefore w:val="0"/>
        <w:overflowPunct/>
        <w:topLinePunct w:val="0"/>
        <w:bidi w:val="0"/>
        <w:spacing w:line="400" w:lineRule="exact"/>
        <w:rPr>
          <w:rFonts w:hint="eastAsia" w:ascii="宋体" w:hAnsi="宋体" w:eastAsia="宋体" w:cs="宋体"/>
          <w:b/>
          <w:bCs/>
          <w:color w:val="auto"/>
          <w:kern w:val="0"/>
          <w:sz w:val="32"/>
          <w:szCs w:val="32"/>
        </w:rPr>
      </w:pPr>
    </w:p>
    <w:p w14:paraId="20D127CA">
      <w:pPr>
        <w:pStyle w:val="11"/>
        <w:pageBreakBefore w:val="0"/>
        <w:overflowPunct/>
        <w:topLinePunct w:val="0"/>
        <w:bidi w:val="0"/>
        <w:spacing w:line="400" w:lineRule="exact"/>
        <w:rPr>
          <w:rFonts w:hint="eastAsia" w:ascii="宋体" w:hAnsi="宋体" w:eastAsia="宋体" w:cs="宋体"/>
          <w:b/>
          <w:bCs/>
          <w:color w:val="auto"/>
          <w:kern w:val="0"/>
          <w:sz w:val="32"/>
          <w:szCs w:val="32"/>
        </w:rPr>
      </w:pPr>
    </w:p>
    <w:p w14:paraId="743DF030">
      <w:pPr>
        <w:pStyle w:val="11"/>
        <w:pageBreakBefore w:val="0"/>
        <w:overflowPunct/>
        <w:topLinePunct w:val="0"/>
        <w:bidi w:val="0"/>
        <w:spacing w:line="400" w:lineRule="exact"/>
        <w:rPr>
          <w:rFonts w:hint="eastAsia" w:ascii="宋体" w:hAnsi="宋体" w:eastAsia="宋体" w:cs="宋体"/>
          <w:b/>
          <w:bCs/>
          <w:color w:val="auto"/>
          <w:kern w:val="0"/>
          <w:sz w:val="32"/>
          <w:szCs w:val="32"/>
        </w:rPr>
      </w:pPr>
    </w:p>
    <w:p w14:paraId="4EAB6D99">
      <w:pPr>
        <w:pStyle w:val="11"/>
        <w:pageBreakBefore w:val="0"/>
        <w:overflowPunct/>
        <w:topLinePunct w:val="0"/>
        <w:bidi w:val="0"/>
        <w:spacing w:line="400" w:lineRule="exact"/>
        <w:rPr>
          <w:rFonts w:hint="eastAsia" w:ascii="宋体" w:hAnsi="宋体" w:eastAsia="宋体" w:cs="宋体"/>
          <w:b/>
          <w:bCs/>
          <w:color w:val="auto"/>
          <w:kern w:val="0"/>
          <w:sz w:val="32"/>
          <w:szCs w:val="32"/>
        </w:rPr>
      </w:pPr>
    </w:p>
    <w:p w14:paraId="6C9DA349">
      <w:pPr>
        <w:pStyle w:val="11"/>
        <w:pageBreakBefore w:val="0"/>
        <w:overflowPunct/>
        <w:topLinePunct w:val="0"/>
        <w:bidi w:val="0"/>
        <w:spacing w:line="400" w:lineRule="exact"/>
        <w:rPr>
          <w:rFonts w:hint="eastAsia" w:ascii="宋体" w:hAnsi="宋体" w:eastAsia="宋体" w:cs="宋体"/>
          <w:b/>
          <w:color w:val="auto"/>
          <w:kern w:val="0"/>
          <w:sz w:val="32"/>
        </w:rPr>
        <w:sectPr>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r>
        <w:rPr>
          <w:rFonts w:hint="eastAsia" w:ascii="宋体" w:hAnsi="宋体" w:eastAsia="宋体" w:cs="宋体"/>
          <w:b/>
          <w:color w:val="auto"/>
          <w:kern w:val="0"/>
          <w:sz w:val="32"/>
        </w:rPr>
        <w:br w:type="page"/>
      </w:r>
    </w:p>
    <w:p w14:paraId="6780CDEC">
      <w:pPr>
        <w:widowControl w:val="0"/>
        <w:tabs>
          <w:tab w:val="left" w:pos="1305"/>
        </w:tabs>
        <w:kinsoku/>
        <w:autoSpaceDE/>
        <w:autoSpaceDN/>
        <w:adjustRightInd/>
        <w:snapToGrid/>
        <w:spacing w:line="400" w:lineRule="exact"/>
        <w:ind w:firstLine="562" w:firstLineChars="200"/>
        <w:jc w:val="both"/>
        <w:textAlignment w:val="auto"/>
        <w:rPr>
          <w:rFonts w:hint="eastAsia" w:ascii="宋体" w:hAnsi="宋体" w:eastAsia="宋体" w:cs="宋体"/>
          <w:b/>
          <w:bCs/>
          <w:snapToGrid/>
          <w:color w:val="auto"/>
          <w:kern w:val="0"/>
          <w:sz w:val="28"/>
          <w:szCs w:val="28"/>
          <w:highlight w:val="none"/>
          <w:lang w:val="en-US" w:eastAsia="zh-CN" w:bidi="ar-SA"/>
        </w:rPr>
      </w:pPr>
      <w:r>
        <w:rPr>
          <w:rFonts w:hint="eastAsia" w:ascii="宋体" w:hAnsi="宋体" w:eastAsia="宋体" w:cs="宋体"/>
          <w:b/>
          <w:snapToGrid/>
          <w:color w:val="auto"/>
          <w:kern w:val="2"/>
          <w:sz w:val="28"/>
          <w:szCs w:val="28"/>
          <w:lang w:val="en-US" w:eastAsia="zh-CN"/>
        </w:rPr>
        <w:t>1.</w:t>
      </w:r>
      <w:r>
        <w:rPr>
          <w:rFonts w:hint="eastAsia" w:ascii="宋体" w:hAnsi="宋体" w:eastAsia="宋体" w:cs="宋体"/>
          <w:b/>
          <w:color w:val="auto"/>
          <w:kern w:val="0"/>
          <w:sz w:val="28"/>
          <w:szCs w:val="28"/>
          <w:highlight w:val="none"/>
          <w:lang w:val="en-US" w:eastAsia="zh-CN" w:bidi="ar-SA"/>
        </w:rPr>
        <w:t>中小企业声明函【如供应商提供的货物由小型、微型企业（中小微型企业划分标准按照《国家统计局关于印发《统计上大中小微型企业划分办法〔2017〕》的通知》（国统字〔2017〕213号）执行）制造的，供应商应如实声明并对出具声明函的真实性负责。成交结果将同时公告该企业《中小企业声明函》，接受社会监督。】</w:t>
      </w:r>
    </w:p>
    <w:p w14:paraId="5932CA59">
      <w:pPr>
        <w:widowControl w:val="0"/>
        <w:shd w:val="clear" w:color="auto" w:fill="FFFFFF"/>
        <w:kinsoku/>
        <w:autoSpaceDE/>
        <w:autoSpaceDN/>
        <w:adjustRightInd/>
        <w:snapToGrid/>
        <w:spacing w:before="317" w:beforeLines="100" w:after="317" w:afterLines="100" w:line="360" w:lineRule="atLeast"/>
        <w:jc w:val="center"/>
        <w:textAlignment w:val="auto"/>
        <w:rPr>
          <w:rFonts w:hint="eastAsia" w:ascii="宋体" w:hAnsi="宋体" w:eastAsia="宋体" w:cs="宋体"/>
          <w:b/>
          <w:snapToGrid/>
          <w:color w:val="auto"/>
          <w:kern w:val="2"/>
          <w:sz w:val="28"/>
          <w:szCs w:val="28"/>
          <w:lang w:eastAsia="zh-CN"/>
        </w:rPr>
      </w:pPr>
      <w:r>
        <w:rPr>
          <w:rFonts w:hint="eastAsia" w:ascii="宋体" w:hAnsi="宋体" w:eastAsia="宋体" w:cs="宋体"/>
          <w:b/>
          <w:snapToGrid/>
          <w:color w:val="auto"/>
          <w:kern w:val="2"/>
          <w:sz w:val="28"/>
          <w:szCs w:val="28"/>
          <w:lang w:eastAsia="zh-CN"/>
        </w:rPr>
        <w:t>中小企业声明函</w:t>
      </w:r>
    </w:p>
    <w:p w14:paraId="0E402F9C">
      <w:pPr>
        <w:widowControl w:val="0"/>
        <w:spacing w:before="0" w:beforeAutospacing="0" w:after="0" w:afterAutospacing="0" w:line="360" w:lineRule="auto"/>
        <w:ind w:left="0" w:right="0" w:firstLine="420" w:firstLineChars="200"/>
        <w:jc w:val="both"/>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本公司</w:t>
      </w:r>
      <w:r>
        <w:rPr>
          <w:rFonts w:hint="eastAsia" w:ascii="宋体" w:hAnsi="宋体" w:eastAsia="宋体" w:cs="宋体"/>
          <w:color w:val="auto"/>
          <w:kern w:val="0"/>
          <w:sz w:val="21"/>
          <w:szCs w:val="21"/>
          <w:u w:val="single"/>
          <w:lang w:val="en-US" w:eastAsia="zh-CN" w:bidi="ar"/>
        </w:rPr>
        <w:t xml:space="preserve">           </w:t>
      </w:r>
      <w:r>
        <w:rPr>
          <w:rFonts w:hint="eastAsia" w:ascii="宋体" w:hAnsi="宋体" w:eastAsia="宋体" w:cs="宋体"/>
          <w:color w:val="auto"/>
          <w:kern w:val="0"/>
          <w:sz w:val="21"/>
          <w:szCs w:val="21"/>
          <w:lang w:val="en-US" w:eastAsia="zh-CN" w:bidi="ar"/>
        </w:rPr>
        <w:t>郑重声明，根据《政府采购促进中小企业发展管理办法》（财库﹝2020﹞46 号）的规定，本公司</w:t>
      </w:r>
      <w:r>
        <w:rPr>
          <w:rFonts w:hint="eastAsia" w:ascii="宋体" w:hAnsi="宋体" w:eastAsia="宋体" w:cs="宋体"/>
          <w:color w:val="auto"/>
          <w:kern w:val="0"/>
          <w:sz w:val="21"/>
          <w:szCs w:val="21"/>
          <w:u w:val="single"/>
          <w:lang w:val="en-US" w:eastAsia="zh-CN" w:bidi="ar"/>
        </w:rPr>
        <w:t xml:space="preserve">           </w:t>
      </w:r>
      <w:r>
        <w:rPr>
          <w:rFonts w:hint="eastAsia" w:ascii="宋体" w:hAnsi="宋体" w:eastAsia="宋体" w:cs="宋体"/>
          <w:color w:val="auto"/>
          <w:kern w:val="0"/>
          <w:sz w:val="21"/>
          <w:szCs w:val="21"/>
          <w:lang w:val="en-US" w:eastAsia="zh-CN" w:bidi="ar"/>
        </w:rPr>
        <w:t>参加</w:t>
      </w:r>
      <w:r>
        <w:rPr>
          <w:rFonts w:hint="eastAsia" w:ascii="宋体" w:hAnsi="宋体" w:eastAsia="宋体" w:cs="宋体"/>
          <w:color w:val="auto"/>
          <w:kern w:val="0"/>
          <w:sz w:val="21"/>
          <w:szCs w:val="21"/>
          <w:u w:val="single"/>
          <w:lang w:val="en-US" w:eastAsia="zh-CN" w:bidi="ar"/>
        </w:rPr>
        <w:t>（</w:t>
      </w:r>
      <w:r>
        <w:rPr>
          <w:rFonts w:hint="eastAsia" w:ascii="宋体" w:hAnsi="宋体" w:eastAsia="宋体" w:cs="宋体"/>
          <w:color w:val="auto"/>
          <w:kern w:val="2"/>
          <w:sz w:val="21"/>
          <w:szCs w:val="24"/>
          <w:u w:val="single"/>
          <w:lang w:val="en-US" w:eastAsia="zh-CN" w:bidi="ar-SA"/>
        </w:rPr>
        <w:t>单位名称</w:t>
      </w:r>
      <w:r>
        <w:rPr>
          <w:rFonts w:hint="eastAsia" w:ascii="宋体" w:hAnsi="宋体" w:eastAsia="宋体" w:cs="宋体"/>
          <w:color w:val="auto"/>
          <w:kern w:val="0"/>
          <w:sz w:val="21"/>
          <w:szCs w:val="21"/>
          <w:u w:val="single"/>
          <w:lang w:val="en-US" w:eastAsia="zh-CN" w:bidi="ar"/>
        </w:rPr>
        <w:t>）</w:t>
      </w:r>
      <w:r>
        <w:rPr>
          <w:rFonts w:hint="eastAsia" w:ascii="宋体" w:hAnsi="宋体" w:eastAsia="宋体" w:cs="宋体"/>
          <w:color w:val="auto"/>
          <w:kern w:val="0"/>
          <w:sz w:val="21"/>
          <w:szCs w:val="21"/>
          <w:lang w:val="en-US" w:eastAsia="zh-CN" w:bidi="ar"/>
        </w:rPr>
        <w:t>的</w:t>
      </w:r>
      <w:r>
        <w:rPr>
          <w:rFonts w:hint="eastAsia" w:ascii="宋体" w:hAnsi="宋体" w:eastAsia="宋体" w:cs="宋体"/>
          <w:color w:val="auto"/>
          <w:kern w:val="0"/>
          <w:sz w:val="21"/>
          <w:szCs w:val="21"/>
          <w:u w:val="single"/>
          <w:lang w:val="en-US" w:eastAsia="zh-CN" w:bidi="ar"/>
        </w:rPr>
        <w:t>（</w:t>
      </w:r>
      <w:r>
        <w:rPr>
          <w:rFonts w:hint="eastAsia" w:ascii="宋体" w:hAnsi="宋体" w:eastAsia="宋体" w:cs="宋体"/>
          <w:color w:val="auto"/>
          <w:kern w:val="2"/>
          <w:sz w:val="21"/>
          <w:szCs w:val="24"/>
          <w:u w:val="single"/>
          <w:lang w:val="en-US" w:eastAsia="zh-CN" w:bidi="ar-SA"/>
        </w:rPr>
        <w:t>项目名称</w:t>
      </w:r>
      <w:r>
        <w:rPr>
          <w:rFonts w:hint="eastAsia" w:ascii="宋体" w:hAnsi="宋体" w:eastAsia="宋体" w:cs="宋体"/>
          <w:color w:val="auto"/>
          <w:kern w:val="0"/>
          <w:sz w:val="21"/>
          <w:szCs w:val="21"/>
          <w:u w:val="single"/>
          <w:lang w:val="en-US" w:eastAsia="zh-CN" w:bidi="ar"/>
        </w:rPr>
        <w:t>）</w:t>
      </w:r>
      <w:r>
        <w:rPr>
          <w:rFonts w:hint="eastAsia" w:ascii="宋体" w:hAnsi="宋体" w:eastAsia="宋体" w:cs="宋体"/>
          <w:color w:val="auto"/>
          <w:kern w:val="0"/>
          <w:sz w:val="21"/>
          <w:szCs w:val="21"/>
          <w:lang w:val="en-US" w:eastAsia="zh-CN" w:bidi="ar"/>
        </w:rPr>
        <w:t>采购活动，提供的货物全部为符合政策要求的中小企业制造。相关企业（含联合体中的中小企业、签订分包意向协议的中小企业）的具体情况如下：</w:t>
      </w:r>
    </w:p>
    <w:p w14:paraId="2DA3245C">
      <w:pPr>
        <w:widowControl w:val="0"/>
        <w:spacing w:before="0" w:beforeAutospacing="0" w:after="0" w:afterAutospacing="0" w:line="360" w:lineRule="auto"/>
        <w:ind w:left="0" w:right="0"/>
        <w:jc w:val="both"/>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　　1.</w:t>
      </w:r>
      <w:r>
        <w:rPr>
          <w:rFonts w:hint="eastAsia" w:ascii="宋体" w:hAnsi="宋体" w:eastAsia="宋体" w:cs="宋体"/>
          <w:color w:val="auto"/>
          <w:kern w:val="0"/>
          <w:sz w:val="21"/>
          <w:szCs w:val="21"/>
          <w:u w:val="single"/>
          <w:lang w:val="en-US" w:eastAsia="zh-CN" w:bidi="ar"/>
        </w:rPr>
        <w:t>（</w:t>
      </w:r>
      <w:r>
        <w:rPr>
          <w:rFonts w:hint="eastAsia" w:ascii="宋体" w:hAnsi="宋体" w:eastAsia="宋体" w:cs="宋体"/>
          <w:color w:val="auto"/>
          <w:kern w:val="2"/>
          <w:sz w:val="21"/>
          <w:szCs w:val="24"/>
          <w:u w:val="single"/>
          <w:lang w:val="en-US" w:eastAsia="zh-CN" w:bidi="ar-SA"/>
        </w:rPr>
        <w:t>标的名称</w:t>
      </w:r>
      <w:r>
        <w:rPr>
          <w:rFonts w:hint="eastAsia" w:ascii="宋体" w:hAnsi="宋体" w:eastAsia="宋体" w:cs="宋体"/>
          <w:color w:val="auto"/>
          <w:kern w:val="0"/>
          <w:sz w:val="21"/>
          <w:szCs w:val="21"/>
          <w:u w:val="single"/>
          <w:lang w:val="en-US" w:eastAsia="zh-CN" w:bidi="ar"/>
        </w:rPr>
        <w:t>）</w:t>
      </w:r>
      <w:r>
        <w:rPr>
          <w:rFonts w:hint="eastAsia" w:ascii="宋体" w:hAnsi="宋体" w:eastAsia="宋体" w:cs="宋体"/>
          <w:color w:val="auto"/>
          <w:kern w:val="0"/>
          <w:sz w:val="21"/>
          <w:szCs w:val="21"/>
          <w:lang w:val="en-US" w:eastAsia="zh-CN" w:bidi="ar"/>
        </w:rPr>
        <w:t>，属于</w:t>
      </w:r>
      <w:r>
        <w:rPr>
          <w:rFonts w:hint="eastAsia" w:ascii="宋体" w:hAnsi="宋体" w:eastAsia="宋体" w:cs="宋体"/>
          <w:color w:val="auto"/>
          <w:kern w:val="0"/>
          <w:sz w:val="21"/>
          <w:szCs w:val="21"/>
          <w:u w:val="single"/>
          <w:lang w:val="en-US" w:eastAsia="zh-CN" w:bidi="ar"/>
        </w:rPr>
        <w:t>（</w:t>
      </w:r>
      <w:r>
        <w:rPr>
          <w:rFonts w:hint="eastAsia" w:ascii="宋体" w:hAnsi="宋体" w:eastAsia="宋体" w:cs="宋体"/>
          <w:color w:val="auto"/>
          <w:kern w:val="2"/>
          <w:sz w:val="21"/>
          <w:szCs w:val="24"/>
          <w:u w:val="single"/>
          <w:lang w:val="en-US" w:eastAsia="zh-CN" w:bidi="ar-SA"/>
        </w:rPr>
        <w:t>采购文件中明确的所属行业</w:t>
      </w:r>
      <w:r>
        <w:rPr>
          <w:rFonts w:hint="eastAsia" w:ascii="宋体" w:hAnsi="宋体" w:eastAsia="宋体" w:cs="宋体"/>
          <w:color w:val="auto"/>
          <w:kern w:val="0"/>
          <w:sz w:val="21"/>
          <w:szCs w:val="21"/>
          <w:u w:val="single"/>
          <w:lang w:val="en-US" w:eastAsia="zh-CN" w:bidi="ar"/>
        </w:rPr>
        <w:t>）</w:t>
      </w:r>
      <w:r>
        <w:rPr>
          <w:rFonts w:hint="eastAsia" w:ascii="宋体" w:hAnsi="宋体" w:eastAsia="宋体" w:cs="宋体"/>
          <w:color w:val="auto"/>
          <w:kern w:val="0"/>
          <w:sz w:val="21"/>
          <w:szCs w:val="21"/>
          <w:lang w:val="en-US" w:eastAsia="zh-CN" w:bidi="ar"/>
        </w:rPr>
        <w:t>；制造商为</w:t>
      </w:r>
      <w:r>
        <w:rPr>
          <w:rFonts w:hint="eastAsia" w:ascii="宋体" w:hAnsi="宋体" w:eastAsia="宋体" w:cs="宋体"/>
          <w:color w:val="auto"/>
          <w:kern w:val="0"/>
          <w:sz w:val="21"/>
          <w:szCs w:val="21"/>
          <w:u w:val="single"/>
          <w:lang w:val="en-US" w:eastAsia="zh-CN" w:bidi="ar"/>
        </w:rPr>
        <w:t>（</w:t>
      </w:r>
      <w:r>
        <w:rPr>
          <w:rFonts w:hint="eastAsia" w:ascii="宋体" w:hAnsi="宋体" w:eastAsia="宋体" w:cs="宋体"/>
          <w:color w:val="auto"/>
          <w:kern w:val="2"/>
          <w:sz w:val="21"/>
          <w:szCs w:val="24"/>
          <w:u w:val="single"/>
          <w:lang w:val="en-US" w:eastAsia="zh-CN" w:bidi="ar-SA"/>
        </w:rPr>
        <w:t>企业名称</w:t>
      </w:r>
      <w:r>
        <w:rPr>
          <w:rFonts w:hint="eastAsia" w:ascii="宋体" w:hAnsi="宋体" w:eastAsia="宋体" w:cs="宋体"/>
          <w:color w:val="auto"/>
          <w:kern w:val="0"/>
          <w:sz w:val="21"/>
          <w:szCs w:val="21"/>
          <w:u w:val="single"/>
          <w:lang w:val="en-US" w:eastAsia="zh-CN" w:bidi="ar"/>
        </w:rPr>
        <w:t>）</w:t>
      </w:r>
      <w:r>
        <w:rPr>
          <w:rFonts w:hint="eastAsia" w:ascii="宋体" w:hAnsi="宋体" w:eastAsia="宋体" w:cs="宋体"/>
          <w:color w:val="auto"/>
          <w:kern w:val="0"/>
          <w:sz w:val="21"/>
          <w:szCs w:val="21"/>
          <w:lang w:val="en-US" w:eastAsia="zh-CN" w:bidi="ar"/>
        </w:rPr>
        <w:t>，从业人员</w:t>
      </w:r>
      <w:r>
        <w:rPr>
          <w:rFonts w:hint="eastAsia" w:ascii="宋体" w:hAnsi="宋体" w:eastAsia="宋体" w:cs="宋体"/>
          <w:color w:val="auto"/>
          <w:kern w:val="0"/>
          <w:sz w:val="21"/>
          <w:szCs w:val="21"/>
          <w:u w:val="single"/>
          <w:lang w:val="en-US" w:eastAsia="zh-CN" w:bidi="ar"/>
        </w:rPr>
        <w:t>        </w:t>
      </w:r>
      <w:r>
        <w:rPr>
          <w:rFonts w:hint="eastAsia" w:ascii="宋体" w:hAnsi="宋体" w:eastAsia="宋体" w:cs="宋体"/>
          <w:color w:val="auto"/>
          <w:kern w:val="0"/>
          <w:sz w:val="21"/>
          <w:szCs w:val="21"/>
          <w:lang w:val="en-US" w:eastAsia="zh-CN" w:bidi="ar"/>
        </w:rPr>
        <w:t>人，营业收入为</w:t>
      </w:r>
      <w:r>
        <w:rPr>
          <w:rFonts w:hint="eastAsia" w:ascii="宋体" w:hAnsi="宋体" w:eastAsia="宋体" w:cs="宋体"/>
          <w:color w:val="auto"/>
          <w:kern w:val="0"/>
          <w:sz w:val="21"/>
          <w:szCs w:val="21"/>
          <w:u w:val="single"/>
          <w:lang w:val="en-US" w:eastAsia="zh-CN" w:bidi="ar"/>
        </w:rPr>
        <w:t>       </w:t>
      </w:r>
      <w:r>
        <w:rPr>
          <w:rFonts w:hint="eastAsia" w:ascii="宋体" w:hAnsi="宋体" w:eastAsia="宋体" w:cs="宋体"/>
          <w:color w:val="auto"/>
          <w:kern w:val="0"/>
          <w:sz w:val="21"/>
          <w:szCs w:val="21"/>
          <w:lang w:val="en-US" w:eastAsia="zh-CN" w:bidi="ar"/>
        </w:rPr>
        <w:t>万元，资产总额为</w:t>
      </w:r>
      <w:r>
        <w:rPr>
          <w:rFonts w:hint="eastAsia" w:ascii="宋体" w:hAnsi="宋体" w:eastAsia="宋体" w:cs="宋体"/>
          <w:color w:val="auto"/>
          <w:kern w:val="0"/>
          <w:sz w:val="21"/>
          <w:szCs w:val="21"/>
          <w:u w:val="single"/>
          <w:lang w:val="en-US" w:eastAsia="zh-CN" w:bidi="ar"/>
        </w:rPr>
        <w:t>        </w:t>
      </w:r>
      <w:r>
        <w:rPr>
          <w:rFonts w:hint="eastAsia" w:ascii="宋体" w:hAnsi="宋体" w:eastAsia="宋体" w:cs="宋体"/>
          <w:color w:val="auto"/>
          <w:kern w:val="0"/>
          <w:sz w:val="21"/>
          <w:szCs w:val="21"/>
          <w:lang w:val="en-US" w:eastAsia="zh-CN" w:bidi="ar"/>
        </w:rPr>
        <w:t>万元，属于</w:t>
      </w:r>
      <w:r>
        <w:rPr>
          <w:rFonts w:hint="eastAsia" w:ascii="宋体" w:hAnsi="宋体" w:eastAsia="宋体" w:cs="宋体"/>
          <w:color w:val="auto"/>
          <w:kern w:val="0"/>
          <w:sz w:val="21"/>
          <w:szCs w:val="21"/>
          <w:u w:val="single"/>
          <w:lang w:val="en-US" w:eastAsia="zh-CN" w:bidi="ar"/>
        </w:rPr>
        <w:t>（</w:t>
      </w:r>
      <w:r>
        <w:rPr>
          <w:rFonts w:hint="eastAsia" w:ascii="宋体" w:hAnsi="宋体" w:eastAsia="宋体" w:cs="宋体"/>
          <w:color w:val="auto"/>
          <w:kern w:val="2"/>
          <w:sz w:val="21"/>
          <w:szCs w:val="24"/>
          <w:u w:val="single"/>
          <w:lang w:val="en-US" w:eastAsia="zh-CN" w:bidi="ar-SA"/>
        </w:rPr>
        <w:t>中型企业、小型企业、微型企业</w:t>
      </w:r>
      <w:r>
        <w:rPr>
          <w:rFonts w:hint="eastAsia" w:ascii="宋体" w:hAnsi="宋体" w:eastAsia="宋体" w:cs="宋体"/>
          <w:color w:val="auto"/>
          <w:kern w:val="0"/>
          <w:sz w:val="21"/>
          <w:szCs w:val="21"/>
          <w:u w:val="single"/>
          <w:lang w:val="en-US" w:eastAsia="zh-CN" w:bidi="ar"/>
        </w:rPr>
        <w:t>）</w:t>
      </w:r>
      <w:r>
        <w:rPr>
          <w:rFonts w:hint="eastAsia" w:ascii="宋体" w:hAnsi="宋体" w:eastAsia="宋体" w:cs="宋体"/>
          <w:color w:val="auto"/>
          <w:kern w:val="0"/>
          <w:sz w:val="21"/>
          <w:szCs w:val="21"/>
          <w:lang w:val="en-US" w:eastAsia="zh-CN" w:bidi="ar"/>
        </w:rPr>
        <w:t>；</w:t>
      </w:r>
    </w:p>
    <w:p w14:paraId="1493E10C">
      <w:pPr>
        <w:widowControl w:val="0"/>
        <w:spacing w:before="0" w:beforeAutospacing="0" w:after="0" w:afterAutospacing="0" w:line="360" w:lineRule="auto"/>
        <w:ind w:left="0" w:right="0"/>
        <w:jc w:val="both"/>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　　2.</w:t>
      </w:r>
      <w:r>
        <w:rPr>
          <w:rFonts w:hint="eastAsia" w:ascii="宋体" w:hAnsi="宋体" w:eastAsia="宋体" w:cs="宋体"/>
          <w:color w:val="auto"/>
          <w:kern w:val="0"/>
          <w:sz w:val="21"/>
          <w:szCs w:val="21"/>
          <w:u w:val="single"/>
          <w:lang w:val="en-US" w:eastAsia="zh-CN" w:bidi="ar"/>
        </w:rPr>
        <w:t>（</w:t>
      </w:r>
      <w:r>
        <w:rPr>
          <w:rFonts w:hint="eastAsia" w:ascii="宋体" w:hAnsi="宋体" w:eastAsia="宋体" w:cs="宋体"/>
          <w:color w:val="auto"/>
          <w:kern w:val="2"/>
          <w:sz w:val="21"/>
          <w:szCs w:val="24"/>
          <w:u w:val="single"/>
          <w:lang w:val="en-US" w:eastAsia="zh-CN" w:bidi="ar-SA"/>
        </w:rPr>
        <w:t>标的名称</w:t>
      </w:r>
      <w:r>
        <w:rPr>
          <w:rFonts w:hint="eastAsia" w:ascii="宋体" w:hAnsi="宋体" w:eastAsia="宋体" w:cs="宋体"/>
          <w:color w:val="auto"/>
          <w:kern w:val="0"/>
          <w:sz w:val="21"/>
          <w:szCs w:val="21"/>
          <w:u w:val="single"/>
          <w:lang w:val="en-US" w:eastAsia="zh-CN" w:bidi="ar"/>
        </w:rPr>
        <w:t>）</w:t>
      </w:r>
      <w:r>
        <w:rPr>
          <w:rFonts w:hint="eastAsia" w:ascii="宋体" w:hAnsi="宋体" w:eastAsia="宋体" w:cs="宋体"/>
          <w:color w:val="auto"/>
          <w:kern w:val="0"/>
          <w:sz w:val="21"/>
          <w:szCs w:val="21"/>
          <w:lang w:val="en-US" w:eastAsia="zh-CN" w:bidi="ar"/>
        </w:rPr>
        <w:t>，属于</w:t>
      </w:r>
      <w:r>
        <w:rPr>
          <w:rFonts w:hint="eastAsia" w:ascii="宋体" w:hAnsi="宋体" w:eastAsia="宋体" w:cs="宋体"/>
          <w:color w:val="auto"/>
          <w:kern w:val="0"/>
          <w:sz w:val="21"/>
          <w:szCs w:val="21"/>
          <w:u w:val="single"/>
          <w:lang w:val="en-US" w:eastAsia="zh-CN" w:bidi="ar"/>
        </w:rPr>
        <w:t>（</w:t>
      </w:r>
      <w:r>
        <w:rPr>
          <w:rFonts w:hint="eastAsia" w:ascii="宋体" w:hAnsi="宋体" w:eastAsia="宋体" w:cs="宋体"/>
          <w:color w:val="auto"/>
          <w:kern w:val="2"/>
          <w:sz w:val="21"/>
          <w:szCs w:val="24"/>
          <w:u w:val="single"/>
          <w:lang w:val="en-US" w:eastAsia="zh-CN" w:bidi="ar-SA"/>
        </w:rPr>
        <w:t>采购文件中明确的所属行业</w:t>
      </w:r>
      <w:r>
        <w:rPr>
          <w:rFonts w:hint="eastAsia" w:ascii="宋体" w:hAnsi="宋体" w:eastAsia="宋体" w:cs="宋体"/>
          <w:color w:val="auto"/>
          <w:kern w:val="0"/>
          <w:sz w:val="21"/>
          <w:szCs w:val="21"/>
          <w:u w:val="single"/>
          <w:lang w:val="en-US" w:eastAsia="zh-CN" w:bidi="ar"/>
        </w:rPr>
        <w:t>）</w:t>
      </w:r>
      <w:r>
        <w:rPr>
          <w:rFonts w:hint="eastAsia" w:ascii="宋体" w:hAnsi="宋体" w:eastAsia="宋体" w:cs="宋体"/>
          <w:color w:val="auto"/>
          <w:kern w:val="0"/>
          <w:sz w:val="21"/>
          <w:szCs w:val="21"/>
          <w:lang w:val="en-US" w:eastAsia="zh-CN" w:bidi="ar"/>
        </w:rPr>
        <w:t>；制造商为</w:t>
      </w:r>
      <w:r>
        <w:rPr>
          <w:rFonts w:hint="eastAsia" w:ascii="宋体" w:hAnsi="宋体" w:eastAsia="宋体" w:cs="宋体"/>
          <w:color w:val="auto"/>
          <w:kern w:val="0"/>
          <w:sz w:val="21"/>
          <w:szCs w:val="21"/>
          <w:u w:val="single"/>
          <w:lang w:val="en-US" w:eastAsia="zh-CN" w:bidi="ar"/>
        </w:rPr>
        <w:t>（</w:t>
      </w:r>
      <w:r>
        <w:rPr>
          <w:rFonts w:hint="eastAsia" w:ascii="宋体" w:hAnsi="宋体" w:eastAsia="宋体" w:cs="宋体"/>
          <w:color w:val="auto"/>
          <w:kern w:val="2"/>
          <w:sz w:val="21"/>
          <w:szCs w:val="24"/>
          <w:u w:val="single"/>
          <w:lang w:val="en-US" w:eastAsia="zh-CN" w:bidi="ar-SA"/>
        </w:rPr>
        <w:t>企业名称</w:t>
      </w:r>
      <w:r>
        <w:rPr>
          <w:rFonts w:hint="eastAsia" w:ascii="宋体" w:hAnsi="宋体" w:eastAsia="宋体" w:cs="宋体"/>
          <w:color w:val="auto"/>
          <w:kern w:val="0"/>
          <w:sz w:val="21"/>
          <w:szCs w:val="21"/>
          <w:u w:val="single"/>
          <w:lang w:val="en-US" w:eastAsia="zh-CN" w:bidi="ar"/>
        </w:rPr>
        <w:t>）</w:t>
      </w:r>
      <w:r>
        <w:rPr>
          <w:rFonts w:hint="eastAsia" w:ascii="宋体" w:hAnsi="宋体" w:eastAsia="宋体" w:cs="宋体"/>
          <w:color w:val="auto"/>
          <w:kern w:val="0"/>
          <w:sz w:val="21"/>
          <w:szCs w:val="21"/>
          <w:lang w:val="en-US" w:eastAsia="zh-CN" w:bidi="ar"/>
        </w:rPr>
        <w:t>，从业人员</w:t>
      </w:r>
      <w:r>
        <w:rPr>
          <w:rFonts w:hint="eastAsia" w:ascii="宋体" w:hAnsi="宋体" w:eastAsia="宋体" w:cs="宋体"/>
          <w:color w:val="auto"/>
          <w:kern w:val="0"/>
          <w:sz w:val="21"/>
          <w:szCs w:val="21"/>
          <w:u w:val="single"/>
          <w:lang w:val="en-US" w:eastAsia="zh-CN" w:bidi="ar"/>
        </w:rPr>
        <w:t>        </w:t>
      </w:r>
      <w:r>
        <w:rPr>
          <w:rFonts w:hint="eastAsia" w:ascii="宋体" w:hAnsi="宋体" w:eastAsia="宋体" w:cs="宋体"/>
          <w:color w:val="auto"/>
          <w:kern w:val="0"/>
          <w:sz w:val="21"/>
          <w:szCs w:val="21"/>
          <w:lang w:val="en-US" w:eastAsia="zh-CN" w:bidi="ar"/>
        </w:rPr>
        <w:t>人，营业收入为</w:t>
      </w:r>
      <w:r>
        <w:rPr>
          <w:rFonts w:hint="eastAsia" w:ascii="宋体" w:hAnsi="宋体" w:eastAsia="宋体" w:cs="宋体"/>
          <w:color w:val="auto"/>
          <w:kern w:val="0"/>
          <w:sz w:val="21"/>
          <w:szCs w:val="21"/>
          <w:u w:val="single"/>
          <w:lang w:val="en-US" w:eastAsia="zh-CN" w:bidi="ar"/>
        </w:rPr>
        <w:t>       </w:t>
      </w:r>
      <w:r>
        <w:rPr>
          <w:rFonts w:hint="eastAsia" w:ascii="宋体" w:hAnsi="宋体" w:eastAsia="宋体" w:cs="宋体"/>
          <w:color w:val="auto"/>
          <w:kern w:val="0"/>
          <w:sz w:val="21"/>
          <w:szCs w:val="21"/>
          <w:lang w:val="en-US" w:eastAsia="zh-CN" w:bidi="ar"/>
        </w:rPr>
        <w:t>万元，资产总额为</w:t>
      </w:r>
      <w:r>
        <w:rPr>
          <w:rFonts w:hint="eastAsia" w:ascii="宋体" w:hAnsi="宋体" w:eastAsia="宋体" w:cs="宋体"/>
          <w:color w:val="auto"/>
          <w:kern w:val="0"/>
          <w:sz w:val="21"/>
          <w:szCs w:val="21"/>
          <w:u w:val="single"/>
          <w:lang w:val="en-US" w:eastAsia="zh-CN" w:bidi="ar"/>
        </w:rPr>
        <w:t>        </w:t>
      </w:r>
      <w:r>
        <w:rPr>
          <w:rFonts w:hint="eastAsia" w:ascii="宋体" w:hAnsi="宋体" w:eastAsia="宋体" w:cs="宋体"/>
          <w:color w:val="auto"/>
          <w:kern w:val="0"/>
          <w:sz w:val="21"/>
          <w:szCs w:val="21"/>
          <w:lang w:val="en-US" w:eastAsia="zh-CN" w:bidi="ar"/>
        </w:rPr>
        <w:t>万元，属于</w:t>
      </w:r>
      <w:r>
        <w:rPr>
          <w:rFonts w:hint="eastAsia" w:ascii="宋体" w:hAnsi="宋体" w:eastAsia="宋体" w:cs="宋体"/>
          <w:color w:val="auto"/>
          <w:kern w:val="0"/>
          <w:sz w:val="21"/>
          <w:szCs w:val="21"/>
          <w:u w:val="single"/>
          <w:lang w:val="en-US" w:eastAsia="zh-CN" w:bidi="ar"/>
        </w:rPr>
        <w:t>（</w:t>
      </w:r>
      <w:r>
        <w:rPr>
          <w:rFonts w:hint="eastAsia" w:ascii="宋体" w:hAnsi="宋体" w:eastAsia="宋体" w:cs="宋体"/>
          <w:color w:val="auto"/>
          <w:kern w:val="2"/>
          <w:sz w:val="21"/>
          <w:szCs w:val="24"/>
          <w:u w:val="single"/>
          <w:lang w:val="en-US" w:eastAsia="zh-CN" w:bidi="ar-SA"/>
        </w:rPr>
        <w:t>中型企业、小型企业、微型企业</w:t>
      </w:r>
      <w:r>
        <w:rPr>
          <w:rFonts w:hint="eastAsia" w:ascii="宋体" w:hAnsi="宋体" w:eastAsia="宋体" w:cs="宋体"/>
          <w:color w:val="auto"/>
          <w:kern w:val="0"/>
          <w:sz w:val="21"/>
          <w:szCs w:val="21"/>
          <w:u w:val="single"/>
          <w:lang w:val="en-US" w:eastAsia="zh-CN" w:bidi="ar"/>
        </w:rPr>
        <w:t>）</w:t>
      </w:r>
      <w:r>
        <w:rPr>
          <w:rFonts w:hint="eastAsia" w:ascii="宋体" w:hAnsi="宋体" w:eastAsia="宋体" w:cs="宋体"/>
          <w:color w:val="auto"/>
          <w:kern w:val="0"/>
          <w:sz w:val="21"/>
          <w:szCs w:val="21"/>
          <w:lang w:val="en-US" w:eastAsia="zh-CN" w:bidi="ar"/>
        </w:rPr>
        <w:t>；</w:t>
      </w:r>
    </w:p>
    <w:p w14:paraId="6242955C">
      <w:pPr>
        <w:widowControl w:val="0"/>
        <w:spacing w:before="0" w:beforeAutospacing="0" w:after="0" w:afterAutospacing="0" w:line="360" w:lineRule="auto"/>
        <w:ind w:left="0" w:right="0"/>
        <w:jc w:val="both"/>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w:t>
      </w:r>
    </w:p>
    <w:p w14:paraId="40DC58C7">
      <w:pPr>
        <w:widowControl w:val="0"/>
        <w:spacing w:before="0" w:beforeAutospacing="0" w:after="0" w:afterAutospacing="0" w:line="360" w:lineRule="auto"/>
        <w:ind w:left="0" w:right="0" w:firstLine="420" w:firstLineChars="200"/>
        <w:jc w:val="both"/>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以上企业，不属于大企业的分支机构，不存在控股股东为大企业的情形，也不存在与大企业的负责人为同一人的情形。</w:t>
      </w:r>
    </w:p>
    <w:p w14:paraId="756BA3E9">
      <w:pPr>
        <w:widowControl w:val="0"/>
        <w:spacing w:before="0" w:beforeAutospacing="0" w:after="0" w:afterAutospacing="0" w:line="360" w:lineRule="auto"/>
        <w:ind w:left="0" w:right="0"/>
        <w:jc w:val="both"/>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1"/>
          <w:szCs w:val="21"/>
          <w:lang w:val="en-US" w:eastAsia="zh-CN" w:bidi="ar"/>
        </w:rPr>
        <w:t xml:space="preserve">　　本企业对上述声明内容的真实性负责。如有虚假，将依法承担相应责任。 </w:t>
      </w:r>
      <w:r>
        <w:rPr>
          <w:rFonts w:hint="eastAsia" w:ascii="宋体" w:hAnsi="宋体" w:eastAsia="宋体" w:cs="宋体"/>
          <w:color w:val="auto"/>
          <w:kern w:val="0"/>
          <w:sz w:val="24"/>
          <w:szCs w:val="24"/>
          <w:lang w:val="en-US" w:eastAsia="zh-CN" w:bidi="ar"/>
        </w:rPr>
        <w:t xml:space="preserve">        </w:t>
      </w:r>
    </w:p>
    <w:p w14:paraId="0C3D456B">
      <w:pPr>
        <w:widowControl w:val="0"/>
        <w:spacing w:before="0" w:beforeAutospacing="0" w:after="0" w:afterAutospacing="0" w:line="420" w:lineRule="atLeast"/>
        <w:ind w:left="0" w:right="0"/>
        <w:jc w:val="center"/>
        <w:rPr>
          <w:rFonts w:hint="eastAsia" w:ascii="宋体" w:hAnsi="宋体" w:eastAsia="宋体" w:cs="宋体"/>
          <w:color w:val="auto"/>
          <w:kern w:val="0"/>
          <w:sz w:val="24"/>
          <w:szCs w:val="24"/>
          <w:lang w:val="en-US" w:eastAsia="zh-CN" w:bidi="ar"/>
        </w:rPr>
      </w:pPr>
    </w:p>
    <w:p w14:paraId="76FB83A8">
      <w:pPr>
        <w:widowControl w:val="0"/>
        <w:spacing w:before="0" w:beforeAutospacing="0" w:after="0" w:afterAutospacing="0" w:line="360" w:lineRule="auto"/>
        <w:ind w:left="0" w:right="0"/>
        <w:jc w:val="center"/>
        <w:rPr>
          <w:rFonts w:hint="eastAsia" w:ascii="宋体" w:hAnsi="宋体" w:eastAsia="宋体" w:cs="宋体"/>
          <w:b/>
          <w:color w:val="auto"/>
          <w:kern w:val="0"/>
          <w:sz w:val="21"/>
          <w:szCs w:val="21"/>
          <w:lang w:val="en-US" w:eastAsia="zh-CN" w:bidi="ar"/>
        </w:rPr>
      </w:pPr>
      <w:r>
        <w:rPr>
          <w:rFonts w:hint="eastAsia" w:ascii="宋体" w:hAnsi="宋体" w:eastAsia="宋体" w:cs="宋体"/>
          <w:b/>
          <w:color w:val="auto"/>
          <w:kern w:val="0"/>
          <w:sz w:val="21"/>
          <w:szCs w:val="21"/>
          <w:lang w:val="en-US" w:eastAsia="zh-CN" w:bidi="ar"/>
        </w:rPr>
        <w:t>企业名称公章（电子签章）：</w:t>
      </w:r>
      <w:r>
        <w:rPr>
          <w:rFonts w:hint="eastAsia" w:ascii="宋体" w:hAnsi="宋体" w:eastAsia="宋体" w:cs="宋体"/>
          <w:b/>
          <w:color w:val="auto"/>
          <w:kern w:val="0"/>
          <w:sz w:val="21"/>
          <w:szCs w:val="21"/>
          <w:u w:val="single"/>
          <w:lang w:val="en-US" w:eastAsia="zh-CN" w:bidi="ar"/>
        </w:rPr>
        <w:t xml:space="preserve">              </w:t>
      </w:r>
      <w:r>
        <w:rPr>
          <w:rFonts w:hint="eastAsia" w:ascii="宋体" w:hAnsi="宋体" w:eastAsia="宋体" w:cs="宋体"/>
          <w:b/>
          <w:color w:val="auto"/>
          <w:kern w:val="0"/>
          <w:sz w:val="21"/>
          <w:szCs w:val="21"/>
          <w:lang w:val="en-US" w:eastAsia="zh-CN" w:bidi="ar"/>
        </w:rPr>
        <w:t xml:space="preserve">   </w:t>
      </w:r>
    </w:p>
    <w:p w14:paraId="5C8D7CEA">
      <w:pPr>
        <w:widowControl w:val="0"/>
        <w:autoSpaceDE w:val="0"/>
        <w:autoSpaceDN w:val="0"/>
        <w:adjustRightInd w:val="0"/>
        <w:spacing w:line="360" w:lineRule="auto"/>
        <w:ind w:firstLine="4427" w:firstLineChars="2100"/>
        <w:jc w:val="both"/>
        <w:rPr>
          <w:rFonts w:hint="eastAsia" w:ascii="宋体" w:hAnsi="宋体" w:eastAsia="宋体" w:cs="宋体"/>
          <w:b/>
          <w:color w:val="auto"/>
          <w:sz w:val="21"/>
          <w:szCs w:val="21"/>
          <w:lang w:val="en-US" w:eastAsia="zh-CN" w:bidi="ar-SA"/>
        </w:rPr>
      </w:pPr>
      <w:r>
        <w:rPr>
          <w:rFonts w:hint="eastAsia" w:ascii="宋体" w:hAnsi="宋体" w:eastAsia="宋体" w:cs="宋体"/>
          <w:b/>
          <w:bCs/>
          <w:color w:val="auto"/>
          <w:sz w:val="21"/>
          <w:szCs w:val="21"/>
          <w:lang w:val="en-US" w:eastAsia="zh-CN" w:bidi="ar-SA"/>
        </w:rPr>
        <w:t>日期：</w:t>
      </w:r>
      <w:r>
        <w:rPr>
          <w:rFonts w:hint="eastAsia" w:ascii="宋体" w:hAnsi="宋体" w:eastAsia="宋体" w:cs="宋体"/>
          <w:b/>
          <w:bCs/>
          <w:color w:val="auto"/>
          <w:sz w:val="21"/>
          <w:szCs w:val="21"/>
          <w:u w:val="single"/>
          <w:lang w:val="en-US" w:eastAsia="zh-CN" w:bidi="ar-SA"/>
        </w:rPr>
        <w:t xml:space="preserve">                   </w:t>
      </w:r>
      <w:r>
        <w:rPr>
          <w:rFonts w:hint="eastAsia" w:ascii="宋体" w:hAnsi="宋体" w:eastAsia="宋体" w:cs="宋体"/>
          <w:b/>
          <w:color w:val="auto"/>
          <w:sz w:val="21"/>
          <w:szCs w:val="21"/>
          <w:lang w:val="en-US" w:eastAsia="zh-CN" w:bidi="ar-SA"/>
        </w:rPr>
        <w:t> </w:t>
      </w:r>
    </w:p>
    <w:p w14:paraId="196169CE">
      <w:pPr>
        <w:widowControl w:val="0"/>
        <w:kinsoku/>
        <w:autoSpaceDE/>
        <w:autoSpaceDN/>
        <w:adjustRightInd/>
        <w:snapToGrid/>
        <w:jc w:val="both"/>
        <w:textAlignment w:val="auto"/>
        <w:rPr>
          <w:rFonts w:hint="eastAsia" w:ascii="宋体" w:hAnsi="宋体" w:eastAsia="宋体" w:cs="宋体"/>
          <w:snapToGrid/>
          <w:color w:val="auto"/>
          <w:kern w:val="2"/>
          <w:sz w:val="18"/>
          <w:szCs w:val="18"/>
          <w:lang w:eastAsia="zh-CN" w:bidi="ar"/>
        </w:rPr>
      </w:pPr>
    </w:p>
    <w:p w14:paraId="6DC8F7C7">
      <w:pPr>
        <w:widowControl w:val="0"/>
        <w:kinsoku/>
        <w:autoSpaceDE/>
        <w:autoSpaceDN/>
        <w:adjustRightInd/>
        <w:snapToGrid/>
        <w:ind w:firstLine="420" w:firstLineChars="200"/>
        <w:jc w:val="both"/>
        <w:textAlignment w:val="auto"/>
        <w:rPr>
          <w:rFonts w:hint="eastAsia" w:ascii="宋体" w:hAnsi="宋体" w:eastAsia="宋体" w:cs="宋体"/>
          <w:snapToGrid/>
          <w:color w:val="auto"/>
          <w:kern w:val="2"/>
          <w:szCs w:val="24"/>
          <w:lang w:eastAsia="zh-CN" w:bidi="ar"/>
        </w:rPr>
      </w:pPr>
    </w:p>
    <w:p w14:paraId="7A4B20CA">
      <w:pPr>
        <w:widowControl w:val="0"/>
        <w:kinsoku/>
        <w:autoSpaceDE/>
        <w:autoSpaceDN/>
        <w:adjustRightInd/>
        <w:snapToGrid/>
        <w:ind w:firstLine="420" w:firstLineChars="200"/>
        <w:jc w:val="both"/>
        <w:textAlignment w:val="auto"/>
        <w:rPr>
          <w:rFonts w:hint="eastAsia" w:ascii="宋体" w:hAnsi="宋体" w:eastAsia="宋体" w:cs="宋体"/>
          <w:snapToGrid/>
          <w:color w:val="auto"/>
          <w:kern w:val="2"/>
          <w:szCs w:val="24"/>
          <w:lang w:eastAsia="zh-CN"/>
        </w:rPr>
      </w:pPr>
      <w:r>
        <w:rPr>
          <w:rFonts w:hint="eastAsia" w:ascii="宋体" w:hAnsi="宋体" w:eastAsia="宋体" w:cs="宋体"/>
          <w:snapToGrid/>
          <w:color w:val="auto"/>
          <w:kern w:val="2"/>
          <w:szCs w:val="24"/>
          <w:lang w:eastAsia="zh-CN" w:bidi="ar"/>
        </w:rPr>
        <w:t>从业人员、营业收入、资产总额填报上一年度数据，无上一年度数据的新成立企业可不填报。</w:t>
      </w:r>
    </w:p>
    <w:p w14:paraId="19B42589">
      <w:pPr>
        <w:widowControl w:val="0"/>
        <w:tabs>
          <w:tab w:val="left" w:pos="1305"/>
        </w:tabs>
        <w:kinsoku/>
        <w:autoSpaceDE/>
        <w:autoSpaceDN/>
        <w:adjustRightInd/>
        <w:snapToGrid/>
        <w:ind w:firstLine="413" w:firstLineChars="196"/>
        <w:jc w:val="both"/>
        <w:textAlignment w:val="auto"/>
        <w:rPr>
          <w:rFonts w:hint="eastAsia" w:ascii="宋体" w:hAnsi="宋体" w:eastAsia="宋体" w:cs="宋体"/>
          <w:b/>
          <w:snapToGrid/>
          <w:color w:val="auto"/>
          <w:kern w:val="2"/>
          <w:szCs w:val="24"/>
          <w:lang w:eastAsia="zh-CN"/>
        </w:rPr>
      </w:pPr>
    </w:p>
    <w:p w14:paraId="56E19BB9">
      <w:pPr>
        <w:widowControl w:val="0"/>
        <w:tabs>
          <w:tab w:val="left" w:pos="1305"/>
        </w:tabs>
        <w:kinsoku/>
        <w:autoSpaceDE/>
        <w:autoSpaceDN/>
        <w:adjustRightInd/>
        <w:snapToGrid/>
        <w:ind w:firstLine="835" w:firstLineChars="396"/>
        <w:jc w:val="both"/>
        <w:textAlignment w:val="auto"/>
        <w:rPr>
          <w:rFonts w:hint="eastAsia" w:ascii="宋体" w:hAnsi="宋体" w:eastAsia="宋体" w:cs="宋体"/>
          <w:b/>
          <w:snapToGrid/>
          <w:color w:val="auto"/>
          <w:kern w:val="2"/>
          <w:szCs w:val="24"/>
          <w:lang w:val="en-US" w:eastAsia="zh-CN"/>
        </w:rPr>
      </w:pPr>
      <w:r>
        <w:rPr>
          <w:rFonts w:hint="eastAsia" w:ascii="宋体" w:hAnsi="宋体" w:eastAsia="宋体" w:cs="宋体"/>
          <w:b/>
          <w:snapToGrid/>
          <w:color w:val="auto"/>
          <w:kern w:val="2"/>
          <w:szCs w:val="24"/>
          <w:lang w:eastAsia="zh-CN"/>
        </w:rPr>
        <w:t>注：</w:t>
      </w:r>
      <w:r>
        <w:rPr>
          <w:rFonts w:hint="eastAsia" w:ascii="宋体" w:hAnsi="宋体" w:eastAsia="宋体" w:cs="宋体"/>
          <w:b/>
          <w:snapToGrid/>
          <w:color w:val="auto"/>
          <w:kern w:val="2"/>
          <w:szCs w:val="24"/>
          <w:lang w:val="en-US" w:eastAsia="zh-CN"/>
        </w:rPr>
        <w:t>注：1.从业人员、营业收入、资产总额填报上一年度数据，无上一年度数据的新成立企业可不填报。</w:t>
      </w:r>
    </w:p>
    <w:p w14:paraId="750570BC">
      <w:pPr>
        <w:widowControl w:val="0"/>
        <w:tabs>
          <w:tab w:val="left" w:pos="1305"/>
        </w:tabs>
        <w:kinsoku/>
        <w:autoSpaceDE/>
        <w:autoSpaceDN/>
        <w:adjustRightInd/>
        <w:snapToGrid/>
        <w:ind w:firstLine="835" w:firstLineChars="396"/>
        <w:jc w:val="both"/>
        <w:textAlignment w:val="auto"/>
        <w:rPr>
          <w:rFonts w:hint="eastAsia" w:ascii="宋体" w:hAnsi="宋体" w:eastAsia="宋体" w:cs="宋体"/>
          <w:b/>
          <w:bCs/>
          <w:snapToGrid/>
          <w:color w:val="auto"/>
          <w:kern w:val="2"/>
          <w:sz w:val="32"/>
          <w:szCs w:val="24"/>
          <w:lang w:val="en-US" w:eastAsia="zh-CN"/>
        </w:rPr>
      </w:pPr>
      <w:r>
        <w:rPr>
          <w:rFonts w:hint="eastAsia" w:ascii="宋体" w:hAnsi="宋体" w:eastAsia="宋体" w:cs="宋体"/>
          <w:b/>
          <w:snapToGrid/>
          <w:color w:val="auto"/>
          <w:kern w:val="2"/>
          <w:szCs w:val="24"/>
          <w:lang w:val="en-US" w:eastAsia="zh-CN"/>
        </w:rPr>
        <w:t>2.中小企业在政府采购活动过程中，请根据自己的真实情况出具本声明函。依法享受中小企业优惠政策的，采购人或采购代理机构在公告成交结果时，同时公告其《中小企业声明函》，接受社会监督。</w:t>
      </w:r>
    </w:p>
    <w:p w14:paraId="58F68020">
      <w:pPr>
        <w:widowControl w:val="0"/>
        <w:tabs>
          <w:tab w:val="left" w:pos="1305"/>
        </w:tabs>
        <w:kinsoku/>
        <w:autoSpaceDE/>
        <w:autoSpaceDN/>
        <w:adjustRightInd/>
        <w:snapToGrid/>
        <w:spacing w:line="360" w:lineRule="auto"/>
        <w:ind w:firstLine="562" w:firstLineChars="200"/>
        <w:jc w:val="both"/>
        <w:textAlignment w:val="auto"/>
        <w:rPr>
          <w:rFonts w:hint="eastAsia" w:ascii="宋体" w:hAnsi="宋体" w:eastAsia="宋体" w:cs="宋体"/>
          <w:b/>
          <w:bCs/>
          <w:snapToGrid/>
          <w:color w:val="auto"/>
          <w:kern w:val="2"/>
          <w:sz w:val="28"/>
          <w:szCs w:val="28"/>
          <w:lang w:eastAsia="zh-CN"/>
        </w:rPr>
      </w:pPr>
    </w:p>
    <w:p w14:paraId="0238B000">
      <w:pPr>
        <w:widowControl w:val="0"/>
        <w:tabs>
          <w:tab w:val="left" w:pos="1305"/>
        </w:tabs>
        <w:kinsoku/>
        <w:autoSpaceDE/>
        <w:autoSpaceDN/>
        <w:adjustRightInd/>
        <w:snapToGrid/>
        <w:spacing w:line="360" w:lineRule="auto"/>
        <w:ind w:firstLine="562" w:firstLineChars="200"/>
        <w:jc w:val="both"/>
        <w:textAlignment w:val="auto"/>
        <w:rPr>
          <w:rFonts w:hint="eastAsia" w:ascii="宋体" w:hAnsi="宋体" w:eastAsia="宋体" w:cs="宋体"/>
          <w:b/>
          <w:bCs/>
          <w:snapToGrid/>
          <w:color w:val="auto"/>
          <w:kern w:val="2"/>
          <w:sz w:val="28"/>
          <w:szCs w:val="28"/>
          <w:lang w:eastAsia="zh-CN"/>
        </w:rPr>
      </w:pPr>
    </w:p>
    <w:p w14:paraId="24A62384">
      <w:pPr>
        <w:widowControl w:val="0"/>
        <w:tabs>
          <w:tab w:val="left" w:pos="1305"/>
        </w:tabs>
        <w:kinsoku/>
        <w:autoSpaceDE/>
        <w:autoSpaceDN/>
        <w:adjustRightInd/>
        <w:snapToGrid/>
        <w:spacing w:line="360" w:lineRule="auto"/>
        <w:ind w:firstLine="562" w:firstLineChars="200"/>
        <w:jc w:val="both"/>
        <w:textAlignment w:val="auto"/>
        <w:rPr>
          <w:rFonts w:hint="eastAsia" w:ascii="宋体" w:hAnsi="宋体" w:eastAsia="宋体" w:cs="宋体"/>
          <w:b/>
          <w:bCs/>
          <w:snapToGrid/>
          <w:color w:val="auto"/>
          <w:kern w:val="2"/>
          <w:sz w:val="28"/>
          <w:szCs w:val="28"/>
          <w:lang w:eastAsia="zh-CN"/>
        </w:rPr>
      </w:pPr>
    </w:p>
    <w:p w14:paraId="02DCFA2F">
      <w:pPr>
        <w:widowControl w:val="0"/>
        <w:tabs>
          <w:tab w:val="left" w:pos="1305"/>
        </w:tabs>
        <w:kinsoku/>
        <w:autoSpaceDE/>
        <w:autoSpaceDN/>
        <w:adjustRightInd/>
        <w:snapToGrid/>
        <w:spacing w:line="360" w:lineRule="auto"/>
        <w:jc w:val="both"/>
        <w:textAlignment w:val="auto"/>
        <w:rPr>
          <w:rFonts w:hint="eastAsia" w:ascii="宋体" w:hAnsi="宋体" w:eastAsia="宋体" w:cs="宋体"/>
          <w:b/>
          <w:bCs/>
          <w:snapToGrid/>
          <w:color w:val="auto"/>
          <w:kern w:val="2"/>
          <w:sz w:val="28"/>
          <w:szCs w:val="28"/>
          <w:lang w:eastAsia="zh-CN"/>
        </w:rPr>
      </w:pPr>
    </w:p>
    <w:p w14:paraId="5EC1C580">
      <w:pPr>
        <w:widowControl w:val="0"/>
        <w:tabs>
          <w:tab w:val="left" w:pos="1305"/>
        </w:tabs>
        <w:kinsoku/>
        <w:autoSpaceDE/>
        <w:autoSpaceDN/>
        <w:adjustRightInd/>
        <w:snapToGrid/>
        <w:spacing w:line="360" w:lineRule="auto"/>
        <w:jc w:val="both"/>
        <w:textAlignment w:val="auto"/>
        <w:rPr>
          <w:rFonts w:hint="eastAsia" w:ascii="宋体" w:hAnsi="宋体" w:eastAsia="宋体" w:cs="宋体"/>
          <w:b/>
          <w:bCs/>
          <w:snapToGrid/>
          <w:color w:val="auto"/>
          <w:kern w:val="2"/>
          <w:sz w:val="28"/>
          <w:szCs w:val="28"/>
          <w:lang w:eastAsia="zh-CN"/>
        </w:rPr>
      </w:pPr>
      <w:r>
        <w:rPr>
          <w:rFonts w:hint="eastAsia" w:ascii="宋体" w:hAnsi="宋体" w:eastAsia="宋体" w:cs="宋体"/>
          <w:b/>
          <w:bCs/>
          <w:snapToGrid/>
          <w:color w:val="auto"/>
          <w:kern w:val="2"/>
          <w:sz w:val="28"/>
          <w:szCs w:val="28"/>
          <w:lang w:val="en-US" w:eastAsia="zh-CN"/>
        </w:rPr>
        <w:t>2.</w:t>
      </w:r>
      <w:r>
        <w:rPr>
          <w:rFonts w:hint="eastAsia" w:ascii="宋体" w:hAnsi="宋体" w:eastAsia="宋体" w:cs="宋体"/>
          <w:b/>
          <w:bCs/>
          <w:snapToGrid/>
          <w:color w:val="auto"/>
          <w:kern w:val="2"/>
          <w:sz w:val="28"/>
          <w:szCs w:val="28"/>
          <w:lang w:eastAsia="zh-CN"/>
        </w:rPr>
        <w:t>监狱企业的证明文件【供应商如为监狱企业的，应当提供由省级以上监狱管理局、戒毒管理局（含新疆生产建设兵团）出具的属于监狱企业的证明文件,否则不予享受优惠政策】</w:t>
      </w:r>
      <w:r>
        <w:rPr>
          <w:rFonts w:hint="eastAsia" w:ascii="宋体" w:hAnsi="宋体" w:eastAsia="宋体" w:cs="宋体"/>
          <w:b/>
          <w:snapToGrid/>
          <w:color w:val="auto"/>
          <w:kern w:val="2"/>
          <w:sz w:val="28"/>
          <w:szCs w:val="28"/>
          <w:lang w:eastAsia="zh-CN"/>
        </w:rPr>
        <w:t>（如有，请提供）</w:t>
      </w:r>
      <w:r>
        <w:rPr>
          <w:rFonts w:hint="eastAsia" w:ascii="宋体" w:hAnsi="宋体" w:eastAsia="宋体" w:cs="宋体"/>
          <w:b/>
          <w:bCs/>
          <w:snapToGrid/>
          <w:color w:val="auto"/>
          <w:kern w:val="2"/>
          <w:sz w:val="28"/>
          <w:szCs w:val="28"/>
          <w:lang w:eastAsia="zh-CN"/>
        </w:rPr>
        <w:t>；</w:t>
      </w:r>
      <w:bookmarkStart w:id="45" w:name="OLE_LINK13"/>
      <w:bookmarkStart w:id="46" w:name="OLE_LINK14"/>
    </w:p>
    <w:p w14:paraId="1897702B">
      <w:pPr>
        <w:widowControl w:val="0"/>
        <w:tabs>
          <w:tab w:val="left" w:pos="1305"/>
        </w:tabs>
        <w:kinsoku/>
        <w:autoSpaceDE/>
        <w:autoSpaceDN/>
        <w:adjustRightInd/>
        <w:snapToGrid/>
        <w:spacing w:line="360" w:lineRule="auto"/>
        <w:jc w:val="both"/>
        <w:textAlignment w:val="auto"/>
        <w:rPr>
          <w:rFonts w:hint="eastAsia" w:ascii="宋体" w:hAnsi="宋体" w:eastAsia="宋体" w:cs="宋体"/>
          <w:b/>
          <w:bCs/>
          <w:snapToGrid/>
          <w:color w:val="auto"/>
          <w:kern w:val="2"/>
          <w:sz w:val="28"/>
          <w:szCs w:val="28"/>
          <w:lang w:eastAsia="zh-CN"/>
        </w:rPr>
      </w:pPr>
    </w:p>
    <w:p w14:paraId="351E60AA">
      <w:pPr>
        <w:widowControl w:val="0"/>
        <w:tabs>
          <w:tab w:val="left" w:pos="1305"/>
        </w:tabs>
        <w:kinsoku/>
        <w:autoSpaceDE/>
        <w:autoSpaceDN/>
        <w:adjustRightInd/>
        <w:snapToGrid/>
        <w:spacing w:line="360" w:lineRule="auto"/>
        <w:jc w:val="both"/>
        <w:textAlignment w:val="auto"/>
        <w:rPr>
          <w:rFonts w:hint="eastAsia" w:ascii="宋体" w:hAnsi="宋体" w:eastAsia="宋体" w:cs="宋体"/>
          <w:b/>
          <w:bCs/>
          <w:snapToGrid/>
          <w:color w:val="auto"/>
          <w:kern w:val="2"/>
          <w:sz w:val="28"/>
          <w:szCs w:val="28"/>
          <w:lang w:eastAsia="zh-CN"/>
        </w:rPr>
      </w:pPr>
      <w:r>
        <w:rPr>
          <w:rFonts w:hint="eastAsia" w:ascii="宋体" w:hAnsi="宋体" w:eastAsia="宋体" w:cs="宋体"/>
          <w:b/>
          <w:bCs/>
          <w:snapToGrid/>
          <w:color w:val="auto"/>
          <w:kern w:val="2"/>
          <w:sz w:val="28"/>
          <w:szCs w:val="28"/>
          <w:lang w:val="en-US" w:eastAsia="zh-CN"/>
        </w:rPr>
        <w:t>3.</w:t>
      </w:r>
      <w:r>
        <w:rPr>
          <w:rFonts w:hint="eastAsia" w:ascii="宋体" w:hAnsi="宋体" w:eastAsia="宋体" w:cs="宋体"/>
          <w:b/>
          <w:bCs/>
          <w:snapToGrid/>
          <w:color w:val="auto"/>
          <w:kern w:val="2"/>
          <w:sz w:val="28"/>
          <w:szCs w:val="28"/>
          <w:lang w:eastAsia="zh-CN"/>
        </w:rPr>
        <w:t>《残疾人福利性单位声明函》【符合条件的残疾人福利性单位在参加政府采购活动时，应当提供《残疾人福利性单位声明函》（格式见附件），并对声明的真实性负责】</w:t>
      </w:r>
      <w:r>
        <w:rPr>
          <w:rFonts w:hint="eastAsia" w:ascii="宋体" w:hAnsi="宋体" w:eastAsia="宋体" w:cs="宋体"/>
          <w:b/>
          <w:snapToGrid/>
          <w:color w:val="auto"/>
          <w:kern w:val="2"/>
          <w:sz w:val="28"/>
          <w:szCs w:val="28"/>
          <w:lang w:eastAsia="zh-CN"/>
        </w:rPr>
        <w:t>（如有，请提供）</w:t>
      </w:r>
      <w:r>
        <w:rPr>
          <w:rFonts w:hint="eastAsia" w:ascii="宋体" w:hAnsi="宋体" w:eastAsia="宋体" w:cs="宋体"/>
          <w:b/>
          <w:bCs/>
          <w:snapToGrid/>
          <w:color w:val="auto"/>
          <w:kern w:val="2"/>
          <w:sz w:val="28"/>
          <w:szCs w:val="28"/>
          <w:lang w:eastAsia="zh-CN"/>
        </w:rPr>
        <w:t>；</w:t>
      </w:r>
    </w:p>
    <w:p w14:paraId="6824E87A">
      <w:pPr>
        <w:widowControl w:val="0"/>
        <w:kinsoku/>
        <w:autoSpaceDE/>
        <w:autoSpaceDN/>
        <w:adjustRightInd/>
        <w:snapToGrid/>
        <w:spacing w:before="317" w:beforeLines="100" w:after="317" w:afterLines="100" w:line="360" w:lineRule="auto"/>
        <w:jc w:val="center"/>
        <w:textAlignment w:val="auto"/>
        <w:rPr>
          <w:rFonts w:hint="eastAsia" w:ascii="宋体" w:hAnsi="宋体" w:eastAsia="宋体" w:cs="宋体"/>
          <w:b/>
          <w:snapToGrid/>
          <w:color w:val="auto"/>
          <w:spacing w:val="6"/>
          <w:kern w:val="2"/>
          <w:sz w:val="28"/>
          <w:szCs w:val="28"/>
          <w:lang w:eastAsia="zh-CN"/>
        </w:rPr>
      </w:pPr>
      <w:r>
        <w:rPr>
          <w:rFonts w:hint="eastAsia" w:ascii="宋体" w:hAnsi="宋体" w:eastAsia="宋体" w:cs="宋体"/>
          <w:b/>
          <w:snapToGrid/>
          <w:color w:val="auto"/>
          <w:spacing w:val="6"/>
          <w:kern w:val="2"/>
          <w:sz w:val="28"/>
          <w:szCs w:val="28"/>
          <w:lang w:eastAsia="zh-CN"/>
        </w:rPr>
        <w:t>残疾人福利性单位声明函</w:t>
      </w:r>
      <w:bookmarkEnd w:id="45"/>
      <w:bookmarkEnd w:id="46"/>
    </w:p>
    <w:p w14:paraId="1182EEED">
      <w:pPr>
        <w:widowControl w:val="0"/>
        <w:kinsoku/>
        <w:autoSpaceDE/>
        <w:autoSpaceDN/>
        <w:adjustRightInd/>
        <w:snapToGrid/>
        <w:spacing w:line="588" w:lineRule="exact"/>
        <w:ind w:firstLine="504" w:firstLineChars="200"/>
        <w:jc w:val="both"/>
        <w:textAlignment w:val="auto"/>
        <w:rPr>
          <w:rFonts w:hint="eastAsia" w:ascii="宋体" w:hAnsi="宋体" w:eastAsia="宋体" w:cs="宋体"/>
          <w:snapToGrid/>
          <w:color w:val="auto"/>
          <w:spacing w:val="6"/>
          <w:kern w:val="2"/>
          <w:sz w:val="24"/>
          <w:szCs w:val="24"/>
          <w:lang w:eastAsia="zh-CN"/>
        </w:rPr>
      </w:pPr>
      <w:r>
        <w:rPr>
          <w:rFonts w:hint="eastAsia" w:ascii="宋体" w:hAnsi="宋体" w:eastAsia="宋体" w:cs="宋体"/>
          <w:snapToGrid/>
          <w:color w:val="auto"/>
          <w:spacing w:val="6"/>
          <w:kern w:val="2"/>
          <w:sz w:val="24"/>
          <w:szCs w:val="24"/>
          <w:lang w:eastAsia="zh-CN"/>
        </w:rPr>
        <w:t>本单位郑重声明，根据《财政部 民政部 中国残疾人联合会关于促进残疾人就业政府采购政策的通知》（财库</w:t>
      </w:r>
      <w:r>
        <w:rPr>
          <w:rFonts w:hint="eastAsia" w:ascii="宋体" w:hAnsi="宋体" w:eastAsia="宋体" w:cs="宋体"/>
          <w:snapToGrid/>
          <w:color w:val="auto"/>
          <w:kern w:val="2"/>
          <w:sz w:val="24"/>
          <w:szCs w:val="24"/>
          <w:lang w:eastAsia="zh-CN"/>
        </w:rPr>
        <w:t>〔2017〕141</w:t>
      </w:r>
      <w:r>
        <w:rPr>
          <w:rFonts w:hint="eastAsia" w:ascii="宋体" w:hAnsi="宋体" w:eastAsia="宋体" w:cs="宋体"/>
          <w:snapToGrid/>
          <w:color w:val="auto"/>
          <w:spacing w:val="6"/>
          <w:kern w:val="2"/>
          <w:sz w:val="24"/>
          <w:szCs w:val="24"/>
          <w:lang w:eastAsia="zh-CN"/>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0525E617">
      <w:pPr>
        <w:widowControl w:val="0"/>
        <w:kinsoku/>
        <w:autoSpaceDE/>
        <w:autoSpaceDN/>
        <w:adjustRightInd/>
        <w:snapToGrid/>
        <w:spacing w:line="588" w:lineRule="exact"/>
        <w:ind w:firstLine="504" w:firstLineChars="200"/>
        <w:jc w:val="both"/>
        <w:textAlignment w:val="auto"/>
        <w:rPr>
          <w:rFonts w:hint="eastAsia" w:ascii="宋体" w:hAnsi="宋体" w:eastAsia="宋体" w:cs="宋体"/>
          <w:snapToGrid/>
          <w:color w:val="auto"/>
          <w:spacing w:val="6"/>
          <w:kern w:val="2"/>
          <w:sz w:val="24"/>
          <w:szCs w:val="24"/>
          <w:lang w:eastAsia="zh-CN"/>
        </w:rPr>
      </w:pPr>
      <w:r>
        <w:rPr>
          <w:rFonts w:hint="eastAsia" w:ascii="宋体" w:hAnsi="宋体" w:eastAsia="宋体" w:cs="宋体"/>
          <w:snapToGrid/>
          <w:color w:val="auto"/>
          <w:spacing w:val="6"/>
          <w:kern w:val="2"/>
          <w:sz w:val="24"/>
          <w:szCs w:val="24"/>
          <w:lang w:eastAsia="zh-CN"/>
        </w:rPr>
        <w:t>本单位对上述声明的真实性负责。如有虚假，将依法承担相应责任。</w:t>
      </w:r>
    </w:p>
    <w:p w14:paraId="06C5ADE8">
      <w:pPr>
        <w:widowControl w:val="0"/>
        <w:kinsoku/>
        <w:autoSpaceDE/>
        <w:autoSpaceDN/>
        <w:adjustRightInd/>
        <w:snapToGrid/>
        <w:spacing w:line="588" w:lineRule="exact"/>
        <w:jc w:val="both"/>
        <w:textAlignment w:val="auto"/>
        <w:rPr>
          <w:rFonts w:hint="eastAsia" w:ascii="宋体" w:hAnsi="宋体" w:eastAsia="宋体" w:cs="宋体"/>
          <w:snapToGrid/>
          <w:color w:val="auto"/>
          <w:spacing w:val="6"/>
          <w:kern w:val="2"/>
          <w:sz w:val="24"/>
          <w:szCs w:val="24"/>
          <w:lang w:eastAsia="zh-CN"/>
        </w:rPr>
      </w:pPr>
    </w:p>
    <w:p w14:paraId="41D768EB">
      <w:pPr>
        <w:widowControl w:val="0"/>
        <w:tabs>
          <w:tab w:val="left" w:pos="4860"/>
        </w:tabs>
        <w:kinsoku/>
        <w:autoSpaceDE/>
        <w:autoSpaceDN/>
        <w:adjustRightInd/>
        <w:snapToGrid/>
        <w:spacing w:line="588" w:lineRule="exact"/>
        <w:ind w:right="1560" w:firstLine="506" w:firstLineChars="200"/>
        <w:jc w:val="center"/>
        <w:textAlignment w:val="auto"/>
        <w:rPr>
          <w:rFonts w:hint="eastAsia" w:ascii="宋体" w:hAnsi="宋体" w:eastAsia="宋体" w:cs="宋体"/>
          <w:b/>
          <w:snapToGrid/>
          <w:color w:val="auto"/>
          <w:spacing w:val="6"/>
          <w:kern w:val="2"/>
          <w:sz w:val="24"/>
          <w:szCs w:val="24"/>
          <w:u w:val="single"/>
          <w:lang w:eastAsia="zh-CN"/>
        </w:rPr>
      </w:pPr>
      <w:r>
        <w:rPr>
          <w:rFonts w:hint="eastAsia" w:ascii="宋体" w:hAnsi="宋体" w:eastAsia="宋体" w:cs="宋体"/>
          <w:b/>
          <w:snapToGrid/>
          <w:color w:val="auto"/>
          <w:spacing w:val="6"/>
          <w:kern w:val="2"/>
          <w:sz w:val="24"/>
          <w:szCs w:val="24"/>
          <w:lang w:eastAsia="zh-CN"/>
        </w:rPr>
        <w:t xml:space="preserve">                 单位名称公章（CA签章）：</w:t>
      </w:r>
      <w:r>
        <w:rPr>
          <w:rFonts w:hint="eastAsia" w:ascii="宋体" w:hAnsi="宋体" w:eastAsia="宋体" w:cs="宋体"/>
          <w:b/>
          <w:snapToGrid/>
          <w:color w:val="auto"/>
          <w:spacing w:val="6"/>
          <w:kern w:val="2"/>
          <w:sz w:val="24"/>
          <w:szCs w:val="24"/>
          <w:u w:val="single"/>
          <w:lang w:eastAsia="zh-CN"/>
        </w:rPr>
        <w:t xml:space="preserve">           </w:t>
      </w:r>
    </w:p>
    <w:p w14:paraId="1436CFA2">
      <w:pPr>
        <w:widowControl w:val="0"/>
        <w:tabs>
          <w:tab w:val="left" w:pos="4860"/>
        </w:tabs>
        <w:kinsoku/>
        <w:autoSpaceDE/>
        <w:autoSpaceDN/>
        <w:adjustRightInd/>
        <w:snapToGrid/>
        <w:spacing w:line="588" w:lineRule="exact"/>
        <w:ind w:right="1560" w:firstLine="506" w:firstLineChars="200"/>
        <w:jc w:val="center"/>
        <w:textAlignment w:val="auto"/>
        <w:rPr>
          <w:rFonts w:hint="eastAsia" w:ascii="宋体" w:hAnsi="宋体" w:eastAsia="宋体" w:cs="宋体"/>
          <w:b/>
          <w:bCs/>
          <w:snapToGrid/>
          <w:color w:val="auto"/>
          <w:kern w:val="2"/>
          <w:sz w:val="24"/>
          <w:szCs w:val="24"/>
          <w:lang w:eastAsia="zh-CN"/>
        </w:rPr>
      </w:pPr>
      <w:r>
        <w:rPr>
          <w:rFonts w:hint="eastAsia" w:ascii="宋体" w:hAnsi="宋体" w:eastAsia="宋体" w:cs="宋体"/>
          <w:b/>
          <w:snapToGrid/>
          <w:color w:val="auto"/>
          <w:spacing w:val="6"/>
          <w:kern w:val="2"/>
          <w:sz w:val="24"/>
          <w:szCs w:val="24"/>
          <w:lang w:eastAsia="zh-CN"/>
        </w:rPr>
        <w:t xml:space="preserve">            日  期：</w:t>
      </w:r>
      <w:r>
        <w:rPr>
          <w:rFonts w:hint="eastAsia" w:ascii="宋体" w:hAnsi="宋体" w:eastAsia="宋体" w:cs="宋体"/>
          <w:b/>
          <w:bCs/>
          <w:snapToGrid/>
          <w:color w:val="auto"/>
          <w:kern w:val="2"/>
          <w:sz w:val="24"/>
          <w:szCs w:val="24"/>
          <w:u w:val="single"/>
          <w:lang w:eastAsia="zh-CN"/>
        </w:rPr>
        <w:t xml:space="preserve">                 </w:t>
      </w:r>
    </w:p>
    <w:p w14:paraId="0D43AD95">
      <w:pPr>
        <w:widowControl w:val="0"/>
        <w:kinsoku/>
        <w:autoSpaceDE/>
        <w:autoSpaceDN/>
        <w:adjustRightInd/>
        <w:snapToGrid w:val="0"/>
        <w:spacing w:line="360" w:lineRule="auto"/>
        <w:ind w:firstLine="211" w:firstLineChars="100"/>
        <w:jc w:val="both"/>
        <w:textAlignment w:val="auto"/>
        <w:rPr>
          <w:rFonts w:hint="eastAsia" w:ascii="宋体" w:hAnsi="宋体" w:eastAsia="宋体" w:cs="宋体"/>
          <w:b/>
          <w:snapToGrid/>
          <w:color w:val="auto"/>
          <w:kern w:val="2"/>
          <w:szCs w:val="24"/>
          <w:lang w:eastAsia="zh-CN"/>
        </w:rPr>
      </w:pPr>
    </w:p>
    <w:p w14:paraId="17568985">
      <w:pPr>
        <w:widowControl w:val="0"/>
        <w:kinsoku/>
        <w:autoSpaceDE/>
        <w:autoSpaceDN/>
        <w:adjustRightInd/>
        <w:snapToGrid w:val="0"/>
        <w:spacing w:line="360" w:lineRule="auto"/>
        <w:ind w:firstLine="211" w:firstLineChars="100"/>
        <w:jc w:val="both"/>
        <w:textAlignment w:val="auto"/>
        <w:rPr>
          <w:rFonts w:hint="eastAsia" w:ascii="宋体" w:hAnsi="宋体" w:eastAsia="宋体" w:cs="宋体"/>
          <w:b/>
          <w:snapToGrid/>
          <w:color w:val="auto"/>
          <w:kern w:val="2"/>
          <w:szCs w:val="24"/>
          <w:lang w:eastAsia="zh-CN"/>
        </w:rPr>
      </w:pPr>
    </w:p>
    <w:p w14:paraId="463331E9">
      <w:pPr>
        <w:widowControl w:val="0"/>
        <w:kinsoku/>
        <w:autoSpaceDE/>
        <w:autoSpaceDN/>
        <w:adjustRightInd/>
        <w:snapToGrid w:val="0"/>
        <w:spacing w:line="360" w:lineRule="auto"/>
        <w:ind w:firstLine="211" w:firstLineChars="100"/>
        <w:jc w:val="both"/>
        <w:textAlignment w:val="auto"/>
        <w:rPr>
          <w:rFonts w:hint="eastAsia" w:ascii="宋体" w:hAnsi="宋体" w:eastAsia="宋体" w:cs="宋体"/>
          <w:b/>
          <w:snapToGrid/>
          <w:color w:val="auto"/>
          <w:kern w:val="2"/>
          <w:sz w:val="30"/>
          <w:szCs w:val="30"/>
          <w:lang w:eastAsia="zh-CN"/>
        </w:rPr>
      </w:pPr>
      <w:r>
        <w:rPr>
          <w:rFonts w:hint="eastAsia" w:ascii="宋体" w:hAnsi="宋体" w:eastAsia="宋体" w:cs="宋体"/>
          <w:b/>
          <w:snapToGrid/>
          <w:color w:val="auto"/>
          <w:kern w:val="2"/>
          <w:szCs w:val="24"/>
          <w:lang w:eastAsia="zh-CN"/>
        </w:rPr>
        <w:t>注：中标人为残疾人福利性单位的，采购人或者其委托的采购代理机构应当随中标、成交结果同时公告其《残疾人福利性单位声明函》，接受社会监督。</w:t>
      </w:r>
    </w:p>
    <w:p w14:paraId="4585D773">
      <w:pPr>
        <w:widowControl w:val="0"/>
        <w:kinsoku/>
        <w:autoSpaceDE/>
        <w:autoSpaceDN/>
        <w:adjustRightInd/>
        <w:snapToGrid/>
        <w:jc w:val="both"/>
        <w:textAlignment w:val="auto"/>
        <w:rPr>
          <w:rFonts w:hint="eastAsia" w:ascii="宋体" w:hAnsi="宋体" w:eastAsia="宋体" w:cs="宋体"/>
          <w:snapToGrid/>
          <w:color w:val="auto"/>
          <w:kern w:val="2"/>
          <w:szCs w:val="21"/>
          <w:lang w:eastAsia="zh-CN"/>
        </w:rPr>
      </w:pPr>
    </w:p>
    <w:p w14:paraId="2DE257C2">
      <w:pPr>
        <w:widowControl w:val="0"/>
        <w:autoSpaceDE w:val="0"/>
        <w:autoSpaceDN w:val="0"/>
        <w:adjustRightInd w:val="0"/>
        <w:spacing w:line="420" w:lineRule="exact"/>
        <w:ind w:firstLine="562" w:firstLineChars="200"/>
        <w:rPr>
          <w:rFonts w:hint="eastAsia" w:ascii="宋体" w:hAnsi="宋体" w:eastAsia="宋体" w:cs="宋体"/>
          <w:b/>
          <w:bCs/>
          <w:color w:val="auto"/>
          <w:kern w:val="2"/>
          <w:sz w:val="28"/>
          <w:szCs w:val="28"/>
          <w:lang w:val="en-US" w:eastAsia="zh-CN" w:bidi="ar-SA"/>
        </w:rPr>
      </w:pPr>
    </w:p>
    <w:p w14:paraId="39DB870B">
      <w:pPr>
        <w:widowControl w:val="0"/>
        <w:autoSpaceDE w:val="0"/>
        <w:autoSpaceDN w:val="0"/>
        <w:adjustRightInd w:val="0"/>
        <w:spacing w:line="420" w:lineRule="exact"/>
        <w:ind w:firstLine="562" w:firstLineChars="200"/>
        <w:rPr>
          <w:rFonts w:hint="eastAsia" w:ascii="宋体" w:hAnsi="宋体" w:eastAsia="宋体" w:cs="宋体"/>
          <w:b/>
          <w:bCs/>
          <w:color w:val="auto"/>
          <w:kern w:val="2"/>
          <w:sz w:val="28"/>
          <w:szCs w:val="28"/>
          <w:lang w:val="en-US" w:eastAsia="zh-CN" w:bidi="ar-SA"/>
        </w:rPr>
      </w:pPr>
    </w:p>
    <w:p w14:paraId="30E18B5C">
      <w:pPr>
        <w:widowControl w:val="0"/>
        <w:autoSpaceDE w:val="0"/>
        <w:autoSpaceDN w:val="0"/>
        <w:adjustRightInd w:val="0"/>
        <w:spacing w:line="420" w:lineRule="exact"/>
        <w:ind w:firstLine="562" w:firstLineChars="200"/>
        <w:rPr>
          <w:rFonts w:hint="eastAsia" w:ascii="宋体" w:hAnsi="宋体" w:eastAsia="宋体" w:cs="宋体"/>
          <w:b/>
          <w:bCs/>
          <w:color w:val="auto"/>
          <w:kern w:val="2"/>
          <w:sz w:val="28"/>
          <w:szCs w:val="28"/>
          <w:lang w:val="en-US" w:eastAsia="zh-CN" w:bidi="ar-SA"/>
        </w:rPr>
      </w:pPr>
    </w:p>
    <w:p w14:paraId="08B01A92">
      <w:pPr>
        <w:widowControl w:val="0"/>
        <w:autoSpaceDE w:val="0"/>
        <w:autoSpaceDN w:val="0"/>
        <w:adjustRightInd w:val="0"/>
        <w:spacing w:line="420" w:lineRule="exact"/>
        <w:ind w:firstLine="562" w:firstLineChars="200"/>
        <w:rPr>
          <w:rFonts w:hint="eastAsia" w:ascii="宋体" w:hAnsi="宋体" w:eastAsia="宋体" w:cs="宋体"/>
          <w:b/>
          <w:bCs/>
          <w:color w:val="auto"/>
          <w:kern w:val="2"/>
          <w:sz w:val="28"/>
          <w:szCs w:val="28"/>
          <w:lang w:val="en-US" w:eastAsia="zh-CN" w:bidi="ar-SA"/>
        </w:rPr>
      </w:pPr>
    </w:p>
    <w:p w14:paraId="043F97BC">
      <w:pPr>
        <w:widowControl w:val="0"/>
        <w:autoSpaceDE w:val="0"/>
        <w:autoSpaceDN w:val="0"/>
        <w:adjustRightInd w:val="0"/>
        <w:spacing w:line="420" w:lineRule="exact"/>
        <w:ind w:firstLine="562" w:firstLineChars="200"/>
        <w:rPr>
          <w:rFonts w:hint="eastAsia" w:ascii="宋体" w:hAnsi="宋体" w:eastAsia="宋体" w:cs="宋体"/>
          <w:b/>
          <w:bCs/>
          <w:color w:val="auto"/>
          <w:kern w:val="2"/>
          <w:sz w:val="28"/>
          <w:szCs w:val="28"/>
          <w:lang w:val="en-US" w:eastAsia="zh-CN" w:bidi="ar-SA"/>
        </w:rPr>
      </w:pPr>
    </w:p>
    <w:p w14:paraId="3C08C8D6">
      <w:pPr>
        <w:widowControl w:val="0"/>
        <w:autoSpaceDE w:val="0"/>
        <w:autoSpaceDN w:val="0"/>
        <w:adjustRightInd w:val="0"/>
        <w:spacing w:line="420" w:lineRule="exact"/>
        <w:rPr>
          <w:rFonts w:hint="eastAsia" w:ascii="宋体" w:hAnsi="宋体" w:eastAsia="宋体" w:cs="宋体"/>
          <w:b/>
          <w:color w:val="auto"/>
          <w:sz w:val="28"/>
          <w:szCs w:val="28"/>
          <w:lang w:val="en-US" w:eastAsia="zh-CN" w:bidi="ar-SA"/>
        </w:rPr>
      </w:pPr>
      <w:r>
        <w:rPr>
          <w:rFonts w:hint="eastAsia" w:ascii="宋体" w:hAnsi="宋体" w:eastAsia="宋体" w:cs="宋体"/>
          <w:b/>
          <w:bCs/>
          <w:color w:val="auto"/>
          <w:kern w:val="2"/>
          <w:sz w:val="28"/>
          <w:szCs w:val="28"/>
          <w:lang w:val="en-US" w:eastAsia="zh-CN" w:bidi="ar-SA"/>
        </w:rPr>
        <w:t>4.关于符合本国产品标准的声明函</w:t>
      </w:r>
      <w:r>
        <w:rPr>
          <w:rFonts w:hint="eastAsia" w:ascii="宋体" w:hAnsi="宋体" w:eastAsia="宋体" w:cs="宋体"/>
          <w:b/>
          <w:color w:val="auto"/>
          <w:kern w:val="2"/>
          <w:sz w:val="28"/>
          <w:szCs w:val="28"/>
          <w:lang w:val="en-US" w:eastAsia="zh-CN" w:bidi="ar-SA"/>
        </w:rPr>
        <w:t>（见附件）</w:t>
      </w:r>
      <w:r>
        <w:rPr>
          <w:rFonts w:hint="eastAsia" w:ascii="宋体" w:hAnsi="宋体" w:eastAsia="宋体" w:cs="宋体"/>
          <w:b/>
          <w:bCs/>
          <w:color w:val="auto"/>
          <w:kern w:val="2"/>
          <w:sz w:val="28"/>
          <w:szCs w:val="28"/>
          <w:lang w:val="en-US" w:eastAsia="zh-CN" w:bidi="ar-SA"/>
        </w:rPr>
        <w:t>（如有，请提供）；</w:t>
      </w:r>
    </w:p>
    <w:p w14:paraId="3E19201F">
      <w:pPr>
        <w:widowControl w:val="0"/>
        <w:kinsoku/>
        <w:autoSpaceDE/>
        <w:autoSpaceDN/>
        <w:adjustRightInd/>
        <w:snapToGrid/>
        <w:spacing w:before="317" w:beforeLines="100" w:after="317" w:afterLines="100" w:line="360" w:lineRule="auto"/>
        <w:jc w:val="center"/>
        <w:textAlignment w:val="auto"/>
        <w:rPr>
          <w:rFonts w:hint="eastAsia" w:ascii="宋体" w:hAnsi="宋体" w:eastAsia="宋体" w:cs="宋体"/>
          <w:b/>
          <w:bCs/>
          <w:snapToGrid/>
          <w:color w:val="auto"/>
          <w:kern w:val="2"/>
          <w:sz w:val="28"/>
          <w:szCs w:val="28"/>
          <w:lang w:eastAsia="zh-CN"/>
        </w:rPr>
      </w:pPr>
      <w:r>
        <w:rPr>
          <w:rFonts w:hint="eastAsia" w:ascii="宋体" w:hAnsi="宋体" w:eastAsia="宋体" w:cs="宋体"/>
          <w:b/>
          <w:bCs/>
          <w:snapToGrid/>
          <w:color w:val="auto"/>
          <w:kern w:val="2"/>
          <w:sz w:val="28"/>
          <w:szCs w:val="28"/>
          <w:lang w:eastAsia="zh-CN"/>
        </w:rPr>
        <w:t>关于符合本国产品标准的声明函</w:t>
      </w:r>
    </w:p>
    <w:p w14:paraId="4EAC8C8F">
      <w:pPr>
        <w:widowControl w:val="0"/>
        <w:kinsoku/>
        <w:autoSpaceDE/>
        <w:autoSpaceDN/>
        <w:adjustRightInd/>
        <w:snapToGrid/>
        <w:spacing w:line="460" w:lineRule="exact"/>
        <w:ind w:firstLine="444" w:firstLineChars="200"/>
        <w:jc w:val="both"/>
        <w:textAlignment w:val="auto"/>
        <w:rPr>
          <w:rFonts w:hint="eastAsia" w:ascii="宋体" w:hAnsi="宋体" w:eastAsia="宋体" w:cs="宋体"/>
          <w:snapToGrid/>
          <w:color w:val="auto"/>
          <w:spacing w:val="6"/>
          <w:kern w:val="2"/>
          <w:szCs w:val="21"/>
          <w:lang w:eastAsia="zh-CN"/>
        </w:rPr>
      </w:pPr>
      <w:r>
        <w:rPr>
          <w:rFonts w:hint="eastAsia" w:ascii="宋体" w:hAnsi="宋体" w:eastAsia="宋体" w:cs="宋体"/>
          <w:snapToGrid/>
          <w:color w:val="auto"/>
          <w:spacing w:val="6"/>
          <w:kern w:val="2"/>
          <w:szCs w:val="21"/>
          <w:lang w:eastAsia="zh-CN"/>
        </w:rPr>
        <w:t>本公司</w:t>
      </w:r>
      <w:r>
        <w:rPr>
          <w:rFonts w:hint="eastAsia" w:ascii="宋体" w:hAnsi="宋体" w:eastAsia="宋体" w:cs="宋体"/>
          <w:snapToGrid/>
          <w:color w:val="auto"/>
          <w:spacing w:val="6"/>
          <w:kern w:val="2"/>
          <w:szCs w:val="21"/>
          <w:u w:val="single"/>
          <w:lang w:eastAsia="zh-CN"/>
        </w:rPr>
        <w:t xml:space="preserve">             （单位名称）</w:t>
      </w:r>
      <w:r>
        <w:rPr>
          <w:rFonts w:hint="eastAsia" w:ascii="宋体" w:hAnsi="宋体" w:eastAsia="宋体" w:cs="宋体"/>
          <w:snapToGrid/>
          <w:color w:val="auto"/>
          <w:spacing w:val="6"/>
          <w:kern w:val="2"/>
          <w:szCs w:val="21"/>
          <w:lang w:eastAsia="zh-CN"/>
        </w:rPr>
        <w:t>郑重声明，根据《国务院办公厅关于在政府采购中实施本国产品标准及相关政策的通知》（国办发〔2025〕34号）的规定，本公司（单位）提供的以下产品属于本国产品。具体情况如下:</w:t>
      </w:r>
    </w:p>
    <w:p w14:paraId="7DB20939">
      <w:pPr>
        <w:widowControl w:val="0"/>
        <w:kinsoku/>
        <w:autoSpaceDE/>
        <w:autoSpaceDN/>
        <w:adjustRightInd/>
        <w:snapToGrid/>
        <w:spacing w:line="460" w:lineRule="exact"/>
        <w:ind w:left="210" w:leftChars="100" w:firstLine="222" w:firstLineChars="100"/>
        <w:jc w:val="left"/>
        <w:textAlignment w:val="auto"/>
        <w:rPr>
          <w:rFonts w:hint="eastAsia" w:ascii="宋体" w:hAnsi="宋体" w:eastAsia="宋体" w:cs="宋体"/>
          <w:snapToGrid/>
          <w:color w:val="auto"/>
          <w:spacing w:val="6"/>
          <w:kern w:val="2"/>
          <w:szCs w:val="21"/>
          <w:lang w:eastAsia="zh-CN"/>
        </w:rPr>
      </w:pPr>
      <w:r>
        <w:rPr>
          <w:rFonts w:hint="eastAsia" w:ascii="宋体" w:hAnsi="宋体" w:eastAsia="宋体" w:cs="宋体"/>
          <w:snapToGrid/>
          <w:color w:val="auto"/>
          <w:spacing w:val="6"/>
          <w:kern w:val="2"/>
          <w:szCs w:val="21"/>
          <w:lang w:eastAsia="zh-CN"/>
        </w:rPr>
        <w:t>1.</w:t>
      </w:r>
      <w:r>
        <w:rPr>
          <w:rFonts w:hint="eastAsia" w:ascii="宋体" w:hAnsi="宋体" w:eastAsia="宋体" w:cs="宋体"/>
          <w:snapToGrid/>
          <w:color w:val="auto"/>
          <w:spacing w:val="6"/>
          <w:kern w:val="2"/>
          <w:szCs w:val="21"/>
          <w:u w:val="single"/>
          <w:lang w:eastAsia="zh-CN"/>
        </w:rPr>
        <w:t xml:space="preserve">       （产品名称1）</w:t>
      </w:r>
      <w:r>
        <w:rPr>
          <w:rFonts w:hint="eastAsia" w:ascii="宋体" w:hAnsi="宋体" w:eastAsia="宋体" w:cs="宋体"/>
          <w:snapToGrid/>
          <w:color w:val="auto"/>
          <w:spacing w:val="6"/>
          <w:kern w:val="2"/>
          <w:szCs w:val="21"/>
          <w:lang w:eastAsia="zh-CN"/>
        </w:rPr>
        <w:t>，生产厂为</w:t>
      </w:r>
      <w:r>
        <w:rPr>
          <w:rFonts w:hint="eastAsia" w:ascii="宋体" w:hAnsi="宋体" w:eastAsia="宋体" w:cs="宋体"/>
          <w:snapToGrid/>
          <w:color w:val="auto"/>
          <w:spacing w:val="6"/>
          <w:kern w:val="2"/>
          <w:szCs w:val="21"/>
          <w:u w:val="single"/>
          <w:lang w:eastAsia="zh-CN"/>
        </w:rPr>
        <w:t xml:space="preserve">          （厂名） </w:t>
      </w:r>
      <w:r>
        <w:rPr>
          <w:rFonts w:hint="eastAsia" w:ascii="宋体" w:hAnsi="宋体" w:eastAsia="宋体" w:cs="宋体"/>
          <w:snapToGrid/>
          <w:color w:val="auto"/>
          <w:spacing w:val="6"/>
          <w:kern w:val="2"/>
          <w:szCs w:val="21"/>
          <w:lang w:eastAsia="zh-CN"/>
        </w:rPr>
        <w:t xml:space="preserve">，厂址为 </w:t>
      </w:r>
      <w:r>
        <w:rPr>
          <w:rFonts w:hint="eastAsia" w:ascii="宋体" w:hAnsi="宋体" w:eastAsia="宋体" w:cs="宋体"/>
          <w:snapToGrid/>
          <w:color w:val="auto"/>
          <w:spacing w:val="6"/>
          <w:kern w:val="2"/>
          <w:szCs w:val="21"/>
          <w:u w:val="single"/>
          <w:lang w:eastAsia="zh-CN"/>
        </w:rPr>
        <w:t xml:space="preserve">            （生产厂址）</w:t>
      </w:r>
      <w:r>
        <w:rPr>
          <w:rFonts w:hint="eastAsia" w:ascii="宋体" w:hAnsi="宋体" w:eastAsia="宋体" w:cs="宋体"/>
          <w:snapToGrid/>
          <w:color w:val="auto"/>
          <w:spacing w:val="6"/>
          <w:kern w:val="2"/>
          <w:szCs w:val="21"/>
          <w:lang w:eastAsia="zh-CN"/>
        </w:rPr>
        <w:t>。</w:t>
      </w:r>
      <w:r>
        <w:rPr>
          <w:rFonts w:hint="eastAsia" w:ascii="宋体" w:hAnsi="宋体" w:eastAsia="宋体" w:cs="宋体"/>
          <w:snapToGrid/>
          <w:color w:val="auto"/>
          <w:spacing w:val="6"/>
          <w:kern w:val="2"/>
          <w:szCs w:val="21"/>
          <w:u w:val="single"/>
          <w:lang w:eastAsia="zh-CN"/>
        </w:rPr>
        <w:t xml:space="preserve">        （产品名称1）</w:t>
      </w:r>
      <w:r>
        <w:rPr>
          <w:rFonts w:hint="eastAsia" w:ascii="宋体" w:hAnsi="宋体" w:eastAsia="宋体" w:cs="宋体"/>
          <w:snapToGrid/>
          <w:color w:val="auto"/>
          <w:spacing w:val="6"/>
          <w:kern w:val="2"/>
          <w:szCs w:val="21"/>
          <w:lang w:eastAsia="zh-CN"/>
        </w:rPr>
        <w:t>的中国境内生产的组件成本占比≥</w:t>
      </w:r>
      <w:r>
        <w:rPr>
          <w:rFonts w:hint="eastAsia" w:ascii="宋体" w:hAnsi="宋体" w:eastAsia="宋体" w:cs="宋体"/>
          <w:snapToGrid/>
          <w:color w:val="auto"/>
          <w:spacing w:val="6"/>
          <w:kern w:val="2"/>
          <w:szCs w:val="21"/>
          <w:u w:val="single"/>
          <w:lang w:eastAsia="zh-CN"/>
        </w:rPr>
        <w:t>（规定比例）</w:t>
      </w:r>
      <w:r>
        <w:rPr>
          <w:rFonts w:hint="eastAsia" w:ascii="宋体" w:hAnsi="宋体" w:eastAsia="宋体" w:cs="宋体"/>
          <w:snapToGrid/>
          <w:color w:val="auto"/>
          <w:spacing w:val="6"/>
          <w:kern w:val="2"/>
          <w:szCs w:val="21"/>
          <w:lang w:eastAsia="zh-CN"/>
        </w:rPr>
        <w:t>。</w:t>
      </w:r>
      <w:r>
        <w:rPr>
          <w:rFonts w:hint="eastAsia" w:ascii="宋体" w:hAnsi="宋体" w:eastAsia="宋体" w:cs="宋体"/>
          <w:snapToGrid/>
          <w:color w:val="auto"/>
          <w:spacing w:val="6"/>
          <w:kern w:val="2"/>
          <w:szCs w:val="21"/>
          <w:u w:val="single"/>
          <w:lang w:eastAsia="zh-CN"/>
        </w:rPr>
        <w:t xml:space="preserve">        （产品名称1）</w:t>
      </w:r>
      <w:r>
        <w:rPr>
          <w:rFonts w:hint="eastAsia" w:ascii="宋体" w:hAnsi="宋体" w:eastAsia="宋体" w:cs="宋体"/>
          <w:snapToGrid/>
          <w:color w:val="auto"/>
          <w:spacing w:val="6"/>
          <w:kern w:val="2"/>
          <w:szCs w:val="21"/>
          <w:lang w:eastAsia="zh-CN"/>
        </w:rPr>
        <w:t>的</w:t>
      </w:r>
      <w:r>
        <w:rPr>
          <w:rFonts w:hint="eastAsia" w:ascii="宋体" w:hAnsi="宋体" w:eastAsia="宋体" w:cs="宋体"/>
          <w:snapToGrid/>
          <w:color w:val="auto"/>
          <w:spacing w:val="6"/>
          <w:kern w:val="2"/>
          <w:szCs w:val="21"/>
          <w:u w:val="single"/>
          <w:lang w:eastAsia="zh-CN"/>
        </w:rPr>
        <w:t>（关键组件）</w:t>
      </w:r>
      <w:r>
        <w:rPr>
          <w:rFonts w:hint="eastAsia" w:ascii="宋体" w:hAnsi="宋体" w:eastAsia="宋体" w:cs="宋体"/>
          <w:snapToGrid/>
          <w:color w:val="auto"/>
          <w:spacing w:val="6"/>
          <w:kern w:val="2"/>
          <w:szCs w:val="21"/>
          <w:lang w:eastAsia="zh-CN"/>
        </w:rPr>
        <w:t>在中国境内生产。</w:t>
      </w:r>
      <w:r>
        <w:rPr>
          <w:rFonts w:hint="eastAsia" w:ascii="宋体" w:hAnsi="宋体" w:eastAsia="宋体" w:cs="宋体"/>
          <w:snapToGrid/>
          <w:color w:val="auto"/>
          <w:spacing w:val="6"/>
          <w:kern w:val="2"/>
          <w:szCs w:val="21"/>
          <w:u w:val="single"/>
          <w:lang w:eastAsia="zh-CN"/>
        </w:rPr>
        <w:t xml:space="preserve">        （产品名称1）</w:t>
      </w:r>
      <w:r>
        <w:rPr>
          <w:rFonts w:hint="eastAsia" w:ascii="宋体" w:hAnsi="宋体" w:eastAsia="宋体" w:cs="宋体"/>
          <w:snapToGrid/>
          <w:color w:val="auto"/>
          <w:spacing w:val="6"/>
          <w:kern w:val="2"/>
          <w:szCs w:val="21"/>
          <w:lang w:eastAsia="zh-CN"/>
        </w:rPr>
        <w:t>的</w:t>
      </w:r>
      <w:r>
        <w:rPr>
          <w:rFonts w:hint="eastAsia" w:ascii="宋体" w:hAnsi="宋体" w:eastAsia="宋体" w:cs="宋体"/>
          <w:snapToGrid/>
          <w:color w:val="auto"/>
          <w:spacing w:val="6"/>
          <w:kern w:val="2"/>
          <w:szCs w:val="21"/>
          <w:u w:val="single"/>
          <w:lang w:eastAsia="zh-CN"/>
        </w:rPr>
        <w:t>（关键工序）</w:t>
      </w:r>
      <w:r>
        <w:rPr>
          <w:rFonts w:hint="eastAsia" w:ascii="宋体" w:hAnsi="宋体" w:eastAsia="宋体" w:cs="宋体"/>
          <w:snapToGrid/>
          <w:color w:val="auto"/>
          <w:spacing w:val="6"/>
          <w:kern w:val="2"/>
          <w:szCs w:val="21"/>
          <w:lang w:eastAsia="zh-CN"/>
        </w:rPr>
        <w:t>在中国境内完成。</w:t>
      </w:r>
    </w:p>
    <w:p w14:paraId="242BF283">
      <w:pPr>
        <w:widowControl w:val="0"/>
        <w:kinsoku/>
        <w:autoSpaceDE/>
        <w:autoSpaceDN/>
        <w:adjustRightInd/>
        <w:snapToGrid/>
        <w:spacing w:line="460" w:lineRule="exact"/>
        <w:ind w:firstLine="444" w:firstLineChars="200"/>
        <w:jc w:val="both"/>
        <w:textAlignment w:val="auto"/>
        <w:rPr>
          <w:rFonts w:hint="eastAsia" w:ascii="宋体" w:hAnsi="宋体" w:eastAsia="宋体" w:cs="宋体"/>
          <w:snapToGrid/>
          <w:color w:val="auto"/>
          <w:spacing w:val="6"/>
          <w:kern w:val="2"/>
          <w:szCs w:val="21"/>
          <w:lang w:eastAsia="zh-CN"/>
        </w:rPr>
      </w:pPr>
      <w:r>
        <w:rPr>
          <w:rFonts w:hint="eastAsia" w:ascii="宋体" w:hAnsi="宋体" w:eastAsia="宋体" w:cs="宋体"/>
          <w:snapToGrid/>
          <w:color w:val="auto"/>
          <w:spacing w:val="6"/>
          <w:kern w:val="2"/>
          <w:szCs w:val="21"/>
          <w:lang w:eastAsia="zh-CN"/>
        </w:rPr>
        <w:t>2.</w:t>
      </w:r>
      <w:r>
        <w:rPr>
          <w:rFonts w:hint="eastAsia" w:ascii="宋体" w:hAnsi="宋体" w:eastAsia="宋体" w:cs="宋体"/>
          <w:snapToGrid/>
          <w:color w:val="auto"/>
          <w:spacing w:val="6"/>
          <w:kern w:val="2"/>
          <w:szCs w:val="21"/>
          <w:u w:val="single"/>
          <w:lang w:eastAsia="zh-CN"/>
        </w:rPr>
        <w:t xml:space="preserve">       （产品名称2）</w:t>
      </w:r>
      <w:r>
        <w:rPr>
          <w:rFonts w:hint="eastAsia" w:ascii="宋体" w:hAnsi="宋体" w:eastAsia="宋体" w:cs="宋体"/>
          <w:snapToGrid/>
          <w:color w:val="auto"/>
          <w:spacing w:val="6"/>
          <w:kern w:val="2"/>
          <w:szCs w:val="21"/>
          <w:lang w:eastAsia="zh-CN"/>
        </w:rPr>
        <w:t>，生产厂为</w:t>
      </w:r>
      <w:r>
        <w:rPr>
          <w:rFonts w:hint="eastAsia" w:ascii="宋体" w:hAnsi="宋体" w:eastAsia="宋体" w:cs="宋体"/>
          <w:snapToGrid/>
          <w:color w:val="auto"/>
          <w:spacing w:val="6"/>
          <w:kern w:val="2"/>
          <w:szCs w:val="21"/>
          <w:u w:val="single"/>
          <w:lang w:eastAsia="zh-CN"/>
        </w:rPr>
        <w:t xml:space="preserve">          （厂名） </w:t>
      </w:r>
      <w:r>
        <w:rPr>
          <w:rFonts w:hint="eastAsia" w:ascii="宋体" w:hAnsi="宋体" w:eastAsia="宋体" w:cs="宋体"/>
          <w:snapToGrid/>
          <w:color w:val="auto"/>
          <w:spacing w:val="6"/>
          <w:kern w:val="2"/>
          <w:szCs w:val="21"/>
          <w:lang w:eastAsia="zh-CN"/>
        </w:rPr>
        <w:t xml:space="preserve">，厂址为 </w:t>
      </w:r>
      <w:r>
        <w:rPr>
          <w:rFonts w:hint="eastAsia" w:ascii="宋体" w:hAnsi="宋体" w:eastAsia="宋体" w:cs="宋体"/>
          <w:snapToGrid/>
          <w:color w:val="auto"/>
          <w:spacing w:val="6"/>
          <w:kern w:val="2"/>
          <w:szCs w:val="21"/>
          <w:u w:val="single"/>
          <w:lang w:eastAsia="zh-CN"/>
        </w:rPr>
        <w:t xml:space="preserve">            （生产厂址）</w:t>
      </w:r>
      <w:r>
        <w:rPr>
          <w:rFonts w:hint="eastAsia" w:ascii="宋体" w:hAnsi="宋体" w:eastAsia="宋体" w:cs="宋体"/>
          <w:snapToGrid/>
          <w:color w:val="auto"/>
          <w:spacing w:val="6"/>
          <w:kern w:val="2"/>
          <w:szCs w:val="21"/>
          <w:lang w:eastAsia="zh-CN"/>
        </w:rPr>
        <w:t>。</w:t>
      </w:r>
      <w:r>
        <w:rPr>
          <w:rFonts w:hint="eastAsia" w:ascii="宋体" w:hAnsi="宋体" w:eastAsia="宋体" w:cs="宋体"/>
          <w:snapToGrid/>
          <w:color w:val="auto"/>
          <w:spacing w:val="6"/>
          <w:kern w:val="2"/>
          <w:szCs w:val="21"/>
          <w:u w:val="single"/>
          <w:lang w:eastAsia="zh-CN"/>
        </w:rPr>
        <w:t xml:space="preserve">        （产品名称2）</w:t>
      </w:r>
      <w:r>
        <w:rPr>
          <w:rFonts w:hint="eastAsia" w:ascii="宋体" w:hAnsi="宋体" w:eastAsia="宋体" w:cs="宋体"/>
          <w:snapToGrid/>
          <w:color w:val="auto"/>
          <w:spacing w:val="6"/>
          <w:kern w:val="2"/>
          <w:szCs w:val="21"/>
          <w:lang w:eastAsia="zh-CN"/>
        </w:rPr>
        <w:t>的中国境内生产的组件成本占比≥</w:t>
      </w:r>
      <w:r>
        <w:rPr>
          <w:rFonts w:hint="eastAsia" w:ascii="宋体" w:hAnsi="宋体" w:eastAsia="宋体" w:cs="宋体"/>
          <w:snapToGrid/>
          <w:color w:val="auto"/>
          <w:spacing w:val="6"/>
          <w:kern w:val="2"/>
          <w:szCs w:val="21"/>
          <w:u w:val="single"/>
          <w:lang w:eastAsia="zh-CN"/>
        </w:rPr>
        <w:t>（规定比例）</w:t>
      </w:r>
      <w:r>
        <w:rPr>
          <w:rFonts w:hint="eastAsia" w:ascii="宋体" w:hAnsi="宋体" w:eastAsia="宋体" w:cs="宋体"/>
          <w:snapToGrid/>
          <w:color w:val="auto"/>
          <w:spacing w:val="6"/>
          <w:kern w:val="2"/>
          <w:szCs w:val="21"/>
          <w:lang w:eastAsia="zh-CN"/>
        </w:rPr>
        <w:t>。</w:t>
      </w:r>
      <w:r>
        <w:rPr>
          <w:rFonts w:hint="eastAsia" w:ascii="宋体" w:hAnsi="宋体" w:eastAsia="宋体" w:cs="宋体"/>
          <w:snapToGrid/>
          <w:color w:val="auto"/>
          <w:spacing w:val="6"/>
          <w:kern w:val="2"/>
          <w:szCs w:val="21"/>
          <w:u w:val="single"/>
          <w:lang w:eastAsia="zh-CN"/>
        </w:rPr>
        <w:t xml:space="preserve">        （产品名称2）</w:t>
      </w:r>
      <w:r>
        <w:rPr>
          <w:rFonts w:hint="eastAsia" w:ascii="宋体" w:hAnsi="宋体" w:eastAsia="宋体" w:cs="宋体"/>
          <w:snapToGrid/>
          <w:color w:val="auto"/>
          <w:spacing w:val="6"/>
          <w:kern w:val="2"/>
          <w:szCs w:val="21"/>
          <w:lang w:eastAsia="zh-CN"/>
        </w:rPr>
        <w:t>的</w:t>
      </w:r>
      <w:r>
        <w:rPr>
          <w:rFonts w:hint="eastAsia" w:ascii="宋体" w:hAnsi="宋体" w:eastAsia="宋体" w:cs="宋体"/>
          <w:snapToGrid/>
          <w:color w:val="auto"/>
          <w:spacing w:val="6"/>
          <w:kern w:val="2"/>
          <w:szCs w:val="21"/>
          <w:u w:val="single"/>
          <w:lang w:eastAsia="zh-CN"/>
        </w:rPr>
        <w:t>（关键组件）</w:t>
      </w:r>
      <w:r>
        <w:rPr>
          <w:rFonts w:hint="eastAsia" w:ascii="宋体" w:hAnsi="宋体" w:eastAsia="宋体" w:cs="宋体"/>
          <w:snapToGrid/>
          <w:color w:val="auto"/>
          <w:spacing w:val="6"/>
          <w:kern w:val="2"/>
          <w:szCs w:val="21"/>
          <w:lang w:eastAsia="zh-CN"/>
        </w:rPr>
        <w:t>在中国境内生产。</w:t>
      </w:r>
      <w:r>
        <w:rPr>
          <w:rFonts w:hint="eastAsia" w:ascii="宋体" w:hAnsi="宋体" w:eastAsia="宋体" w:cs="宋体"/>
          <w:snapToGrid/>
          <w:color w:val="auto"/>
          <w:spacing w:val="6"/>
          <w:kern w:val="2"/>
          <w:szCs w:val="21"/>
          <w:u w:val="single"/>
          <w:lang w:eastAsia="zh-CN"/>
        </w:rPr>
        <w:t xml:space="preserve">        （产品名称2）</w:t>
      </w:r>
      <w:r>
        <w:rPr>
          <w:rFonts w:hint="eastAsia" w:ascii="宋体" w:hAnsi="宋体" w:eastAsia="宋体" w:cs="宋体"/>
          <w:snapToGrid/>
          <w:color w:val="auto"/>
          <w:spacing w:val="6"/>
          <w:kern w:val="2"/>
          <w:szCs w:val="21"/>
          <w:lang w:eastAsia="zh-CN"/>
        </w:rPr>
        <w:t>的</w:t>
      </w:r>
      <w:r>
        <w:rPr>
          <w:rFonts w:hint="eastAsia" w:ascii="宋体" w:hAnsi="宋体" w:eastAsia="宋体" w:cs="宋体"/>
          <w:snapToGrid/>
          <w:color w:val="auto"/>
          <w:spacing w:val="6"/>
          <w:kern w:val="2"/>
          <w:szCs w:val="21"/>
          <w:u w:val="single"/>
          <w:lang w:eastAsia="zh-CN"/>
        </w:rPr>
        <w:t>（关键工序）</w:t>
      </w:r>
      <w:r>
        <w:rPr>
          <w:rFonts w:hint="eastAsia" w:ascii="宋体" w:hAnsi="宋体" w:eastAsia="宋体" w:cs="宋体"/>
          <w:snapToGrid/>
          <w:color w:val="auto"/>
          <w:spacing w:val="6"/>
          <w:kern w:val="2"/>
          <w:szCs w:val="21"/>
          <w:lang w:eastAsia="zh-CN"/>
        </w:rPr>
        <w:t>在中国境内完成。</w:t>
      </w:r>
    </w:p>
    <w:p w14:paraId="25086F56">
      <w:pPr>
        <w:widowControl w:val="0"/>
        <w:kinsoku/>
        <w:autoSpaceDE/>
        <w:autoSpaceDN/>
        <w:adjustRightInd/>
        <w:snapToGrid/>
        <w:spacing w:line="460" w:lineRule="exact"/>
        <w:jc w:val="both"/>
        <w:textAlignment w:val="auto"/>
        <w:rPr>
          <w:rFonts w:hint="eastAsia" w:ascii="宋体" w:hAnsi="宋体" w:eastAsia="宋体" w:cs="宋体"/>
          <w:snapToGrid/>
          <w:color w:val="auto"/>
          <w:kern w:val="2"/>
          <w:szCs w:val="21"/>
          <w:lang w:eastAsia="zh-CN"/>
        </w:rPr>
      </w:pPr>
    </w:p>
    <w:p w14:paraId="63F76630">
      <w:pPr>
        <w:widowControl w:val="0"/>
        <w:kinsoku/>
        <w:autoSpaceDE/>
        <w:autoSpaceDN/>
        <w:adjustRightInd/>
        <w:snapToGrid/>
        <w:spacing w:line="460" w:lineRule="exact"/>
        <w:jc w:val="both"/>
        <w:textAlignment w:val="auto"/>
        <w:rPr>
          <w:rFonts w:hint="eastAsia" w:ascii="宋体" w:hAnsi="宋体" w:eastAsia="宋体" w:cs="宋体"/>
          <w:snapToGrid/>
          <w:color w:val="auto"/>
          <w:kern w:val="2"/>
          <w:szCs w:val="21"/>
          <w:lang w:eastAsia="zh-CN"/>
        </w:rPr>
      </w:pPr>
      <w:r>
        <w:rPr>
          <w:rFonts w:hint="eastAsia" w:ascii="宋体" w:hAnsi="宋体" w:eastAsia="宋体" w:cs="宋体"/>
          <w:snapToGrid/>
          <w:color w:val="auto"/>
          <w:kern w:val="2"/>
          <w:szCs w:val="21"/>
          <w:lang w:eastAsia="zh-CN"/>
        </w:rPr>
        <w:t>......</w:t>
      </w:r>
    </w:p>
    <w:p w14:paraId="1643A9F1">
      <w:pPr>
        <w:widowControl w:val="0"/>
        <w:kinsoku/>
        <w:autoSpaceDE/>
        <w:autoSpaceDN/>
        <w:adjustRightInd/>
        <w:snapToGrid/>
        <w:spacing w:line="460" w:lineRule="exact"/>
        <w:jc w:val="both"/>
        <w:textAlignment w:val="auto"/>
        <w:rPr>
          <w:rFonts w:hint="eastAsia" w:ascii="宋体" w:hAnsi="宋体" w:eastAsia="宋体" w:cs="宋体"/>
          <w:snapToGrid/>
          <w:color w:val="auto"/>
          <w:kern w:val="2"/>
          <w:szCs w:val="21"/>
          <w:lang w:eastAsia="zh-CN"/>
        </w:rPr>
      </w:pPr>
    </w:p>
    <w:p w14:paraId="6BC91E1E">
      <w:pPr>
        <w:widowControl w:val="0"/>
        <w:kinsoku/>
        <w:autoSpaceDE/>
        <w:autoSpaceDN/>
        <w:adjustRightInd/>
        <w:snapToGrid/>
        <w:spacing w:line="460" w:lineRule="exact"/>
        <w:ind w:firstLine="420" w:firstLineChars="200"/>
        <w:jc w:val="both"/>
        <w:textAlignment w:val="auto"/>
        <w:rPr>
          <w:rFonts w:hint="eastAsia" w:ascii="宋体" w:hAnsi="宋体" w:eastAsia="宋体" w:cs="宋体"/>
          <w:snapToGrid/>
          <w:color w:val="auto"/>
          <w:kern w:val="2"/>
          <w:szCs w:val="21"/>
          <w:lang w:eastAsia="zh-CN"/>
        </w:rPr>
      </w:pPr>
      <w:r>
        <w:rPr>
          <w:rFonts w:hint="eastAsia" w:ascii="宋体" w:hAnsi="宋体" w:eastAsia="宋体" w:cs="宋体"/>
          <w:snapToGrid/>
          <w:color w:val="auto"/>
          <w:kern w:val="2"/>
          <w:szCs w:val="21"/>
          <w:lang w:eastAsia="zh-CN"/>
        </w:rPr>
        <w:t>本公司（单位）对上述声明内容的真实性负责。如有虚假，愿承担相应法律责任。</w:t>
      </w:r>
    </w:p>
    <w:p w14:paraId="664BE340">
      <w:pPr>
        <w:widowControl w:val="0"/>
        <w:kinsoku/>
        <w:autoSpaceDE/>
        <w:autoSpaceDN/>
        <w:adjustRightInd/>
        <w:snapToGrid/>
        <w:jc w:val="both"/>
        <w:textAlignment w:val="auto"/>
        <w:rPr>
          <w:rFonts w:hint="eastAsia" w:ascii="宋体" w:hAnsi="宋体" w:eastAsia="宋体" w:cs="宋体"/>
          <w:snapToGrid/>
          <w:color w:val="auto"/>
          <w:kern w:val="2"/>
          <w:szCs w:val="21"/>
          <w:lang w:eastAsia="zh-CN"/>
        </w:rPr>
      </w:pPr>
    </w:p>
    <w:p w14:paraId="4D6500FC">
      <w:pPr>
        <w:widowControl w:val="0"/>
        <w:kinsoku/>
        <w:autoSpaceDE/>
        <w:autoSpaceDN/>
        <w:adjustRightInd/>
        <w:snapToGrid/>
        <w:jc w:val="both"/>
        <w:textAlignment w:val="auto"/>
        <w:rPr>
          <w:rFonts w:hint="eastAsia" w:ascii="宋体" w:hAnsi="宋体" w:eastAsia="宋体" w:cs="宋体"/>
          <w:snapToGrid/>
          <w:color w:val="auto"/>
          <w:kern w:val="2"/>
          <w:szCs w:val="21"/>
          <w:lang w:eastAsia="zh-CN"/>
        </w:rPr>
      </w:pPr>
    </w:p>
    <w:p w14:paraId="4C6ABA48">
      <w:pPr>
        <w:widowControl w:val="0"/>
        <w:kinsoku/>
        <w:autoSpaceDE/>
        <w:autoSpaceDN/>
        <w:adjustRightInd/>
        <w:snapToGrid/>
        <w:jc w:val="both"/>
        <w:textAlignment w:val="auto"/>
        <w:rPr>
          <w:rFonts w:hint="eastAsia" w:ascii="宋体" w:hAnsi="宋体" w:eastAsia="宋体" w:cs="宋体"/>
          <w:snapToGrid/>
          <w:color w:val="auto"/>
          <w:kern w:val="2"/>
          <w:szCs w:val="21"/>
          <w:lang w:eastAsia="zh-CN"/>
        </w:rPr>
      </w:pPr>
    </w:p>
    <w:p w14:paraId="32301665">
      <w:pPr>
        <w:widowControl w:val="0"/>
        <w:spacing w:before="0" w:beforeAutospacing="0" w:after="0" w:afterAutospacing="0" w:line="360" w:lineRule="auto"/>
        <w:ind w:left="0" w:right="0"/>
        <w:jc w:val="center"/>
        <w:rPr>
          <w:rFonts w:hint="eastAsia" w:ascii="宋体" w:hAnsi="宋体" w:eastAsia="宋体" w:cs="宋体"/>
          <w:b/>
          <w:color w:val="auto"/>
          <w:kern w:val="0"/>
          <w:sz w:val="21"/>
          <w:szCs w:val="21"/>
          <w:lang w:val="en-US" w:eastAsia="zh-CN" w:bidi="ar"/>
        </w:rPr>
      </w:pPr>
      <w:r>
        <w:rPr>
          <w:rFonts w:hint="eastAsia" w:ascii="宋体" w:hAnsi="宋体" w:eastAsia="宋体" w:cs="宋体"/>
          <w:b/>
          <w:color w:val="auto"/>
          <w:kern w:val="0"/>
          <w:sz w:val="21"/>
          <w:szCs w:val="21"/>
          <w:lang w:val="en-US" w:eastAsia="zh-CN" w:bidi="ar"/>
        </w:rPr>
        <w:t xml:space="preserve">                 企业名称公章（电子签章）：</w:t>
      </w:r>
      <w:r>
        <w:rPr>
          <w:rFonts w:hint="eastAsia" w:ascii="宋体" w:hAnsi="宋体" w:eastAsia="宋体" w:cs="宋体"/>
          <w:b/>
          <w:color w:val="auto"/>
          <w:kern w:val="0"/>
          <w:sz w:val="21"/>
          <w:szCs w:val="21"/>
          <w:u w:val="single"/>
          <w:lang w:val="en-US" w:eastAsia="zh-CN" w:bidi="ar"/>
        </w:rPr>
        <w:t xml:space="preserve">              </w:t>
      </w:r>
      <w:r>
        <w:rPr>
          <w:rFonts w:hint="eastAsia" w:ascii="宋体" w:hAnsi="宋体" w:eastAsia="宋体" w:cs="宋体"/>
          <w:b/>
          <w:color w:val="auto"/>
          <w:kern w:val="0"/>
          <w:sz w:val="21"/>
          <w:szCs w:val="21"/>
          <w:lang w:val="en-US" w:eastAsia="zh-CN" w:bidi="ar"/>
        </w:rPr>
        <w:t xml:space="preserve">   </w:t>
      </w:r>
    </w:p>
    <w:p w14:paraId="6AC51EA3">
      <w:pPr>
        <w:widowControl w:val="0"/>
        <w:autoSpaceDE w:val="0"/>
        <w:autoSpaceDN w:val="0"/>
        <w:adjustRightInd w:val="0"/>
        <w:spacing w:line="360" w:lineRule="auto"/>
        <w:ind w:firstLine="4427" w:firstLineChars="2100"/>
        <w:jc w:val="both"/>
        <w:rPr>
          <w:rFonts w:hint="eastAsia" w:ascii="宋体" w:hAnsi="宋体" w:eastAsia="宋体" w:cs="宋体"/>
          <w:b/>
          <w:color w:val="auto"/>
          <w:sz w:val="21"/>
          <w:szCs w:val="21"/>
          <w:lang w:val="en-US" w:eastAsia="zh-CN" w:bidi="ar-SA"/>
        </w:rPr>
      </w:pPr>
      <w:r>
        <w:rPr>
          <w:rFonts w:hint="eastAsia" w:ascii="宋体" w:hAnsi="宋体" w:eastAsia="宋体" w:cs="宋体"/>
          <w:b/>
          <w:bCs/>
          <w:color w:val="auto"/>
          <w:sz w:val="21"/>
          <w:szCs w:val="21"/>
          <w:lang w:val="en-US" w:eastAsia="zh-CN" w:bidi="ar-SA"/>
        </w:rPr>
        <w:t>日期：</w:t>
      </w:r>
      <w:r>
        <w:rPr>
          <w:rFonts w:hint="eastAsia" w:ascii="宋体" w:hAnsi="宋体" w:eastAsia="宋体" w:cs="宋体"/>
          <w:b/>
          <w:bCs/>
          <w:color w:val="auto"/>
          <w:sz w:val="21"/>
          <w:szCs w:val="21"/>
          <w:u w:val="single"/>
          <w:lang w:val="en-US" w:eastAsia="zh-CN" w:bidi="ar-SA"/>
        </w:rPr>
        <w:t xml:space="preserve">                   </w:t>
      </w:r>
      <w:r>
        <w:rPr>
          <w:rFonts w:hint="eastAsia" w:ascii="宋体" w:hAnsi="宋体" w:eastAsia="宋体" w:cs="宋体"/>
          <w:b/>
          <w:color w:val="auto"/>
          <w:sz w:val="21"/>
          <w:szCs w:val="21"/>
          <w:lang w:val="en-US" w:eastAsia="zh-CN" w:bidi="ar-SA"/>
        </w:rPr>
        <w:t> </w:t>
      </w:r>
    </w:p>
    <w:p w14:paraId="1081E379">
      <w:pPr>
        <w:widowControl w:val="0"/>
        <w:kinsoku/>
        <w:autoSpaceDE/>
        <w:autoSpaceDN/>
        <w:adjustRightInd/>
        <w:snapToGrid/>
        <w:spacing w:line="360" w:lineRule="auto"/>
        <w:ind w:firstLine="562" w:firstLineChars="200"/>
        <w:jc w:val="both"/>
        <w:textAlignment w:val="auto"/>
        <w:rPr>
          <w:rFonts w:hint="eastAsia" w:ascii="宋体" w:hAnsi="宋体" w:eastAsia="宋体" w:cs="宋体"/>
          <w:b/>
          <w:snapToGrid/>
          <w:color w:val="auto"/>
          <w:kern w:val="2"/>
          <w:sz w:val="28"/>
          <w:szCs w:val="28"/>
          <w:lang w:eastAsia="zh-CN"/>
        </w:rPr>
      </w:pPr>
    </w:p>
    <w:p w14:paraId="1FF0EE26">
      <w:pPr>
        <w:widowControl w:val="0"/>
        <w:kinsoku/>
        <w:autoSpaceDE/>
        <w:autoSpaceDN/>
        <w:adjustRightInd/>
        <w:snapToGrid/>
        <w:spacing w:line="360" w:lineRule="auto"/>
        <w:ind w:firstLine="422" w:firstLineChars="200"/>
        <w:jc w:val="both"/>
        <w:textAlignment w:val="auto"/>
        <w:rPr>
          <w:rFonts w:hint="eastAsia" w:ascii="宋体" w:hAnsi="宋体" w:eastAsia="宋体" w:cs="宋体"/>
          <w:b/>
          <w:snapToGrid/>
          <w:color w:val="auto"/>
          <w:kern w:val="2"/>
          <w:szCs w:val="21"/>
          <w:lang w:eastAsia="zh-CN"/>
        </w:rPr>
      </w:pPr>
      <w:r>
        <w:rPr>
          <w:rFonts w:hint="eastAsia" w:ascii="宋体" w:hAnsi="宋体" w:eastAsia="宋体" w:cs="宋体"/>
          <w:b/>
          <w:snapToGrid/>
          <w:color w:val="auto"/>
          <w:kern w:val="2"/>
          <w:szCs w:val="21"/>
          <w:lang w:eastAsia="zh-CN"/>
        </w:rPr>
        <w:t>注：供应商须按</w:t>
      </w:r>
      <w:r>
        <w:rPr>
          <w:rFonts w:hint="eastAsia" w:ascii="宋体" w:hAnsi="宋体" w:eastAsia="宋体" w:cs="宋体"/>
          <w:b/>
          <w:snapToGrid/>
          <w:color w:val="auto"/>
          <w:spacing w:val="6"/>
          <w:kern w:val="2"/>
          <w:szCs w:val="21"/>
          <w:lang w:eastAsia="zh-CN"/>
        </w:rPr>
        <w:t>《国务院办公厅关于在政府采购中实施本国产品标准及相关政策的通知》（国办发〔2025〕34号）的规定</w:t>
      </w:r>
      <w:r>
        <w:rPr>
          <w:rFonts w:hint="eastAsia" w:ascii="宋体" w:hAnsi="宋体" w:eastAsia="宋体" w:cs="宋体"/>
          <w:b/>
          <w:snapToGrid/>
          <w:color w:val="auto"/>
          <w:kern w:val="2"/>
          <w:szCs w:val="21"/>
          <w:lang w:eastAsia="zh-CN"/>
        </w:rPr>
        <w:t>要求填写。</w:t>
      </w:r>
    </w:p>
    <w:p w14:paraId="4D43871D">
      <w:pPr>
        <w:pStyle w:val="11"/>
        <w:pageBreakBefore w:val="0"/>
        <w:overflowPunct/>
        <w:topLinePunct w:val="0"/>
        <w:bidi w:val="0"/>
        <w:spacing w:line="400" w:lineRule="exact"/>
        <w:rPr>
          <w:rFonts w:hint="eastAsia" w:ascii="宋体" w:hAnsi="宋体" w:eastAsia="宋体" w:cs="宋体"/>
          <w:b/>
          <w:color w:val="auto"/>
          <w:kern w:val="0"/>
          <w:sz w:val="32"/>
          <w:lang w:val="en-US" w:eastAsia="zh-CN"/>
        </w:rPr>
        <w:sectPr>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p w14:paraId="2A3CCC91">
      <w:pPr>
        <w:pStyle w:val="11"/>
        <w:pageBreakBefore w:val="0"/>
        <w:overflowPunct/>
        <w:topLinePunct w:val="0"/>
        <w:bidi w:val="0"/>
        <w:spacing w:line="400" w:lineRule="exact"/>
        <w:rPr>
          <w:rFonts w:hint="eastAsia" w:ascii="宋体" w:hAnsi="宋体" w:eastAsia="宋体" w:cs="宋体"/>
          <w:color w:val="auto"/>
        </w:rPr>
      </w:pPr>
      <w:r>
        <w:rPr>
          <w:rFonts w:hint="eastAsia" w:hAnsi="宋体" w:eastAsia="宋体" w:cs="宋体"/>
          <w:b/>
          <w:color w:val="auto"/>
          <w:kern w:val="0"/>
          <w:sz w:val="32"/>
          <w:lang w:val="en-US" w:eastAsia="zh-CN"/>
        </w:rPr>
        <w:t>5</w:t>
      </w:r>
      <w:r>
        <w:rPr>
          <w:rFonts w:hint="eastAsia" w:ascii="宋体" w:hAnsi="宋体" w:eastAsia="宋体" w:cs="宋体"/>
          <w:b/>
          <w:color w:val="auto"/>
          <w:kern w:val="0"/>
          <w:sz w:val="32"/>
          <w:lang w:val="en-US" w:eastAsia="zh-CN"/>
        </w:rPr>
        <w:t>.节能方面的证书扫描件（如有，请提供）</w:t>
      </w:r>
    </w:p>
    <w:p w14:paraId="26329415">
      <w:pPr>
        <w:pageBreakBefore w:val="0"/>
        <w:overflowPunct/>
        <w:topLinePunct w:val="0"/>
        <w:bidi w:val="0"/>
        <w:spacing w:line="400" w:lineRule="exact"/>
        <w:rPr>
          <w:rFonts w:hint="eastAsia" w:ascii="宋体" w:hAnsi="宋体" w:eastAsia="宋体" w:cs="宋体"/>
          <w:color w:val="auto"/>
          <w:sz w:val="21"/>
        </w:rPr>
      </w:pPr>
    </w:p>
    <w:p w14:paraId="43622019">
      <w:pPr>
        <w:pageBreakBefore w:val="0"/>
        <w:overflowPunct/>
        <w:topLinePunct w:val="0"/>
        <w:bidi w:val="0"/>
        <w:spacing w:line="400" w:lineRule="exact"/>
        <w:rPr>
          <w:rFonts w:hint="eastAsia" w:ascii="宋体" w:hAnsi="宋体" w:eastAsia="宋体" w:cs="宋体"/>
          <w:color w:val="auto"/>
          <w:sz w:val="21"/>
        </w:rPr>
      </w:pPr>
    </w:p>
    <w:p w14:paraId="5445FD39">
      <w:pPr>
        <w:pageBreakBefore w:val="0"/>
        <w:overflowPunct/>
        <w:topLinePunct w:val="0"/>
        <w:bidi w:val="0"/>
        <w:spacing w:line="400" w:lineRule="exact"/>
        <w:rPr>
          <w:rFonts w:hint="eastAsia" w:ascii="宋体" w:hAnsi="宋体" w:eastAsia="宋体" w:cs="宋体"/>
          <w:color w:val="auto"/>
          <w:sz w:val="21"/>
        </w:rPr>
      </w:pPr>
    </w:p>
    <w:p w14:paraId="563CD82F">
      <w:pPr>
        <w:pageBreakBefore w:val="0"/>
        <w:overflowPunct/>
        <w:topLinePunct w:val="0"/>
        <w:bidi w:val="0"/>
        <w:spacing w:line="400" w:lineRule="exact"/>
        <w:rPr>
          <w:rFonts w:hint="eastAsia" w:ascii="宋体" w:hAnsi="宋体" w:eastAsia="宋体" w:cs="宋体"/>
          <w:color w:val="auto"/>
          <w:sz w:val="21"/>
        </w:rPr>
      </w:pPr>
    </w:p>
    <w:p w14:paraId="7AB61DF4">
      <w:pPr>
        <w:pageBreakBefore w:val="0"/>
        <w:overflowPunct/>
        <w:topLinePunct w:val="0"/>
        <w:bidi w:val="0"/>
        <w:spacing w:line="400" w:lineRule="exact"/>
        <w:rPr>
          <w:rFonts w:hint="eastAsia" w:ascii="宋体" w:hAnsi="宋体" w:eastAsia="宋体" w:cs="宋体"/>
          <w:color w:val="auto"/>
          <w:sz w:val="21"/>
        </w:rPr>
      </w:pPr>
    </w:p>
    <w:p w14:paraId="37F8AD8E">
      <w:pPr>
        <w:pageBreakBefore w:val="0"/>
        <w:overflowPunct/>
        <w:topLinePunct w:val="0"/>
        <w:bidi w:val="0"/>
        <w:spacing w:line="400" w:lineRule="exact"/>
        <w:rPr>
          <w:rFonts w:hint="eastAsia" w:ascii="宋体" w:hAnsi="宋体" w:eastAsia="宋体" w:cs="宋体"/>
          <w:color w:val="auto"/>
          <w:sz w:val="21"/>
        </w:rPr>
      </w:pPr>
    </w:p>
    <w:p w14:paraId="4D1E6579">
      <w:pPr>
        <w:pageBreakBefore w:val="0"/>
        <w:overflowPunct/>
        <w:topLinePunct w:val="0"/>
        <w:bidi w:val="0"/>
        <w:spacing w:line="400" w:lineRule="exact"/>
        <w:rPr>
          <w:rFonts w:hint="eastAsia" w:ascii="宋体" w:hAnsi="宋体" w:eastAsia="宋体" w:cs="宋体"/>
          <w:color w:val="auto"/>
          <w:sz w:val="21"/>
        </w:rPr>
      </w:pPr>
    </w:p>
    <w:p w14:paraId="00D806CB">
      <w:pPr>
        <w:pStyle w:val="11"/>
        <w:pageBreakBefore w:val="0"/>
        <w:overflowPunct/>
        <w:topLinePunct w:val="0"/>
        <w:bidi w:val="0"/>
        <w:spacing w:line="400" w:lineRule="exact"/>
        <w:rPr>
          <w:rFonts w:hint="eastAsia" w:ascii="宋体" w:hAnsi="宋体" w:eastAsia="宋体" w:cs="宋体"/>
          <w:b/>
          <w:color w:val="auto"/>
          <w:kern w:val="0"/>
          <w:sz w:val="32"/>
          <w:lang w:val="en-US" w:eastAsia="zh-CN"/>
        </w:rPr>
      </w:pPr>
      <w:r>
        <w:rPr>
          <w:rFonts w:hint="eastAsia" w:hAnsi="宋体" w:eastAsia="宋体" w:cs="宋体"/>
          <w:b/>
          <w:color w:val="auto"/>
          <w:kern w:val="0"/>
          <w:sz w:val="32"/>
          <w:lang w:val="en-US" w:eastAsia="zh-CN"/>
        </w:rPr>
        <w:t>6</w:t>
      </w:r>
      <w:r>
        <w:rPr>
          <w:rFonts w:hint="eastAsia" w:ascii="宋体" w:hAnsi="宋体" w:eastAsia="宋体" w:cs="宋体"/>
          <w:b/>
          <w:color w:val="auto"/>
          <w:kern w:val="0"/>
          <w:sz w:val="32"/>
          <w:lang w:val="en-US" w:eastAsia="zh-CN"/>
        </w:rPr>
        <w:t>.环境标志方面的证书扫描件（如有，请提供）</w:t>
      </w:r>
    </w:p>
    <w:p w14:paraId="651DF320">
      <w:pPr>
        <w:pStyle w:val="6"/>
        <w:pageBreakBefore w:val="0"/>
        <w:overflowPunct/>
        <w:topLinePunct w:val="0"/>
        <w:bidi w:val="0"/>
        <w:spacing w:line="400" w:lineRule="exact"/>
        <w:rPr>
          <w:rFonts w:hint="eastAsia" w:ascii="宋体" w:hAnsi="宋体" w:eastAsia="宋体" w:cs="宋体"/>
          <w:b/>
          <w:bCs/>
          <w:color w:val="auto"/>
          <w:kern w:val="0"/>
          <w:sz w:val="32"/>
          <w:szCs w:val="32"/>
          <w:lang w:val="en-US" w:eastAsia="zh-CN"/>
        </w:rPr>
      </w:pPr>
    </w:p>
    <w:p w14:paraId="223FF1A4">
      <w:pPr>
        <w:pageBreakBefore w:val="0"/>
        <w:overflowPunct/>
        <w:topLinePunct w:val="0"/>
        <w:bidi w:val="0"/>
        <w:spacing w:line="400" w:lineRule="exact"/>
        <w:rPr>
          <w:rFonts w:hint="eastAsia" w:ascii="宋体" w:hAnsi="宋体" w:eastAsia="宋体" w:cs="宋体"/>
          <w:b/>
          <w:bCs/>
          <w:color w:val="auto"/>
          <w:kern w:val="0"/>
          <w:sz w:val="32"/>
          <w:szCs w:val="32"/>
          <w:lang w:val="en-US" w:eastAsia="zh-CN"/>
        </w:rPr>
      </w:pPr>
    </w:p>
    <w:p w14:paraId="71312FA9">
      <w:pPr>
        <w:pageBreakBefore w:val="0"/>
        <w:overflowPunct/>
        <w:topLinePunct w:val="0"/>
        <w:bidi w:val="0"/>
        <w:spacing w:line="400" w:lineRule="exact"/>
        <w:rPr>
          <w:rFonts w:hint="eastAsia" w:ascii="宋体" w:hAnsi="宋体" w:eastAsia="宋体" w:cs="宋体"/>
          <w:color w:val="auto"/>
        </w:rPr>
      </w:pPr>
    </w:p>
    <w:p w14:paraId="11AE84EA">
      <w:pPr>
        <w:pageBreakBefore w:val="0"/>
        <w:tabs>
          <w:tab w:val="left" w:pos="4860"/>
        </w:tabs>
        <w:overflowPunct/>
        <w:topLinePunct w:val="0"/>
        <w:bidi w:val="0"/>
        <w:spacing w:line="400" w:lineRule="exact"/>
        <w:ind w:right="1560" w:firstLine="643" w:firstLineChars="200"/>
        <w:jc w:val="center"/>
        <w:rPr>
          <w:rFonts w:hint="eastAsia" w:ascii="宋体" w:hAnsi="宋体" w:eastAsia="宋体" w:cs="宋体"/>
          <w:b/>
          <w:bCs/>
          <w:color w:val="auto"/>
          <w:kern w:val="0"/>
          <w:sz w:val="32"/>
          <w:szCs w:val="32"/>
        </w:rPr>
      </w:pPr>
    </w:p>
    <w:p w14:paraId="4D513865">
      <w:pPr>
        <w:pageBreakBefore w:val="0"/>
        <w:tabs>
          <w:tab w:val="left" w:pos="4860"/>
        </w:tabs>
        <w:overflowPunct/>
        <w:topLinePunct w:val="0"/>
        <w:bidi w:val="0"/>
        <w:spacing w:line="400" w:lineRule="exact"/>
        <w:ind w:right="1560" w:firstLine="643" w:firstLineChars="200"/>
        <w:jc w:val="center"/>
        <w:rPr>
          <w:rFonts w:hint="eastAsia" w:ascii="宋体" w:hAnsi="宋体" w:eastAsia="宋体" w:cs="宋体"/>
          <w:b/>
          <w:bCs/>
          <w:color w:val="auto"/>
          <w:kern w:val="0"/>
          <w:sz w:val="32"/>
          <w:szCs w:val="32"/>
        </w:rPr>
      </w:pPr>
    </w:p>
    <w:p w14:paraId="2A184D93">
      <w:pPr>
        <w:pageBreakBefore w:val="0"/>
        <w:tabs>
          <w:tab w:val="left" w:pos="4860"/>
        </w:tabs>
        <w:overflowPunct/>
        <w:topLinePunct w:val="0"/>
        <w:bidi w:val="0"/>
        <w:spacing w:line="400" w:lineRule="exact"/>
        <w:rPr>
          <w:rFonts w:hint="eastAsia" w:ascii="宋体" w:hAnsi="宋体" w:eastAsia="宋体" w:cs="宋体"/>
          <w:color w:val="auto"/>
          <w:kern w:val="0"/>
          <w:sz w:val="30"/>
          <w:szCs w:val="30"/>
        </w:rPr>
      </w:pPr>
      <w:r>
        <w:rPr>
          <w:rFonts w:hint="eastAsia" w:ascii="宋体" w:hAnsi="宋体" w:eastAsia="宋体" w:cs="宋体"/>
          <w:b/>
          <w:bCs/>
          <w:color w:val="auto"/>
          <w:kern w:val="0"/>
          <w:sz w:val="32"/>
          <w:szCs w:val="32"/>
          <w:lang w:val="en-US" w:eastAsia="zh-CN"/>
        </w:rPr>
        <w:t>7</w:t>
      </w:r>
      <w:r>
        <w:rPr>
          <w:rFonts w:hint="eastAsia" w:ascii="宋体" w:hAnsi="宋体" w:eastAsia="宋体" w:cs="宋体"/>
          <w:b/>
          <w:bCs/>
          <w:color w:val="auto"/>
          <w:kern w:val="0"/>
          <w:sz w:val="32"/>
          <w:szCs w:val="32"/>
        </w:rPr>
        <w:t>.供应商可结合本项目的评审办法视自身情况自行提交相关证明材料（如有，请提供）</w:t>
      </w:r>
    </w:p>
    <w:p w14:paraId="444B523F">
      <w:pPr>
        <w:pageBreakBefore w:val="0"/>
        <w:tabs>
          <w:tab w:val="left" w:pos="4860"/>
        </w:tabs>
        <w:overflowPunct/>
        <w:topLinePunct w:val="0"/>
        <w:bidi w:val="0"/>
        <w:spacing w:line="400" w:lineRule="exact"/>
        <w:rPr>
          <w:rFonts w:hint="eastAsia" w:ascii="宋体" w:hAnsi="宋体" w:eastAsia="宋体" w:cs="宋体"/>
          <w:color w:val="auto"/>
          <w:kern w:val="0"/>
          <w:sz w:val="30"/>
          <w:szCs w:val="30"/>
        </w:rPr>
      </w:pPr>
    </w:p>
    <w:p w14:paraId="31C82A15">
      <w:pPr>
        <w:pageBreakBefore w:val="0"/>
        <w:widowControl w:val="0"/>
        <w:overflowPunct/>
        <w:topLinePunct w:val="0"/>
        <w:bidi w:val="0"/>
        <w:spacing w:line="400" w:lineRule="exact"/>
        <w:rPr>
          <w:rFonts w:hint="eastAsia" w:ascii="宋体" w:hAnsi="宋体" w:eastAsia="宋体" w:cs="宋体"/>
          <w:color w:val="auto"/>
          <w:sz w:val="31"/>
          <w:szCs w:val="31"/>
          <w:highlight w:val="none"/>
          <w:lang w:eastAsia="zh-CN"/>
        </w:rPr>
      </w:pPr>
    </w:p>
    <w:sectPr>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2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B39EB3">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27741">
    <w:pPr>
      <w:pStyle w:val="1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ABD58F">
                          <w:pPr>
                            <w:pStyle w:val="1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xmuc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OrK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PWxmuctAgAAVwQAAA4AAAAAAAAAAQAgAAAAHwEAAGRycy9lMm9Eb2MueG1sUEsFBgAAAAAG&#10;AAYAWQEAAL4FAAAAAA==&#10;">
              <v:fill on="f" focussize="0,0"/>
              <v:stroke on="f" weight="0.5pt"/>
              <v:imagedata o:title=""/>
              <o:lock v:ext="edit" aspectratio="f"/>
              <v:textbox inset="0mm,0mm,0mm,0mm" style="mso-fit-shape-to-text:t;">
                <w:txbxContent>
                  <w:p w14:paraId="5EABD58F">
                    <w:pPr>
                      <w:pStyle w:val="1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4BDE2">
    <w:pPr>
      <w:pStyle w:val="12"/>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7078CD">
                          <w:pPr>
                            <w:pStyle w:val="12"/>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38yactAgAAV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F38yactAgAAVwQAAA4AAAAAAAAAAQAgAAAAHwEAAGRycy9lMm9Eb2MueG1sUEsFBgAAAAAG&#10;AAYAWQEAAL4FAAAAAA==&#10;">
              <v:fill on="f" focussize="0,0"/>
              <v:stroke on="f" weight="0.5pt"/>
              <v:imagedata o:title=""/>
              <o:lock v:ext="edit" aspectratio="f"/>
              <v:textbox inset="0mm,0mm,0mm,0mm" style="mso-fit-shape-to-text:t;">
                <w:txbxContent>
                  <w:p w14:paraId="4D7078CD">
                    <w:pPr>
                      <w:pStyle w:val="12"/>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E0F4C">
    <w:pPr>
      <w:pStyle w:val="12"/>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ADCC89">
                          <w:pPr>
                            <w:pStyle w:val="12"/>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QaAL0tAgAAVwQAAA4AAABkcnMvZTJvRG9jLnhtbK1UzY7TMBC+I/EO&#10;lu80aRd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pkQzhYqfvn87&#10;/fh1+vmV4AwCtdbPEPdgERm6t6ZD2wznHoeRd1c5Fb9gROCHvMeLvKILhMdL08l0msPF4Rs2wM8e&#10;r1vnwzthFIlGQR3ql2Rlh40PfegQErNps26kTDWUmrQFvb56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QaAL0tAgAAVwQAAA4AAAAAAAAAAQAgAAAAHwEAAGRycy9lMm9Eb2MueG1sUEsFBgAAAAAG&#10;AAYAWQEAAL4FAAAAAA==&#10;">
              <v:fill on="f" focussize="0,0"/>
              <v:stroke on="f" weight="0.5pt"/>
              <v:imagedata o:title=""/>
              <o:lock v:ext="edit" aspectratio="f"/>
              <v:textbox inset="0mm,0mm,0mm,0mm" style="mso-fit-shape-to-text:t;">
                <w:txbxContent>
                  <w:p w14:paraId="06ADCC89">
                    <w:pPr>
                      <w:pStyle w:val="12"/>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3BB86">
    <w:pPr>
      <w:pStyle w:val="12"/>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1A25FA">
                          <w:pPr>
                            <w:pStyle w:val="12"/>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OxXU/0tAgAAVwQAAA4AAAAAAAAAAQAgAAAAHwEAAGRycy9lMm9Eb2MueG1sUEsFBgAAAAAG&#10;AAYAWQEAAL4FAAAAAA==&#10;">
              <v:fill on="f" focussize="0,0"/>
              <v:stroke on="f" weight="0.5pt"/>
              <v:imagedata o:title=""/>
              <o:lock v:ext="edit" aspectratio="f"/>
              <v:textbox inset="0mm,0mm,0mm,0mm" style="mso-fit-shape-to-text:t;">
                <w:txbxContent>
                  <w:p w14:paraId="6E1A25FA">
                    <w:pPr>
                      <w:pStyle w:val="12"/>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F06BD">
    <w:pPr>
      <w:pStyle w:val="12"/>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7D8D4A">
                          <w:pPr>
                            <w:pStyle w:val="12"/>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SBpj0tAgAAV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BSBpj0tAgAAVwQAAA4AAAAAAAAAAQAgAAAAHwEAAGRycy9lMm9Eb2MueG1sUEsFBgAAAAAG&#10;AAYAWQEAAL4FAAAAAA==&#10;">
              <v:fill on="f" focussize="0,0"/>
              <v:stroke on="f" weight="0.5pt"/>
              <v:imagedata o:title=""/>
              <o:lock v:ext="edit" aspectratio="f"/>
              <v:textbox inset="0mm,0mm,0mm,0mm" style="mso-fit-shape-to-text:t;">
                <w:txbxContent>
                  <w:p w14:paraId="047D8D4A">
                    <w:pPr>
                      <w:pStyle w:val="12"/>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078E9">
    <w:pPr>
      <w:pStyle w:val="12"/>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8AF2B0">
                          <w:pPr>
                            <w:pStyle w:val="12"/>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zM9X0tAgAAVwQAAA4AAABkcnMvZTJvRG9jLnhtbK1UzY7TMBC+I/EO&#10;lu80aVcs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b56n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LzM9X0tAgAAVwQAAA4AAAAAAAAAAQAgAAAAHwEAAGRycy9lMm9Eb2MueG1sUEsFBgAAAAAG&#10;AAYAWQEAAL4FAAAAAA==&#10;">
              <v:fill on="f" focussize="0,0"/>
              <v:stroke on="f" weight="0.5pt"/>
              <v:imagedata o:title=""/>
              <o:lock v:ext="edit" aspectratio="f"/>
              <v:textbox inset="0mm,0mm,0mm,0mm" style="mso-fit-shape-to-text:t;">
                <w:txbxContent>
                  <w:p w14:paraId="118AF2B0">
                    <w:pPr>
                      <w:pStyle w:val="12"/>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1FF59">
    <w:pPr>
      <w:pStyle w:val="12"/>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6D1422">
                          <w:pPr>
                            <w:pStyle w:val="12"/>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4AZkgtAgAAVwQAAA4AAABkcnMvZTJvRG9jLnhtbK1UzY7TMBC+I/EO&#10;lu80aVesSt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b56n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I4AZkgtAgAAVwQAAA4AAAAAAAAAAQAgAAAAHwEAAGRycy9lMm9Eb2MueG1sUEsFBgAAAAAG&#10;AAYAWQEAAL4FAAAAAA==&#10;">
              <v:fill on="f" focussize="0,0"/>
              <v:stroke on="f" weight="0.5pt"/>
              <v:imagedata o:title=""/>
              <o:lock v:ext="edit" aspectratio="f"/>
              <v:textbox inset="0mm,0mm,0mm,0mm" style="mso-fit-shape-to-text:t;">
                <w:txbxContent>
                  <w:p w14:paraId="5E6D1422">
                    <w:pPr>
                      <w:pStyle w:val="12"/>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4DFAA">
    <w:pPr>
      <w:pStyle w:val="12"/>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4AEE82">
                          <w:pPr>
                            <w:pStyle w:val="12"/>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NLTQM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BJJopVPz04/vp&#10;58Pp1zeCMwjUWj9D3L1FZOjemQ5tM5x7HEbeXeVU/IIRgR9Yx4u8oguEx0vTyXSaw8XhGzbAzx6v&#10;W+fDe2EUiUZBHeqXZGWHjQ996BASs2mzbqRMNZSatAW9ev02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0tNAywCAABXBAAADgAAAAAAAAABACAAAAAfAQAAZHJzL2Uyb0RvYy54bWxQSwUGAAAAAAYA&#10;BgBZAQAAvQUAAAAA&#10;">
              <v:fill on="f" focussize="0,0"/>
              <v:stroke on="f" weight="0.5pt"/>
              <v:imagedata o:title=""/>
              <o:lock v:ext="edit" aspectratio="f"/>
              <v:textbox inset="0mm,0mm,0mm,0mm" style="mso-fit-shape-to-text:t;">
                <w:txbxContent>
                  <w:p w14:paraId="4B4AEE82">
                    <w:pPr>
                      <w:pStyle w:val="12"/>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2EE2C">
    <w:pPr>
      <w:pStyle w:val="12"/>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009CF6">
                          <w:pPr>
                            <w:pStyle w:val="12"/>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duMMtAgAAVwQAAA4AAABkcnMvZTJvRG9jLnhtbK1UzY7TMBC+I/EO&#10;lu80aRd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okQzhYqfvn87&#10;/fh1+vmV4AwCtdbPEPdgERm6t6ZD2wznHoeRd1c5Fb9gROCHvMeLvKILhMdL08l0msPF4Rs2wM8e&#10;r1vnwzthFIlGQR3ql2Rlh40PfegQErNps26kTDWUmrQFvb56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uduMMtAgAAVwQAAA4AAAAAAAAAAQAgAAAAHwEAAGRycy9lMm9Eb2MueG1sUEsFBgAAAAAG&#10;AAYAWQEAAL4FAAAAAA==&#10;">
              <v:fill on="f" focussize="0,0"/>
              <v:stroke on="f" weight="0.5pt"/>
              <v:imagedata o:title=""/>
              <o:lock v:ext="edit" aspectratio="f"/>
              <v:textbox inset="0mm,0mm,0mm,0mm" style="mso-fit-shape-to-text:t;">
                <w:txbxContent>
                  <w:p w14:paraId="3F009CF6">
                    <w:pPr>
                      <w:pStyle w:val="12"/>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97600">
    <w:pPr>
      <w:pStyle w:val="12"/>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4CEFF3">
                          <w:pPr>
                            <w:pStyle w:val="12"/>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J7cdktAgAAV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J7cdktAgAAVwQAAA4AAAAAAAAAAQAgAAAAHwEAAGRycy9lMm9Eb2MueG1sUEsFBgAAAAAG&#10;AAYAWQEAAL4FAAAAAA==&#10;">
              <v:fill on="f" focussize="0,0"/>
              <v:stroke on="f" weight="0.5pt"/>
              <v:imagedata o:title=""/>
              <o:lock v:ext="edit" aspectratio="f"/>
              <v:textbox inset="0mm,0mm,0mm,0mm" style="mso-fit-shape-to-text:t;">
                <w:txbxContent>
                  <w:p w14:paraId="7E4CEFF3">
                    <w:pPr>
                      <w:pStyle w:val="12"/>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C096D">
    <w:pPr>
      <w:pStyle w:val="12"/>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AB146F">
                          <w:pPr>
                            <w:pStyle w:val="12"/>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o2IpktAgAAV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o2IpktAgAAVwQAAA4AAAAAAAAAAQAgAAAAHwEAAGRycy9lMm9Eb2MueG1sUEsFBgAAAAAG&#10;AAYAWQEAAL4FAAAAAA==&#10;">
              <v:fill on="f" focussize="0,0"/>
              <v:stroke on="f" weight="0.5pt"/>
              <v:imagedata o:title=""/>
              <o:lock v:ext="edit" aspectratio="f"/>
              <v:textbox inset="0mm,0mm,0mm,0mm" style="mso-fit-shape-to-text:t;">
                <w:txbxContent>
                  <w:p w14:paraId="3DAB146F">
                    <w:pPr>
                      <w:pStyle w:val="12"/>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8B4B1">
    <w:pPr>
      <w:pStyle w:val="12"/>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F87520">
                          <w:pPr>
                            <w:pStyle w:val="12"/>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Lg11ktAgAAV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6DbLwlbvLI/Q&#10;UTxvV8cAAVtdoyidEr1W6Le2Mv1sxIb+c99GPf4Pl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Lg11ktAgAAVwQAAA4AAAAAAAAAAQAgAAAAHwEAAGRycy9lMm9Eb2MueG1sUEsFBgAAAAAG&#10;AAYAWQEAAL4FAAAAAA==&#10;">
              <v:fill on="f" focussize="0,0"/>
              <v:stroke on="f" weight="0.5pt"/>
              <v:imagedata o:title=""/>
              <o:lock v:ext="edit" aspectratio="f"/>
              <v:textbox inset="0mm,0mm,0mm,0mm" style="mso-fit-shape-to-text:t;">
                <w:txbxContent>
                  <w:p w14:paraId="41F87520">
                    <w:pPr>
                      <w:pStyle w:val="12"/>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548AE">
    <w:pPr>
      <w:pStyle w:val="12"/>
    </w:pPr>
    <w: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54BF79">
                          <w:pPr>
                            <w:pStyle w:val="12"/>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JqthBktAgAAVwQAAA4AAAAAAAAAAQAgAAAAHwEAAGRycy9lMm9Eb2MueG1sUEsFBgAAAAAG&#10;AAYAWQEAAL4FAAAAAA==&#10;">
              <v:fill on="f" focussize="0,0"/>
              <v:stroke on="f" weight="0.5pt"/>
              <v:imagedata o:title=""/>
              <o:lock v:ext="edit" aspectratio="f"/>
              <v:textbox inset="0mm,0mm,0mm,0mm" style="mso-fit-shape-to-text:t;">
                <w:txbxContent>
                  <w:p w14:paraId="7654BF79">
                    <w:pPr>
                      <w:pStyle w:val="12"/>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AB4D1">
    <w:pPr>
      <w:pStyle w:val="12"/>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92724F">
                          <w:pPr>
                            <w:pStyle w:val="12"/>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AsRGw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ACxEbCwCAABXBAAADgAAAAAAAAABACAAAAAfAQAAZHJzL2Uyb0RvYy54bWxQSwUGAAAAAAYA&#10;BgBZAQAAvQUAAAAA&#10;">
              <v:fill on="f" focussize="0,0"/>
              <v:stroke on="f" weight="0.5pt"/>
              <v:imagedata o:title=""/>
              <o:lock v:ext="edit" aspectratio="f"/>
              <v:textbox inset="0mm,0mm,0mm,0mm" style="mso-fit-shape-to-text:t;">
                <w:txbxContent>
                  <w:p w14:paraId="1D92724F">
                    <w:pPr>
                      <w:pStyle w:val="12"/>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65F42">
    <w:pPr>
      <w:pStyle w:val="12"/>
    </w:pPr>
    <w: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9A4432">
                          <w:pPr>
                            <w:pStyle w:val="12"/>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UDPAEtAgAAV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PUDPAEtAgAAVwQAAA4AAAAAAAAAAQAgAAAAHwEAAGRycy9lMm9Eb2MueG1sUEsFBgAAAAAG&#10;AAYAWQEAAL4FAAAAAA==&#10;">
              <v:fill on="f" focussize="0,0"/>
              <v:stroke on="f" weight="0.5pt"/>
              <v:imagedata o:title=""/>
              <o:lock v:ext="edit" aspectratio="f"/>
              <v:textbox inset="0mm,0mm,0mm,0mm" style="mso-fit-shape-to-text:t;">
                <w:txbxContent>
                  <w:p w14:paraId="129A4432">
                    <w:pPr>
                      <w:pStyle w:val="12"/>
                    </w:pPr>
                    <w:r>
                      <w:fldChar w:fldCharType="begin"/>
                    </w:r>
                    <w:r>
                      <w:instrText xml:space="preserve"> PAGE  \* MERGEFORMAT </w:instrText>
                    </w:r>
                    <w:r>
                      <w:fldChar w:fldCharType="separate"/>
                    </w:r>
                    <w:r>
                      <w:t>58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EE240">
    <w:pPr>
      <w:pStyle w:val="8"/>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3E157D"/>
    <w:multiLevelType w:val="singleLevel"/>
    <w:tmpl w:val="FD3E157D"/>
    <w:lvl w:ilvl="0" w:tentative="0">
      <w:start w:val="1"/>
      <w:numFmt w:val="chineseCounting"/>
      <w:suff w:val="nothing"/>
      <w:lvlText w:val="%1、"/>
      <w:lvlJc w:val="left"/>
      <w:rPr>
        <w:rFonts w:hint="eastAsia"/>
      </w:rPr>
    </w:lvl>
  </w:abstractNum>
  <w:abstractNum w:abstractNumId="1">
    <w:nsid w:val="5B5DF32A"/>
    <w:multiLevelType w:val="singleLevel"/>
    <w:tmpl w:val="5B5DF32A"/>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hdrShapeDefaults>
    <o:shapelayout v:ext="edit">
      <o:idmap v:ext="edit" data="3"/>
    </o:shapelayout>
  </w:hdrShapeDefaults>
  <w:compat>
    <w:spaceForUL/>
    <w:ulTrailSpace/>
    <w:doNotExpandShiftReturn/>
    <w:doNotWrapTextWithPunct/>
    <w:doNotUseEastAsianBreakRules/>
    <w:useFELayout/>
    <w:compatSetting w:name="compatibilityMode" w:uri="http://schemas.microsoft.com/office/word" w:val="14"/>
  </w:compat>
  <w:rsids>
    <w:rsidRoot w:val="000B6792"/>
    <w:rsid w:val="000274A3"/>
    <w:rsid w:val="00057689"/>
    <w:rsid w:val="000B6792"/>
    <w:rsid w:val="001B7CBD"/>
    <w:rsid w:val="00294959"/>
    <w:rsid w:val="00305C0B"/>
    <w:rsid w:val="0037179E"/>
    <w:rsid w:val="004B6FA9"/>
    <w:rsid w:val="005714C6"/>
    <w:rsid w:val="005D59E5"/>
    <w:rsid w:val="007743B3"/>
    <w:rsid w:val="007C3975"/>
    <w:rsid w:val="008935D6"/>
    <w:rsid w:val="00AA1B86"/>
    <w:rsid w:val="017D5F03"/>
    <w:rsid w:val="01D34B7C"/>
    <w:rsid w:val="02C24BF1"/>
    <w:rsid w:val="030D3B33"/>
    <w:rsid w:val="032C4E8C"/>
    <w:rsid w:val="03770A73"/>
    <w:rsid w:val="03791A86"/>
    <w:rsid w:val="03896A86"/>
    <w:rsid w:val="05357FCB"/>
    <w:rsid w:val="05A216B9"/>
    <w:rsid w:val="06693418"/>
    <w:rsid w:val="0701711F"/>
    <w:rsid w:val="07736E5C"/>
    <w:rsid w:val="07E66F84"/>
    <w:rsid w:val="08346D03"/>
    <w:rsid w:val="08B576D2"/>
    <w:rsid w:val="0970184A"/>
    <w:rsid w:val="0A2D5AFE"/>
    <w:rsid w:val="0AE55920"/>
    <w:rsid w:val="0B8D2240"/>
    <w:rsid w:val="0BC23F6A"/>
    <w:rsid w:val="0CAB0443"/>
    <w:rsid w:val="0CE819E3"/>
    <w:rsid w:val="0D814026"/>
    <w:rsid w:val="0DEF111A"/>
    <w:rsid w:val="101F1C09"/>
    <w:rsid w:val="10305890"/>
    <w:rsid w:val="10E36DA6"/>
    <w:rsid w:val="1112295F"/>
    <w:rsid w:val="11C16CE3"/>
    <w:rsid w:val="120D4228"/>
    <w:rsid w:val="122F6D00"/>
    <w:rsid w:val="13003561"/>
    <w:rsid w:val="14151024"/>
    <w:rsid w:val="14232BF3"/>
    <w:rsid w:val="165C62AE"/>
    <w:rsid w:val="16EB0578"/>
    <w:rsid w:val="172872C1"/>
    <w:rsid w:val="17824C23"/>
    <w:rsid w:val="1797673A"/>
    <w:rsid w:val="17E27104"/>
    <w:rsid w:val="183A3BE7"/>
    <w:rsid w:val="184B0543"/>
    <w:rsid w:val="18756535"/>
    <w:rsid w:val="198B7D44"/>
    <w:rsid w:val="1A9A00FE"/>
    <w:rsid w:val="1B0F6E5C"/>
    <w:rsid w:val="1C5431DC"/>
    <w:rsid w:val="1CAD4584"/>
    <w:rsid w:val="1D00160A"/>
    <w:rsid w:val="1D1D0849"/>
    <w:rsid w:val="1DAB4FA6"/>
    <w:rsid w:val="1DEF1254"/>
    <w:rsid w:val="1E4E1D03"/>
    <w:rsid w:val="1E741DD1"/>
    <w:rsid w:val="1E865698"/>
    <w:rsid w:val="1EA02FB0"/>
    <w:rsid w:val="1EC53A8E"/>
    <w:rsid w:val="1FE36203"/>
    <w:rsid w:val="201E7211"/>
    <w:rsid w:val="20296471"/>
    <w:rsid w:val="2047766D"/>
    <w:rsid w:val="209F11B8"/>
    <w:rsid w:val="20F3114C"/>
    <w:rsid w:val="216D6944"/>
    <w:rsid w:val="22B54F2E"/>
    <w:rsid w:val="23084E6B"/>
    <w:rsid w:val="23601CDC"/>
    <w:rsid w:val="23A83C63"/>
    <w:rsid w:val="23D1070E"/>
    <w:rsid w:val="23E546F9"/>
    <w:rsid w:val="23E9747A"/>
    <w:rsid w:val="25606636"/>
    <w:rsid w:val="26663961"/>
    <w:rsid w:val="26C1356B"/>
    <w:rsid w:val="274F0739"/>
    <w:rsid w:val="27644345"/>
    <w:rsid w:val="27EB1DB3"/>
    <w:rsid w:val="2842532D"/>
    <w:rsid w:val="28B5472C"/>
    <w:rsid w:val="28D177B8"/>
    <w:rsid w:val="298143E7"/>
    <w:rsid w:val="29913866"/>
    <w:rsid w:val="2A7E1602"/>
    <w:rsid w:val="2A9E73BD"/>
    <w:rsid w:val="2ACD2AAF"/>
    <w:rsid w:val="2B0D781D"/>
    <w:rsid w:val="2B2D6293"/>
    <w:rsid w:val="2B391645"/>
    <w:rsid w:val="2BC41856"/>
    <w:rsid w:val="2BE452E6"/>
    <w:rsid w:val="2C862667"/>
    <w:rsid w:val="2CFE05A2"/>
    <w:rsid w:val="2D200D0E"/>
    <w:rsid w:val="2D406468"/>
    <w:rsid w:val="2D7E7834"/>
    <w:rsid w:val="2EEA15D4"/>
    <w:rsid w:val="2F7178E6"/>
    <w:rsid w:val="2F8C268B"/>
    <w:rsid w:val="302B1693"/>
    <w:rsid w:val="30CA3877"/>
    <w:rsid w:val="315D0DDA"/>
    <w:rsid w:val="316046D6"/>
    <w:rsid w:val="327805B7"/>
    <w:rsid w:val="32CE32BE"/>
    <w:rsid w:val="32DF400A"/>
    <w:rsid w:val="331C310A"/>
    <w:rsid w:val="33274D42"/>
    <w:rsid w:val="33945FB2"/>
    <w:rsid w:val="33A23909"/>
    <w:rsid w:val="34AC21EC"/>
    <w:rsid w:val="34C9767B"/>
    <w:rsid w:val="35A83E4D"/>
    <w:rsid w:val="35F8B80D"/>
    <w:rsid w:val="361A2073"/>
    <w:rsid w:val="3627012C"/>
    <w:rsid w:val="362A73BC"/>
    <w:rsid w:val="36301896"/>
    <w:rsid w:val="365D1316"/>
    <w:rsid w:val="3678231E"/>
    <w:rsid w:val="36E33AD3"/>
    <w:rsid w:val="372413FB"/>
    <w:rsid w:val="37533A8E"/>
    <w:rsid w:val="383E029A"/>
    <w:rsid w:val="387400A6"/>
    <w:rsid w:val="387463B2"/>
    <w:rsid w:val="38791FB1"/>
    <w:rsid w:val="38B95344"/>
    <w:rsid w:val="38F44EBF"/>
    <w:rsid w:val="397036DA"/>
    <w:rsid w:val="39B73D2D"/>
    <w:rsid w:val="3A2C110F"/>
    <w:rsid w:val="3A5E2E76"/>
    <w:rsid w:val="3A7A5575"/>
    <w:rsid w:val="3ADE1089"/>
    <w:rsid w:val="3AF410E4"/>
    <w:rsid w:val="3BCD02B3"/>
    <w:rsid w:val="3C072D02"/>
    <w:rsid w:val="3C374690"/>
    <w:rsid w:val="3CCA034E"/>
    <w:rsid w:val="3DBF1E7D"/>
    <w:rsid w:val="3DEF1F46"/>
    <w:rsid w:val="3E7A2248"/>
    <w:rsid w:val="3E9933B0"/>
    <w:rsid w:val="3EDE519D"/>
    <w:rsid w:val="3F055FB6"/>
    <w:rsid w:val="3F294ACA"/>
    <w:rsid w:val="3F9E7ADA"/>
    <w:rsid w:val="3FEA7B57"/>
    <w:rsid w:val="3FEE26D7"/>
    <w:rsid w:val="40544C96"/>
    <w:rsid w:val="410F33EC"/>
    <w:rsid w:val="41270465"/>
    <w:rsid w:val="41590C98"/>
    <w:rsid w:val="41EA3241"/>
    <w:rsid w:val="41FC5689"/>
    <w:rsid w:val="4201680A"/>
    <w:rsid w:val="428D2352"/>
    <w:rsid w:val="4359242C"/>
    <w:rsid w:val="43956DFD"/>
    <w:rsid w:val="43CC75FC"/>
    <w:rsid w:val="449F7162"/>
    <w:rsid w:val="44A0122D"/>
    <w:rsid w:val="44D206E8"/>
    <w:rsid w:val="45055140"/>
    <w:rsid w:val="45551DD1"/>
    <w:rsid w:val="455827CF"/>
    <w:rsid w:val="45EF0D55"/>
    <w:rsid w:val="46770C1C"/>
    <w:rsid w:val="4757795B"/>
    <w:rsid w:val="47811F51"/>
    <w:rsid w:val="48351FF1"/>
    <w:rsid w:val="488937B4"/>
    <w:rsid w:val="489410ED"/>
    <w:rsid w:val="48DB78B4"/>
    <w:rsid w:val="48EA3CA3"/>
    <w:rsid w:val="4914471C"/>
    <w:rsid w:val="4A2C089A"/>
    <w:rsid w:val="4A3D04B7"/>
    <w:rsid w:val="4A437992"/>
    <w:rsid w:val="4B1F21AD"/>
    <w:rsid w:val="4B5137EE"/>
    <w:rsid w:val="4B5D2E6D"/>
    <w:rsid w:val="4B7E4D22"/>
    <w:rsid w:val="4B934057"/>
    <w:rsid w:val="4C8F6EBF"/>
    <w:rsid w:val="4E0E3438"/>
    <w:rsid w:val="4EB42FEC"/>
    <w:rsid w:val="4ED91097"/>
    <w:rsid w:val="4F0C71D9"/>
    <w:rsid w:val="4F3178BF"/>
    <w:rsid w:val="4F8F4431"/>
    <w:rsid w:val="4FAB4CF6"/>
    <w:rsid w:val="50A075E8"/>
    <w:rsid w:val="50D10C2C"/>
    <w:rsid w:val="51383FC9"/>
    <w:rsid w:val="51C20936"/>
    <w:rsid w:val="520925F1"/>
    <w:rsid w:val="52E361B6"/>
    <w:rsid w:val="52F263F9"/>
    <w:rsid w:val="53894668"/>
    <w:rsid w:val="538C54A6"/>
    <w:rsid w:val="53D75643"/>
    <w:rsid w:val="54CD22BD"/>
    <w:rsid w:val="54EA73DD"/>
    <w:rsid w:val="54F21EDD"/>
    <w:rsid w:val="561B17C3"/>
    <w:rsid w:val="56C50A07"/>
    <w:rsid w:val="57F93BFB"/>
    <w:rsid w:val="58031050"/>
    <w:rsid w:val="58064780"/>
    <w:rsid w:val="58154502"/>
    <w:rsid w:val="59494D0D"/>
    <w:rsid w:val="597F62A7"/>
    <w:rsid w:val="5C2D1AE0"/>
    <w:rsid w:val="5C5123E2"/>
    <w:rsid w:val="5C8A75DB"/>
    <w:rsid w:val="5CB73713"/>
    <w:rsid w:val="5CE147D7"/>
    <w:rsid w:val="5D854182"/>
    <w:rsid w:val="5DEC14F9"/>
    <w:rsid w:val="5E53131C"/>
    <w:rsid w:val="5EF13A09"/>
    <w:rsid w:val="5FBF6CB8"/>
    <w:rsid w:val="5FEE4105"/>
    <w:rsid w:val="6072155E"/>
    <w:rsid w:val="60A725D1"/>
    <w:rsid w:val="60D43373"/>
    <w:rsid w:val="614E2111"/>
    <w:rsid w:val="61B067C2"/>
    <w:rsid w:val="625C5618"/>
    <w:rsid w:val="62C51434"/>
    <w:rsid w:val="62F133AA"/>
    <w:rsid w:val="639E5FFE"/>
    <w:rsid w:val="63D2562D"/>
    <w:rsid w:val="645657DF"/>
    <w:rsid w:val="650A2634"/>
    <w:rsid w:val="6521263D"/>
    <w:rsid w:val="666351EC"/>
    <w:rsid w:val="66F12A90"/>
    <w:rsid w:val="67734C82"/>
    <w:rsid w:val="67DF4D79"/>
    <w:rsid w:val="67FD3B94"/>
    <w:rsid w:val="686C2E08"/>
    <w:rsid w:val="68AF1F4F"/>
    <w:rsid w:val="68E533EA"/>
    <w:rsid w:val="68EB66C8"/>
    <w:rsid w:val="698A6279"/>
    <w:rsid w:val="6AE73F2B"/>
    <w:rsid w:val="6B0644FF"/>
    <w:rsid w:val="6B2C0954"/>
    <w:rsid w:val="6B6932A5"/>
    <w:rsid w:val="6BEC5C84"/>
    <w:rsid w:val="6C3109FE"/>
    <w:rsid w:val="6C8D10B0"/>
    <w:rsid w:val="6DA560EA"/>
    <w:rsid w:val="6DC120EF"/>
    <w:rsid w:val="6DF732F4"/>
    <w:rsid w:val="6E0A005A"/>
    <w:rsid w:val="6E657628"/>
    <w:rsid w:val="6E6C6E9D"/>
    <w:rsid w:val="6F000463"/>
    <w:rsid w:val="6F01303C"/>
    <w:rsid w:val="6F5316A2"/>
    <w:rsid w:val="6F8B35EB"/>
    <w:rsid w:val="6F97284E"/>
    <w:rsid w:val="6FD3327C"/>
    <w:rsid w:val="7000572D"/>
    <w:rsid w:val="70205B1C"/>
    <w:rsid w:val="705016AE"/>
    <w:rsid w:val="706F7985"/>
    <w:rsid w:val="70A272B7"/>
    <w:rsid w:val="70D46396"/>
    <w:rsid w:val="71FA6AAB"/>
    <w:rsid w:val="72BD0CAF"/>
    <w:rsid w:val="733858B8"/>
    <w:rsid w:val="7514304A"/>
    <w:rsid w:val="75613CFA"/>
    <w:rsid w:val="76E92CF5"/>
    <w:rsid w:val="776712F6"/>
    <w:rsid w:val="777F53C6"/>
    <w:rsid w:val="778B00FF"/>
    <w:rsid w:val="77FEBDA5"/>
    <w:rsid w:val="783A38D3"/>
    <w:rsid w:val="784C1F84"/>
    <w:rsid w:val="78EA52F9"/>
    <w:rsid w:val="790245B3"/>
    <w:rsid w:val="792050C1"/>
    <w:rsid w:val="79D819B0"/>
    <w:rsid w:val="7AB14F4C"/>
    <w:rsid w:val="7AFE508C"/>
    <w:rsid w:val="7B670E83"/>
    <w:rsid w:val="7B7E9D0A"/>
    <w:rsid w:val="7B9C4351"/>
    <w:rsid w:val="7C4116D4"/>
    <w:rsid w:val="7CF32DAA"/>
    <w:rsid w:val="7D1269EF"/>
    <w:rsid w:val="7D250FF6"/>
    <w:rsid w:val="7D4B74C7"/>
    <w:rsid w:val="7DAC40A3"/>
    <w:rsid w:val="7DF764EE"/>
    <w:rsid w:val="7ED3FB5F"/>
    <w:rsid w:val="7EE137B6"/>
    <w:rsid w:val="7EF33724"/>
    <w:rsid w:val="7F014C34"/>
    <w:rsid w:val="7F488EAA"/>
    <w:rsid w:val="7FDFD17F"/>
    <w:rsid w:val="7FE7085F"/>
    <w:rsid w:val="B67FC39D"/>
    <w:rsid w:val="BF9F0300"/>
    <w:rsid w:val="BFFB5E75"/>
    <w:rsid w:val="E57C56EF"/>
    <w:rsid w:val="EECA1FD3"/>
    <w:rsid w:val="EF9DB835"/>
    <w:rsid w:val="F3FD1D97"/>
    <w:rsid w:val="F7DDBA6A"/>
    <w:rsid w:val="F8FFD8EB"/>
    <w:rsid w:val="FC3B25F1"/>
    <w:rsid w:val="FED7DCE4"/>
    <w:rsid w:val="FFF7E8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qFormat/>
    <w:uiPriority w:val="0"/>
    <w:pPr>
      <w:keepNext/>
      <w:keepLines/>
      <w:widowControl w:val="0"/>
      <w:spacing w:line="360" w:lineRule="auto"/>
      <w:jc w:val="both"/>
      <w:outlineLvl w:val="1"/>
    </w:pPr>
    <w:rPr>
      <w:rFonts w:eastAsia="宋体" w:cs="Times New Roman"/>
      <w:b/>
      <w:kern w:val="2"/>
      <w:sz w:val="24"/>
      <w:szCs w:val="32"/>
      <w:lang w:eastAsia="zh-CN"/>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Cambria" w:hAnsi="Cambria" w:eastAsia="宋体" w:cs="宋体"/>
      <w:b/>
      <w:bCs/>
      <w:sz w:val="28"/>
      <w:szCs w:val="28"/>
    </w:rPr>
  </w:style>
  <w:style w:type="character" w:default="1" w:styleId="22">
    <w:name w:val="Default Paragraph Font"/>
    <w:unhideWhenUsed/>
    <w:qFormat/>
    <w:uiPriority w:val="1"/>
  </w:style>
  <w:style w:type="table" w:default="1" w:styleId="20">
    <w:name w:val="Normal Table"/>
    <w:unhideWhenUsed/>
    <w:qFormat/>
    <w:uiPriority w:val="99"/>
    <w:tblPr>
      <w:tblCellMar>
        <w:top w:w="0" w:type="dxa"/>
        <w:left w:w="108" w:type="dxa"/>
        <w:bottom w:w="0" w:type="dxa"/>
        <w:right w:w="108" w:type="dxa"/>
      </w:tblCellMar>
    </w:tblPr>
  </w:style>
  <w:style w:type="paragraph" w:styleId="6">
    <w:name w:val="index 8"/>
    <w:basedOn w:val="1"/>
    <w:next w:val="1"/>
    <w:qFormat/>
    <w:uiPriority w:val="0"/>
    <w:pPr>
      <w:ind w:left="2940"/>
    </w:pPr>
  </w:style>
  <w:style w:type="paragraph" w:styleId="7">
    <w:name w:val="annotation text"/>
    <w:basedOn w:val="1"/>
    <w:qFormat/>
    <w:uiPriority w:val="0"/>
  </w:style>
  <w:style w:type="paragraph" w:styleId="8">
    <w:name w:val="Body Text"/>
    <w:basedOn w:val="1"/>
    <w:next w:val="1"/>
    <w:semiHidden/>
    <w:qFormat/>
    <w:uiPriority w:val="0"/>
  </w:style>
  <w:style w:type="paragraph" w:styleId="9">
    <w:name w:val="Body Text Indent"/>
    <w:basedOn w:val="1"/>
    <w:next w:val="10"/>
    <w:qFormat/>
    <w:uiPriority w:val="0"/>
    <w:pPr>
      <w:spacing w:after="120"/>
      <w:ind w:left="420" w:leftChars="200"/>
    </w:pPr>
  </w:style>
  <w:style w:type="paragraph" w:styleId="10">
    <w:name w:val="envelope return"/>
    <w:qFormat/>
    <w:uiPriority w:val="0"/>
    <w:pPr>
      <w:widowControl w:val="0"/>
      <w:snapToGrid w:val="0"/>
      <w:spacing w:line="400" w:lineRule="exact"/>
      <w:ind w:firstLine="1044" w:firstLineChars="200"/>
      <w:jc w:val="left"/>
    </w:pPr>
    <w:rPr>
      <w:rFonts w:ascii="Arial" w:hAnsi="Arial" w:eastAsia="宋体" w:cs="Arial"/>
      <w:kern w:val="2"/>
      <w:sz w:val="21"/>
      <w:szCs w:val="24"/>
      <w:lang w:val="en-US" w:eastAsia="zh-CN" w:bidi="ar-SA"/>
    </w:rPr>
  </w:style>
  <w:style w:type="paragraph" w:styleId="11">
    <w:name w:val="Plain Text"/>
    <w:basedOn w:val="1"/>
    <w:next w:val="6"/>
    <w:qFormat/>
    <w:uiPriority w:val="99"/>
    <w:rPr>
      <w:rFonts w:ascii="宋体" w:hAnsi="Courier New"/>
      <w:szCs w:val="20"/>
    </w:rPr>
  </w:style>
  <w:style w:type="paragraph" w:styleId="12">
    <w:name w:val="footer"/>
    <w:basedOn w:val="1"/>
    <w:next w:val="1"/>
    <w:qFormat/>
    <w:uiPriority w:val="0"/>
    <w:pPr>
      <w:tabs>
        <w:tab w:val="center" w:pos="4153"/>
        <w:tab w:val="right" w:pos="8306"/>
      </w:tabs>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4">
    <w:name w:val="toc 1"/>
    <w:basedOn w:val="1"/>
    <w:next w:val="1"/>
    <w:qFormat/>
    <w:uiPriority w:val="0"/>
  </w:style>
  <w:style w:type="paragraph" w:styleId="15">
    <w:name w:val="Normal (Web)"/>
    <w:qFormat/>
    <w:uiPriority w:val="99"/>
    <w:pPr>
      <w:widowControl/>
      <w:spacing w:before="100" w:beforeAutospacing="1" w:after="100" w:afterAutospacing="1"/>
      <w:jc w:val="left"/>
    </w:pPr>
    <w:rPr>
      <w:rFonts w:ascii="宋体" w:hAnsi="宋体" w:eastAsia="宋体" w:cs="Times New Roman"/>
      <w:kern w:val="0"/>
      <w:sz w:val="24"/>
      <w:szCs w:val="20"/>
      <w:lang w:val="en-US" w:eastAsia="zh-CN" w:bidi="ar-SA"/>
    </w:rPr>
  </w:style>
  <w:style w:type="paragraph" w:styleId="16">
    <w:name w:val="index 1"/>
    <w:basedOn w:val="1"/>
    <w:next w:val="1"/>
    <w:semiHidden/>
    <w:qFormat/>
    <w:uiPriority w:val="0"/>
    <w:pPr>
      <w:spacing w:line="400" w:lineRule="exact"/>
      <w:ind w:firstLine="420" w:firstLineChars="200"/>
    </w:pPr>
    <w:rPr>
      <w:rFonts w:ascii="宋体" w:hAnsi="Courier New"/>
      <w:b/>
      <w:szCs w:val="20"/>
    </w:rPr>
  </w:style>
  <w:style w:type="paragraph" w:styleId="17">
    <w:name w:val="Title"/>
    <w:basedOn w:val="1"/>
    <w:next w:val="1"/>
    <w:qFormat/>
    <w:uiPriority w:val="0"/>
    <w:pPr>
      <w:spacing w:before="240" w:after="60"/>
      <w:jc w:val="center"/>
      <w:outlineLvl w:val="0"/>
    </w:pPr>
    <w:rPr>
      <w:rFonts w:ascii="等线 Light" w:hAnsi="等线 Light"/>
      <w:b/>
      <w:bCs/>
      <w:sz w:val="32"/>
      <w:szCs w:val="32"/>
    </w:rPr>
  </w:style>
  <w:style w:type="paragraph" w:styleId="18">
    <w:name w:val="Body Text First Indent 2"/>
    <w:basedOn w:val="9"/>
    <w:next w:val="19"/>
    <w:qFormat/>
    <w:uiPriority w:val="0"/>
    <w:pPr>
      <w:spacing w:after="120" w:afterLines="0"/>
      <w:ind w:left="420" w:leftChars="200" w:firstLine="420" w:firstLineChars="200"/>
    </w:pPr>
    <w:rPr>
      <w:rFonts w:ascii="Times New Roman" w:eastAsia="宋体"/>
      <w:sz w:val="21"/>
      <w:szCs w:val="24"/>
    </w:rPr>
  </w:style>
  <w:style w:type="paragraph" w:customStyle="1" w:styleId="19">
    <w:name w:val="**正文"/>
    <w:basedOn w:val="1"/>
    <w:qFormat/>
    <w:uiPriority w:val="0"/>
    <w:pPr>
      <w:ind w:firstLine="482"/>
    </w:pPr>
    <w:rPr>
      <w:rFonts w:ascii="宋体" w:hAnsi="宋体"/>
      <w:sz w:val="24"/>
    </w:rPr>
  </w:style>
  <w:style w:type="table" w:styleId="21">
    <w:name w:val="Table Grid"/>
    <w:basedOn w:val="2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Emphasis"/>
    <w:qFormat/>
    <w:uiPriority w:val="0"/>
    <w:rPr>
      <w:rFonts w:ascii="Times New Roman" w:hAnsi="Times New Roman" w:eastAsia="宋体" w:cs="Times New Roman"/>
      <w:color w:val="CC0000"/>
    </w:rPr>
  </w:style>
  <w:style w:type="character" w:styleId="24">
    <w:name w:val="annotation reference"/>
    <w:basedOn w:val="22"/>
    <w:qFormat/>
    <w:uiPriority w:val="0"/>
    <w:rPr>
      <w:sz w:val="21"/>
      <w:szCs w:val="21"/>
    </w:rPr>
  </w:style>
  <w:style w:type="paragraph" w:customStyle="1" w:styleId="25">
    <w:name w:val="样式 正文文本缩进 + 首行缩进:  2 字符 行距: 1.5 倍行距"/>
    <w:basedOn w:val="9"/>
    <w:qFormat/>
    <w:uiPriority w:val="0"/>
    <w:rPr>
      <w:rFonts w:cs="宋体"/>
    </w:rPr>
  </w:style>
  <w:style w:type="table" w:customStyle="1" w:styleId="26">
    <w:name w:val="Table Normal"/>
    <w:unhideWhenUsed/>
    <w:qFormat/>
    <w:uiPriority w:val="0"/>
    <w:tblPr>
      <w:tblCellMar>
        <w:top w:w="0" w:type="dxa"/>
        <w:left w:w="0" w:type="dxa"/>
        <w:bottom w:w="0" w:type="dxa"/>
        <w:right w:w="0" w:type="dxa"/>
      </w:tblCellMar>
    </w:tblPr>
  </w:style>
  <w:style w:type="paragraph" w:customStyle="1" w:styleId="27">
    <w:name w:val="Table Text"/>
    <w:basedOn w:val="1"/>
    <w:semiHidden/>
    <w:qFormat/>
    <w:uiPriority w:val="0"/>
    <w:rPr>
      <w:rFonts w:ascii="宋体" w:hAnsi="宋体" w:eastAsia="宋体" w:cs="宋体"/>
      <w:sz w:val="20"/>
      <w:szCs w:val="20"/>
    </w:rPr>
  </w:style>
  <w:style w:type="paragraph" w:customStyle="1" w:styleId="28">
    <w:name w:val="Default"/>
    <w:qFormat/>
    <w:uiPriority w:val="99"/>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9">
    <w:name w:val="font01"/>
    <w:qFormat/>
    <w:uiPriority w:val="0"/>
    <w:rPr>
      <w:rFonts w:hint="eastAsia" w:ascii="等线" w:hAnsi="等线" w:eastAsia="等线" w:cs="等线"/>
      <w:color w:val="000000"/>
      <w:sz w:val="22"/>
      <w:szCs w:val="22"/>
      <w:u w:val="none"/>
    </w:rPr>
  </w:style>
  <w:style w:type="character" w:customStyle="1" w:styleId="30">
    <w:name w:val="NormalCharacter"/>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3.png"/><Relationship Id="rId22" Type="http://schemas.openxmlformats.org/officeDocument/2006/relationships/image" Target="media/image2.png"/><Relationship Id="rId21" Type="http://schemas.openxmlformats.org/officeDocument/2006/relationships/image" Target="media/image1.pn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16.xml"/><Relationship Id="rId18" Type="http://schemas.openxmlformats.org/officeDocument/2006/relationships/header" Target="header1.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102</Pages>
  <Words>28481</Words>
  <Characters>31117</Characters>
  <Lines>337</Lines>
  <Paragraphs>95</Paragraphs>
  <TotalTime>32</TotalTime>
  <ScaleCrop>false</ScaleCrop>
  <LinksUpToDate>false</LinksUpToDate>
  <CharactersWithSpaces>32644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2025-04-12T10:45:00Z</dcterms:created>
  <dc:creator>Administrator</dc:creator>
  <cp:lastModifiedBy>NOTE </cp:lastModifiedBy>
  <cp:lastPrinted>2026-10-08T05:52:00Z</cp:lastPrinted>
  <dcterms:modified xsi:type="dcterms:W3CDTF">2026-10-08T08:06:10Z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2025-06-20T09:44:10Z</vt:filetime>
  </property>
  <property fmtid="{D5CDD505-2E9C-101B-9397-08002B2CF9AE}" pid="4" name="KSOTemplateDocerSaveRecord">
    <vt:lpwstr>eyJoZGlkIjoiYjBhZDVlZmI1NDQyNTZjOGY3MmM3MDFmMjI3MmEyYjIiLCJ1c2VySWQiOiIxOTkwMTQ3ODgifQ==</vt:lpwstr>
  </property>
  <property fmtid="{D5CDD505-2E9C-101B-9397-08002B2CF9AE}" pid="5" name="KSOProductBuildVer">
    <vt:lpwstr>2052-12.1.0.28505</vt:lpwstr>
  </property>
  <property fmtid="{D5CDD505-2E9C-101B-9397-08002B2CF9AE}" pid="6" name="ICV">
    <vt:lpwstr>449F56CC68CCBD33C20AC76A384812C5_43</vt:lpwstr>
  </property>
</Properties>
</file>